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FDE1" w14:textId="39907917" w:rsidR="0099058F" w:rsidRDefault="00EB2559">
      <w:pPr>
        <w:widowControl/>
        <w:spacing w:after="180"/>
        <w:jc w:val="righ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p w14:paraId="4B75FDE2" w14:textId="77777777" w:rsidR="0099058F" w:rsidRDefault="00EB2559">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4B75FDE3" w14:textId="77777777" w:rsidR="0099058F" w:rsidRDefault="00EB2559">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4B75FDE4" w14:textId="77777777" w:rsidR="0099058F" w:rsidRDefault="0099058F">
      <w:pPr>
        <w:widowControl/>
        <w:jc w:val="center"/>
        <w:rPr>
          <w:rFonts w:ascii="宋体" w:eastAsia="宋体" w:hAnsi="宋体" w:cs="宋体"/>
          <w:kern w:val="0"/>
          <w:sz w:val="24"/>
        </w:rPr>
      </w:pPr>
    </w:p>
    <w:p w14:paraId="4B75FDE5"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4B75FDE6"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4B75FDE7"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4B75FDE8" w14:textId="77777777" w:rsidR="0099058F" w:rsidRDefault="00EB2559">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10-K </w:t>
      </w:r>
    </w:p>
    <w:p w14:paraId="4B75FDE9" w14:textId="77777777" w:rsidR="0099058F" w:rsidRDefault="00EB2559">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99058F" w14:paraId="4B75FDF0" w14:textId="77777777">
        <w:trPr>
          <w:jc w:val="center"/>
        </w:trPr>
        <w:tc>
          <w:tcPr>
            <w:tcW w:w="50" w:type="pct"/>
            <w:tcBorders>
              <w:top w:val="nil"/>
              <w:left w:val="nil"/>
              <w:bottom w:val="nil"/>
              <w:right w:val="nil"/>
            </w:tcBorders>
            <w:shd w:val="clear" w:color="auto" w:fill="auto"/>
            <w:vAlign w:val="bottom"/>
          </w:tcPr>
          <w:p w14:paraId="4B75FDEA"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5FD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DE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DED" w14:textId="77777777" w:rsidR="0099058F" w:rsidRDefault="0099058F">
            <w:pPr>
              <w:widowControl/>
              <w:jc w:val="left"/>
              <w:rPr>
                <w:rFonts w:ascii="Times New Roman" w:eastAsia="宋体" w:hAnsi="宋体" w:cs="宋体"/>
                <w:kern w:val="0"/>
                <w:sz w:val="24"/>
              </w:rPr>
            </w:pPr>
          </w:p>
        </w:tc>
        <w:tc>
          <w:tcPr>
            <w:tcW w:w="4618" w:type="pct"/>
            <w:tcBorders>
              <w:top w:val="nil"/>
              <w:left w:val="nil"/>
              <w:bottom w:val="nil"/>
              <w:right w:val="nil"/>
            </w:tcBorders>
            <w:shd w:val="clear" w:color="auto" w:fill="auto"/>
            <w:vAlign w:val="bottom"/>
          </w:tcPr>
          <w:p w14:paraId="4B75FD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DEF" w14:textId="77777777" w:rsidR="0099058F" w:rsidRDefault="0099058F">
            <w:pPr>
              <w:widowControl/>
              <w:jc w:val="left"/>
              <w:rPr>
                <w:rFonts w:ascii="Times New Roman" w:eastAsia="宋体" w:hAnsi="宋体" w:cs="宋体"/>
                <w:kern w:val="0"/>
                <w:sz w:val="24"/>
              </w:rPr>
            </w:pPr>
          </w:p>
        </w:tc>
      </w:tr>
      <w:tr w:rsidR="0099058F" w14:paraId="4B75FDF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DF1"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DF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ANNUAL REPORT PURSUANT TO SECTION 13 OR 15(d) OF THE SECURITIES EXCHANGE ACT OF 1934</w:t>
            </w:r>
          </w:p>
        </w:tc>
      </w:tr>
    </w:tbl>
    <w:p w14:paraId="4B75FDF4" w14:textId="77777777" w:rsidR="0099058F" w:rsidRDefault="00EB2559">
      <w:pPr>
        <w:widowControl/>
        <w:spacing w:before="1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fiscal year ended December 31, 2022 </w:t>
      </w:r>
    </w:p>
    <w:p w14:paraId="4B75FDF5" w14:textId="77777777" w:rsidR="0099058F" w:rsidRDefault="00EB2559">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99058F" w14:paraId="4B75FDFC" w14:textId="77777777">
        <w:trPr>
          <w:jc w:val="center"/>
        </w:trPr>
        <w:tc>
          <w:tcPr>
            <w:tcW w:w="50" w:type="pct"/>
            <w:tcBorders>
              <w:top w:val="nil"/>
              <w:left w:val="nil"/>
              <w:bottom w:val="nil"/>
              <w:right w:val="nil"/>
            </w:tcBorders>
            <w:shd w:val="clear" w:color="auto" w:fill="auto"/>
            <w:vAlign w:val="bottom"/>
          </w:tcPr>
          <w:p w14:paraId="4B75FDF6"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5FD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DF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DF9" w14:textId="77777777" w:rsidR="0099058F" w:rsidRDefault="0099058F">
            <w:pPr>
              <w:widowControl/>
              <w:jc w:val="left"/>
              <w:rPr>
                <w:rFonts w:ascii="Times New Roman" w:eastAsia="宋体" w:hAnsi="宋体" w:cs="宋体"/>
                <w:kern w:val="0"/>
                <w:sz w:val="24"/>
              </w:rPr>
            </w:pPr>
          </w:p>
        </w:tc>
        <w:tc>
          <w:tcPr>
            <w:tcW w:w="4618" w:type="pct"/>
            <w:tcBorders>
              <w:top w:val="nil"/>
              <w:left w:val="nil"/>
              <w:bottom w:val="nil"/>
              <w:right w:val="nil"/>
            </w:tcBorders>
            <w:shd w:val="clear" w:color="auto" w:fill="auto"/>
            <w:vAlign w:val="bottom"/>
          </w:tcPr>
          <w:p w14:paraId="4B75FD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DFB" w14:textId="77777777" w:rsidR="0099058F" w:rsidRDefault="0099058F">
            <w:pPr>
              <w:widowControl/>
              <w:jc w:val="left"/>
              <w:rPr>
                <w:rFonts w:ascii="Times New Roman" w:eastAsia="宋体" w:hAnsi="宋体" w:cs="宋体"/>
                <w:kern w:val="0"/>
                <w:sz w:val="24"/>
              </w:rPr>
            </w:pPr>
          </w:p>
        </w:tc>
      </w:tr>
      <w:tr w:rsidR="0099058F" w14:paraId="4B75FDF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DFD"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DF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TRANSITION REPORT PURSUANT TO SECTION 13 OR 15(d) OF THE SECURITIES EXCHANGE ACT OF 1934</w:t>
            </w:r>
          </w:p>
        </w:tc>
      </w:tr>
    </w:tbl>
    <w:p w14:paraId="4B75FE00" w14:textId="77777777" w:rsidR="0099058F" w:rsidRDefault="00EB2559">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to                         </w:t>
      </w:r>
    </w:p>
    <w:p w14:paraId="4B75FE01" w14:textId="77777777" w:rsidR="0099058F" w:rsidRDefault="00EB2559">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Commission file number 1-442</w:t>
      </w:r>
    </w:p>
    <w:tbl>
      <w:tblPr>
        <w:tblW w:w="8490" w:type="dxa"/>
        <w:jc w:val="center"/>
        <w:tblCellMar>
          <w:top w:w="15" w:type="dxa"/>
          <w:left w:w="15" w:type="dxa"/>
          <w:bottom w:w="15" w:type="dxa"/>
          <w:right w:w="15" w:type="dxa"/>
        </w:tblCellMar>
        <w:tblLook w:val="04A0" w:firstRow="1" w:lastRow="0" w:firstColumn="1" w:lastColumn="0" w:noHBand="0" w:noVBand="1"/>
      </w:tblPr>
      <w:tblGrid>
        <w:gridCol w:w="37"/>
        <w:gridCol w:w="670"/>
        <w:gridCol w:w="36"/>
        <w:gridCol w:w="36"/>
        <w:gridCol w:w="6918"/>
        <w:gridCol w:w="36"/>
        <w:gridCol w:w="36"/>
        <w:gridCol w:w="685"/>
        <w:gridCol w:w="36"/>
      </w:tblGrid>
      <w:tr w:rsidR="0099058F" w14:paraId="4B75FE0B" w14:textId="77777777">
        <w:trPr>
          <w:jc w:val="center"/>
        </w:trPr>
        <w:tc>
          <w:tcPr>
            <w:tcW w:w="20" w:type="dxa"/>
            <w:tcBorders>
              <w:top w:val="nil"/>
              <w:left w:val="nil"/>
              <w:bottom w:val="nil"/>
              <w:right w:val="nil"/>
            </w:tcBorders>
            <w:shd w:val="clear" w:color="auto" w:fill="auto"/>
            <w:vAlign w:val="bottom"/>
          </w:tcPr>
          <w:p w14:paraId="4B75FE02" w14:textId="77777777" w:rsidR="0099058F" w:rsidRDefault="0099058F">
            <w:pPr>
              <w:widowControl/>
              <w:jc w:val="left"/>
              <w:rPr>
                <w:rFonts w:ascii="Times New Roman" w:eastAsia="宋体" w:hAnsi="宋体" w:cs="宋体"/>
                <w:kern w:val="0"/>
                <w:sz w:val="24"/>
              </w:rPr>
            </w:pPr>
          </w:p>
        </w:tc>
        <w:tc>
          <w:tcPr>
            <w:tcW w:w="680" w:type="dxa"/>
            <w:tcBorders>
              <w:top w:val="nil"/>
              <w:left w:val="nil"/>
              <w:bottom w:val="nil"/>
              <w:right w:val="nil"/>
            </w:tcBorders>
            <w:shd w:val="clear" w:color="auto" w:fill="auto"/>
            <w:vAlign w:val="bottom"/>
          </w:tcPr>
          <w:p w14:paraId="4B75FE03"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5FE04"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5FE05" w14:textId="77777777" w:rsidR="0099058F" w:rsidRDefault="0099058F">
            <w:pPr>
              <w:widowControl/>
              <w:jc w:val="left"/>
              <w:rPr>
                <w:rFonts w:ascii="Times New Roman" w:eastAsia="宋体" w:hAnsi="宋体" w:cs="宋体"/>
                <w:kern w:val="0"/>
                <w:sz w:val="24"/>
              </w:rPr>
            </w:pPr>
          </w:p>
        </w:tc>
        <w:tc>
          <w:tcPr>
            <w:tcW w:w="6995" w:type="dxa"/>
            <w:tcBorders>
              <w:top w:val="nil"/>
              <w:left w:val="nil"/>
              <w:bottom w:val="nil"/>
              <w:right w:val="nil"/>
            </w:tcBorders>
            <w:shd w:val="clear" w:color="auto" w:fill="auto"/>
            <w:vAlign w:val="bottom"/>
          </w:tcPr>
          <w:p w14:paraId="4B75FE06"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5FE07"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5FE08" w14:textId="77777777" w:rsidR="0099058F" w:rsidRDefault="0099058F">
            <w:pPr>
              <w:widowControl/>
              <w:jc w:val="left"/>
              <w:rPr>
                <w:rFonts w:ascii="Times New Roman" w:eastAsia="宋体" w:hAnsi="宋体" w:cs="宋体"/>
                <w:kern w:val="0"/>
                <w:sz w:val="24"/>
              </w:rPr>
            </w:pPr>
          </w:p>
        </w:tc>
        <w:tc>
          <w:tcPr>
            <w:tcW w:w="695" w:type="dxa"/>
            <w:tcBorders>
              <w:top w:val="nil"/>
              <w:left w:val="nil"/>
              <w:bottom w:val="nil"/>
              <w:right w:val="nil"/>
            </w:tcBorders>
            <w:shd w:val="clear" w:color="auto" w:fill="auto"/>
            <w:vAlign w:val="bottom"/>
          </w:tcPr>
          <w:p w14:paraId="4B75FE09"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5FE0A" w14:textId="77777777" w:rsidR="0099058F" w:rsidRDefault="0099058F">
            <w:pPr>
              <w:widowControl/>
              <w:jc w:val="left"/>
              <w:rPr>
                <w:rFonts w:ascii="Times New Roman" w:eastAsia="宋体" w:hAnsi="宋体" w:cs="宋体"/>
                <w:kern w:val="0"/>
                <w:sz w:val="24"/>
              </w:rPr>
            </w:pPr>
          </w:p>
        </w:tc>
      </w:tr>
      <w:tr w:rsidR="0099058F" w14:paraId="4B75FE0F" w14:textId="77777777">
        <w:trPr>
          <w:trHeight w:val="4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B75FE0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0E" w14:textId="77777777" w:rsidR="0099058F" w:rsidRDefault="0099058F">
            <w:pPr>
              <w:widowControl/>
              <w:jc w:val="left"/>
              <w:rPr>
                <w:rFonts w:ascii="Times New Roman" w:eastAsia="宋体" w:hAnsi="宋体" w:cs="宋体"/>
                <w:kern w:val="0"/>
                <w:sz w:val="24"/>
              </w:rPr>
            </w:pPr>
          </w:p>
        </w:tc>
      </w:tr>
    </w:tbl>
    <w:p w14:paraId="4B75FE10"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361" w:type="pct"/>
        <w:jc w:val="center"/>
        <w:tblCellMar>
          <w:top w:w="15" w:type="dxa"/>
          <w:left w:w="15" w:type="dxa"/>
          <w:bottom w:w="15" w:type="dxa"/>
          <w:right w:w="15" w:type="dxa"/>
        </w:tblCellMar>
        <w:tblLook w:val="04A0" w:firstRow="1" w:lastRow="0" w:firstColumn="1" w:lastColumn="0" w:noHBand="0" w:noVBand="1"/>
      </w:tblPr>
      <w:tblGrid>
        <w:gridCol w:w="38"/>
        <w:gridCol w:w="1865"/>
        <w:gridCol w:w="38"/>
        <w:gridCol w:w="86"/>
        <w:gridCol w:w="891"/>
        <w:gridCol w:w="37"/>
        <w:gridCol w:w="37"/>
        <w:gridCol w:w="591"/>
        <w:gridCol w:w="37"/>
        <w:gridCol w:w="36"/>
        <w:gridCol w:w="112"/>
        <w:gridCol w:w="36"/>
        <w:gridCol w:w="37"/>
        <w:gridCol w:w="3394"/>
        <w:gridCol w:w="36"/>
      </w:tblGrid>
      <w:tr w:rsidR="0099058F" w14:paraId="4B75FE20" w14:textId="77777777">
        <w:trPr>
          <w:jc w:val="center"/>
        </w:trPr>
        <w:tc>
          <w:tcPr>
            <w:tcW w:w="50" w:type="pct"/>
            <w:tcBorders>
              <w:top w:val="nil"/>
              <w:left w:val="nil"/>
              <w:bottom w:val="nil"/>
              <w:right w:val="nil"/>
            </w:tcBorders>
            <w:shd w:val="clear" w:color="auto" w:fill="auto"/>
            <w:vAlign w:val="bottom"/>
          </w:tcPr>
          <w:p w14:paraId="4B75FE11" w14:textId="77777777" w:rsidR="0099058F" w:rsidRDefault="0099058F">
            <w:pPr>
              <w:widowControl/>
              <w:jc w:val="left"/>
              <w:rPr>
                <w:rFonts w:ascii="Times New Roman" w:eastAsia="宋体" w:hAnsi="宋体" w:cs="宋体"/>
                <w:kern w:val="0"/>
                <w:sz w:val="24"/>
              </w:rPr>
            </w:pPr>
          </w:p>
        </w:tc>
        <w:tc>
          <w:tcPr>
            <w:tcW w:w="1322" w:type="pct"/>
            <w:tcBorders>
              <w:top w:val="nil"/>
              <w:left w:val="nil"/>
              <w:bottom w:val="nil"/>
              <w:right w:val="nil"/>
            </w:tcBorders>
            <w:shd w:val="clear" w:color="auto" w:fill="auto"/>
            <w:vAlign w:val="bottom"/>
          </w:tcPr>
          <w:p w14:paraId="4B75FE1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14" w14:textId="77777777" w:rsidR="0099058F" w:rsidRDefault="0099058F">
            <w:pPr>
              <w:widowControl/>
              <w:jc w:val="left"/>
              <w:rPr>
                <w:rFonts w:ascii="Times New Roman" w:eastAsia="宋体" w:hAnsi="宋体" w:cs="宋体"/>
                <w:kern w:val="0"/>
                <w:sz w:val="24"/>
              </w:rPr>
            </w:pPr>
          </w:p>
        </w:tc>
        <w:tc>
          <w:tcPr>
            <w:tcW w:w="518" w:type="pct"/>
            <w:tcBorders>
              <w:top w:val="nil"/>
              <w:left w:val="nil"/>
              <w:bottom w:val="nil"/>
              <w:right w:val="nil"/>
            </w:tcBorders>
            <w:shd w:val="clear" w:color="auto" w:fill="auto"/>
            <w:vAlign w:val="bottom"/>
          </w:tcPr>
          <w:p w14:paraId="4B75FE1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17" w14:textId="77777777" w:rsidR="0099058F" w:rsidRDefault="0099058F">
            <w:pPr>
              <w:widowControl/>
              <w:jc w:val="left"/>
              <w:rPr>
                <w:rFonts w:ascii="Times New Roman" w:eastAsia="宋体" w:hAnsi="宋体" w:cs="宋体"/>
                <w:kern w:val="0"/>
                <w:sz w:val="24"/>
              </w:rPr>
            </w:pPr>
          </w:p>
        </w:tc>
        <w:tc>
          <w:tcPr>
            <w:tcW w:w="446" w:type="pct"/>
            <w:tcBorders>
              <w:top w:val="nil"/>
              <w:left w:val="nil"/>
              <w:bottom w:val="nil"/>
              <w:right w:val="nil"/>
            </w:tcBorders>
            <w:shd w:val="clear" w:color="auto" w:fill="auto"/>
            <w:vAlign w:val="bottom"/>
          </w:tcPr>
          <w:p w14:paraId="4B75FE1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A" w14:textId="77777777" w:rsidR="0099058F" w:rsidRDefault="0099058F">
            <w:pPr>
              <w:widowControl/>
              <w:jc w:val="left"/>
              <w:rPr>
                <w:rFonts w:ascii="Times New Roman" w:eastAsia="宋体" w:hAnsi="宋体" w:cs="宋体"/>
                <w:kern w:val="0"/>
                <w:sz w:val="24"/>
              </w:rPr>
            </w:pPr>
          </w:p>
        </w:tc>
        <w:tc>
          <w:tcPr>
            <w:tcW w:w="109" w:type="pct"/>
            <w:tcBorders>
              <w:top w:val="nil"/>
              <w:left w:val="nil"/>
              <w:bottom w:val="nil"/>
              <w:right w:val="nil"/>
            </w:tcBorders>
            <w:shd w:val="clear" w:color="auto" w:fill="auto"/>
            <w:vAlign w:val="bottom"/>
          </w:tcPr>
          <w:p w14:paraId="4B75FE1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1D" w14:textId="77777777" w:rsidR="0099058F" w:rsidRDefault="0099058F">
            <w:pPr>
              <w:widowControl/>
              <w:jc w:val="left"/>
              <w:rPr>
                <w:rFonts w:ascii="Times New Roman" w:eastAsia="宋体" w:hAnsi="宋体" w:cs="宋体"/>
                <w:kern w:val="0"/>
                <w:sz w:val="24"/>
              </w:rPr>
            </w:pPr>
          </w:p>
        </w:tc>
        <w:tc>
          <w:tcPr>
            <w:tcW w:w="2373" w:type="pct"/>
            <w:tcBorders>
              <w:top w:val="nil"/>
              <w:left w:val="nil"/>
              <w:bottom w:val="nil"/>
              <w:right w:val="nil"/>
            </w:tcBorders>
            <w:shd w:val="clear" w:color="auto" w:fill="auto"/>
            <w:vAlign w:val="bottom"/>
          </w:tcPr>
          <w:p w14:paraId="4B75FE1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1F" w14:textId="77777777" w:rsidR="0099058F" w:rsidRDefault="0099058F">
            <w:pPr>
              <w:widowControl/>
              <w:jc w:val="left"/>
              <w:rPr>
                <w:rFonts w:ascii="Times New Roman" w:eastAsia="宋体" w:hAnsi="宋体" w:cs="宋体"/>
                <w:kern w:val="0"/>
                <w:sz w:val="24"/>
              </w:rPr>
            </w:pPr>
          </w:p>
        </w:tc>
      </w:tr>
      <w:tr w:rsidR="0099058F" w14:paraId="4B75FE24"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tcPr>
          <w:p w14:paraId="4B75FE21"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2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23"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99058F" w14:paraId="4B75FE28"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5FE25"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(State or </w:t>
            </w:r>
            <w:r>
              <w:rPr>
                <w:rFonts w:ascii="Arial" w:eastAsia="宋体" w:hAnsi="Arial" w:cs="Arial"/>
                <w:b/>
                <w:bCs/>
                <w:color w:val="000000"/>
                <w:kern w:val="0"/>
                <w:sz w:val="16"/>
                <w:szCs w:val="16"/>
                <w:lang w:bidi="ar"/>
              </w:rPr>
              <w:t>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2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5FE27"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(I.R.S. Employer Identification No.)</w:t>
            </w:r>
          </w:p>
        </w:tc>
      </w:tr>
      <w:tr w:rsidR="0099058F" w14:paraId="4B75FE2E" w14:textId="77777777">
        <w:trPr>
          <w:trHeight w:val="1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2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2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2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2D" w14:textId="77777777" w:rsidR="0099058F" w:rsidRDefault="0099058F">
            <w:pPr>
              <w:widowControl/>
              <w:jc w:val="left"/>
              <w:rPr>
                <w:rFonts w:ascii="Times New Roman" w:eastAsia="宋体" w:hAnsi="宋体" w:cs="宋体"/>
                <w:kern w:val="0"/>
                <w:sz w:val="24"/>
              </w:rPr>
            </w:pPr>
          </w:p>
        </w:tc>
      </w:tr>
      <w:tr w:rsidR="0099058F" w14:paraId="4B75FE3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2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929 Long Bridge Drive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5FE30"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Arlington,</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5FE31"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VA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3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33"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22202</w:t>
            </w:r>
          </w:p>
        </w:tc>
      </w:tr>
      <w:tr w:rsidR="0099058F" w14:paraId="4B75FE38"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tcPr>
          <w:p w14:paraId="4B75FE35"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3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5FE37"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4B75FE39"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u w:val="single"/>
          <w:lang w:bidi="ar"/>
        </w:rPr>
        <w:t xml:space="preserve">Registrant’s telephone number, including area code (703)-414-6338 </w:t>
      </w:r>
    </w:p>
    <w:p w14:paraId="4B75FE3A" w14:textId="77777777" w:rsidR="0099058F" w:rsidRDefault="00EB255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B75FE3B"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registered pursuant to Section 12(b) of the Act:</w:t>
      </w:r>
    </w:p>
    <w:tbl>
      <w:tblPr>
        <w:tblW w:w="4361" w:type="pct"/>
        <w:jc w:val="center"/>
        <w:tblCellMar>
          <w:top w:w="15" w:type="dxa"/>
          <w:left w:w="15" w:type="dxa"/>
          <w:bottom w:w="15" w:type="dxa"/>
          <w:right w:w="15" w:type="dxa"/>
        </w:tblCellMar>
        <w:tblLook w:val="04A0" w:firstRow="1" w:lastRow="0" w:firstColumn="1" w:lastColumn="0" w:noHBand="0" w:noVBand="1"/>
      </w:tblPr>
      <w:tblGrid>
        <w:gridCol w:w="47"/>
        <w:gridCol w:w="2490"/>
        <w:gridCol w:w="36"/>
        <w:gridCol w:w="36"/>
        <w:gridCol w:w="36"/>
        <w:gridCol w:w="36"/>
        <w:gridCol w:w="40"/>
        <w:gridCol w:w="1189"/>
        <w:gridCol w:w="36"/>
        <w:gridCol w:w="36"/>
        <w:gridCol w:w="36"/>
        <w:gridCol w:w="36"/>
        <w:gridCol w:w="38"/>
        <w:gridCol w:w="3142"/>
        <w:gridCol w:w="37"/>
      </w:tblGrid>
      <w:tr w:rsidR="0099058F" w14:paraId="4B75FE4B" w14:textId="77777777">
        <w:trPr>
          <w:jc w:val="center"/>
        </w:trPr>
        <w:tc>
          <w:tcPr>
            <w:tcW w:w="50" w:type="pct"/>
            <w:tcBorders>
              <w:top w:val="nil"/>
              <w:left w:val="nil"/>
              <w:bottom w:val="nil"/>
              <w:right w:val="nil"/>
            </w:tcBorders>
            <w:shd w:val="clear" w:color="auto" w:fill="auto"/>
            <w:vAlign w:val="bottom"/>
          </w:tcPr>
          <w:p w14:paraId="4B75FE3C" w14:textId="77777777" w:rsidR="0099058F" w:rsidRDefault="0099058F">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4B75FE3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3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3F" w14:textId="77777777" w:rsidR="0099058F" w:rsidRDefault="0099058F">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B75FE4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4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42" w14:textId="77777777" w:rsidR="0099058F" w:rsidRDefault="0099058F">
            <w:pPr>
              <w:widowControl/>
              <w:jc w:val="left"/>
              <w:rPr>
                <w:rFonts w:ascii="Times New Roman" w:eastAsia="宋体" w:hAnsi="宋体" w:cs="宋体"/>
                <w:kern w:val="0"/>
                <w:sz w:val="24"/>
              </w:rPr>
            </w:pPr>
          </w:p>
        </w:tc>
        <w:tc>
          <w:tcPr>
            <w:tcW w:w="843" w:type="pct"/>
            <w:tcBorders>
              <w:top w:val="nil"/>
              <w:left w:val="nil"/>
              <w:bottom w:val="nil"/>
              <w:right w:val="nil"/>
            </w:tcBorders>
            <w:shd w:val="clear" w:color="auto" w:fill="auto"/>
            <w:vAlign w:val="bottom"/>
          </w:tcPr>
          <w:p w14:paraId="4B75FE4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4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45" w14:textId="77777777" w:rsidR="0099058F" w:rsidRDefault="0099058F">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B75FE4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4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48" w14:textId="77777777" w:rsidR="0099058F" w:rsidRDefault="0099058F">
            <w:pPr>
              <w:widowControl/>
              <w:jc w:val="left"/>
              <w:rPr>
                <w:rFonts w:ascii="Times New Roman" w:eastAsia="宋体" w:hAnsi="宋体" w:cs="宋体"/>
                <w:kern w:val="0"/>
                <w:sz w:val="24"/>
              </w:rPr>
            </w:pPr>
          </w:p>
        </w:tc>
        <w:tc>
          <w:tcPr>
            <w:tcW w:w="2182" w:type="pct"/>
            <w:tcBorders>
              <w:top w:val="nil"/>
              <w:left w:val="nil"/>
              <w:bottom w:val="nil"/>
              <w:right w:val="nil"/>
            </w:tcBorders>
            <w:shd w:val="clear" w:color="auto" w:fill="auto"/>
            <w:vAlign w:val="bottom"/>
          </w:tcPr>
          <w:p w14:paraId="4B75FE4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4A" w14:textId="77777777" w:rsidR="0099058F" w:rsidRDefault="0099058F">
            <w:pPr>
              <w:widowControl/>
              <w:jc w:val="left"/>
              <w:rPr>
                <w:rFonts w:ascii="Times New Roman" w:eastAsia="宋体" w:hAnsi="宋体" w:cs="宋体"/>
                <w:kern w:val="0"/>
                <w:sz w:val="24"/>
              </w:rPr>
            </w:pPr>
          </w:p>
        </w:tc>
      </w:tr>
      <w:tr w:rsidR="0099058F" w14:paraId="4B75FE5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4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Common Stock, $5.00 Par </w:t>
            </w:r>
            <w:r>
              <w:rPr>
                <w:rFonts w:ascii="Arial" w:eastAsia="宋体" w:hAnsi="Arial" w:cs="Arial"/>
                <w:color w:val="000000"/>
                <w:kern w:val="0"/>
                <w:sz w:val="18"/>
                <w:szCs w:val="18"/>
                <w:lang w:bidi="ar"/>
              </w:rPr>
              <w:lastRenderedPageBreak/>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4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4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5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r w:rsidR="0099058F" w14:paraId="4B75FE57"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5FE5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5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5FE5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(Trading Symbol)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5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5FE5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xml:space="preserve">(Name of </w:t>
            </w:r>
            <w:r>
              <w:rPr>
                <w:rFonts w:ascii="Arial" w:eastAsia="宋体" w:hAnsi="Arial" w:cs="Arial"/>
                <w:color w:val="000000"/>
                <w:kern w:val="0"/>
                <w:sz w:val="18"/>
                <w:szCs w:val="18"/>
                <w:lang w:bidi="ar"/>
              </w:rPr>
              <w:t>each exchange on which registered)</w:t>
            </w:r>
          </w:p>
        </w:tc>
      </w:tr>
    </w:tbl>
    <w:p w14:paraId="4B75FE58" w14:textId="77777777" w:rsidR="0099058F" w:rsidRDefault="00EB2559">
      <w:pPr>
        <w:widowControl/>
        <w:spacing w:after="20"/>
        <w:jc w:val="center"/>
        <w:rPr>
          <w:rFonts w:ascii="宋体" w:eastAsia="宋体" w:hAnsi="宋体" w:cs="宋体"/>
          <w:kern w:val="0"/>
          <w:sz w:val="24"/>
        </w:rPr>
      </w:pPr>
      <w:r>
        <w:rPr>
          <w:rFonts w:ascii="Arial" w:eastAsia="宋体" w:hAnsi="Arial" w:cs="Arial"/>
          <w:b/>
          <w:bCs/>
          <w:color w:val="000000"/>
          <w:kern w:val="0"/>
          <w:sz w:val="18"/>
          <w:szCs w:val="18"/>
          <w:lang w:bidi="ar"/>
        </w:rPr>
        <w:t>Securities registered pursuant to Section 12(g) of the Act:</w:t>
      </w:r>
      <w:r>
        <w:rPr>
          <w:rFonts w:ascii="Arial" w:eastAsia="宋体" w:hAnsi="Arial" w:cs="Arial"/>
          <w:color w:val="000000"/>
          <w:kern w:val="0"/>
          <w:sz w:val="18"/>
          <w:szCs w:val="18"/>
          <w:lang w:bidi="ar"/>
        </w:rPr>
        <w:t xml:space="preserve"> </w:t>
      </w:r>
      <w:r>
        <w:rPr>
          <w:rFonts w:ascii="Arial" w:eastAsia="宋体" w:hAnsi="Arial" w:cs="Arial"/>
          <w:b/>
          <w:bCs/>
          <w:color w:val="000000"/>
          <w:kern w:val="0"/>
          <w:sz w:val="18"/>
          <w:szCs w:val="18"/>
          <w:lang w:bidi="ar"/>
        </w:rPr>
        <w:t>None</w:t>
      </w:r>
      <w:r>
        <w:rPr>
          <w:rFonts w:ascii="Arial" w:eastAsia="宋体" w:hAnsi="Arial" w:cs="Arial"/>
          <w:color w:val="000000"/>
          <w:kern w:val="0"/>
          <w:sz w:val="18"/>
          <w:szCs w:val="18"/>
          <w:lang w:bidi="ar"/>
        </w:rPr>
        <w:t xml:space="preserve"> </w:t>
      </w:r>
    </w:p>
    <w:p w14:paraId="4B75FE59"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if the registrant is a well-known seasoned issuer, as defined in Rule 405 of the Securities Act. Yes ☐ No ☒</w:t>
      </w:r>
    </w:p>
    <w:p w14:paraId="4B75FE5A"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 xml:space="preserve">Indicate by check </w:t>
      </w:r>
      <w:r>
        <w:rPr>
          <w:rFonts w:ascii="Arial" w:eastAsia="宋体" w:hAnsi="Arial" w:cs="Arial"/>
          <w:color w:val="000000"/>
          <w:kern w:val="0"/>
          <w:sz w:val="16"/>
          <w:szCs w:val="16"/>
          <w:lang w:bidi="ar"/>
        </w:rPr>
        <w:t>mark if the registrant is not required to file reports pursuant to Section 13 or Section 15(d) of the Act. Yes ☐ No ☒</w:t>
      </w:r>
    </w:p>
    <w:p w14:paraId="4B75FE5B"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(1) has filed all reports required to be filed by Section 13 or 15(d) of the Securities Exch</w:t>
      </w:r>
      <w:r>
        <w:rPr>
          <w:rFonts w:ascii="Arial" w:eastAsia="宋体" w:hAnsi="Arial" w:cs="Arial"/>
          <w:color w:val="000000"/>
          <w:kern w:val="0"/>
          <w:sz w:val="16"/>
          <w:szCs w:val="16"/>
          <w:lang w:bidi="ar"/>
        </w:rPr>
        <w:t>ange Act of 1934 during the preceding 12 months (or for such shorter period that the registrant was required to file such reports), and (2) has been subject to such filing requirements for the past 90 days. Yes ☒ No ☐</w:t>
      </w:r>
    </w:p>
    <w:p w14:paraId="4B75FE5C"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w:t>
      </w:r>
      <w:r>
        <w:rPr>
          <w:rFonts w:ascii="Arial" w:eastAsia="宋体" w:hAnsi="Arial" w:cs="Arial"/>
          <w:color w:val="000000"/>
          <w:kern w:val="0"/>
          <w:sz w:val="16"/>
          <w:szCs w:val="16"/>
          <w:lang w:bidi="ar"/>
        </w:rPr>
        <w:t>istrant has submitted electronically every Interactive Data File required to be submitted pursuant to Rule 405 of Regulation S-T (§ 232.405 of this chapter) during the preceding 12 months (or for such shorter period that the registrant was required to subm</w:t>
      </w:r>
      <w:r>
        <w:rPr>
          <w:rFonts w:ascii="Arial" w:eastAsia="宋体" w:hAnsi="Arial" w:cs="Arial"/>
          <w:color w:val="000000"/>
          <w:kern w:val="0"/>
          <w:sz w:val="16"/>
          <w:szCs w:val="16"/>
          <w:lang w:bidi="ar"/>
        </w:rPr>
        <w:t>it such files). Yes ☒ No ☐</w:t>
      </w:r>
    </w:p>
    <w:p w14:paraId="4B75FE5D"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is a large accelerated filer, an accelerated filer, a non-accelerated filer, smaller reporting company, or an emerging growth company. See the definitions of “large accelerated filer,</w:t>
      </w:r>
      <w:r>
        <w:rPr>
          <w:rFonts w:ascii="Arial" w:eastAsia="宋体" w:hAnsi="Arial" w:cs="Arial"/>
          <w:color w:val="000000"/>
          <w:kern w:val="0"/>
          <w:sz w:val="16"/>
          <w:szCs w:val="16"/>
          <w:lang w:bidi="ar"/>
        </w:rPr>
        <w:t>” “accelerated filer,” “smaller reporting company,” and “emerging growth company” in Rule 12b-2 of the Exchange Act.</w:t>
      </w:r>
    </w:p>
    <w:tbl>
      <w:tblPr>
        <w:tblW w:w="4021" w:type="pct"/>
        <w:jc w:val="center"/>
        <w:tblCellMar>
          <w:top w:w="15" w:type="dxa"/>
          <w:left w:w="15" w:type="dxa"/>
          <w:bottom w:w="15" w:type="dxa"/>
          <w:right w:w="15" w:type="dxa"/>
        </w:tblCellMar>
        <w:tblLook w:val="04A0" w:firstRow="1" w:lastRow="0" w:firstColumn="1" w:lastColumn="0" w:noHBand="0" w:noVBand="1"/>
      </w:tblPr>
      <w:tblGrid>
        <w:gridCol w:w="46"/>
        <w:gridCol w:w="1758"/>
        <w:gridCol w:w="37"/>
        <w:gridCol w:w="53"/>
        <w:gridCol w:w="128"/>
        <w:gridCol w:w="36"/>
        <w:gridCol w:w="46"/>
        <w:gridCol w:w="2363"/>
        <w:gridCol w:w="36"/>
        <w:gridCol w:w="68"/>
        <w:gridCol w:w="1878"/>
        <w:gridCol w:w="36"/>
        <w:gridCol w:w="53"/>
        <w:gridCol w:w="130"/>
        <w:gridCol w:w="36"/>
      </w:tblGrid>
      <w:tr w:rsidR="0099058F" w14:paraId="4B75FE6D" w14:textId="77777777">
        <w:trPr>
          <w:jc w:val="center"/>
        </w:trPr>
        <w:tc>
          <w:tcPr>
            <w:tcW w:w="50" w:type="pct"/>
            <w:tcBorders>
              <w:top w:val="nil"/>
              <w:left w:val="nil"/>
              <w:bottom w:val="nil"/>
              <w:right w:val="nil"/>
            </w:tcBorders>
            <w:shd w:val="clear" w:color="auto" w:fill="auto"/>
            <w:vAlign w:val="bottom"/>
          </w:tcPr>
          <w:p w14:paraId="4B75FE5E" w14:textId="77777777" w:rsidR="0099058F" w:rsidRDefault="0099058F">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4B75FE5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6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61" w14:textId="77777777" w:rsidR="0099058F" w:rsidRDefault="0099058F">
            <w:pPr>
              <w:widowControl/>
              <w:jc w:val="left"/>
              <w:rPr>
                <w:rFonts w:ascii="Times New Roman" w:eastAsia="宋体" w:hAnsi="宋体" w:cs="宋体"/>
                <w:kern w:val="0"/>
                <w:sz w:val="24"/>
              </w:rPr>
            </w:pPr>
          </w:p>
        </w:tc>
        <w:tc>
          <w:tcPr>
            <w:tcW w:w="116" w:type="pct"/>
            <w:tcBorders>
              <w:top w:val="nil"/>
              <w:left w:val="nil"/>
              <w:bottom w:val="nil"/>
              <w:right w:val="nil"/>
            </w:tcBorders>
            <w:shd w:val="clear" w:color="auto" w:fill="auto"/>
            <w:vAlign w:val="bottom"/>
          </w:tcPr>
          <w:p w14:paraId="4B75FE6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6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64" w14:textId="77777777" w:rsidR="0099058F" w:rsidRDefault="0099058F">
            <w:pPr>
              <w:widowControl/>
              <w:jc w:val="left"/>
              <w:rPr>
                <w:rFonts w:ascii="Times New Roman" w:eastAsia="宋体" w:hAnsi="宋体" w:cs="宋体"/>
                <w:kern w:val="0"/>
                <w:sz w:val="24"/>
              </w:rPr>
            </w:pPr>
          </w:p>
        </w:tc>
        <w:tc>
          <w:tcPr>
            <w:tcW w:w="1775" w:type="pct"/>
            <w:tcBorders>
              <w:top w:val="nil"/>
              <w:left w:val="nil"/>
              <w:bottom w:val="nil"/>
              <w:right w:val="nil"/>
            </w:tcBorders>
            <w:shd w:val="clear" w:color="auto" w:fill="auto"/>
            <w:vAlign w:val="bottom"/>
          </w:tcPr>
          <w:p w14:paraId="4B75FE6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6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67" w14:textId="77777777" w:rsidR="0099058F" w:rsidRDefault="0099058F">
            <w:pPr>
              <w:widowControl/>
              <w:jc w:val="left"/>
              <w:rPr>
                <w:rFonts w:ascii="Times New Roman" w:eastAsia="宋体" w:hAnsi="宋体" w:cs="宋体"/>
                <w:kern w:val="0"/>
                <w:sz w:val="24"/>
              </w:rPr>
            </w:pPr>
          </w:p>
        </w:tc>
        <w:tc>
          <w:tcPr>
            <w:tcW w:w="1387" w:type="pct"/>
            <w:tcBorders>
              <w:top w:val="nil"/>
              <w:left w:val="nil"/>
              <w:bottom w:val="nil"/>
              <w:right w:val="nil"/>
            </w:tcBorders>
            <w:shd w:val="clear" w:color="auto" w:fill="auto"/>
            <w:vAlign w:val="bottom"/>
          </w:tcPr>
          <w:p w14:paraId="4B75FE6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6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6A" w14:textId="77777777" w:rsidR="0099058F" w:rsidRDefault="0099058F">
            <w:pPr>
              <w:widowControl/>
              <w:jc w:val="left"/>
              <w:rPr>
                <w:rFonts w:ascii="Times New Roman" w:eastAsia="宋体" w:hAnsi="宋体" w:cs="宋体"/>
                <w:kern w:val="0"/>
                <w:sz w:val="24"/>
              </w:rPr>
            </w:pPr>
          </w:p>
        </w:tc>
        <w:tc>
          <w:tcPr>
            <w:tcW w:w="116" w:type="pct"/>
            <w:tcBorders>
              <w:top w:val="nil"/>
              <w:left w:val="nil"/>
              <w:bottom w:val="nil"/>
              <w:right w:val="nil"/>
            </w:tcBorders>
            <w:shd w:val="clear" w:color="auto" w:fill="auto"/>
            <w:vAlign w:val="bottom"/>
          </w:tcPr>
          <w:p w14:paraId="4B75FE6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6C" w14:textId="77777777" w:rsidR="0099058F" w:rsidRDefault="0099058F">
            <w:pPr>
              <w:widowControl/>
              <w:jc w:val="left"/>
              <w:rPr>
                <w:rFonts w:ascii="Times New Roman" w:eastAsia="宋体" w:hAnsi="宋体" w:cs="宋体"/>
                <w:kern w:val="0"/>
                <w:sz w:val="24"/>
              </w:rPr>
            </w:pPr>
          </w:p>
        </w:tc>
      </w:tr>
      <w:tr w:rsidR="0099058F" w14:paraId="4B75FE7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6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6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Accelerated filer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99058F" w14:paraId="4B75FE7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5"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99058F" w14:paraId="4B75FE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7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7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7E" w14:textId="77777777" w:rsidR="0099058F" w:rsidRDefault="0099058F">
            <w:pPr>
              <w:widowControl/>
              <w:jc w:val="left"/>
              <w:rPr>
                <w:rFonts w:ascii="Times New Roman" w:eastAsia="宋体" w:hAnsi="宋体" w:cs="宋体"/>
                <w:kern w:val="0"/>
                <w:sz w:val="24"/>
              </w:rPr>
            </w:pPr>
          </w:p>
        </w:tc>
      </w:tr>
    </w:tbl>
    <w:p w14:paraId="4B75FE80"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 xml:space="preserve">If an emerging growth company, indicate by check mark if the registrant has elected not to use the extended transition period for complying with any new or revised financial accounting </w:t>
      </w:r>
      <w:r>
        <w:rPr>
          <w:rFonts w:ascii="Arial" w:eastAsia="宋体" w:hAnsi="Arial" w:cs="Arial"/>
          <w:color w:val="000000"/>
          <w:kern w:val="0"/>
          <w:sz w:val="16"/>
          <w:szCs w:val="16"/>
          <w:lang w:bidi="ar"/>
        </w:rPr>
        <w:t>standards provided pursuant to Section 13(a) of the Exchange Act. ☐</w:t>
      </w:r>
    </w:p>
    <w:p w14:paraId="4B75FE81"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has filed a report on and attestation to its management’s assessment of the effectiveness of its internal control over financial reporting und</w:t>
      </w:r>
      <w:r>
        <w:rPr>
          <w:rFonts w:ascii="Arial" w:eastAsia="宋体" w:hAnsi="Arial" w:cs="Arial"/>
          <w:color w:val="000000"/>
          <w:kern w:val="0"/>
          <w:sz w:val="16"/>
          <w:szCs w:val="16"/>
          <w:lang w:bidi="ar"/>
        </w:rPr>
        <w:t xml:space="preserve">er Section 404(b) of the Sarbanes-Oxley Act (15 U.S.C. 7262(b)) by the registered public accounting firm that prepared or issued its audit report. </w:t>
      </w:r>
      <w:r>
        <w:rPr>
          <w:rFonts w:ascii="Arial Unicode MS" w:eastAsia="Arial Unicode MS" w:hAnsi="Arial Unicode MS" w:cs="Arial Unicode MS" w:hint="eastAsia"/>
          <w:color w:val="000000"/>
          <w:kern w:val="0"/>
          <w:sz w:val="20"/>
          <w:szCs w:val="20"/>
          <w:lang w:bidi="ar"/>
        </w:rPr>
        <w:t>☒</w:t>
      </w:r>
    </w:p>
    <w:p w14:paraId="4B75FE82"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 xml:space="preserve">Indicate by check mark whether the registrant is a shell company (as defined in Rule 12b-2 of the Exchange </w:t>
      </w:r>
      <w:r>
        <w:rPr>
          <w:rFonts w:ascii="Arial" w:eastAsia="宋体" w:hAnsi="Arial" w:cs="Arial"/>
          <w:color w:val="000000"/>
          <w:kern w:val="0"/>
          <w:sz w:val="16"/>
          <w:szCs w:val="16"/>
          <w:lang w:bidi="ar"/>
        </w:rPr>
        <w:t>Act). Yes ☐ No ☒</w:t>
      </w:r>
    </w:p>
    <w:p w14:paraId="4B75FE83"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5FE84"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As of June 30, 2022, there were 593,451,225 common shares outstanding held by nonaffiliates of the registrant, and the aggregate market value of the common shares (based upon the closing price of these shares on the New York Stock Exchan</w:t>
      </w:r>
      <w:r>
        <w:rPr>
          <w:rFonts w:ascii="Arial" w:eastAsia="宋体" w:hAnsi="Arial" w:cs="Arial"/>
          <w:color w:val="000000"/>
          <w:kern w:val="0"/>
          <w:sz w:val="16"/>
          <w:szCs w:val="16"/>
          <w:lang w:bidi="ar"/>
        </w:rPr>
        <w:t>ge) was approximately $81.1 billion.</w:t>
      </w:r>
    </w:p>
    <w:p w14:paraId="4B75FE85"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5FE86"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The number of shares of the registrant’s common stock outstanding as of January 20, 2023 was 598,239,585.</w:t>
      </w:r>
    </w:p>
    <w:p w14:paraId="4B75FE87"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5FE88"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DOCUMENTS INCORPORATED BY REFERENCE</w:t>
      </w:r>
    </w:p>
    <w:p w14:paraId="4B75FE89" w14:textId="77777777" w:rsidR="0099058F" w:rsidRDefault="00EB2559">
      <w:pPr>
        <w:widowControl/>
        <w:rPr>
          <w:rFonts w:ascii="宋体" w:eastAsia="宋体" w:hAnsi="宋体" w:cs="宋体"/>
          <w:kern w:val="0"/>
          <w:sz w:val="24"/>
        </w:rPr>
      </w:pPr>
      <w:r>
        <w:rPr>
          <w:rFonts w:ascii="Arial" w:eastAsia="宋体" w:hAnsi="Arial" w:cs="Arial"/>
          <w:color w:val="000000"/>
          <w:kern w:val="0"/>
          <w:sz w:val="16"/>
          <w:szCs w:val="16"/>
          <w:lang w:bidi="ar"/>
        </w:rPr>
        <w:t xml:space="preserve">Part III incorporates information by reference to the </w:t>
      </w:r>
      <w:r>
        <w:rPr>
          <w:rFonts w:ascii="Arial" w:eastAsia="宋体" w:hAnsi="Arial" w:cs="Arial"/>
          <w:color w:val="000000"/>
          <w:kern w:val="0"/>
          <w:sz w:val="16"/>
          <w:szCs w:val="16"/>
          <w:lang w:bidi="ar"/>
        </w:rPr>
        <w:t>registrant’s definitive proxy statement, to be filed with the Securities and Exchange Commission within 120 days after the close of the fiscal year ended December 31, 2022.</w:t>
      </w:r>
    </w:p>
    <w:p w14:paraId="4B75FE8A"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5FE8B" w14:textId="77777777" w:rsidR="0099058F" w:rsidRDefault="00EB2559">
      <w:pPr>
        <w:widowControl/>
        <w:jc w:val="center"/>
      </w:pPr>
      <w:r>
        <w:rPr>
          <w:rFonts w:ascii="宋体" w:eastAsia="宋体" w:hAnsi="宋体" w:cs="宋体"/>
          <w:kern w:val="0"/>
          <w:sz w:val="24"/>
        </w:rPr>
        <w:pict w14:anchorId="4B763BF6">
          <v:rect id="_x0000_i1025" style="width:6in;height:1.5pt" o:hralign="center" o:hrstd="t" o:hr="t" fillcolor="#a0a0a0" stroked="f"/>
        </w:pict>
      </w:r>
    </w:p>
    <w:p w14:paraId="4B75FE8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E8D" w14:textId="77777777" w:rsidR="0099058F" w:rsidRDefault="00EB2559">
      <w:pPr>
        <w:widowControl/>
        <w:spacing w:after="10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w:t>
      </w:r>
    </w:p>
    <w:p w14:paraId="4B75FE8E" w14:textId="77777777" w:rsidR="0099058F" w:rsidRDefault="00EB2559">
      <w:pPr>
        <w:widowControl/>
        <w:spacing w:after="100"/>
        <w:jc w:val="center"/>
        <w:rPr>
          <w:rFonts w:ascii="宋体" w:eastAsia="宋体" w:hAnsi="宋体" w:cs="宋体"/>
          <w:kern w:val="0"/>
          <w:sz w:val="24"/>
        </w:rPr>
      </w:pPr>
      <w:r>
        <w:rPr>
          <w:rFonts w:ascii="Arial" w:eastAsia="宋体" w:hAnsi="Arial" w:cs="Arial"/>
          <w:b/>
          <w:bCs/>
          <w:color w:val="000000"/>
          <w:kern w:val="0"/>
          <w:sz w:val="20"/>
          <w:szCs w:val="20"/>
          <w:lang w:bidi="ar"/>
        </w:rPr>
        <w:t>Index to the Form 10-K</w:t>
      </w:r>
    </w:p>
    <w:p w14:paraId="4B75FE8F" w14:textId="77777777" w:rsidR="0099058F" w:rsidRDefault="00EB2559">
      <w:pPr>
        <w:widowControl/>
        <w:spacing w:after="12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Fiscal Year Ended December 31, 2022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25"/>
        <w:gridCol w:w="36"/>
        <w:gridCol w:w="69"/>
        <w:gridCol w:w="750"/>
        <w:gridCol w:w="36"/>
        <w:gridCol w:w="69"/>
        <w:gridCol w:w="5821"/>
        <w:gridCol w:w="39"/>
        <w:gridCol w:w="69"/>
        <w:gridCol w:w="617"/>
        <w:gridCol w:w="36"/>
      </w:tblGrid>
      <w:tr w:rsidR="0099058F" w14:paraId="4B75FE9C" w14:textId="77777777">
        <w:tc>
          <w:tcPr>
            <w:tcW w:w="50" w:type="pct"/>
            <w:tcBorders>
              <w:top w:val="nil"/>
              <w:left w:val="nil"/>
              <w:bottom w:val="nil"/>
              <w:right w:val="nil"/>
            </w:tcBorders>
            <w:shd w:val="clear" w:color="auto" w:fill="auto"/>
            <w:vAlign w:val="bottom"/>
          </w:tcPr>
          <w:p w14:paraId="4B75FE90" w14:textId="77777777" w:rsidR="0099058F" w:rsidRDefault="0099058F">
            <w:pPr>
              <w:widowControl/>
              <w:jc w:val="left"/>
              <w:rPr>
                <w:rFonts w:ascii="Times New Roman" w:eastAsia="宋体" w:hAnsi="宋体" w:cs="宋体"/>
                <w:kern w:val="0"/>
                <w:sz w:val="24"/>
              </w:rPr>
            </w:pPr>
          </w:p>
        </w:tc>
        <w:tc>
          <w:tcPr>
            <w:tcW w:w="443" w:type="pct"/>
            <w:tcBorders>
              <w:top w:val="nil"/>
              <w:left w:val="nil"/>
              <w:bottom w:val="nil"/>
              <w:right w:val="nil"/>
            </w:tcBorders>
            <w:shd w:val="clear" w:color="auto" w:fill="auto"/>
            <w:vAlign w:val="bottom"/>
          </w:tcPr>
          <w:p w14:paraId="4B75FE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9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93" w14:textId="77777777" w:rsidR="0099058F" w:rsidRDefault="0099058F">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B75FE9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9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96" w14:textId="77777777" w:rsidR="0099058F" w:rsidRDefault="0099058F">
            <w:pPr>
              <w:widowControl/>
              <w:jc w:val="left"/>
              <w:rPr>
                <w:rFonts w:ascii="Times New Roman" w:eastAsia="宋体" w:hAnsi="宋体" w:cs="宋体"/>
                <w:kern w:val="0"/>
                <w:sz w:val="24"/>
              </w:rPr>
            </w:pPr>
          </w:p>
        </w:tc>
        <w:tc>
          <w:tcPr>
            <w:tcW w:w="3497" w:type="pct"/>
            <w:tcBorders>
              <w:top w:val="nil"/>
              <w:left w:val="nil"/>
              <w:bottom w:val="nil"/>
              <w:right w:val="nil"/>
            </w:tcBorders>
            <w:shd w:val="clear" w:color="auto" w:fill="auto"/>
            <w:vAlign w:val="bottom"/>
          </w:tcPr>
          <w:p w14:paraId="4B75FE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9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E99" w14:textId="77777777" w:rsidR="0099058F" w:rsidRDefault="0099058F">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B75FE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E9B" w14:textId="77777777" w:rsidR="0099058F" w:rsidRDefault="0099058F">
            <w:pPr>
              <w:widowControl/>
              <w:jc w:val="left"/>
              <w:rPr>
                <w:rFonts w:ascii="Times New Roman" w:eastAsia="宋体" w:hAnsi="宋体" w:cs="宋体"/>
                <w:kern w:val="0"/>
                <w:sz w:val="24"/>
              </w:rPr>
            </w:pPr>
          </w:p>
        </w:tc>
      </w:tr>
      <w:tr w:rsidR="0099058F" w14:paraId="4B75FE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9D" w14:textId="77777777" w:rsidR="0099058F" w:rsidRDefault="00EB2559">
            <w:pPr>
              <w:widowControl/>
              <w:jc w:val="left"/>
              <w:textAlignment w:val="bottom"/>
              <w:rPr>
                <w:rFonts w:ascii="宋体" w:eastAsia="宋体" w:hAnsi="宋体" w:cs="宋体"/>
                <w:kern w:val="0"/>
                <w:sz w:val="24"/>
              </w:rPr>
            </w:pPr>
            <w:hyperlink w:anchor="idab206f38af44c3b82edc252bb6a3941_13" w:history="1">
              <w:r>
                <w:rPr>
                  <w:rStyle w:val="a4"/>
                  <w:rFonts w:ascii="Arial" w:eastAsia="宋体" w:hAnsi="Arial" w:cs="Arial"/>
                  <w:b/>
                  <w:bCs/>
                  <w:kern w:val="0"/>
                  <w:sz w:val="20"/>
                  <w:szCs w:val="20"/>
                </w:rPr>
                <w:t>PART I</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9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9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Page</w:t>
            </w:r>
          </w:p>
        </w:tc>
      </w:tr>
      <w:tr w:rsidR="0099058F" w14:paraId="4B75FEA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A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3" w14:textId="77777777" w:rsidR="0099058F" w:rsidRDefault="00EB2559">
            <w:pPr>
              <w:widowControl/>
              <w:jc w:val="left"/>
              <w:textAlignment w:val="bottom"/>
              <w:rPr>
                <w:rFonts w:ascii="宋体" w:eastAsia="宋体" w:hAnsi="宋体" w:cs="宋体"/>
                <w:kern w:val="0"/>
                <w:sz w:val="24"/>
              </w:rPr>
            </w:pPr>
            <w:hyperlink w:anchor="idab206f38af44c3b82edc252bb6a3941_16" w:history="1">
              <w:r>
                <w:rPr>
                  <w:rStyle w:val="a4"/>
                  <w:rFonts w:ascii="Arial" w:eastAsia="宋体" w:hAnsi="Arial" w:cs="Arial"/>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4" w14:textId="77777777" w:rsidR="0099058F" w:rsidRDefault="00EB2559">
            <w:pPr>
              <w:widowControl/>
              <w:jc w:val="left"/>
              <w:textAlignment w:val="bottom"/>
              <w:rPr>
                <w:rFonts w:ascii="宋体" w:eastAsia="宋体" w:hAnsi="宋体" w:cs="宋体"/>
                <w:kern w:val="0"/>
                <w:sz w:val="24"/>
              </w:rPr>
            </w:pPr>
            <w:hyperlink w:anchor="idab206f38af44c3b82edc252bb6a3941_16" w:history="1">
              <w:r>
                <w:rPr>
                  <w:rStyle w:val="a4"/>
                  <w:rFonts w:ascii="Arial" w:eastAsia="宋体" w:hAnsi="Arial" w:cs="Arial"/>
                  <w:kern w:val="0"/>
                  <w:sz w:val="20"/>
                  <w:szCs w:val="20"/>
                </w:rPr>
                <w:t>Business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5" w14:textId="77777777" w:rsidR="0099058F" w:rsidRDefault="00EB2559">
            <w:pPr>
              <w:widowControl/>
              <w:jc w:val="right"/>
              <w:textAlignment w:val="bottom"/>
              <w:rPr>
                <w:rFonts w:ascii="宋体" w:eastAsia="宋体" w:hAnsi="宋体" w:cs="宋体"/>
                <w:kern w:val="0"/>
                <w:sz w:val="24"/>
              </w:rPr>
            </w:pPr>
            <w:hyperlink w:anchor="idab206f38af44c3b82edc252bb6a3941_16" w:history="1">
              <w:r>
                <w:rPr>
                  <w:rStyle w:val="a4"/>
                  <w:rFonts w:ascii="Arial" w:eastAsia="宋体" w:hAnsi="Arial" w:cs="Arial"/>
                  <w:kern w:val="0"/>
                  <w:sz w:val="20"/>
                  <w:szCs w:val="20"/>
                </w:rPr>
                <w:t>1</w:t>
              </w:r>
            </w:hyperlink>
          </w:p>
        </w:tc>
      </w:tr>
      <w:tr w:rsidR="0099058F" w14:paraId="4B75FE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A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8" w14:textId="77777777" w:rsidR="0099058F" w:rsidRDefault="00EB2559">
            <w:pPr>
              <w:widowControl/>
              <w:jc w:val="left"/>
              <w:textAlignment w:val="bottom"/>
              <w:rPr>
                <w:rFonts w:ascii="宋体" w:eastAsia="宋体" w:hAnsi="宋体" w:cs="宋体"/>
                <w:kern w:val="0"/>
                <w:sz w:val="24"/>
              </w:rPr>
            </w:pPr>
            <w:hyperlink w:anchor="idab206f38af44c3b82edc252bb6a3941_61" w:history="1">
              <w:r>
                <w:rPr>
                  <w:rStyle w:val="a4"/>
                  <w:rFonts w:ascii="Arial" w:eastAsia="宋体" w:hAnsi="Arial" w:cs="Arial"/>
                  <w:kern w:val="0"/>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9" w14:textId="77777777" w:rsidR="0099058F" w:rsidRDefault="00EB2559">
            <w:pPr>
              <w:widowControl/>
              <w:jc w:val="left"/>
              <w:textAlignment w:val="bottom"/>
              <w:rPr>
                <w:rFonts w:ascii="宋体" w:eastAsia="宋体" w:hAnsi="宋体" w:cs="宋体"/>
                <w:kern w:val="0"/>
                <w:sz w:val="24"/>
              </w:rPr>
            </w:pPr>
            <w:hyperlink w:anchor="idab206f38af44c3b82edc252bb6a3941_61" w:history="1">
              <w:r>
                <w:rPr>
                  <w:rStyle w:val="a4"/>
                  <w:rFonts w:ascii="Arial" w:eastAsia="宋体" w:hAnsi="Arial" w:cs="Arial"/>
                  <w:kern w:val="0"/>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A" w14:textId="77777777" w:rsidR="0099058F" w:rsidRDefault="00EB2559">
            <w:pPr>
              <w:widowControl/>
              <w:jc w:val="right"/>
              <w:textAlignment w:val="bottom"/>
              <w:rPr>
                <w:rFonts w:ascii="宋体" w:eastAsia="宋体" w:hAnsi="宋体" w:cs="宋体"/>
                <w:kern w:val="0"/>
                <w:sz w:val="24"/>
              </w:rPr>
            </w:pPr>
            <w:hyperlink w:anchor="idab206f38af44c3b82edc252bb6a3941_61" w:history="1">
              <w:r>
                <w:rPr>
                  <w:rStyle w:val="a4"/>
                  <w:rFonts w:ascii="Arial" w:eastAsia="宋体" w:hAnsi="Arial" w:cs="Arial"/>
                  <w:kern w:val="0"/>
                  <w:sz w:val="20"/>
                  <w:szCs w:val="20"/>
                </w:rPr>
                <w:t>6</w:t>
              </w:r>
            </w:hyperlink>
          </w:p>
        </w:tc>
      </w:tr>
      <w:tr w:rsidR="0099058F" w14:paraId="4B75FE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A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D" w14:textId="77777777" w:rsidR="0099058F" w:rsidRDefault="00EB2559">
            <w:pPr>
              <w:widowControl/>
              <w:jc w:val="left"/>
              <w:textAlignment w:val="bottom"/>
              <w:rPr>
                <w:rFonts w:ascii="宋体" w:eastAsia="宋体" w:hAnsi="宋体" w:cs="宋体"/>
                <w:kern w:val="0"/>
                <w:sz w:val="24"/>
              </w:rPr>
            </w:pPr>
            <w:hyperlink w:anchor="idab206f38af44c3b82edc252bb6a3941_64" w:history="1">
              <w:r>
                <w:rPr>
                  <w:rStyle w:val="a4"/>
                  <w:rFonts w:ascii="Arial" w:eastAsia="宋体" w:hAnsi="Arial" w:cs="Arial"/>
                  <w:kern w:val="0"/>
                  <w:sz w:val="20"/>
                  <w:szCs w:val="20"/>
                </w:rPr>
                <w:t>Item  1B.</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E" w14:textId="77777777" w:rsidR="0099058F" w:rsidRDefault="00EB2559">
            <w:pPr>
              <w:widowControl/>
              <w:jc w:val="left"/>
              <w:textAlignment w:val="bottom"/>
              <w:rPr>
                <w:rFonts w:ascii="宋体" w:eastAsia="宋体" w:hAnsi="宋体" w:cs="宋体"/>
                <w:kern w:val="0"/>
                <w:sz w:val="24"/>
              </w:rPr>
            </w:pPr>
            <w:hyperlink w:anchor="idab206f38af44c3b82edc252bb6a3941_64" w:history="1">
              <w:r>
                <w:rPr>
                  <w:rStyle w:val="a4"/>
                  <w:rFonts w:ascii="Arial" w:eastAsia="宋体" w:hAnsi="Arial" w:cs="Arial"/>
                  <w:kern w:val="0"/>
                  <w:sz w:val="20"/>
                  <w:szCs w:val="20"/>
                </w:rPr>
                <w:t>Unresolved Staff Comments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AF" w14:textId="77777777" w:rsidR="0099058F" w:rsidRDefault="00EB2559">
            <w:pPr>
              <w:widowControl/>
              <w:jc w:val="right"/>
              <w:textAlignment w:val="bottom"/>
              <w:rPr>
                <w:rFonts w:ascii="宋体" w:eastAsia="宋体" w:hAnsi="宋体" w:cs="宋体"/>
                <w:kern w:val="0"/>
                <w:sz w:val="24"/>
              </w:rPr>
            </w:pPr>
            <w:hyperlink w:anchor="idab206f38af44c3b82edc252bb6a3941_64" w:history="1">
              <w:r>
                <w:rPr>
                  <w:rStyle w:val="a4"/>
                  <w:rFonts w:ascii="Arial" w:eastAsia="宋体" w:hAnsi="Arial" w:cs="Arial"/>
                  <w:kern w:val="0"/>
                  <w:sz w:val="20"/>
                  <w:szCs w:val="20"/>
                </w:rPr>
                <w:t>17</w:t>
              </w:r>
            </w:hyperlink>
          </w:p>
        </w:tc>
      </w:tr>
      <w:tr w:rsidR="0099058F" w14:paraId="4B75FEB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2" w14:textId="77777777" w:rsidR="0099058F" w:rsidRDefault="00EB2559">
            <w:pPr>
              <w:widowControl/>
              <w:jc w:val="left"/>
              <w:textAlignment w:val="bottom"/>
              <w:rPr>
                <w:rFonts w:ascii="宋体" w:eastAsia="宋体" w:hAnsi="宋体" w:cs="宋体"/>
                <w:kern w:val="0"/>
                <w:sz w:val="24"/>
              </w:rPr>
            </w:pPr>
            <w:hyperlink w:anchor="idab206f38af44c3b82edc252bb6a3941_67" w:history="1">
              <w:r>
                <w:rPr>
                  <w:rStyle w:val="a4"/>
                  <w:rFonts w:ascii="Arial" w:eastAsia="宋体" w:hAnsi="Arial" w:cs="Arial"/>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3" w14:textId="77777777" w:rsidR="0099058F" w:rsidRDefault="00EB2559">
            <w:pPr>
              <w:widowControl/>
              <w:jc w:val="left"/>
              <w:textAlignment w:val="bottom"/>
              <w:rPr>
                <w:rFonts w:ascii="宋体" w:eastAsia="宋体" w:hAnsi="宋体" w:cs="宋体"/>
                <w:kern w:val="0"/>
                <w:sz w:val="24"/>
              </w:rPr>
            </w:pPr>
            <w:hyperlink w:anchor="idab206f38af44c3b82edc252bb6a3941_67" w:history="1">
              <w:r>
                <w:rPr>
                  <w:rStyle w:val="a4"/>
                  <w:rFonts w:ascii="Arial" w:eastAsia="宋体" w:hAnsi="Arial" w:cs="Arial"/>
                  <w:kern w:val="0"/>
                  <w:sz w:val="20"/>
                  <w:szCs w:val="20"/>
                </w:rPr>
                <w:t>Properties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4" w14:textId="77777777" w:rsidR="0099058F" w:rsidRDefault="00EB2559">
            <w:pPr>
              <w:widowControl/>
              <w:jc w:val="right"/>
              <w:textAlignment w:val="bottom"/>
              <w:rPr>
                <w:rFonts w:ascii="宋体" w:eastAsia="宋体" w:hAnsi="宋体" w:cs="宋体"/>
                <w:kern w:val="0"/>
                <w:sz w:val="24"/>
              </w:rPr>
            </w:pPr>
            <w:hyperlink w:anchor="idab206f38af44c3b82edc252bb6a3941_67" w:history="1">
              <w:r>
                <w:rPr>
                  <w:rStyle w:val="a4"/>
                  <w:rFonts w:ascii="Arial" w:eastAsia="宋体" w:hAnsi="Arial" w:cs="Arial"/>
                  <w:kern w:val="0"/>
                  <w:sz w:val="20"/>
                  <w:szCs w:val="20"/>
                </w:rPr>
                <w:t>18</w:t>
              </w:r>
            </w:hyperlink>
          </w:p>
        </w:tc>
      </w:tr>
      <w:tr w:rsidR="0099058F" w14:paraId="4B75FEB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B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7" w14:textId="77777777" w:rsidR="0099058F" w:rsidRDefault="00EB2559">
            <w:pPr>
              <w:widowControl/>
              <w:jc w:val="left"/>
              <w:textAlignment w:val="bottom"/>
              <w:rPr>
                <w:rFonts w:ascii="宋体" w:eastAsia="宋体" w:hAnsi="宋体" w:cs="宋体"/>
                <w:kern w:val="0"/>
                <w:sz w:val="24"/>
              </w:rPr>
            </w:pPr>
            <w:hyperlink w:anchor="idab206f38af44c3b82edc252bb6a3941_70" w:history="1">
              <w:r>
                <w:rPr>
                  <w:rStyle w:val="a4"/>
                  <w:rFonts w:ascii="Arial" w:eastAsia="宋体" w:hAnsi="Arial" w:cs="Arial"/>
                  <w:kern w:val="0"/>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8" w14:textId="77777777" w:rsidR="0099058F" w:rsidRDefault="00EB2559">
            <w:pPr>
              <w:widowControl/>
              <w:jc w:val="left"/>
              <w:textAlignment w:val="bottom"/>
              <w:rPr>
                <w:rFonts w:ascii="宋体" w:eastAsia="宋体" w:hAnsi="宋体" w:cs="宋体"/>
                <w:kern w:val="0"/>
                <w:sz w:val="24"/>
              </w:rPr>
            </w:pPr>
            <w:hyperlink w:anchor="idab206f38af44c3b82edc252bb6a3941_70" w:history="1">
              <w:r>
                <w:rPr>
                  <w:rStyle w:val="a4"/>
                  <w:rFonts w:ascii="Arial" w:eastAsia="宋体" w:hAnsi="Arial" w:cs="Arial"/>
                  <w:kern w:val="0"/>
                  <w:sz w:val="20"/>
                  <w:szCs w:val="20"/>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9" w14:textId="77777777" w:rsidR="0099058F" w:rsidRDefault="00EB2559">
            <w:pPr>
              <w:widowControl/>
              <w:jc w:val="right"/>
              <w:textAlignment w:val="bottom"/>
              <w:rPr>
                <w:rFonts w:ascii="宋体" w:eastAsia="宋体" w:hAnsi="宋体" w:cs="宋体"/>
                <w:kern w:val="0"/>
                <w:sz w:val="24"/>
              </w:rPr>
            </w:pPr>
            <w:hyperlink w:anchor="idab206f38af44c3b82edc252bb6a3941_70" w:history="1">
              <w:r>
                <w:rPr>
                  <w:rStyle w:val="a4"/>
                  <w:rFonts w:ascii="Arial" w:eastAsia="宋体" w:hAnsi="Arial" w:cs="Arial"/>
                  <w:kern w:val="0"/>
                  <w:sz w:val="20"/>
                  <w:szCs w:val="20"/>
                </w:rPr>
                <w:t>18</w:t>
              </w:r>
            </w:hyperlink>
          </w:p>
        </w:tc>
      </w:tr>
      <w:tr w:rsidR="0099058F" w14:paraId="4B75FEB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B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C" w14:textId="77777777" w:rsidR="0099058F" w:rsidRDefault="00EB2559">
            <w:pPr>
              <w:widowControl/>
              <w:jc w:val="left"/>
              <w:textAlignment w:val="bottom"/>
              <w:rPr>
                <w:rFonts w:ascii="宋体" w:eastAsia="宋体" w:hAnsi="宋体" w:cs="宋体"/>
                <w:kern w:val="0"/>
                <w:sz w:val="24"/>
              </w:rPr>
            </w:pPr>
            <w:hyperlink w:anchor="idab206f38af44c3b82edc252bb6a3941_73" w:history="1">
              <w:r>
                <w:rPr>
                  <w:rStyle w:val="a4"/>
                  <w:rFonts w:ascii="Arial" w:eastAsia="宋体" w:hAnsi="Arial" w:cs="Arial"/>
                  <w:kern w:val="0"/>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D" w14:textId="77777777" w:rsidR="0099058F" w:rsidRDefault="00EB2559">
            <w:pPr>
              <w:widowControl/>
              <w:jc w:val="left"/>
              <w:textAlignment w:val="bottom"/>
              <w:rPr>
                <w:rFonts w:ascii="宋体" w:eastAsia="宋体" w:hAnsi="宋体" w:cs="宋体"/>
                <w:kern w:val="0"/>
                <w:sz w:val="24"/>
              </w:rPr>
            </w:pPr>
            <w:hyperlink w:anchor="idab206f38af44c3b82edc252bb6a3941_73" w:history="1">
              <w:r>
                <w:rPr>
                  <w:rStyle w:val="a4"/>
                  <w:rFonts w:ascii="Arial" w:eastAsia="宋体" w:hAnsi="Arial" w:cs="Arial"/>
                  <w:kern w:val="0"/>
                  <w:sz w:val="20"/>
                  <w:szCs w:val="20"/>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BE" w14:textId="77777777" w:rsidR="0099058F" w:rsidRDefault="00EB2559">
            <w:pPr>
              <w:widowControl/>
              <w:jc w:val="right"/>
              <w:textAlignment w:val="bottom"/>
              <w:rPr>
                <w:rFonts w:ascii="宋体" w:eastAsia="宋体" w:hAnsi="宋体" w:cs="宋体"/>
                <w:kern w:val="0"/>
                <w:sz w:val="24"/>
              </w:rPr>
            </w:pPr>
            <w:hyperlink w:anchor="idab206f38af44c3b82edc252bb6a3941_73" w:history="1">
              <w:r>
                <w:rPr>
                  <w:rStyle w:val="a4"/>
                  <w:rFonts w:ascii="Arial" w:eastAsia="宋体" w:hAnsi="Arial" w:cs="Arial"/>
                  <w:kern w:val="0"/>
                  <w:sz w:val="20"/>
                  <w:szCs w:val="20"/>
                </w:rPr>
                <w:t>18</w:t>
              </w:r>
            </w:hyperlink>
          </w:p>
        </w:tc>
      </w:tr>
      <w:tr w:rsidR="0099058F" w14:paraId="4B75FEC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C0" w14:textId="77777777" w:rsidR="0099058F" w:rsidRDefault="00EB2559">
            <w:pPr>
              <w:widowControl/>
              <w:jc w:val="left"/>
              <w:textAlignment w:val="top"/>
              <w:rPr>
                <w:rFonts w:ascii="宋体" w:eastAsia="宋体" w:hAnsi="宋体" w:cs="宋体"/>
                <w:kern w:val="0"/>
                <w:sz w:val="24"/>
              </w:rPr>
            </w:pPr>
            <w:hyperlink w:anchor="idab206f38af44c3b82edc252bb6a3941_76" w:history="1">
              <w:r>
                <w:rPr>
                  <w:rStyle w:val="a4"/>
                  <w:rFonts w:ascii="Arial" w:eastAsia="宋体" w:hAnsi="Arial" w:cs="Arial"/>
                  <w:b/>
                  <w:bCs/>
                  <w:kern w:val="0"/>
                  <w:sz w:val="20"/>
                  <w:szCs w:val="20"/>
                </w:rPr>
                <w:t>PART II</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3" w14:textId="77777777" w:rsidR="0099058F" w:rsidRDefault="0099058F">
            <w:pPr>
              <w:widowControl/>
              <w:jc w:val="left"/>
              <w:rPr>
                <w:rFonts w:ascii="Times New Roman" w:eastAsia="宋体" w:hAnsi="宋体" w:cs="宋体"/>
                <w:kern w:val="0"/>
                <w:sz w:val="24"/>
              </w:rPr>
            </w:pPr>
          </w:p>
        </w:tc>
      </w:tr>
      <w:tr w:rsidR="0099058F" w14:paraId="4B75FEC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C6" w14:textId="77777777" w:rsidR="0099058F" w:rsidRDefault="00EB2559">
            <w:pPr>
              <w:widowControl/>
              <w:jc w:val="left"/>
              <w:textAlignment w:val="top"/>
              <w:rPr>
                <w:rFonts w:ascii="宋体" w:eastAsia="宋体" w:hAnsi="宋体" w:cs="宋体"/>
                <w:kern w:val="0"/>
                <w:sz w:val="24"/>
              </w:rPr>
            </w:pPr>
            <w:hyperlink w:anchor="idab206f38af44c3b82edc252bb6a3941_79" w:history="1">
              <w:r>
                <w:rPr>
                  <w:rStyle w:val="a4"/>
                  <w:rFonts w:ascii="Arial" w:eastAsia="宋体" w:hAnsi="Arial" w:cs="Arial"/>
                  <w:kern w:val="0"/>
                  <w:sz w:val="20"/>
                  <w:szCs w:val="20"/>
                </w:rPr>
                <w:t>Item  5.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C7" w14:textId="77777777" w:rsidR="0099058F" w:rsidRDefault="00EB2559">
            <w:pPr>
              <w:widowControl/>
              <w:jc w:val="left"/>
              <w:textAlignment w:val="bottom"/>
              <w:rPr>
                <w:rFonts w:ascii="宋体" w:eastAsia="宋体" w:hAnsi="宋体" w:cs="宋体"/>
                <w:kern w:val="0"/>
                <w:sz w:val="24"/>
              </w:rPr>
            </w:pPr>
            <w:hyperlink w:anchor="idab206f38af44c3b82edc252bb6a3941_79" w:history="1">
              <w:r>
                <w:rPr>
                  <w:rStyle w:val="a4"/>
                  <w:rFonts w:ascii="Arial" w:eastAsia="宋体" w:hAnsi="Arial" w:cs="Arial"/>
                  <w:kern w:val="0"/>
                  <w:sz w:val="20"/>
                  <w:szCs w:val="20"/>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C8" w14:textId="77777777" w:rsidR="0099058F" w:rsidRDefault="00EB2559">
            <w:pPr>
              <w:widowControl/>
              <w:jc w:val="right"/>
              <w:textAlignment w:val="bottom"/>
              <w:rPr>
                <w:rFonts w:ascii="宋体" w:eastAsia="宋体" w:hAnsi="宋体" w:cs="宋体"/>
                <w:kern w:val="0"/>
                <w:sz w:val="24"/>
              </w:rPr>
            </w:pPr>
            <w:hyperlink w:anchor="idab206f38af44c3b82edc252bb6a3941_79" w:history="1">
              <w:r>
                <w:rPr>
                  <w:rStyle w:val="a4"/>
                  <w:rFonts w:ascii="Arial" w:eastAsia="宋体" w:hAnsi="Arial" w:cs="Arial"/>
                  <w:kern w:val="0"/>
                  <w:sz w:val="20"/>
                  <w:szCs w:val="20"/>
                </w:rPr>
                <w:t>19</w:t>
              </w:r>
            </w:hyperlink>
          </w:p>
        </w:tc>
      </w:tr>
      <w:tr w:rsidR="0099058F" w14:paraId="4B75FEC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CB" w14:textId="77777777" w:rsidR="0099058F" w:rsidRDefault="00EB2559">
            <w:pPr>
              <w:widowControl/>
              <w:jc w:val="left"/>
              <w:textAlignment w:val="top"/>
              <w:rPr>
                <w:rFonts w:ascii="宋体" w:eastAsia="宋体" w:hAnsi="宋体" w:cs="宋体"/>
                <w:kern w:val="0"/>
                <w:sz w:val="24"/>
              </w:rPr>
            </w:pPr>
            <w:hyperlink w:anchor="idab206f38af44c3b82edc252bb6a3941_82" w:history="1">
              <w:r>
                <w:rPr>
                  <w:rStyle w:val="a4"/>
                  <w:rFonts w:ascii="Arial" w:eastAsia="宋体" w:hAnsi="Arial" w:cs="Arial"/>
                  <w:kern w:val="0"/>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C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FF"/>
                <w:kern w:val="0"/>
                <w:sz w:val="20"/>
                <w:szCs w:val="20"/>
                <w:u w:val="single"/>
                <w:lang w:bidi="ar"/>
              </w:rPr>
              <w:t>[</w:t>
            </w:r>
            <w:hyperlink w:anchor="idab206f38af44c3b82edc252bb6a3941_82" w:history="1">
              <w:r>
                <w:rPr>
                  <w:rStyle w:val="a4"/>
                  <w:rFonts w:ascii="Arial" w:eastAsia="宋体" w:hAnsi="Arial" w:cs="Arial"/>
                  <w:kern w:val="0"/>
                  <w:sz w:val="20"/>
                  <w:szCs w:val="20"/>
                </w:rPr>
                <w:t>Reserved</w:t>
              </w:r>
            </w:hyperlink>
            <w:r>
              <w:rPr>
                <w:rFonts w:ascii="Arial" w:eastAsia="宋体" w:hAnsi="Arial" w:cs="Arial"/>
                <w:color w:val="0000FF"/>
                <w:kern w:val="0"/>
                <w:sz w:val="20"/>
                <w:szCs w:val="20"/>
                <w:u w:val="single"/>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CD" w14:textId="77777777" w:rsidR="0099058F" w:rsidRDefault="00EB2559">
            <w:pPr>
              <w:widowControl/>
              <w:jc w:val="right"/>
              <w:textAlignment w:val="bottom"/>
              <w:rPr>
                <w:rFonts w:ascii="宋体" w:eastAsia="宋体" w:hAnsi="宋体" w:cs="宋体"/>
                <w:kern w:val="0"/>
                <w:sz w:val="24"/>
              </w:rPr>
            </w:pPr>
            <w:hyperlink w:anchor="idab206f38af44c3b82edc252bb6a3941_82" w:history="1">
              <w:r>
                <w:rPr>
                  <w:rStyle w:val="a4"/>
                  <w:rFonts w:ascii="Arial" w:eastAsia="宋体" w:hAnsi="Arial" w:cs="Arial"/>
                  <w:kern w:val="0"/>
                  <w:sz w:val="20"/>
                  <w:szCs w:val="20"/>
                </w:rPr>
                <w:t>19</w:t>
              </w:r>
            </w:hyperlink>
          </w:p>
        </w:tc>
      </w:tr>
      <w:tr w:rsidR="0099058F" w14:paraId="4B75FED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C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D0" w14:textId="77777777" w:rsidR="0099058F" w:rsidRDefault="00EB2559">
            <w:pPr>
              <w:widowControl/>
              <w:jc w:val="left"/>
              <w:textAlignment w:val="top"/>
              <w:rPr>
                <w:rFonts w:ascii="宋体" w:eastAsia="宋体" w:hAnsi="宋体" w:cs="宋体"/>
                <w:kern w:val="0"/>
                <w:sz w:val="24"/>
              </w:rPr>
            </w:pPr>
            <w:hyperlink w:anchor="idab206f38af44c3b82edc252bb6a3941_85" w:history="1">
              <w:r>
                <w:rPr>
                  <w:rStyle w:val="a4"/>
                  <w:rFonts w:ascii="Arial" w:eastAsia="宋体" w:hAnsi="Arial" w:cs="Arial"/>
                  <w:kern w:val="0"/>
                  <w:sz w:val="20"/>
                  <w:szCs w:val="20"/>
                </w:rPr>
                <w:t>Item  7.</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1" w14:textId="77777777" w:rsidR="0099058F" w:rsidRDefault="00EB2559">
            <w:pPr>
              <w:widowControl/>
              <w:jc w:val="left"/>
              <w:textAlignment w:val="bottom"/>
              <w:rPr>
                <w:rFonts w:ascii="宋体" w:eastAsia="宋体" w:hAnsi="宋体" w:cs="宋体"/>
                <w:kern w:val="0"/>
                <w:sz w:val="24"/>
              </w:rPr>
            </w:pPr>
            <w:hyperlink w:anchor="idab206f38af44c3b82edc252bb6a3941_85" w:history="1">
              <w:r>
                <w:rPr>
                  <w:rStyle w:val="a4"/>
                  <w:rFonts w:ascii="Arial" w:eastAsia="宋体" w:hAnsi="Arial" w:cs="Arial"/>
                  <w:kern w:val="0"/>
                  <w:sz w:val="20"/>
                  <w:szCs w:val="20"/>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2" w14:textId="77777777" w:rsidR="0099058F" w:rsidRDefault="00EB2559">
            <w:pPr>
              <w:widowControl/>
              <w:jc w:val="right"/>
              <w:textAlignment w:val="bottom"/>
              <w:rPr>
                <w:rFonts w:ascii="宋体" w:eastAsia="宋体" w:hAnsi="宋体" w:cs="宋体"/>
                <w:kern w:val="0"/>
                <w:sz w:val="24"/>
              </w:rPr>
            </w:pPr>
            <w:hyperlink w:anchor="idab206f38af44c3b82edc252bb6a3941_85" w:history="1">
              <w:r>
                <w:rPr>
                  <w:rStyle w:val="a4"/>
                  <w:rFonts w:ascii="Arial" w:eastAsia="宋体" w:hAnsi="Arial" w:cs="Arial"/>
                  <w:kern w:val="0"/>
                  <w:sz w:val="20"/>
                  <w:szCs w:val="20"/>
                </w:rPr>
                <w:t>20</w:t>
              </w:r>
            </w:hyperlink>
          </w:p>
        </w:tc>
      </w:tr>
      <w:tr w:rsidR="0099058F" w14:paraId="4B75FED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D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D5" w14:textId="77777777" w:rsidR="0099058F" w:rsidRDefault="00EB2559">
            <w:pPr>
              <w:widowControl/>
              <w:jc w:val="left"/>
              <w:textAlignment w:val="top"/>
              <w:rPr>
                <w:rFonts w:ascii="宋体" w:eastAsia="宋体" w:hAnsi="宋体" w:cs="宋体"/>
                <w:kern w:val="0"/>
                <w:sz w:val="24"/>
              </w:rPr>
            </w:pPr>
            <w:hyperlink w:anchor="idab206f38af44c3b82edc252bb6a3941_181" w:history="1">
              <w:r>
                <w:rPr>
                  <w:rStyle w:val="a4"/>
                  <w:rFonts w:ascii="Arial" w:eastAsia="宋体" w:hAnsi="Arial" w:cs="Arial"/>
                  <w:kern w:val="0"/>
                  <w:sz w:val="20"/>
                  <w:szCs w:val="20"/>
                </w:rPr>
                <w:t>Item  7A.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6" w14:textId="77777777" w:rsidR="0099058F" w:rsidRDefault="00EB2559">
            <w:pPr>
              <w:widowControl/>
              <w:jc w:val="left"/>
              <w:textAlignment w:val="bottom"/>
              <w:rPr>
                <w:rFonts w:ascii="宋体" w:eastAsia="宋体" w:hAnsi="宋体" w:cs="宋体"/>
                <w:kern w:val="0"/>
                <w:sz w:val="24"/>
              </w:rPr>
            </w:pPr>
            <w:hyperlink w:anchor="idab206f38af44c3b82edc252bb6a3941_181" w:history="1">
              <w:r>
                <w:rPr>
                  <w:rStyle w:val="a4"/>
                  <w:rFonts w:ascii="Arial" w:eastAsia="宋体" w:hAnsi="Arial" w:cs="Arial"/>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7" w14:textId="77777777" w:rsidR="0099058F" w:rsidRDefault="00EB2559">
            <w:pPr>
              <w:widowControl/>
              <w:jc w:val="right"/>
              <w:textAlignment w:val="bottom"/>
              <w:rPr>
                <w:rFonts w:ascii="宋体" w:eastAsia="宋体" w:hAnsi="宋体" w:cs="宋体"/>
                <w:kern w:val="0"/>
                <w:sz w:val="24"/>
              </w:rPr>
            </w:pPr>
            <w:hyperlink w:anchor="idab206f38af44c3b82edc252bb6a3941_181" w:history="1">
              <w:r>
                <w:rPr>
                  <w:rStyle w:val="a4"/>
                  <w:rFonts w:ascii="Arial" w:eastAsia="宋体" w:hAnsi="Arial" w:cs="Arial"/>
                  <w:kern w:val="0"/>
                  <w:sz w:val="20"/>
                  <w:szCs w:val="20"/>
                </w:rPr>
                <w:t>51</w:t>
              </w:r>
            </w:hyperlink>
          </w:p>
        </w:tc>
      </w:tr>
      <w:tr w:rsidR="0099058F" w14:paraId="4B75FED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DA" w14:textId="77777777" w:rsidR="0099058F" w:rsidRDefault="00EB2559">
            <w:pPr>
              <w:widowControl/>
              <w:jc w:val="left"/>
              <w:textAlignment w:val="top"/>
              <w:rPr>
                <w:rFonts w:ascii="宋体" w:eastAsia="宋体" w:hAnsi="宋体" w:cs="宋体"/>
                <w:kern w:val="0"/>
                <w:sz w:val="24"/>
              </w:rPr>
            </w:pPr>
            <w:hyperlink w:anchor="idab206f38af44c3b82edc252bb6a3941_184" w:history="1">
              <w:r>
                <w:rPr>
                  <w:rStyle w:val="a4"/>
                  <w:rFonts w:ascii="Arial" w:eastAsia="宋体" w:hAnsi="Arial" w:cs="Arial"/>
                  <w:kern w:val="0"/>
                  <w:sz w:val="20"/>
                  <w:szCs w:val="20"/>
                </w:rPr>
                <w:t>Item  8.</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B" w14:textId="77777777" w:rsidR="0099058F" w:rsidRDefault="00EB2559">
            <w:pPr>
              <w:widowControl/>
              <w:jc w:val="left"/>
              <w:textAlignment w:val="bottom"/>
              <w:rPr>
                <w:rFonts w:ascii="宋体" w:eastAsia="宋体" w:hAnsi="宋体" w:cs="宋体"/>
                <w:kern w:val="0"/>
                <w:sz w:val="24"/>
              </w:rPr>
            </w:pPr>
            <w:hyperlink w:anchor="idab206f38af44c3b82edc252bb6a3941_184" w:history="1">
              <w:r>
                <w:rPr>
                  <w:rStyle w:val="a4"/>
                  <w:rFonts w:ascii="Arial" w:eastAsia="宋体" w:hAnsi="Arial" w:cs="Arial"/>
                  <w:kern w:val="0"/>
                  <w:sz w:val="20"/>
                  <w:szCs w:val="20"/>
                </w:rPr>
                <w:t>Financial Statements and Supplementary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DC" w14:textId="77777777" w:rsidR="0099058F" w:rsidRDefault="00EB2559">
            <w:pPr>
              <w:widowControl/>
              <w:jc w:val="right"/>
              <w:textAlignment w:val="bottom"/>
              <w:rPr>
                <w:rFonts w:ascii="宋体" w:eastAsia="宋体" w:hAnsi="宋体" w:cs="宋体"/>
                <w:kern w:val="0"/>
                <w:sz w:val="24"/>
              </w:rPr>
            </w:pPr>
            <w:hyperlink w:anchor="idab206f38af44c3b82edc252bb6a3941_184" w:history="1">
              <w:r>
                <w:rPr>
                  <w:rStyle w:val="a4"/>
                  <w:rFonts w:ascii="Arial" w:eastAsia="宋体" w:hAnsi="Arial" w:cs="Arial"/>
                  <w:kern w:val="0"/>
                  <w:sz w:val="20"/>
                  <w:szCs w:val="20"/>
                </w:rPr>
                <w:t>52</w:t>
              </w:r>
            </w:hyperlink>
          </w:p>
        </w:tc>
      </w:tr>
      <w:tr w:rsidR="0099058F" w14:paraId="4B75FEE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DF" w14:textId="77777777" w:rsidR="0099058F" w:rsidRDefault="00EB2559">
            <w:pPr>
              <w:widowControl/>
              <w:jc w:val="left"/>
              <w:textAlignment w:val="top"/>
              <w:rPr>
                <w:rFonts w:ascii="宋体" w:eastAsia="宋体" w:hAnsi="宋体" w:cs="宋体"/>
                <w:kern w:val="0"/>
                <w:sz w:val="24"/>
              </w:rPr>
            </w:pPr>
            <w:hyperlink w:anchor="idab206f38af44c3b82edc252bb6a3941_307" w:history="1">
              <w:r>
                <w:rPr>
                  <w:rStyle w:val="a4"/>
                  <w:rFonts w:ascii="Arial" w:eastAsia="宋体" w:hAnsi="Arial" w:cs="Arial"/>
                  <w:kern w:val="0"/>
                  <w:sz w:val="20"/>
                  <w:szCs w:val="20"/>
                </w:rPr>
                <w:t>Item  9.</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0" w14:textId="77777777" w:rsidR="0099058F" w:rsidRDefault="00EB2559">
            <w:pPr>
              <w:widowControl/>
              <w:jc w:val="left"/>
              <w:textAlignment w:val="bottom"/>
              <w:rPr>
                <w:rFonts w:ascii="宋体" w:eastAsia="宋体" w:hAnsi="宋体" w:cs="宋体"/>
                <w:kern w:val="0"/>
                <w:sz w:val="24"/>
              </w:rPr>
            </w:pPr>
            <w:hyperlink w:anchor="idab206f38af44c3b82edc252bb6a3941_307" w:history="1">
              <w:r>
                <w:rPr>
                  <w:rStyle w:val="a4"/>
                  <w:rFonts w:ascii="Arial" w:eastAsia="宋体" w:hAnsi="Arial" w:cs="Arial"/>
                  <w:kern w:val="0"/>
                  <w:sz w:val="20"/>
                  <w:szCs w:val="20"/>
                </w:rPr>
                <w:t>Changes in and Disagreements With Accountants on Accounting and F</w:t>
              </w:r>
              <w:r>
                <w:rPr>
                  <w:rStyle w:val="a4"/>
                  <w:rFonts w:ascii="Arial" w:eastAsia="宋体" w:hAnsi="Arial" w:cs="Arial"/>
                  <w:kern w:val="0"/>
                  <w:sz w:val="20"/>
                  <w:szCs w:val="20"/>
                </w:rPr>
                <w:t>inancial Disclosure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1" w14:textId="77777777" w:rsidR="0099058F" w:rsidRDefault="00EB2559">
            <w:pPr>
              <w:widowControl/>
              <w:jc w:val="right"/>
              <w:textAlignment w:val="bottom"/>
              <w:rPr>
                <w:rFonts w:ascii="宋体" w:eastAsia="宋体" w:hAnsi="宋体" w:cs="宋体"/>
                <w:kern w:val="0"/>
                <w:sz w:val="24"/>
              </w:rPr>
            </w:pPr>
            <w:hyperlink w:anchor="idab206f38af44c3b82edc252bb6a3941_307" w:history="1">
              <w:r>
                <w:rPr>
                  <w:rStyle w:val="a4"/>
                  <w:rFonts w:ascii="Arial" w:eastAsia="宋体" w:hAnsi="Arial" w:cs="Arial"/>
                  <w:kern w:val="0"/>
                  <w:sz w:val="20"/>
                  <w:szCs w:val="20"/>
                </w:rPr>
                <w:t>122</w:t>
              </w:r>
            </w:hyperlink>
          </w:p>
        </w:tc>
      </w:tr>
      <w:tr w:rsidR="0099058F" w14:paraId="4B75FE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E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E4" w14:textId="77777777" w:rsidR="0099058F" w:rsidRDefault="00EB2559">
            <w:pPr>
              <w:widowControl/>
              <w:jc w:val="left"/>
              <w:textAlignment w:val="top"/>
              <w:rPr>
                <w:rFonts w:ascii="宋体" w:eastAsia="宋体" w:hAnsi="宋体" w:cs="宋体"/>
                <w:kern w:val="0"/>
                <w:sz w:val="24"/>
              </w:rPr>
            </w:pPr>
            <w:hyperlink w:anchor="idab206f38af44c3b82edc252bb6a3941_310" w:history="1">
              <w:r>
                <w:rPr>
                  <w:rStyle w:val="a4"/>
                  <w:rFonts w:ascii="Arial" w:eastAsia="宋体" w:hAnsi="Arial" w:cs="Arial"/>
                  <w:kern w:val="0"/>
                  <w:sz w:val="20"/>
                  <w:szCs w:val="20"/>
                </w:rPr>
                <w:t>Item  9A.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5" w14:textId="77777777" w:rsidR="0099058F" w:rsidRDefault="00EB2559">
            <w:pPr>
              <w:widowControl/>
              <w:jc w:val="left"/>
              <w:textAlignment w:val="bottom"/>
              <w:rPr>
                <w:rFonts w:ascii="宋体" w:eastAsia="宋体" w:hAnsi="宋体" w:cs="宋体"/>
                <w:kern w:val="0"/>
                <w:sz w:val="24"/>
              </w:rPr>
            </w:pPr>
            <w:hyperlink w:anchor="idab206f38af44c3b82edc252bb6a3941_310" w:history="1">
              <w:r>
                <w:rPr>
                  <w:rStyle w:val="a4"/>
                  <w:rFonts w:ascii="Arial" w:eastAsia="宋体" w:hAnsi="Arial" w:cs="Arial"/>
                  <w:kern w:val="0"/>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6" w14:textId="77777777" w:rsidR="0099058F" w:rsidRDefault="00EB2559">
            <w:pPr>
              <w:widowControl/>
              <w:jc w:val="right"/>
              <w:textAlignment w:val="bottom"/>
              <w:rPr>
                <w:rFonts w:ascii="宋体" w:eastAsia="宋体" w:hAnsi="宋体" w:cs="宋体"/>
                <w:kern w:val="0"/>
                <w:sz w:val="24"/>
              </w:rPr>
            </w:pPr>
            <w:hyperlink w:anchor="idab206f38af44c3b82edc252bb6a3941_310" w:history="1">
              <w:r>
                <w:rPr>
                  <w:rStyle w:val="a4"/>
                  <w:rFonts w:ascii="Arial" w:eastAsia="宋体" w:hAnsi="Arial" w:cs="Arial"/>
                  <w:kern w:val="0"/>
                  <w:sz w:val="20"/>
                  <w:szCs w:val="20"/>
                </w:rPr>
                <w:t>122</w:t>
              </w:r>
            </w:hyperlink>
          </w:p>
        </w:tc>
      </w:tr>
      <w:tr w:rsidR="0099058F" w14:paraId="4B75FEE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E9" w14:textId="77777777" w:rsidR="0099058F" w:rsidRDefault="00EB2559">
            <w:pPr>
              <w:widowControl/>
              <w:jc w:val="left"/>
              <w:textAlignment w:val="top"/>
              <w:rPr>
                <w:rFonts w:ascii="宋体" w:eastAsia="宋体" w:hAnsi="宋体" w:cs="宋体"/>
                <w:kern w:val="0"/>
                <w:sz w:val="24"/>
              </w:rPr>
            </w:pPr>
            <w:hyperlink w:anchor="idab206f38af44c3b82edc252bb6a3941_313" w:history="1">
              <w:r>
                <w:rPr>
                  <w:rStyle w:val="a4"/>
                  <w:rFonts w:ascii="Arial" w:eastAsia="宋体" w:hAnsi="Arial" w:cs="Arial"/>
                  <w:kern w:val="0"/>
                  <w:sz w:val="20"/>
                  <w:szCs w:val="20"/>
                </w:rPr>
                <w:t>Item  9B.</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A" w14:textId="77777777" w:rsidR="0099058F" w:rsidRDefault="00EB2559">
            <w:pPr>
              <w:widowControl/>
              <w:jc w:val="left"/>
              <w:textAlignment w:val="bottom"/>
              <w:rPr>
                <w:rFonts w:ascii="宋体" w:eastAsia="宋体" w:hAnsi="宋体" w:cs="宋体"/>
                <w:kern w:val="0"/>
                <w:sz w:val="24"/>
              </w:rPr>
            </w:pPr>
            <w:hyperlink w:anchor="idab206f38af44c3b82edc252bb6a3941_313" w:history="1">
              <w:r>
                <w:rPr>
                  <w:rStyle w:val="a4"/>
                  <w:rFonts w:ascii="Arial" w:eastAsia="宋体" w:hAnsi="Arial" w:cs="Arial"/>
                  <w:kern w:val="0"/>
                  <w:sz w:val="20"/>
                  <w:szCs w:val="20"/>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B" w14:textId="77777777" w:rsidR="0099058F" w:rsidRDefault="00EB2559">
            <w:pPr>
              <w:widowControl/>
              <w:jc w:val="right"/>
              <w:textAlignment w:val="bottom"/>
              <w:rPr>
                <w:rFonts w:ascii="宋体" w:eastAsia="宋体" w:hAnsi="宋体" w:cs="宋体"/>
                <w:kern w:val="0"/>
                <w:sz w:val="24"/>
              </w:rPr>
            </w:pPr>
            <w:hyperlink w:anchor="idab206f38af44c3b82edc252bb6a3941_313" w:history="1">
              <w:r>
                <w:rPr>
                  <w:rStyle w:val="a4"/>
                  <w:rFonts w:ascii="Arial" w:eastAsia="宋体" w:hAnsi="Arial" w:cs="Arial"/>
                  <w:kern w:val="0"/>
                  <w:sz w:val="20"/>
                  <w:szCs w:val="20"/>
                </w:rPr>
                <w:t>122</w:t>
              </w:r>
            </w:hyperlink>
          </w:p>
        </w:tc>
      </w:tr>
      <w:tr w:rsidR="0099058F" w14:paraId="4B75FEF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E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E" w14:textId="77777777" w:rsidR="0099058F" w:rsidRDefault="00EB2559">
            <w:pPr>
              <w:widowControl/>
              <w:jc w:val="left"/>
              <w:textAlignment w:val="bottom"/>
              <w:rPr>
                <w:rFonts w:ascii="宋体" w:eastAsia="宋体" w:hAnsi="宋体" w:cs="宋体"/>
                <w:kern w:val="0"/>
                <w:sz w:val="24"/>
              </w:rPr>
            </w:pPr>
            <w:hyperlink w:anchor="idab206f38af44c3b82edc252bb6a3941_1649267444474" w:history="1">
              <w:r>
                <w:rPr>
                  <w:rStyle w:val="a4"/>
                  <w:rFonts w:ascii="Arial" w:eastAsia="宋体" w:hAnsi="Arial" w:cs="Arial"/>
                  <w:kern w:val="0"/>
                  <w:sz w:val="20"/>
                  <w:szCs w:val="20"/>
                </w:rPr>
                <w:t>Item 9C.</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EF" w14:textId="77777777" w:rsidR="0099058F" w:rsidRDefault="00EB2559">
            <w:pPr>
              <w:widowControl/>
              <w:jc w:val="left"/>
              <w:textAlignment w:val="bottom"/>
              <w:rPr>
                <w:rFonts w:ascii="宋体" w:eastAsia="宋体" w:hAnsi="宋体" w:cs="宋体"/>
                <w:kern w:val="0"/>
                <w:sz w:val="24"/>
              </w:rPr>
            </w:pPr>
            <w:hyperlink w:anchor="idab206f38af44c3b82edc252bb6a3941_1649267444474" w:history="1">
              <w:r>
                <w:rPr>
                  <w:rStyle w:val="a4"/>
                  <w:rFonts w:ascii="Arial" w:eastAsia="宋体" w:hAnsi="Arial" w:cs="Arial"/>
                  <w:kern w:val="0"/>
                  <w:sz w:val="20"/>
                  <w:szCs w:val="20"/>
                </w:rPr>
                <w:t>Disclosure Regarding Foreign Jurisdictions that Prevent Inspections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F0" w14:textId="77777777" w:rsidR="0099058F" w:rsidRDefault="00EB2559">
            <w:pPr>
              <w:widowControl/>
              <w:jc w:val="right"/>
              <w:textAlignment w:val="bottom"/>
              <w:rPr>
                <w:rFonts w:ascii="宋体" w:eastAsia="宋体" w:hAnsi="宋体" w:cs="宋体"/>
                <w:kern w:val="0"/>
                <w:sz w:val="24"/>
              </w:rPr>
            </w:pPr>
            <w:hyperlink w:anchor="idab206f38af44c3b82edc252bb6a3941_1649267444474" w:history="1">
              <w:r>
                <w:rPr>
                  <w:rStyle w:val="a4"/>
                  <w:rFonts w:ascii="Arial" w:eastAsia="宋体" w:hAnsi="Arial" w:cs="Arial"/>
                  <w:kern w:val="0"/>
                  <w:sz w:val="20"/>
                  <w:szCs w:val="20"/>
                </w:rPr>
                <w:t>122</w:t>
              </w:r>
            </w:hyperlink>
          </w:p>
        </w:tc>
      </w:tr>
      <w:tr w:rsidR="0099058F" w14:paraId="4B75FEF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F2" w14:textId="77777777" w:rsidR="0099058F" w:rsidRDefault="00EB2559">
            <w:pPr>
              <w:widowControl/>
              <w:jc w:val="left"/>
              <w:textAlignment w:val="top"/>
              <w:rPr>
                <w:rFonts w:ascii="宋体" w:eastAsia="宋体" w:hAnsi="宋体" w:cs="宋体"/>
                <w:kern w:val="0"/>
                <w:sz w:val="24"/>
              </w:rPr>
            </w:pPr>
            <w:hyperlink w:anchor="idab206f38af44c3b82edc252bb6a3941_316" w:history="1">
              <w:r>
                <w:rPr>
                  <w:rStyle w:val="a4"/>
                  <w:rFonts w:ascii="Arial" w:eastAsia="宋体" w:hAnsi="Arial" w:cs="Arial"/>
                  <w:b/>
                  <w:bCs/>
                  <w:kern w:val="0"/>
                  <w:sz w:val="20"/>
                  <w:szCs w:val="20"/>
                </w:rPr>
                <w:t>PART III</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F5" w14:textId="77777777" w:rsidR="0099058F" w:rsidRDefault="0099058F">
            <w:pPr>
              <w:widowControl/>
              <w:jc w:val="left"/>
              <w:rPr>
                <w:rFonts w:ascii="Times New Roman" w:eastAsia="宋体" w:hAnsi="宋体" w:cs="宋体"/>
                <w:kern w:val="0"/>
                <w:sz w:val="24"/>
              </w:rPr>
            </w:pPr>
          </w:p>
        </w:tc>
      </w:tr>
      <w:tr w:rsidR="0099058F" w14:paraId="4B75FEF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F8" w14:textId="77777777" w:rsidR="0099058F" w:rsidRDefault="00EB2559">
            <w:pPr>
              <w:widowControl/>
              <w:jc w:val="left"/>
              <w:textAlignment w:val="top"/>
              <w:rPr>
                <w:rFonts w:ascii="宋体" w:eastAsia="宋体" w:hAnsi="宋体" w:cs="宋体"/>
                <w:kern w:val="0"/>
                <w:sz w:val="24"/>
              </w:rPr>
            </w:pPr>
            <w:hyperlink w:anchor="idab206f38af44c3b82edc252bb6a3941_319" w:history="1">
              <w:r>
                <w:rPr>
                  <w:rStyle w:val="a4"/>
                  <w:rFonts w:ascii="Arial" w:eastAsia="宋体" w:hAnsi="Arial" w:cs="Arial"/>
                  <w:kern w:val="0"/>
                  <w:sz w:val="20"/>
                  <w:szCs w:val="20"/>
                </w:rPr>
                <w:t>Item  10.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F9" w14:textId="77777777" w:rsidR="0099058F" w:rsidRDefault="00EB2559">
            <w:pPr>
              <w:widowControl/>
              <w:jc w:val="left"/>
              <w:textAlignment w:val="bottom"/>
              <w:rPr>
                <w:rFonts w:ascii="宋体" w:eastAsia="宋体" w:hAnsi="宋体" w:cs="宋体"/>
                <w:kern w:val="0"/>
                <w:sz w:val="24"/>
              </w:rPr>
            </w:pPr>
            <w:hyperlink w:anchor="idab206f38af44c3b82edc252bb6a3941_319" w:history="1">
              <w:r>
                <w:rPr>
                  <w:rStyle w:val="a4"/>
                  <w:rFonts w:ascii="Arial" w:eastAsia="宋体" w:hAnsi="Arial" w:cs="Arial"/>
                  <w:kern w:val="0"/>
                  <w:sz w:val="20"/>
                  <w:szCs w:val="20"/>
                </w:rPr>
                <w:t>Directors, Executive Officers and Corporate Governance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FA" w14:textId="77777777" w:rsidR="0099058F" w:rsidRDefault="00EB2559">
            <w:pPr>
              <w:widowControl/>
              <w:jc w:val="right"/>
              <w:textAlignment w:val="bottom"/>
              <w:rPr>
                <w:rFonts w:ascii="宋体" w:eastAsia="宋体" w:hAnsi="宋体" w:cs="宋体"/>
                <w:kern w:val="0"/>
                <w:sz w:val="24"/>
              </w:rPr>
            </w:pPr>
            <w:hyperlink w:anchor="idab206f38af44c3b82edc252bb6a3941_319" w:history="1">
              <w:r>
                <w:rPr>
                  <w:rStyle w:val="a4"/>
                  <w:rFonts w:ascii="Arial" w:eastAsia="宋体" w:hAnsi="Arial" w:cs="Arial"/>
                  <w:kern w:val="0"/>
                  <w:sz w:val="20"/>
                  <w:szCs w:val="20"/>
                </w:rPr>
                <w:t>123</w:t>
              </w:r>
            </w:hyperlink>
          </w:p>
        </w:tc>
      </w:tr>
      <w:tr w:rsidR="0099058F" w14:paraId="4B75FF0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EF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EFD" w14:textId="77777777" w:rsidR="0099058F" w:rsidRDefault="00EB2559">
            <w:pPr>
              <w:widowControl/>
              <w:jc w:val="left"/>
              <w:textAlignment w:val="top"/>
              <w:rPr>
                <w:rFonts w:ascii="宋体" w:eastAsia="宋体" w:hAnsi="宋体" w:cs="宋体"/>
                <w:kern w:val="0"/>
                <w:sz w:val="24"/>
              </w:rPr>
            </w:pPr>
            <w:hyperlink w:anchor="idab206f38af44c3b82edc252bb6a3941_322" w:history="1">
              <w:r>
                <w:rPr>
                  <w:rStyle w:val="a4"/>
                  <w:rFonts w:ascii="Arial" w:eastAsia="宋体" w:hAnsi="Arial" w:cs="Arial"/>
                  <w:kern w:val="0"/>
                  <w:sz w:val="20"/>
                  <w:szCs w:val="20"/>
                </w:rPr>
                <w:t>Item  11.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FE" w14:textId="77777777" w:rsidR="0099058F" w:rsidRDefault="00EB2559">
            <w:pPr>
              <w:widowControl/>
              <w:jc w:val="left"/>
              <w:textAlignment w:val="bottom"/>
              <w:rPr>
                <w:rFonts w:ascii="宋体" w:eastAsia="宋体" w:hAnsi="宋体" w:cs="宋体"/>
                <w:kern w:val="0"/>
                <w:sz w:val="24"/>
              </w:rPr>
            </w:pPr>
            <w:hyperlink w:anchor="idab206f38af44c3b82edc252bb6a3941_322" w:history="1">
              <w:r>
                <w:rPr>
                  <w:rStyle w:val="a4"/>
                  <w:rFonts w:ascii="Arial" w:eastAsia="宋体" w:hAnsi="Arial" w:cs="Arial"/>
                  <w:kern w:val="0"/>
                  <w:sz w:val="20"/>
                  <w:szCs w:val="20"/>
                </w:rPr>
                <w:t>Executive Compensation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EFF" w14:textId="77777777" w:rsidR="0099058F" w:rsidRDefault="00EB2559">
            <w:pPr>
              <w:widowControl/>
              <w:jc w:val="right"/>
              <w:textAlignment w:val="bottom"/>
              <w:rPr>
                <w:rFonts w:ascii="宋体" w:eastAsia="宋体" w:hAnsi="宋体" w:cs="宋体"/>
                <w:kern w:val="0"/>
                <w:sz w:val="24"/>
              </w:rPr>
            </w:pPr>
            <w:hyperlink w:anchor="idab206f38af44c3b82edc252bb6a3941_322" w:history="1">
              <w:r>
                <w:rPr>
                  <w:rStyle w:val="a4"/>
                  <w:rFonts w:ascii="Arial" w:eastAsia="宋体" w:hAnsi="Arial" w:cs="Arial"/>
                  <w:kern w:val="0"/>
                  <w:sz w:val="20"/>
                  <w:szCs w:val="20"/>
                </w:rPr>
                <w:t>126</w:t>
              </w:r>
            </w:hyperlink>
          </w:p>
        </w:tc>
      </w:tr>
      <w:tr w:rsidR="0099058F" w14:paraId="4B75FF0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02" w14:textId="77777777" w:rsidR="0099058F" w:rsidRDefault="00EB2559">
            <w:pPr>
              <w:widowControl/>
              <w:jc w:val="left"/>
              <w:textAlignment w:val="top"/>
              <w:rPr>
                <w:rFonts w:ascii="宋体" w:eastAsia="宋体" w:hAnsi="宋体" w:cs="宋体"/>
                <w:kern w:val="0"/>
                <w:sz w:val="24"/>
              </w:rPr>
            </w:pPr>
            <w:hyperlink w:anchor="idab206f38af44c3b82edc252bb6a3941_325" w:history="1">
              <w:r>
                <w:rPr>
                  <w:rStyle w:val="a4"/>
                  <w:rFonts w:ascii="Arial" w:eastAsia="宋体" w:hAnsi="Arial" w:cs="Arial"/>
                  <w:kern w:val="0"/>
                  <w:sz w:val="20"/>
                  <w:szCs w:val="20"/>
                </w:rPr>
                <w:t>Item  12.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3" w14:textId="77777777" w:rsidR="0099058F" w:rsidRDefault="00EB2559">
            <w:pPr>
              <w:widowControl/>
              <w:jc w:val="left"/>
              <w:textAlignment w:val="bottom"/>
              <w:rPr>
                <w:rFonts w:ascii="宋体" w:eastAsia="宋体" w:hAnsi="宋体" w:cs="宋体"/>
                <w:kern w:val="0"/>
                <w:sz w:val="24"/>
              </w:rPr>
            </w:pPr>
            <w:hyperlink w:anchor="idab206f38af44c3b82edc252bb6a3941_325" w:history="1">
              <w:r>
                <w:rPr>
                  <w:rStyle w:val="a4"/>
                  <w:rFonts w:ascii="Arial" w:eastAsia="宋体" w:hAnsi="Arial" w:cs="Arial"/>
                  <w:kern w:val="0"/>
                  <w:sz w:val="20"/>
                  <w:szCs w:val="20"/>
                </w:rPr>
                <w:t xml:space="preserve">Security Ownership of Certain Beneficial Owners and Management </w:t>
              </w:r>
              <w:r>
                <w:rPr>
                  <w:rStyle w:val="a4"/>
                  <w:rFonts w:ascii="Arial" w:eastAsia="宋体" w:hAnsi="Arial" w:cs="Arial"/>
                  <w:kern w:val="0"/>
                  <w:sz w:val="20"/>
                  <w:szCs w:val="20"/>
                </w:rPr>
                <w:t>and Related Stockholder Matters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4" w14:textId="77777777" w:rsidR="0099058F" w:rsidRDefault="00EB2559">
            <w:pPr>
              <w:widowControl/>
              <w:jc w:val="right"/>
              <w:textAlignment w:val="bottom"/>
              <w:rPr>
                <w:rFonts w:ascii="宋体" w:eastAsia="宋体" w:hAnsi="宋体" w:cs="宋体"/>
                <w:kern w:val="0"/>
                <w:sz w:val="24"/>
              </w:rPr>
            </w:pPr>
            <w:hyperlink w:anchor="idab206f38af44c3b82edc252bb6a3941_325" w:history="1">
              <w:r>
                <w:rPr>
                  <w:rStyle w:val="a4"/>
                  <w:rFonts w:ascii="Arial" w:eastAsia="宋体" w:hAnsi="Arial" w:cs="Arial"/>
                  <w:kern w:val="0"/>
                  <w:sz w:val="20"/>
                  <w:szCs w:val="20"/>
                </w:rPr>
                <w:t>127</w:t>
              </w:r>
            </w:hyperlink>
          </w:p>
        </w:tc>
      </w:tr>
      <w:tr w:rsidR="0099058F" w14:paraId="4B75FF0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0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07" w14:textId="77777777" w:rsidR="0099058F" w:rsidRDefault="00EB2559">
            <w:pPr>
              <w:widowControl/>
              <w:jc w:val="left"/>
              <w:textAlignment w:val="top"/>
              <w:rPr>
                <w:rFonts w:ascii="宋体" w:eastAsia="宋体" w:hAnsi="宋体" w:cs="宋体"/>
                <w:kern w:val="0"/>
                <w:sz w:val="24"/>
              </w:rPr>
            </w:pPr>
            <w:hyperlink w:anchor="idab206f38af44c3b82edc252bb6a3941_328" w:history="1">
              <w:r>
                <w:rPr>
                  <w:rStyle w:val="a4"/>
                  <w:rFonts w:ascii="Arial" w:eastAsia="宋体" w:hAnsi="Arial" w:cs="Arial"/>
                  <w:kern w:val="0"/>
                  <w:sz w:val="20"/>
                  <w:szCs w:val="20"/>
                </w:rPr>
                <w:t>Item  13.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8" w14:textId="77777777" w:rsidR="0099058F" w:rsidRDefault="00EB2559">
            <w:pPr>
              <w:widowControl/>
              <w:jc w:val="left"/>
              <w:textAlignment w:val="bottom"/>
              <w:rPr>
                <w:rFonts w:ascii="宋体" w:eastAsia="宋体" w:hAnsi="宋体" w:cs="宋体"/>
                <w:kern w:val="0"/>
                <w:sz w:val="24"/>
              </w:rPr>
            </w:pPr>
            <w:hyperlink w:anchor="idab206f38af44c3b82edc252bb6a3941_328" w:history="1">
              <w:r>
                <w:rPr>
                  <w:rStyle w:val="a4"/>
                  <w:rFonts w:ascii="Arial" w:eastAsia="宋体" w:hAnsi="Arial" w:cs="Arial"/>
                  <w:kern w:val="0"/>
                  <w:sz w:val="20"/>
                  <w:szCs w:val="20"/>
                </w:rPr>
                <w:t>Certain Relationships and Related Transactions, and Director Independence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9" w14:textId="77777777" w:rsidR="0099058F" w:rsidRDefault="00EB2559">
            <w:pPr>
              <w:widowControl/>
              <w:jc w:val="right"/>
              <w:textAlignment w:val="bottom"/>
              <w:rPr>
                <w:rFonts w:ascii="宋体" w:eastAsia="宋体" w:hAnsi="宋体" w:cs="宋体"/>
                <w:kern w:val="0"/>
                <w:sz w:val="24"/>
              </w:rPr>
            </w:pPr>
            <w:hyperlink w:anchor="idab206f38af44c3b82edc252bb6a3941_328" w:history="1">
              <w:r>
                <w:rPr>
                  <w:rStyle w:val="a4"/>
                  <w:rFonts w:ascii="Arial" w:eastAsia="宋体" w:hAnsi="Arial" w:cs="Arial"/>
                  <w:kern w:val="0"/>
                  <w:sz w:val="20"/>
                  <w:szCs w:val="20"/>
                </w:rPr>
                <w:t>127</w:t>
              </w:r>
            </w:hyperlink>
          </w:p>
        </w:tc>
      </w:tr>
      <w:tr w:rsidR="0099058F" w14:paraId="4B75FF0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0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0C" w14:textId="77777777" w:rsidR="0099058F" w:rsidRDefault="00EB2559">
            <w:pPr>
              <w:widowControl/>
              <w:jc w:val="left"/>
              <w:textAlignment w:val="top"/>
              <w:rPr>
                <w:rFonts w:ascii="宋体" w:eastAsia="宋体" w:hAnsi="宋体" w:cs="宋体"/>
                <w:kern w:val="0"/>
                <w:sz w:val="24"/>
              </w:rPr>
            </w:pPr>
            <w:hyperlink w:anchor="idab206f38af44c3b82edc252bb6a3941_331" w:history="1">
              <w:r>
                <w:rPr>
                  <w:rStyle w:val="a4"/>
                  <w:rFonts w:ascii="Arial" w:eastAsia="宋体" w:hAnsi="Arial" w:cs="Arial"/>
                  <w:kern w:val="0"/>
                  <w:sz w:val="20"/>
                  <w:szCs w:val="20"/>
                </w:rPr>
                <w:t>Item  14.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D" w14:textId="77777777" w:rsidR="0099058F" w:rsidRDefault="00EB2559">
            <w:pPr>
              <w:widowControl/>
              <w:jc w:val="left"/>
              <w:textAlignment w:val="bottom"/>
              <w:rPr>
                <w:rFonts w:ascii="宋体" w:eastAsia="宋体" w:hAnsi="宋体" w:cs="宋体"/>
                <w:kern w:val="0"/>
                <w:sz w:val="24"/>
              </w:rPr>
            </w:pPr>
            <w:hyperlink w:anchor="idab206f38af44c3b82edc252bb6a3941_331" w:history="1">
              <w:r>
                <w:rPr>
                  <w:rStyle w:val="a4"/>
                  <w:rFonts w:ascii="Arial" w:eastAsia="宋体" w:hAnsi="Arial" w:cs="Arial"/>
                  <w:kern w:val="0"/>
                  <w:sz w:val="20"/>
                  <w:szCs w:val="20"/>
                </w:rPr>
                <w:t>Principal Accountant Fees and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0E" w14:textId="77777777" w:rsidR="0099058F" w:rsidRDefault="00EB2559">
            <w:pPr>
              <w:widowControl/>
              <w:jc w:val="right"/>
              <w:textAlignment w:val="bottom"/>
              <w:rPr>
                <w:rFonts w:ascii="宋体" w:eastAsia="宋体" w:hAnsi="宋体" w:cs="宋体"/>
                <w:kern w:val="0"/>
                <w:sz w:val="24"/>
              </w:rPr>
            </w:pPr>
            <w:hyperlink w:anchor="idab206f38af44c3b82edc252bb6a3941_331" w:history="1">
              <w:r>
                <w:rPr>
                  <w:rStyle w:val="a4"/>
                  <w:rFonts w:ascii="Arial" w:eastAsia="宋体" w:hAnsi="Arial" w:cs="Arial"/>
                  <w:kern w:val="0"/>
                  <w:sz w:val="20"/>
                  <w:szCs w:val="20"/>
                </w:rPr>
                <w:t>127</w:t>
              </w:r>
            </w:hyperlink>
          </w:p>
        </w:tc>
      </w:tr>
      <w:tr w:rsidR="0099058F" w14:paraId="4B75FF1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10" w14:textId="77777777" w:rsidR="0099058F" w:rsidRDefault="00EB2559">
            <w:pPr>
              <w:widowControl/>
              <w:jc w:val="left"/>
              <w:textAlignment w:val="top"/>
              <w:rPr>
                <w:rFonts w:ascii="宋体" w:eastAsia="宋体" w:hAnsi="宋体" w:cs="宋体"/>
                <w:kern w:val="0"/>
                <w:sz w:val="24"/>
              </w:rPr>
            </w:pPr>
            <w:hyperlink w:anchor="idab206f38af44c3b82edc252bb6a3941_334" w:history="1">
              <w:r>
                <w:rPr>
                  <w:rStyle w:val="a4"/>
                  <w:rFonts w:ascii="Arial" w:eastAsia="宋体" w:hAnsi="Arial" w:cs="Arial"/>
                  <w:b/>
                  <w:bCs/>
                  <w:kern w:val="0"/>
                  <w:sz w:val="20"/>
                  <w:szCs w:val="20"/>
                </w:rPr>
                <w:t>PART IV</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3" w14:textId="77777777" w:rsidR="0099058F" w:rsidRDefault="0099058F">
            <w:pPr>
              <w:widowControl/>
              <w:jc w:val="left"/>
              <w:rPr>
                <w:rFonts w:ascii="Times New Roman" w:eastAsia="宋体" w:hAnsi="宋体" w:cs="宋体"/>
                <w:kern w:val="0"/>
                <w:sz w:val="24"/>
              </w:rPr>
            </w:pPr>
          </w:p>
        </w:tc>
      </w:tr>
      <w:tr w:rsidR="0099058F" w14:paraId="4B75FF1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16" w14:textId="77777777" w:rsidR="0099058F" w:rsidRDefault="00EB2559">
            <w:pPr>
              <w:widowControl/>
              <w:jc w:val="left"/>
              <w:textAlignment w:val="top"/>
              <w:rPr>
                <w:rFonts w:ascii="宋体" w:eastAsia="宋体" w:hAnsi="宋体" w:cs="宋体"/>
                <w:kern w:val="0"/>
                <w:sz w:val="24"/>
              </w:rPr>
            </w:pPr>
            <w:hyperlink w:anchor="idab206f38af44c3b82edc252bb6a3941_337" w:history="1">
              <w:r>
                <w:rPr>
                  <w:rStyle w:val="a4"/>
                  <w:rFonts w:ascii="Arial" w:eastAsia="宋体" w:hAnsi="Arial" w:cs="Arial"/>
                  <w:kern w:val="0"/>
                  <w:sz w:val="20"/>
                  <w:szCs w:val="20"/>
                </w:rPr>
                <w:t>Item  15.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17" w14:textId="77777777" w:rsidR="0099058F" w:rsidRDefault="00EB2559">
            <w:pPr>
              <w:widowControl/>
              <w:jc w:val="left"/>
              <w:textAlignment w:val="bottom"/>
              <w:rPr>
                <w:rFonts w:ascii="宋体" w:eastAsia="宋体" w:hAnsi="宋体" w:cs="宋体"/>
                <w:kern w:val="0"/>
                <w:sz w:val="24"/>
              </w:rPr>
            </w:pPr>
            <w:hyperlink w:anchor="idab206f38af44c3b82edc252bb6a3941_337" w:history="1">
              <w:r>
                <w:rPr>
                  <w:rStyle w:val="a4"/>
                  <w:rFonts w:ascii="Arial" w:eastAsia="宋体" w:hAnsi="Arial" w:cs="Arial"/>
                  <w:kern w:val="0"/>
                  <w:sz w:val="20"/>
                  <w:szCs w:val="20"/>
                </w:rPr>
                <w:t>Exhibits, Financial Statement Schedules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18" w14:textId="77777777" w:rsidR="0099058F" w:rsidRDefault="00EB2559">
            <w:pPr>
              <w:widowControl/>
              <w:jc w:val="right"/>
              <w:textAlignment w:val="bottom"/>
              <w:rPr>
                <w:rFonts w:ascii="宋体" w:eastAsia="宋体" w:hAnsi="宋体" w:cs="宋体"/>
                <w:kern w:val="0"/>
                <w:sz w:val="24"/>
              </w:rPr>
            </w:pPr>
            <w:hyperlink w:anchor="idab206f38af44c3b82edc252bb6a3941_337" w:history="1">
              <w:r>
                <w:rPr>
                  <w:rStyle w:val="a4"/>
                  <w:rFonts w:ascii="Arial" w:eastAsia="宋体" w:hAnsi="Arial" w:cs="Arial"/>
                  <w:kern w:val="0"/>
                  <w:sz w:val="20"/>
                  <w:szCs w:val="20"/>
                </w:rPr>
                <w:t>128</w:t>
              </w:r>
            </w:hyperlink>
          </w:p>
        </w:tc>
      </w:tr>
      <w:tr w:rsidR="0099058F" w14:paraId="4B75FF1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1B" w14:textId="77777777" w:rsidR="0099058F" w:rsidRDefault="00EB2559">
            <w:pPr>
              <w:widowControl/>
              <w:jc w:val="left"/>
              <w:textAlignment w:val="top"/>
              <w:rPr>
                <w:rFonts w:ascii="宋体" w:eastAsia="宋体" w:hAnsi="宋体" w:cs="宋体"/>
                <w:kern w:val="0"/>
                <w:sz w:val="24"/>
              </w:rPr>
            </w:pPr>
            <w:hyperlink w:anchor="idab206f38af44c3b82edc252bb6a3941_340" w:history="1">
              <w:r>
                <w:rPr>
                  <w:rStyle w:val="a4"/>
                  <w:rFonts w:ascii="Arial" w:eastAsia="宋体" w:hAnsi="Arial" w:cs="Arial"/>
                  <w:kern w:val="0"/>
                  <w:sz w:val="20"/>
                  <w:szCs w:val="20"/>
                </w:rPr>
                <w:t>Item  16.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5FF1C" w14:textId="77777777" w:rsidR="0099058F" w:rsidRDefault="00EB2559">
            <w:pPr>
              <w:widowControl/>
              <w:jc w:val="left"/>
              <w:textAlignment w:val="top"/>
              <w:rPr>
                <w:rFonts w:ascii="宋体" w:eastAsia="宋体" w:hAnsi="宋体" w:cs="宋体"/>
                <w:kern w:val="0"/>
                <w:sz w:val="24"/>
              </w:rPr>
            </w:pPr>
            <w:hyperlink w:anchor="idab206f38af44c3b82edc252bb6a3941_340" w:history="1">
              <w:r>
                <w:rPr>
                  <w:rStyle w:val="a4"/>
                  <w:rFonts w:ascii="Arial" w:eastAsia="宋体" w:hAnsi="Arial" w:cs="Arial"/>
                  <w:kern w:val="0"/>
                  <w:sz w:val="20"/>
                  <w:szCs w:val="20"/>
                </w:rPr>
                <w:t>Form 10-K Summary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1D" w14:textId="77777777" w:rsidR="0099058F" w:rsidRDefault="00EB2559">
            <w:pPr>
              <w:widowControl/>
              <w:jc w:val="right"/>
              <w:textAlignment w:val="bottom"/>
              <w:rPr>
                <w:rFonts w:ascii="宋体" w:eastAsia="宋体" w:hAnsi="宋体" w:cs="宋体"/>
                <w:kern w:val="0"/>
                <w:sz w:val="24"/>
              </w:rPr>
            </w:pPr>
            <w:hyperlink w:anchor="idab206f38af44c3b82edc252bb6a3941_340" w:history="1">
              <w:r>
                <w:rPr>
                  <w:rStyle w:val="a4"/>
                  <w:rFonts w:ascii="Arial" w:eastAsia="宋体" w:hAnsi="Arial" w:cs="Arial"/>
                  <w:kern w:val="0"/>
                  <w:sz w:val="20"/>
                  <w:szCs w:val="20"/>
                </w:rPr>
                <w:t>131</w:t>
              </w:r>
            </w:hyperlink>
          </w:p>
        </w:tc>
      </w:tr>
      <w:tr w:rsidR="0099058F" w14:paraId="4B75FF2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5FF1F"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B75FF20" w14:textId="77777777" w:rsidR="0099058F" w:rsidRDefault="00EB2559">
            <w:pPr>
              <w:widowControl/>
              <w:jc w:val="left"/>
              <w:textAlignment w:val="top"/>
              <w:rPr>
                <w:rFonts w:ascii="宋体" w:eastAsia="宋体" w:hAnsi="宋体" w:cs="宋体"/>
                <w:kern w:val="0"/>
                <w:sz w:val="24"/>
              </w:rPr>
            </w:pPr>
            <w:hyperlink w:anchor="idab206f38af44c3b82edc252bb6a3941_343" w:history="1">
              <w:r>
                <w:rPr>
                  <w:rStyle w:val="a4"/>
                  <w:rFonts w:ascii="Arial" w:eastAsia="宋体" w:hAnsi="Arial" w:cs="Arial"/>
                  <w:kern w:val="0"/>
                  <w:sz w:val="20"/>
                  <w:szCs w:val="20"/>
                </w:rPr>
                <w:t>Signatures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21" w14:textId="77777777" w:rsidR="0099058F" w:rsidRDefault="00EB2559">
            <w:pPr>
              <w:widowControl/>
              <w:jc w:val="right"/>
              <w:textAlignment w:val="bottom"/>
              <w:rPr>
                <w:rFonts w:ascii="宋体" w:eastAsia="宋体" w:hAnsi="宋体" w:cs="宋体"/>
                <w:kern w:val="0"/>
                <w:sz w:val="24"/>
              </w:rPr>
            </w:pPr>
            <w:hyperlink w:anchor="idab206f38af44c3b82edc252bb6a3941_343" w:history="1">
              <w:r>
                <w:rPr>
                  <w:rStyle w:val="a4"/>
                  <w:rFonts w:ascii="Arial" w:eastAsia="宋体" w:hAnsi="Arial" w:cs="Arial"/>
                  <w:kern w:val="0"/>
                  <w:sz w:val="20"/>
                  <w:szCs w:val="20"/>
                </w:rPr>
                <w:t>132</w:t>
              </w:r>
            </w:hyperlink>
          </w:p>
        </w:tc>
      </w:tr>
    </w:tbl>
    <w:p w14:paraId="4B75FF23"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5FF24" w14:textId="77777777" w:rsidR="0099058F" w:rsidRDefault="00EB2559">
      <w:pPr>
        <w:widowControl/>
        <w:jc w:val="center"/>
      </w:pPr>
      <w:r>
        <w:rPr>
          <w:rFonts w:ascii="宋体" w:eastAsia="宋体" w:hAnsi="宋体" w:cs="宋体"/>
          <w:kern w:val="0"/>
          <w:sz w:val="24"/>
        </w:rPr>
        <w:pict w14:anchorId="4B763BF7">
          <v:rect id="_x0000_i1026" style="width:6in;height:1.5pt" o:hralign="center" o:hrstd="t" o:hr="t" fillcolor="#a0a0a0" stroked="f"/>
        </w:pict>
      </w:r>
    </w:p>
    <w:p w14:paraId="4B75FF2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26" w14:textId="77777777" w:rsidR="0099058F" w:rsidRDefault="00EB2559">
      <w:pPr>
        <w:widowControl/>
        <w:spacing w:after="300"/>
        <w:jc w:val="center"/>
        <w:rPr>
          <w:rFonts w:ascii="宋体" w:eastAsia="宋体" w:hAnsi="宋体" w:cs="宋体"/>
          <w:kern w:val="0"/>
          <w:sz w:val="24"/>
        </w:rPr>
      </w:pPr>
      <w:r>
        <w:rPr>
          <w:rFonts w:ascii="Arial" w:eastAsia="宋体" w:hAnsi="Arial" w:cs="Arial"/>
          <w:b/>
          <w:bCs/>
          <w:color w:val="000000"/>
          <w:kern w:val="0"/>
          <w:sz w:val="20"/>
          <w:szCs w:val="20"/>
          <w:lang w:bidi="ar"/>
        </w:rPr>
        <w:t>PART I</w:t>
      </w:r>
    </w:p>
    <w:p w14:paraId="4B75FF27"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 Business</w:t>
      </w:r>
    </w:p>
    <w:p w14:paraId="4B75FF2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Boeing Company, together with its subsidiaries (herein referred to as “Boeing,” the “Company,” “we,” “us,” “our”), is one of the world’s major </w:t>
      </w:r>
      <w:r>
        <w:rPr>
          <w:rFonts w:ascii="Arial" w:eastAsia="宋体" w:hAnsi="Arial" w:cs="Arial"/>
          <w:color w:val="000000"/>
          <w:kern w:val="0"/>
          <w:sz w:val="20"/>
          <w:szCs w:val="20"/>
          <w:lang w:bidi="ar"/>
        </w:rPr>
        <w:t>aerospace firms.</w:t>
      </w:r>
    </w:p>
    <w:p w14:paraId="4B75FF2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organized based on the products and services we offer. We operate in four reportable segments:</w:t>
      </w:r>
    </w:p>
    <w:p w14:paraId="4B75FF2A"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Commercial Airplanes (BCA);</w:t>
      </w:r>
    </w:p>
    <w:p w14:paraId="4B75FF2B"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Defense, Space &amp; Security (BDS);</w:t>
      </w:r>
    </w:p>
    <w:p w14:paraId="4B75FF2C"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Global Services (BGS);</w:t>
      </w:r>
    </w:p>
    <w:p w14:paraId="4B75FF2D" w14:textId="77777777" w:rsidR="0099058F" w:rsidRDefault="00EB2559">
      <w:pPr>
        <w:widowControl/>
        <w:spacing w:after="3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Boeing Capital (BCC).</w:t>
      </w:r>
    </w:p>
    <w:p w14:paraId="4B75FF2E"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Commercial </w:t>
      </w:r>
      <w:r>
        <w:rPr>
          <w:rFonts w:ascii="Arial" w:eastAsia="宋体" w:hAnsi="Arial" w:cs="Arial"/>
          <w:b/>
          <w:bCs/>
          <w:color w:val="000000"/>
          <w:kern w:val="0"/>
          <w:sz w:val="20"/>
          <w:szCs w:val="20"/>
          <w:lang w:bidi="ar"/>
        </w:rPr>
        <w:t>Airplanes Segment</w:t>
      </w:r>
    </w:p>
    <w:p w14:paraId="4B75FF2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segment develops, produces and markets commercial jet aircraft principally to the commercial airline industry worldwide. We are a leading producer of commercial aircraft and offer a family of commercial jetliners designed to meet a b</w:t>
      </w:r>
      <w:r>
        <w:rPr>
          <w:rFonts w:ascii="Arial" w:eastAsia="宋体" w:hAnsi="Arial" w:cs="Arial"/>
          <w:color w:val="000000"/>
          <w:kern w:val="0"/>
          <w:sz w:val="20"/>
          <w:szCs w:val="20"/>
          <w:lang w:bidi="ar"/>
        </w:rPr>
        <w:t>road spectrum of global passenger and cargo requirements of airlines. This family of commercial jet aircraft in production includes the 737 narrow-body model and the 767, 777 and 787 wide-body models. We ended production of the 747 wide-body model in 2022.</w:t>
      </w:r>
      <w:r>
        <w:rPr>
          <w:rFonts w:ascii="Arial" w:eastAsia="宋体" w:hAnsi="Arial" w:cs="Arial"/>
          <w:color w:val="000000"/>
          <w:kern w:val="0"/>
          <w:sz w:val="20"/>
          <w:szCs w:val="20"/>
          <w:lang w:bidi="ar"/>
        </w:rPr>
        <w:t xml:space="preserve"> Development continues on the 777X program and the 737-7 and 737-10 derivatives.</w:t>
      </w:r>
    </w:p>
    <w:p w14:paraId="4B75FF30"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 Segment</w:t>
      </w:r>
    </w:p>
    <w:p w14:paraId="4B75FF3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segment engages in the research, development, production and modification of manned and unmanned military aircraft and weapons systems f</w:t>
      </w:r>
      <w:r>
        <w:rPr>
          <w:rFonts w:ascii="Arial" w:eastAsia="宋体" w:hAnsi="Arial" w:cs="Arial"/>
          <w:color w:val="000000"/>
          <w:kern w:val="0"/>
          <w:sz w:val="20"/>
          <w:szCs w:val="20"/>
          <w:lang w:bidi="ar"/>
        </w:rPr>
        <w:t>or strike, surveillance and mobility, including fighter and trainer aircraft; vertical lift, including rotorcraft and tilt-rotor aircraft; and commercial derivative aircraft, including anti-submarine and tanker aircraft. In addition, this segment engages i</w:t>
      </w:r>
      <w:r>
        <w:rPr>
          <w:rFonts w:ascii="Arial" w:eastAsia="宋体" w:hAnsi="Arial" w:cs="Arial"/>
          <w:color w:val="000000"/>
          <w:kern w:val="0"/>
          <w:sz w:val="20"/>
          <w:szCs w:val="20"/>
          <w:lang w:bidi="ar"/>
        </w:rPr>
        <w:t>n the research, development, production and modification of the following products and related services: strategic defense and intelligence systems, including strategic missile and defense systems, command, control, communications, computers, intelligence,</w:t>
      </w:r>
      <w:r>
        <w:rPr>
          <w:rFonts w:ascii="Arial" w:eastAsia="宋体" w:hAnsi="Arial" w:cs="Arial"/>
          <w:color w:val="000000"/>
          <w:kern w:val="0"/>
          <w:sz w:val="20"/>
          <w:szCs w:val="20"/>
          <w:lang w:bidi="ar"/>
        </w:rPr>
        <w:t xml:space="preserve"> surveillance and reconnaissance (C4ISR), cyber and information solutions, and intelligence systems, satellite systems, including government and commercial satellites and space exploration.</w:t>
      </w:r>
    </w:p>
    <w:p w14:paraId="4B75FF32"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 Segment</w:t>
      </w:r>
    </w:p>
    <w:p w14:paraId="4B75FF33"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segment provides services to our comm</w:t>
      </w:r>
      <w:r>
        <w:rPr>
          <w:rFonts w:ascii="Arial" w:eastAsia="宋体" w:hAnsi="Arial" w:cs="Arial"/>
          <w:color w:val="000000"/>
          <w:kern w:val="0"/>
          <w:sz w:val="20"/>
          <w:szCs w:val="20"/>
          <w:lang w:bidi="ar"/>
        </w:rPr>
        <w:t>ercial and defense customers worldwide. BGS sustains aerospace platforms and systems with a full spectrum of products and services, including supply chain and logistics management, engineering, maintenance and modifications, upgrades and conversions, spare</w:t>
      </w:r>
      <w:r>
        <w:rPr>
          <w:rFonts w:ascii="Arial" w:eastAsia="宋体" w:hAnsi="Arial" w:cs="Arial"/>
          <w:color w:val="000000"/>
          <w:kern w:val="0"/>
          <w:sz w:val="20"/>
          <w:szCs w:val="20"/>
          <w:lang w:bidi="ar"/>
        </w:rPr>
        <w:t xml:space="preserve"> parts, pilot and maintenance training systems and services, technical and maintenance documents, and data analytics and digital services.</w:t>
      </w:r>
    </w:p>
    <w:p w14:paraId="4B75FF34" w14:textId="77777777" w:rsidR="0099058F" w:rsidRDefault="00EB2559">
      <w:pPr>
        <w:widowControl/>
        <w:spacing w:before="300" w:after="180"/>
        <w:jc w:val="left"/>
        <w:rPr>
          <w:rFonts w:ascii="宋体" w:eastAsia="宋体" w:hAnsi="宋体" w:cs="宋体"/>
          <w:kern w:val="0"/>
          <w:sz w:val="24"/>
        </w:rPr>
      </w:pPr>
      <w:r>
        <w:rPr>
          <w:rFonts w:ascii="Arial" w:eastAsia="宋体" w:hAnsi="Arial" w:cs="Arial"/>
          <w:b/>
          <w:bCs/>
          <w:color w:val="000000"/>
          <w:kern w:val="0"/>
          <w:sz w:val="20"/>
          <w:szCs w:val="20"/>
          <w:lang w:bidi="ar"/>
        </w:rPr>
        <w:t>Boeing Capital Segment</w:t>
      </w:r>
    </w:p>
    <w:p w14:paraId="4B75FF35"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BCC seeks to ensure that Boeing customers have the financing they need to buy and take deliver</w:t>
      </w:r>
      <w:r>
        <w:rPr>
          <w:rFonts w:ascii="Arial" w:eastAsia="宋体" w:hAnsi="Arial" w:cs="Arial"/>
          <w:color w:val="000000"/>
          <w:kern w:val="0"/>
          <w:sz w:val="20"/>
          <w:szCs w:val="20"/>
          <w:lang w:bidi="ar"/>
        </w:rPr>
        <w:t>y of their Boeing product, while managing overall financing exposure. BCC’s portfolio consists of equipment under operating leases, sales-type/finance leases, notes and other receivables, assets held for sale or re-lease and investments.</w:t>
      </w:r>
    </w:p>
    <w:p w14:paraId="4B75FF3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w:t>
      </w:r>
    </w:p>
    <w:p w14:paraId="4B75FF37" w14:textId="77777777" w:rsidR="0099058F" w:rsidRDefault="00EB2559">
      <w:pPr>
        <w:widowControl/>
        <w:jc w:val="center"/>
      </w:pPr>
      <w:r>
        <w:rPr>
          <w:rFonts w:ascii="宋体" w:eastAsia="宋体" w:hAnsi="宋体" w:cs="宋体"/>
          <w:kern w:val="0"/>
          <w:sz w:val="24"/>
        </w:rPr>
        <w:pict w14:anchorId="4B763BF8">
          <v:rect id="_x0000_i1027" style="width:6in;height:1.5pt" o:hralign="center" o:hrstd="t" o:hr="t" fillcolor="#a0a0a0" stroked="f"/>
        </w:pict>
      </w:r>
    </w:p>
    <w:p w14:paraId="4B75FF3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39"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Intellectual Property</w:t>
      </w:r>
    </w:p>
    <w:p w14:paraId="4B75FF3A"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own numerous patents and have licenses for the use of patents owned by others, which relate to our products and their manufacture. In addition to owning a</w:t>
      </w:r>
      <w:r>
        <w:rPr>
          <w:rFonts w:ascii="Arial" w:eastAsia="宋体" w:hAnsi="Arial" w:cs="Arial"/>
          <w:color w:val="000000"/>
          <w:kern w:val="0"/>
          <w:sz w:val="20"/>
          <w:szCs w:val="20"/>
          <w:lang w:bidi="ar"/>
        </w:rPr>
        <w:t xml:space="preserve"> large portfolio of intellectual property, we also license intellectual property to and from third parties. For example, the U.S. government has licenses in our patents that are developed in performance of government contracts, and it may use or authorize </w:t>
      </w:r>
      <w:r>
        <w:rPr>
          <w:rFonts w:ascii="Arial" w:eastAsia="宋体" w:hAnsi="Arial" w:cs="Arial"/>
          <w:color w:val="000000"/>
          <w:kern w:val="0"/>
          <w:sz w:val="20"/>
          <w:szCs w:val="20"/>
          <w:lang w:bidi="ar"/>
        </w:rPr>
        <w:t xml:space="preserve">others to use the inventions covered by such patents for government purposes. Unpatented research, development and engineering skills, as well as certain trademarks, trade secrets and other intellectual property rights, also make an important contribution </w:t>
      </w:r>
      <w:r>
        <w:rPr>
          <w:rFonts w:ascii="Arial" w:eastAsia="宋体" w:hAnsi="Arial" w:cs="Arial"/>
          <w:color w:val="000000"/>
          <w:kern w:val="0"/>
          <w:sz w:val="20"/>
          <w:szCs w:val="20"/>
          <w:lang w:bidi="ar"/>
        </w:rPr>
        <w:t>to our business. While our intellectual property rights in the aggregate are important to the operation of each of our businesses, we do not believe that our business would be materially affected by the expiration of any particular intellectual property ri</w:t>
      </w:r>
      <w:r>
        <w:rPr>
          <w:rFonts w:ascii="Arial" w:eastAsia="宋体" w:hAnsi="Arial" w:cs="Arial"/>
          <w:color w:val="000000"/>
          <w:kern w:val="0"/>
          <w:sz w:val="20"/>
          <w:szCs w:val="20"/>
          <w:lang w:bidi="ar"/>
        </w:rPr>
        <w:t>ght or termination of any particular intellectual property patent license agreement.</w:t>
      </w:r>
    </w:p>
    <w:p w14:paraId="4B75FF3B"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Human Capital</w:t>
      </w:r>
    </w:p>
    <w:p w14:paraId="4B75FF3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2022 and 2021, Boeing’s total workforce was approximately 156,000 and 142,000 with 13% and 12% located outside of the U.S.</w:t>
      </w:r>
    </w:p>
    <w:p w14:paraId="4B75FF3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As of December </w:t>
      </w:r>
      <w:r>
        <w:rPr>
          <w:rFonts w:ascii="Arial" w:eastAsia="宋体" w:hAnsi="Arial" w:cs="Arial"/>
          <w:color w:val="000000"/>
          <w:kern w:val="0"/>
          <w:sz w:val="20"/>
          <w:szCs w:val="20"/>
          <w:lang w:bidi="ar"/>
        </w:rPr>
        <w:t>31, 2022, our workforce included approximately 50,000 union members. Our principal collective bargaining agreements and their current status are summarized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7"/>
        <w:gridCol w:w="3120"/>
        <w:gridCol w:w="36"/>
        <w:gridCol w:w="83"/>
        <w:gridCol w:w="1206"/>
        <w:gridCol w:w="36"/>
        <w:gridCol w:w="60"/>
        <w:gridCol w:w="3692"/>
        <w:gridCol w:w="36"/>
      </w:tblGrid>
      <w:tr w:rsidR="0099058F" w14:paraId="4B75FF47" w14:textId="77777777">
        <w:tc>
          <w:tcPr>
            <w:tcW w:w="50" w:type="pct"/>
            <w:tcBorders>
              <w:top w:val="nil"/>
              <w:left w:val="nil"/>
              <w:bottom w:val="nil"/>
              <w:right w:val="nil"/>
            </w:tcBorders>
            <w:shd w:val="clear" w:color="auto" w:fill="auto"/>
            <w:vAlign w:val="bottom"/>
          </w:tcPr>
          <w:p w14:paraId="4B75FF3E" w14:textId="77777777" w:rsidR="0099058F" w:rsidRDefault="0099058F">
            <w:pPr>
              <w:widowControl/>
              <w:jc w:val="left"/>
              <w:rPr>
                <w:rFonts w:ascii="Times New Roman" w:eastAsia="宋体" w:hAnsi="宋体" w:cs="宋体"/>
                <w:kern w:val="0"/>
                <w:sz w:val="24"/>
              </w:rPr>
            </w:pPr>
          </w:p>
        </w:tc>
        <w:tc>
          <w:tcPr>
            <w:tcW w:w="1881" w:type="pct"/>
            <w:tcBorders>
              <w:top w:val="nil"/>
              <w:left w:val="nil"/>
              <w:bottom w:val="nil"/>
              <w:right w:val="nil"/>
            </w:tcBorders>
            <w:shd w:val="clear" w:color="auto" w:fill="auto"/>
            <w:vAlign w:val="bottom"/>
          </w:tcPr>
          <w:p w14:paraId="4B75FF3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F4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F41" w14:textId="77777777" w:rsidR="0099058F" w:rsidRDefault="0099058F">
            <w:pPr>
              <w:widowControl/>
              <w:jc w:val="left"/>
              <w:rPr>
                <w:rFonts w:ascii="Times New Roman" w:eastAsia="宋体" w:hAnsi="宋体" w:cs="宋体"/>
                <w:kern w:val="0"/>
                <w:sz w:val="24"/>
              </w:rPr>
            </w:pPr>
          </w:p>
        </w:tc>
        <w:tc>
          <w:tcPr>
            <w:tcW w:w="729" w:type="pct"/>
            <w:tcBorders>
              <w:top w:val="nil"/>
              <w:left w:val="nil"/>
              <w:bottom w:val="nil"/>
              <w:right w:val="nil"/>
            </w:tcBorders>
            <w:shd w:val="clear" w:color="auto" w:fill="auto"/>
            <w:vAlign w:val="bottom"/>
          </w:tcPr>
          <w:p w14:paraId="4B75FF4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F4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5FF44" w14:textId="77777777" w:rsidR="0099058F" w:rsidRDefault="0099058F">
            <w:pPr>
              <w:widowControl/>
              <w:jc w:val="left"/>
              <w:rPr>
                <w:rFonts w:ascii="Times New Roman" w:eastAsia="宋体" w:hAnsi="宋体" w:cs="宋体"/>
                <w:kern w:val="0"/>
                <w:sz w:val="24"/>
              </w:rPr>
            </w:pPr>
          </w:p>
        </w:tc>
        <w:tc>
          <w:tcPr>
            <w:tcW w:w="2224" w:type="pct"/>
            <w:tcBorders>
              <w:top w:val="nil"/>
              <w:left w:val="nil"/>
              <w:bottom w:val="nil"/>
              <w:right w:val="nil"/>
            </w:tcBorders>
            <w:shd w:val="clear" w:color="auto" w:fill="auto"/>
            <w:vAlign w:val="bottom"/>
          </w:tcPr>
          <w:p w14:paraId="4B75FF4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5FF46" w14:textId="77777777" w:rsidR="0099058F" w:rsidRDefault="0099058F">
            <w:pPr>
              <w:widowControl/>
              <w:jc w:val="left"/>
              <w:rPr>
                <w:rFonts w:ascii="Times New Roman" w:eastAsia="宋体" w:hAnsi="宋体" w:cs="宋体"/>
                <w:kern w:val="0"/>
                <w:sz w:val="24"/>
              </w:rPr>
            </w:pPr>
          </w:p>
        </w:tc>
      </w:tr>
      <w:tr w:rsidR="0099058F" w14:paraId="4B75FF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4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4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Percent of our Employees Represented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5FF4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Status of the </w:t>
            </w:r>
            <w:r>
              <w:rPr>
                <w:rFonts w:ascii="Arial" w:eastAsia="宋体" w:hAnsi="Arial" w:cs="Arial"/>
                <w:color w:val="000000"/>
                <w:kern w:val="0"/>
                <w:sz w:val="20"/>
                <w:szCs w:val="20"/>
                <w:lang w:bidi="ar"/>
              </w:rPr>
              <w:t>Agreements with Major Union</w:t>
            </w:r>
          </w:p>
        </w:tc>
      </w:tr>
      <w:tr w:rsidR="0099058F" w14:paraId="4B75FF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5FF4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International Association of Machinists and Aerospace Workers (IAM)</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5FF4D"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5FF4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We have two major agreements; one expiring in September 2024 and one in July 2025.</w:t>
            </w:r>
          </w:p>
        </w:tc>
      </w:tr>
      <w:tr w:rsidR="0099058F" w14:paraId="4B75FF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5FF5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Society of Professional Engineering Employees in </w:t>
            </w:r>
            <w:r>
              <w:rPr>
                <w:rFonts w:ascii="Arial" w:eastAsia="宋体" w:hAnsi="Arial" w:cs="Arial"/>
                <w:color w:val="000000"/>
                <w:kern w:val="0"/>
                <w:sz w:val="20"/>
                <w:szCs w:val="20"/>
                <w:lang w:bidi="ar"/>
              </w:rPr>
              <w:t>Aerospace (SPEEA)</w:t>
            </w: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5FF51"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5FF5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We have two major agreements expiring in October 2026.</w:t>
            </w:r>
          </w:p>
        </w:tc>
      </w:tr>
      <w:tr w:rsidR="0099058F" w14:paraId="4B75FF57"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5FF5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United Automobile, Aerospace and Agricultural Implement Workers of America (UAW)</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5FF55"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5FF5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We have one major agreement expiring in April 2027.</w:t>
            </w:r>
          </w:p>
        </w:tc>
      </w:tr>
    </w:tbl>
    <w:p w14:paraId="4B75FF5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Guided by our values, we are committed to creating a company where everyone is included and respected, and where we support each other in reaching our full potential. We are committed to diverse representation across all levels of our workforce to reflect </w:t>
      </w:r>
      <w:r>
        <w:rPr>
          <w:rFonts w:ascii="Arial" w:eastAsia="宋体" w:hAnsi="Arial" w:cs="Arial"/>
          <w:color w:val="000000"/>
          <w:kern w:val="0"/>
          <w:sz w:val="20"/>
          <w:szCs w:val="20"/>
          <w:lang w:bidi="ar"/>
        </w:rPr>
        <w:t xml:space="preserve">the vibrant and thriving diversity of the communities in which we live and work. In June of 2022, we released our second Global Equity, Diversity and Inclusion report with our workforce composition. As of December 2021, our U.S. workforce was comprised of </w:t>
      </w:r>
      <w:r>
        <w:rPr>
          <w:rFonts w:ascii="Arial" w:eastAsia="宋体" w:hAnsi="Arial" w:cs="Arial"/>
          <w:color w:val="000000"/>
          <w:kern w:val="0"/>
          <w:sz w:val="20"/>
          <w:szCs w:val="20"/>
          <w:lang w:bidi="ar"/>
        </w:rPr>
        <w:t>approximately 23% women, 33% U.S. racial and ethnic minorities and 15% U.S. veterans. We also support Business Resource Groups open to all employees with more than 15,000 participants across 170 chapters globally that focus on gender, race &amp; ethnicity, gen</w:t>
      </w:r>
      <w:r>
        <w:rPr>
          <w:rFonts w:ascii="Arial" w:eastAsia="宋体" w:hAnsi="Arial" w:cs="Arial"/>
          <w:color w:val="000000"/>
          <w:kern w:val="0"/>
          <w:sz w:val="20"/>
          <w:szCs w:val="20"/>
          <w:lang w:bidi="ar"/>
        </w:rPr>
        <w:t>erations, gender identity, sexual orientation, disability or veteran status. These groups help foster inclusion among all teammates, build awareness, recruit and retain a diverse workforce and support the company in successfully operating in a global, mult</w:t>
      </w:r>
      <w:r>
        <w:rPr>
          <w:rFonts w:ascii="Arial" w:eastAsia="宋体" w:hAnsi="Arial" w:cs="Arial"/>
          <w:color w:val="000000"/>
          <w:kern w:val="0"/>
          <w:sz w:val="20"/>
          <w:szCs w:val="20"/>
          <w:lang w:bidi="ar"/>
        </w:rPr>
        <w:t xml:space="preserve">icultural business environment. We are committed to releasing an annual Global Equity, Diversity and Inclusion report in 2023 which will be updated with the latest year’s information. Our 2022 report can be found on our website. </w:t>
      </w:r>
    </w:p>
    <w:p w14:paraId="4B75FF5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w:t>
      </w:r>
    </w:p>
    <w:p w14:paraId="4B75FF5A" w14:textId="77777777" w:rsidR="0099058F" w:rsidRDefault="00EB2559">
      <w:pPr>
        <w:widowControl/>
        <w:jc w:val="center"/>
      </w:pPr>
      <w:r>
        <w:rPr>
          <w:rFonts w:ascii="宋体" w:eastAsia="宋体" w:hAnsi="宋体" w:cs="宋体"/>
          <w:kern w:val="0"/>
          <w:sz w:val="24"/>
        </w:rPr>
        <w:pict w14:anchorId="4B763BF9">
          <v:rect id="_x0000_i1028" style="width:6in;height:1.5pt" o:hralign="center" o:hrstd="t" o:hr="t" fillcolor="#a0a0a0" stroked="f"/>
        </w:pict>
      </w:r>
    </w:p>
    <w:p w14:paraId="4B75FF5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5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To attract and retain the best-qualified talent, we offer competitive benefits, including market-competitive compensation, healthcare, paid time off, parental leave, retirement benefits, tuition </w:t>
      </w:r>
      <w:r>
        <w:rPr>
          <w:rFonts w:ascii="Arial" w:eastAsia="宋体" w:hAnsi="Arial" w:cs="Arial"/>
          <w:color w:val="000000"/>
          <w:kern w:val="0"/>
          <w:sz w:val="20"/>
          <w:szCs w:val="20"/>
          <w:lang w:bidi="ar"/>
        </w:rPr>
        <w:t>assistance, employee skills development, leadership development and rotation programs. In 2022, our voluntary resignation rate was approximately 4%. Additionally, we hired approximately 23,000 new employees in 2022 for critical skills and had an offer acce</w:t>
      </w:r>
      <w:r>
        <w:rPr>
          <w:rFonts w:ascii="Arial" w:eastAsia="宋体" w:hAnsi="Arial" w:cs="Arial"/>
          <w:color w:val="000000"/>
          <w:kern w:val="0"/>
          <w:sz w:val="20"/>
          <w:szCs w:val="20"/>
          <w:lang w:bidi="ar"/>
        </w:rPr>
        <w:t>ptance rate of 78%.</w:t>
      </w:r>
    </w:p>
    <w:p w14:paraId="4B75FF5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Employees are encouraged to provide feedback about their experience through ongoing employee engagement activities. Boeing actively listens to its employees via surveys ranging from pre-hire to exiting the company. These voluntary surve</w:t>
      </w:r>
      <w:r>
        <w:rPr>
          <w:rFonts w:ascii="Arial" w:eastAsia="宋体" w:hAnsi="Arial" w:cs="Arial"/>
          <w:color w:val="000000"/>
          <w:kern w:val="0"/>
          <w:sz w:val="20"/>
          <w:szCs w:val="20"/>
          <w:lang w:bidi="ar"/>
        </w:rPr>
        <w:t>ys provide aggregate trend reports for the company to address in real time and ensure Boeing maintains an employee-focused experience and culture. We also invest in rewarding performance and have established a multi-level recognition program for the purpos</w:t>
      </w:r>
      <w:r>
        <w:rPr>
          <w:rFonts w:ascii="Arial" w:eastAsia="宋体" w:hAnsi="Arial" w:cs="Arial"/>
          <w:color w:val="000000"/>
          <w:kern w:val="0"/>
          <w:sz w:val="20"/>
          <w:szCs w:val="20"/>
          <w:lang w:bidi="ar"/>
        </w:rPr>
        <w:t>e of acknowledging the achievements of excellent individual or team performance.</w:t>
      </w:r>
    </w:p>
    <w:p w14:paraId="4B75FF5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committed to supporting our employees’ continuous development of professional, technical and leadership skills through access to digital learning resources and through </w:t>
      </w:r>
      <w:r>
        <w:rPr>
          <w:rFonts w:ascii="Arial" w:eastAsia="宋体" w:hAnsi="Arial" w:cs="Arial"/>
          <w:color w:val="000000"/>
          <w:kern w:val="0"/>
          <w:sz w:val="20"/>
          <w:szCs w:val="20"/>
          <w:lang w:bidi="ar"/>
        </w:rPr>
        <w:t>partnerships with leading professional/technical societies and organizations around the world. For 2022, Boeing employees completed approximately 5.8 million hours of learning. We offer the ability for our people to pursue degree programs, professional cer</w:t>
      </w:r>
      <w:r>
        <w:rPr>
          <w:rFonts w:ascii="Arial" w:eastAsia="宋体" w:hAnsi="Arial" w:cs="Arial"/>
          <w:color w:val="000000"/>
          <w:kern w:val="0"/>
          <w:sz w:val="20"/>
          <w:szCs w:val="20"/>
          <w:lang w:bidi="ar"/>
        </w:rPr>
        <w:t>tificates and individual courses in strategic fields of study from more than 300 accredited colleges and universities, online and across the globe through our tuition assistance program. Over 9,000 Boeing employees leverage these programs every year.</w:t>
      </w:r>
    </w:p>
    <w:p w14:paraId="4B75FF5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Safet</w:t>
      </w:r>
      <w:r>
        <w:rPr>
          <w:rFonts w:ascii="Arial" w:eastAsia="宋体" w:hAnsi="Arial" w:cs="Arial"/>
          <w:color w:val="000000"/>
          <w:kern w:val="0"/>
          <w:sz w:val="20"/>
          <w:szCs w:val="20"/>
          <w:lang w:bidi="ar"/>
        </w:rPr>
        <w:t>y, quality, integrity and sustainability are at the core of how Boeing operates. We aspire to achieve zero workplace injuries and provide a safe, open and accountable work environment for our employees. Employees are also required on an annual basis to sig</w:t>
      </w:r>
      <w:r>
        <w:rPr>
          <w:rFonts w:ascii="Arial" w:eastAsia="宋体" w:hAnsi="Arial" w:cs="Arial"/>
          <w:color w:val="000000"/>
          <w:kern w:val="0"/>
          <w:sz w:val="20"/>
          <w:szCs w:val="20"/>
          <w:lang w:bidi="ar"/>
        </w:rPr>
        <w:t>n the Boeing Code of Conduct to reaffirm their commitment to do their work in a compliant and ethical manner. We provide several channels for all employees to speak up, ask for guidance and report concerns related to ethics or safety violations. We address</w:t>
      </w:r>
      <w:r>
        <w:rPr>
          <w:rFonts w:ascii="Arial" w:eastAsia="宋体" w:hAnsi="Arial" w:cs="Arial"/>
          <w:color w:val="000000"/>
          <w:kern w:val="0"/>
          <w:sz w:val="20"/>
          <w:szCs w:val="20"/>
          <w:lang w:bidi="ar"/>
        </w:rPr>
        <w:t xml:space="preserve"> employee concerns and take appropriate actions that uphold our Boeing values. </w:t>
      </w:r>
    </w:p>
    <w:p w14:paraId="4B75FF60"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Competition</w:t>
      </w:r>
    </w:p>
    <w:p w14:paraId="4B75FF6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commercial jet aircraft market and the airline industry remain extremely competitive. We face aggressive international competitors who are intent on </w:t>
      </w:r>
      <w:r>
        <w:rPr>
          <w:rFonts w:ascii="Arial" w:eastAsia="宋体" w:hAnsi="Arial" w:cs="Arial"/>
          <w:color w:val="000000"/>
          <w:kern w:val="0"/>
          <w:sz w:val="20"/>
          <w:szCs w:val="20"/>
          <w:lang w:bidi="ar"/>
        </w:rPr>
        <w:t>increasing their market share, such as Airbus and entrants from China. We are focused on improving our products and processes and continuing cost reduction efforts. We intend to continue to compete with other aircraft manufacturers by providing customers w</w:t>
      </w:r>
      <w:r>
        <w:rPr>
          <w:rFonts w:ascii="Arial" w:eastAsia="宋体" w:hAnsi="Arial" w:cs="Arial"/>
          <w:color w:val="000000"/>
          <w:kern w:val="0"/>
          <w:sz w:val="20"/>
          <w:szCs w:val="20"/>
          <w:lang w:bidi="ar"/>
        </w:rPr>
        <w:t>ith airplanes and services that deliver superior design, safety, efficiency and value to customers around the world.</w:t>
      </w:r>
    </w:p>
    <w:p w14:paraId="4B75FF6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faces strong competition primarily from Lockheed Martin Corporation, Northrop Grumman Corporation, Raytheon Technologies Corporation, G</w:t>
      </w:r>
      <w:r>
        <w:rPr>
          <w:rFonts w:ascii="Arial" w:eastAsia="宋体" w:hAnsi="Arial" w:cs="Arial"/>
          <w:color w:val="000000"/>
          <w:kern w:val="0"/>
          <w:sz w:val="20"/>
          <w:szCs w:val="20"/>
          <w:lang w:bidi="ar"/>
        </w:rPr>
        <w:t>eneral Dynamics Corporation and SpaceX. Non-U.S. companies such as BAE Systems and Airbus Group continue to build a strategic presence in the U.S. market by strengthening their North American operations and partnering with U.S. defense companies. In additi</w:t>
      </w:r>
      <w:r>
        <w:rPr>
          <w:rFonts w:ascii="Arial" w:eastAsia="宋体" w:hAnsi="Arial" w:cs="Arial"/>
          <w:color w:val="000000"/>
          <w:kern w:val="0"/>
          <w:sz w:val="20"/>
          <w:szCs w:val="20"/>
          <w:lang w:bidi="ar"/>
        </w:rPr>
        <w:t>on, certain competitors have occasionally formed teams with other competitors to address specific customer requirements. BDS expects the trend of strong competition to continue into 2023.</w:t>
      </w:r>
    </w:p>
    <w:p w14:paraId="4B75FF63"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commercial and defense services markets are extremely challengin</w:t>
      </w:r>
      <w:r>
        <w:rPr>
          <w:rFonts w:ascii="Arial" w:eastAsia="宋体" w:hAnsi="Arial" w:cs="Arial"/>
          <w:color w:val="000000"/>
          <w:kern w:val="0"/>
          <w:sz w:val="20"/>
          <w:szCs w:val="20"/>
          <w:lang w:bidi="ar"/>
        </w:rPr>
        <w:t>g and are made up of many of the same strong U.S. and non-U.S. competitors facing BCA and BDS along with other competitors in those markets. BGS leverages our extensive services network offering products and services which span the life cycle of our defens</w:t>
      </w:r>
      <w:r>
        <w:rPr>
          <w:rFonts w:ascii="Arial" w:eastAsia="宋体" w:hAnsi="Arial" w:cs="Arial"/>
          <w:color w:val="000000"/>
          <w:kern w:val="0"/>
          <w:sz w:val="20"/>
          <w:szCs w:val="20"/>
          <w:lang w:bidi="ar"/>
        </w:rPr>
        <w:t>e and commercial aircraft programs: training, fleet services and logistics, maintenance and engineering, modifications and upgrades, as well as the daily cycle of gate-to-gate operations. BGS expects the market to remain highly competitive in 2023, and int</w:t>
      </w:r>
      <w:r>
        <w:rPr>
          <w:rFonts w:ascii="Arial" w:eastAsia="宋体" w:hAnsi="Arial" w:cs="Arial"/>
          <w:color w:val="000000"/>
          <w:kern w:val="0"/>
          <w:sz w:val="20"/>
          <w:szCs w:val="20"/>
          <w:lang w:bidi="ar"/>
        </w:rPr>
        <w:t>ends to grow market share by leveraging a high level of customer satisfaction and productivity.</w:t>
      </w:r>
    </w:p>
    <w:p w14:paraId="4B75FF6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w:t>
      </w:r>
    </w:p>
    <w:p w14:paraId="4B75FF65" w14:textId="77777777" w:rsidR="0099058F" w:rsidRDefault="00EB2559">
      <w:pPr>
        <w:widowControl/>
        <w:jc w:val="center"/>
      </w:pPr>
      <w:r>
        <w:rPr>
          <w:rFonts w:ascii="宋体" w:eastAsia="宋体" w:hAnsi="宋体" w:cs="宋体"/>
          <w:kern w:val="0"/>
          <w:sz w:val="24"/>
        </w:rPr>
        <w:pict w14:anchorId="4B763BFA">
          <v:rect id="_x0000_i1029" style="width:6in;height:1.5pt" o:hralign="center" o:hrstd="t" o:hr="t" fillcolor="#a0a0a0" stroked="f"/>
        </w:pict>
      </w:r>
    </w:p>
    <w:p w14:paraId="4B75FF6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67"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Regulatory Matters</w:t>
      </w:r>
    </w:p>
    <w:p w14:paraId="4B75FF6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businesses are heavily regulated in most of our markets.</w:t>
      </w:r>
      <w:r>
        <w:rPr>
          <w:rFonts w:ascii="Arial" w:eastAsia="宋体" w:hAnsi="Arial" w:cs="Arial"/>
          <w:color w:val="000000"/>
          <w:kern w:val="0"/>
          <w:sz w:val="20"/>
          <w:szCs w:val="20"/>
          <w:lang w:bidi="ar"/>
        </w:rPr>
        <w:t xml:space="preserve"> We work with numerous U.S. government agencies and entities, including but not limited to, all of the branches of the U.S. military, the National Aeronautics and Space Administration (NASA), the Federal Aviation Administration (FAA) and the Department of </w:t>
      </w:r>
      <w:r>
        <w:rPr>
          <w:rFonts w:ascii="Arial" w:eastAsia="宋体" w:hAnsi="Arial" w:cs="Arial"/>
          <w:color w:val="000000"/>
          <w:kern w:val="0"/>
          <w:sz w:val="20"/>
          <w:szCs w:val="20"/>
          <w:lang w:bidi="ar"/>
        </w:rPr>
        <w:t>Homeland Security. Similar government authorities exist in our non-U.S. markets.</w:t>
      </w:r>
    </w:p>
    <w:p w14:paraId="4B75FF69"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Government Contracts.</w:t>
      </w:r>
      <w:r>
        <w:rPr>
          <w:rFonts w:ascii="Arial" w:eastAsia="宋体" w:hAnsi="Arial" w:cs="Arial"/>
          <w:color w:val="000000"/>
          <w:kern w:val="0"/>
          <w:sz w:val="20"/>
          <w:szCs w:val="20"/>
          <w:lang w:bidi="ar"/>
        </w:rPr>
        <w:t xml:space="preserve"> The U.S. government, and other governments, may terminate any of our government contracts at their convenience, as well as for default based on our failure to meet specified performance requirements. If any of our U.S. government contracts were to be term</w:t>
      </w:r>
      <w:r>
        <w:rPr>
          <w:rFonts w:ascii="Arial" w:eastAsia="宋体" w:hAnsi="Arial" w:cs="Arial"/>
          <w:color w:val="000000"/>
          <w:kern w:val="0"/>
          <w:sz w:val="20"/>
          <w:szCs w:val="20"/>
          <w:lang w:bidi="ar"/>
        </w:rPr>
        <w:t>inated for convenience, we generally would be entitled to receive payment for work completed and allowable termination or cancellation costs. If any of our government contracts were to be terminated for default, generally the U.S. government would pay only</w:t>
      </w:r>
      <w:r>
        <w:rPr>
          <w:rFonts w:ascii="Arial" w:eastAsia="宋体" w:hAnsi="Arial" w:cs="Arial"/>
          <w:color w:val="000000"/>
          <w:kern w:val="0"/>
          <w:sz w:val="20"/>
          <w:szCs w:val="20"/>
          <w:lang w:bidi="ar"/>
        </w:rPr>
        <w:t xml:space="preserve"> for the work that has been accepted and could require us to pay the difference between the original contract price and the cost to re-procure the contract items, net of the work accepted from the original contract. The U.S. government can also hold us lia</w:t>
      </w:r>
      <w:r>
        <w:rPr>
          <w:rFonts w:ascii="Arial" w:eastAsia="宋体" w:hAnsi="Arial" w:cs="Arial"/>
          <w:color w:val="000000"/>
          <w:kern w:val="0"/>
          <w:sz w:val="20"/>
          <w:szCs w:val="20"/>
          <w:lang w:bidi="ar"/>
        </w:rPr>
        <w:t>ble for damages resulting from the default.</w:t>
      </w:r>
    </w:p>
    <w:p w14:paraId="4B75FF6A"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Commercial Aircraft.</w:t>
      </w:r>
      <w:r>
        <w:rPr>
          <w:rFonts w:ascii="Arial" w:eastAsia="宋体" w:hAnsi="Arial" w:cs="Arial"/>
          <w:color w:val="000000"/>
          <w:kern w:val="0"/>
          <w:sz w:val="20"/>
          <w:szCs w:val="20"/>
          <w:lang w:bidi="ar"/>
        </w:rPr>
        <w:t xml:space="preserve"> In the U.S., our commercial aircraft products are required to comply with FAA regulations governing production and quality systems, airworthiness and installation approvals, repair procedures</w:t>
      </w:r>
      <w:r>
        <w:rPr>
          <w:rFonts w:ascii="Arial" w:eastAsia="宋体" w:hAnsi="Arial" w:cs="Arial"/>
          <w:color w:val="000000"/>
          <w:kern w:val="0"/>
          <w:sz w:val="20"/>
          <w:szCs w:val="20"/>
          <w:lang w:bidi="ar"/>
        </w:rPr>
        <w:t xml:space="preserve"> and continuing operational safety. New aircraft models and new derivative aircraft are required to obtain FAA certification prior to entry into service. Outside the U.S., similar requirements exist for airworthiness, installation and operational approvals</w:t>
      </w:r>
      <w:r>
        <w:rPr>
          <w:rFonts w:ascii="Arial" w:eastAsia="宋体" w:hAnsi="Arial" w:cs="Arial"/>
          <w:color w:val="000000"/>
          <w:kern w:val="0"/>
          <w:sz w:val="20"/>
          <w:szCs w:val="20"/>
          <w:lang w:bidi="ar"/>
        </w:rPr>
        <w:t>. These requirements are generally administered by the national aviation authorities of each country and, in the case of Europe, coordinated by the European Union Aviation Safety Agency.</w:t>
      </w:r>
    </w:p>
    <w:p w14:paraId="4B75FF6B"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Environmental.</w:t>
      </w:r>
      <w:r>
        <w:rPr>
          <w:rFonts w:ascii="Arial" w:eastAsia="宋体" w:hAnsi="Arial" w:cs="Arial"/>
          <w:color w:val="000000"/>
          <w:kern w:val="0"/>
          <w:sz w:val="20"/>
          <w:szCs w:val="20"/>
          <w:lang w:bidi="ar"/>
        </w:rPr>
        <w:t xml:space="preserve"> We are subject to various federal, state, local and no</w:t>
      </w:r>
      <w:r>
        <w:rPr>
          <w:rFonts w:ascii="Arial" w:eastAsia="宋体" w:hAnsi="Arial" w:cs="Arial"/>
          <w:color w:val="000000"/>
          <w:kern w:val="0"/>
          <w:sz w:val="20"/>
          <w:szCs w:val="20"/>
          <w:lang w:bidi="ar"/>
        </w:rPr>
        <w:t>n-U.S. laws and regulations relating to environmental protection, including the discharge, treatment, storage, disposal and remediation of hazardous substances and wastes. We could also be affected by laws and regulations relating to climate change, includ</w:t>
      </w:r>
      <w:r>
        <w:rPr>
          <w:rFonts w:ascii="Arial" w:eastAsia="宋体" w:hAnsi="Arial" w:cs="Arial"/>
          <w:color w:val="000000"/>
          <w:kern w:val="0"/>
          <w:sz w:val="20"/>
          <w:szCs w:val="20"/>
          <w:lang w:bidi="ar"/>
        </w:rPr>
        <w:t>ing laws limiting or otherwise related to greenhouse gas emissions. These laws and regulations could lead to increased environmental compliance expenditures, increased energy and raw materials costs and new and/or additional investment in designs and techn</w:t>
      </w:r>
      <w:r>
        <w:rPr>
          <w:rFonts w:ascii="Arial" w:eastAsia="宋体" w:hAnsi="Arial" w:cs="Arial"/>
          <w:color w:val="000000"/>
          <w:kern w:val="0"/>
          <w:sz w:val="20"/>
          <w:szCs w:val="20"/>
          <w:lang w:bidi="ar"/>
        </w:rPr>
        <w:t>ologies. We continually assess our compliance status and management of environmental matters to ensure our operations are in compliance with all applicable environmental laws and regulations. Investigation, remediation and operation and maintenance costs a</w:t>
      </w:r>
      <w:r>
        <w:rPr>
          <w:rFonts w:ascii="Arial" w:eastAsia="宋体" w:hAnsi="Arial" w:cs="Arial"/>
          <w:color w:val="000000"/>
          <w:kern w:val="0"/>
          <w:sz w:val="20"/>
          <w:szCs w:val="20"/>
          <w:lang w:bidi="ar"/>
        </w:rPr>
        <w:t>ssociated with environmental compliance and management of sites are a normal, recurring part of our operations. These costs often are allowable costs under our contracts with the U.S. government. It is reasonably possible that costs incurred to ensure cont</w:t>
      </w:r>
      <w:r>
        <w:rPr>
          <w:rFonts w:ascii="Arial" w:eastAsia="宋体" w:hAnsi="Arial" w:cs="Arial"/>
          <w:color w:val="000000"/>
          <w:kern w:val="0"/>
          <w:sz w:val="20"/>
          <w:szCs w:val="20"/>
          <w:lang w:bidi="ar"/>
        </w:rPr>
        <w:t>inued environmental compliance could have a material impact on our results of operations, financial condition or cash flows if additional work requirements or more stringent clean-up standards are imposed by regulators, new areas of soil, air and groundwat</w:t>
      </w:r>
      <w:r>
        <w:rPr>
          <w:rFonts w:ascii="Arial" w:eastAsia="宋体" w:hAnsi="Arial" w:cs="Arial"/>
          <w:color w:val="000000"/>
          <w:kern w:val="0"/>
          <w:sz w:val="20"/>
          <w:szCs w:val="20"/>
          <w:lang w:bidi="ar"/>
        </w:rPr>
        <w:t>er contamination are discovered and/or expansions of work scope are prompted by the results of investigations.</w:t>
      </w:r>
    </w:p>
    <w:p w14:paraId="4B75FF6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additional information relating to environmental contingencies, see Note 13 to our Consolidated Financial Statements.</w:t>
      </w:r>
    </w:p>
    <w:p w14:paraId="4B75FF6D" w14:textId="77777777" w:rsidR="0099058F" w:rsidRDefault="00EB2559">
      <w:pPr>
        <w:widowControl/>
        <w:spacing w:after="300"/>
        <w:rPr>
          <w:rFonts w:ascii="宋体" w:eastAsia="宋体" w:hAnsi="宋体" w:cs="宋体"/>
          <w:kern w:val="0"/>
          <w:sz w:val="24"/>
        </w:rPr>
      </w:pPr>
      <w:r>
        <w:rPr>
          <w:rFonts w:ascii="Arial" w:eastAsia="宋体" w:hAnsi="Arial" w:cs="Arial"/>
          <w:i/>
          <w:iCs/>
          <w:color w:val="000000"/>
          <w:kern w:val="0"/>
          <w:sz w:val="20"/>
          <w:szCs w:val="20"/>
          <w:lang w:bidi="ar"/>
        </w:rPr>
        <w:t>Non-U.S. Sales.</w:t>
      </w:r>
      <w:r>
        <w:rPr>
          <w:rFonts w:ascii="Arial" w:eastAsia="宋体" w:hAnsi="Arial" w:cs="Arial"/>
          <w:color w:val="000000"/>
          <w:kern w:val="0"/>
          <w:sz w:val="20"/>
          <w:szCs w:val="20"/>
          <w:lang w:bidi="ar"/>
        </w:rPr>
        <w:t xml:space="preserve"> Our non</w:t>
      </w:r>
      <w:r>
        <w:rPr>
          <w:rFonts w:ascii="Arial" w:eastAsia="宋体" w:hAnsi="Arial" w:cs="Arial"/>
          <w:color w:val="000000"/>
          <w:kern w:val="0"/>
          <w:sz w:val="20"/>
          <w:szCs w:val="20"/>
          <w:lang w:bidi="ar"/>
        </w:rPr>
        <w:t>-U.S. sales are subject to both U.S. and non-U.S. governmental regulations and procurement policies and practices, including regulations relating to import-export control, tariffs, investment, exchange controls, anti-corruption and repatriation of earnings</w:t>
      </w:r>
      <w:r>
        <w:rPr>
          <w:rFonts w:ascii="Arial" w:eastAsia="宋体" w:hAnsi="Arial" w:cs="Arial"/>
          <w:color w:val="000000"/>
          <w:kern w:val="0"/>
          <w:sz w:val="20"/>
          <w:szCs w:val="20"/>
          <w:lang w:bidi="ar"/>
        </w:rPr>
        <w:t>. Non-U.S. sales are also subject to varying currency, political and economic risks.</w:t>
      </w:r>
    </w:p>
    <w:p w14:paraId="4B75FF6E"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Raw Materials, Parts and Subassemblies</w:t>
      </w:r>
    </w:p>
    <w:p w14:paraId="4B75FF6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highly dependent on the availability of essential materials, parts and subassemblies from our suppliers and subcontractors. T</w:t>
      </w:r>
      <w:r>
        <w:rPr>
          <w:rFonts w:ascii="Arial" w:eastAsia="宋体" w:hAnsi="Arial" w:cs="Arial"/>
          <w:color w:val="000000"/>
          <w:kern w:val="0"/>
          <w:sz w:val="20"/>
          <w:szCs w:val="20"/>
          <w:lang w:bidi="ar"/>
        </w:rPr>
        <w:t xml:space="preserve">he most important raw materials required for our aerospace products </w:t>
      </w:r>
    </w:p>
    <w:p w14:paraId="4B75FF7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w:t>
      </w:r>
    </w:p>
    <w:p w14:paraId="4B75FF71" w14:textId="77777777" w:rsidR="0099058F" w:rsidRDefault="00EB2559">
      <w:pPr>
        <w:widowControl/>
        <w:jc w:val="center"/>
      </w:pPr>
      <w:r>
        <w:rPr>
          <w:rFonts w:ascii="宋体" w:eastAsia="宋体" w:hAnsi="宋体" w:cs="宋体"/>
          <w:kern w:val="0"/>
          <w:sz w:val="24"/>
        </w:rPr>
        <w:pict w14:anchorId="4B763BFB">
          <v:rect id="_x0000_i1030" style="width:6in;height:1.5pt" o:hralign="center" o:hrstd="t" o:hr="t" fillcolor="#a0a0a0" stroked="f"/>
        </w:pict>
      </w:r>
    </w:p>
    <w:p w14:paraId="4B75FF7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73"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are aluminum (sheet, plate, forgings and extrusions), titanium (sheet, plate, forgings and </w:t>
      </w:r>
      <w:r>
        <w:rPr>
          <w:rFonts w:ascii="Arial" w:eastAsia="宋体" w:hAnsi="Arial" w:cs="Arial"/>
          <w:color w:val="000000"/>
          <w:kern w:val="0"/>
          <w:sz w:val="20"/>
          <w:szCs w:val="20"/>
          <w:lang w:bidi="ar"/>
        </w:rPr>
        <w:t>extrusions) and composites (including carbon and boron). Although alternative sources generally exist for these raw materials, qualification of the sources could take a year or more. During 2022, as a result of the Russia Ukraine war, we suspended purchasi</w:t>
      </w:r>
      <w:r>
        <w:rPr>
          <w:rFonts w:ascii="Arial" w:eastAsia="宋体" w:hAnsi="Arial" w:cs="Arial"/>
          <w:color w:val="000000"/>
          <w:kern w:val="0"/>
          <w:sz w:val="20"/>
          <w:szCs w:val="20"/>
          <w:lang w:bidi="ar"/>
        </w:rPr>
        <w:t>ng titanium from Russia. This has not disrupted our operations as we have been able to use inventory on hand and identify alternative sources. Many major components and product equipment items are procured or subcontracted on a sole-source basis. We contin</w:t>
      </w:r>
      <w:r>
        <w:rPr>
          <w:rFonts w:ascii="Arial" w:eastAsia="宋体" w:hAnsi="Arial" w:cs="Arial"/>
          <w:color w:val="000000"/>
          <w:kern w:val="0"/>
          <w:sz w:val="20"/>
          <w:szCs w:val="20"/>
          <w:lang w:bidi="ar"/>
        </w:rPr>
        <w:t>ue to work with a small number of sole-source suppliers to ensure continuity of supply for certain items.</w:t>
      </w:r>
    </w:p>
    <w:p w14:paraId="4B75FF74"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Suppliers</w:t>
      </w:r>
    </w:p>
    <w:p w14:paraId="4B75FF75"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dependent upon the ability of a large number of U.S. and non-U.S. suppliers and subcontractors to meet performance specifications, qu</w:t>
      </w:r>
      <w:r>
        <w:rPr>
          <w:rFonts w:ascii="Arial" w:eastAsia="宋体" w:hAnsi="Arial" w:cs="Arial"/>
          <w:color w:val="000000"/>
          <w:kern w:val="0"/>
          <w:sz w:val="20"/>
          <w:szCs w:val="20"/>
          <w:lang w:bidi="ar"/>
        </w:rPr>
        <w:t>ality standards and delivery schedules at our anticipated costs. While we maintain an extensive qualification and performance surveillance system to control risk associated with such reliance on third parties, failure of suppliers or subcontractors to meet</w:t>
      </w:r>
      <w:r>
        <w:rPr>
          <w:rFonts w:ascii="Arial" w:eastAsia="宋体" w:hAnsi="Arial" w:cs="Arial"/>
          <w:color w:val="000000"/>
          <w:kern w:val="0"/>
          <w:sz w:val="20"/>
          <w:szCs w:val="20"/>
          <w:lang w:bidi="ar"/>
        </w:rPr>
        <w:t xml:space="preserve"> commitments could adversely affect production schedules and program/contract profitability, thereby jeopardizing our ability to fulfill commitments to our customers. We are also dependent on the availability of energy sources, such as electricity, at affo</w:t>
      </w:r>
      <w:r>
        <w:rPr>
          <w:rFonts w:ascii="Arial" w:eastAsia="宋体" w:hAnsi="Arial" w:cs="Arial"/>
          <w:color w:val="000000"/>
          <w:kern w:val="0"/>
          <w:sz w:val="20"/>
          <w:szCs w:val="20"/>
          <w:lang w:bidi="ar"/>
        </w:rPr>
        <w:t>rdable prices.</w:t>
      </w:r>
    </w:p>
    <w:p w14:paraId="4B75FF76"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Seasonality</w:t>
      </w:r>
    </w:p>
    <w:p w14:paraId="4B75FF77"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 material portion of our business is considered to be seasonal.</w:t>
      </w:r>
    </w:p>
    <w:p w14:paraId="4B75FF78"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Executive Officers of the Registrant</w:t>
      </w:r>
    </w:p>
    <w:p w14:paraId="4B75FF79"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“Item 10. Directors, Executive Officers and Corporate Governance” in Part III.</w:t>
      </w:r>
    </w:p>
    <w:p w14:paraId="4B75FF7A"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Other Information</w:t>
      </w:r>
    </w:p>
    <w:p w14:paraId="4B75FF7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Boeing was </w:t>
      </w:r>
      <w:r>
        <w:rPr>
          <w:rFonts w:ascii="Arial" w:eastAsia="宋体" w:hAnsi="Arial" w:cs="Arial"/>
          <w:color w:val="000000"/>
          <w:kern w:val="0"/>
          <w:sz w:val="20"/>
          <w:szCs w:val="20"/>
          <w:lang w:bidi="ar"/>
        </w:rPr>
        <w:t>originally incorporated in the State of Washington in 1916 and reincorporated in Delaware in 1934. Our principal executive offices are located at 929 Long Bridge Drive, Arlington, Virginia 22202, and our telephone number is (703) 465-3500.</w:t>
      </w:r>
    </w:p>
    <w:p w14:paraId="4B75FF7C"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General informat</w:t>
      </w:r>
      <w:r>
        <w:rPr>
          <w:rFonts w:ascii="Arial" w:eastAsia="宋体" w:hAnsi="Arial" w:cs="Arial"/>
          <w:color w:val="000000"/>
          <w:kern w:val="0"/>
          <w:sz w:val="20"/>
          <w:szCs w:val="20"/>
          <w:lang w:bidi="ar"/>
        </w:rPr>
        <w:t>ion about us can be found at www.boeing.com. The information contained on or connected to our website is not incorporated by reference into this Annual Report on Form 10-K and should not be considered part of this or any other report filed with the Securit</w:t>
      </w:r>
      <w:r>
        <w:rPr>
          <w:rFonts w:ascii="Arial" w:eastAsia="宋体" w:hAnsi="Arial" w:cs="Arial"/>
          <w:color w:val="000000"/>
          <w:kern w:val="0"/>
          <w:sz w:val="20"/>
          <w:szCs w:val="20"/>
          <w:lang w:bidi="ar"/>
        </w:rPr>
        <w:t>ies and Exchange Commission (SEC). Our Annual Report on Form 10-K, Quarterly Reports on Form 10-Q and Current Reports on Form 8-K, as well as any amendments to those reports, are available free of charge through our website as soon as reasonably practicabl</w:t>
      </w:r>
      <w:r>
        <w:rPr>
          <w:rFonts w:ascii="Arial" w:eastAsia="宋体" w:hAnsi="Arial" w:cs="Arial"/>
          <w:color w:val="000000"/>
          <w:kern w:val="0"/>
          <w:sz w:val="20"/>
          <w:szCs w:val="20"/>
          <w:lang w:bidi="ar"/>
        </w:rPr>
        <w:t>e after we file them with, or furnish them to, the SEC. The SEC maintains a website at www.sec.gov that contains reports, proxy statements and other information regarding SEC registrants, including Boeing.</w:t>
      </w:r>
    </w:p>
    <w:p w14:paraId="4B75FF7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p w14:paraId="4B75FF7E"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report, as well as</w:t>
      </w:r>
      <w:r>
        <w:rPr>
          <w:rFonts w:ascii="Arial" w:eastAsia="宋体" w:hAnsi="Arial" w:cs="Arial"/>
          <w:color w:val="000000"/>
          <w:kern w:val="0"/>
          <w:sz w:val="20"/>
          <w:szCs w:val="20"/>
          <w:lang w:bidi="ar"/>
        </w:rPr>
        <w:t xml:space="preserve"> our annual report to shareholders, quarterly reports and other filings we make with the SEC, press and earnings releases and other written and oral communications, contain “forward-looking statements” within the meaning of the Private Securities Litigatio</w:t>
      </w:r>
      <w:r>
        <w:rPr>
          <w:rFonts w:ascii="Arial" w:eastAsia="宋体" w:hAnsi="Arial" w:cs="Arial"/>
          <w:color w:val="000000"/>
          <w:kern w:val="0"/>
          <w:sz w:val="20"/>
          <w:szCs w:val="20"/>
          <w:lang w:bidi="ar"/>
        </w:rPr>
        <w:t>n Reform Act of 1995. Words such as “may,” “should,” “expects,” “intends,” “projects,” “plans,” “believes,” “estimates,” “targets,” “anticipates” and similar expressions generally identify these forward-looking statements. Examples of forward-looking state</w:t>
      </w:r>
      <w:r>
        <w:rPr>
          <w:rFonts w:ascii="Arial" w:eastAsia="宋体" w:hAnsi="Arial" w:cs="Arial"/>
          <w:color w:val="000000"/>
          <w:kern w:val="0"/>
          <w:sz w:val="20"/>
          <w:szCs w:val="20"/>
          <w:lang w:bidi="ar"/>
        </w:rPr>
        <w:t>ments include statements relating to our future financial condition and operating results, as well as any other statement that does not directly relate to any historical or current fact.</w:t>
      </w:r>
    </w:p>
    <w:p w14:paraId="4B75FF7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w:t>
      </w:r>
    </w:p>
    <w:p w14:paraId="4B75FF80" w14:textId="77777777" w:rsidR="0099058F" w:rsidRDefault="00EB2559">
      <w:pPr>
        <w:widowControl/>
        <w:jc w:val="center"/>
      </w:pPr>
      <w:r>
        <w:rPr>
          <w:rFonts w:ascii="宋体" w:eastAsia="宋体" w:hAnsi="宋体" w:cs="宋体"/>
          <w:kern w:val="0"/>
          <w:sz w:val="24"/>
        </w:rPr>
        <w:pict w14:anchorId="4B763BFC">
          <v:rect id="_x0000_i1031" style="width:6in;height:1.5pt" o:hralign="center" o:hrstd="t" o:hr="t" fillcolor="#a0a0a0" stroked="f"/>
        </w:pict>
      </w:r>
    </w:p>
    <w:p w14:paraId="4B75FF8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r>
          <w:rPr>
            <w:rStyle w:val="a4"/>
            <w:rFonts w:ascii="Arial" w:eastAsia="宋体" w:hAnsi="Arial" w:cs="Arial"/>
            <w:sz w:val="20"/>
            <w:szCs w:val="20"/>
          </w:rPr>
          <w:t>Contents</w:t>
        </w:r>
      </w:hyperlink>
    </w:p>
    <w:p w14:paraId="4B75FF82"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reasonable when made, but that may not prove to be accurate. These statements are not guarantees and are subject to risks, uncertainties and </w:t>
      </w:r>
      <w:r>
        <w:rPr>
          <w:rFonts w:ascii="Arial" w:eastAsia="宋体" w:hAnsi="Arial" w:cs="Arial"/>
          <w:color w:val="000000"/>
          <w:kern w:val="0"/>
          <w:sz w:val="20"/>
          <w:szCs w:val="20"/>
          <w:lang w:bidi="ar"/>
        </w:rPr>
        <w:t>changes in circumstances that are difficult to predict. Many factors, including those set forth in the “Risk Factors” section below and other important factors disclosed in this report and from time to time in our other filings with the SEC, could cause ac</w:t>
      </w:r>
      <w:r>
        <w:rPr>
          <w:rFonts w:ascii="Arial" w:eastAsia="宋体" w:hAnsi="Arial" w:cs="Arial"/>
          <w:color w:val="000000"/>
          <w:kern w:val="0"/>
          <w:sz w:val="20"/>
          <w:szCs w:val="20"/>
          <w:lang w:bidi="ar"/>
        </w:rPr>
        <w:t xml:space="preserve">tual results to differ materially and adversely from these forward-looking statements. Any forward-looking statement speaks only as of the date on which it is made, and we assume no obligation to update or revise any forward-looking statement whether as a </w:t>
      </w:r>
      <w:r>
        <w:rPr>
          <w:rFonts w:ascii="Arial" w:eastAsia="宋体" w:hAnsi="Arial" w:cs="Arial"/>
          <w:color w:val="000000"/>
          <w:kern w:val="0"/>
          <w:sz w:val="20"/>
          <w:szCs w:val="20"/>
          <w:lang w:bidi="ar"/>
        </w:rPr>
        <w:t>result of new information, future events or otherwise, except as required by law.</w:t>
      </w:r>
    </w:p>
    <w:p w14:paraId="4B75FF83"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4B75FF8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An investment in our common stock or debt securities involves risks and uncertainties and our actual results and future trends may differ materially fro</w:t>
      </w:r>
      <w:r>
        <w:rPr>
          <w:rFonts w:ascii="Arial" w:eastAsia="宋体" w:hAnsi="Arial" w:cs="Arial"/>
          <w:color w:val="000000"/>
          <w:kern w:val="0"/>
          <w:sz w:val="20"/>
          <w:szCs w:val="20"/>
          <w:lang w:bidi="ar"/>
        </w:rPr>
        <w:t>m our past or projected future performance. We urge investors to consider carefully the risk factors described below in evaluating the information contained in this report.</w:t>
      </w:r>
    </w:p>
    <w:p w14:paraId="4B75FF8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Our Business and Operations</w:t>
      </w:r>
    </w:p>
    <w:p w14:paraId="4B75FF86"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depend heavily on commercial airlin</w:t>
      </w:r>
      <w:r>
        <w:rPr>
          <w:rFonts w:ascii="Arial" w:eastAsia="宋体" w:hAnsi="Arial" w:cs="Arial"/>
          <w:b/>
          <w:bCs/>
          <w:i/>
          <w:iCs/>
          <w:color w:val="000000"/>
          <w:kern w:val="0"/>
          <w:sz w:val="20"/>
          <w:szCs w:val="20"/>
          <w:lang w:bidi="ar"/>
        </w:rPr>
        <w:t>es, subjecting us to unique risks.</w:t>
      </w:r>
    </w:p>
    <w:p w14:paraId="4B75FF87"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Market conditions have a significant impact on demand for our commercial aircraft and related services.</w:t>
      </w:r>
      <w:r>
        <w:rPr>
          <w:rFonts w:ascii="Arial" w:eastAsia="宋体" w:hAnsi="Arial" w:cs="Arial"/>
          <w:color w:val="000000"/>
          <w:kern w:val="0"/>
          <w:sz w:val="20"/>
          <w:szCs w:val="20"/>
          <w:lang w:bidi="ar"/>
        </w:rPr>
        <w:t xml:space="preserve"> The commercial aircraft market is predominantly driven by long-term trends in airline passenger and cargo traffic. Th</w:t>
      </w:r>
      <w:r>
        <w:rPr>
          <w:rFonts w:ascii="Arial" w:eastAsia="宋体" w:hAnsi="Arial" w:cs="Arial"/>
          <w:color w:val="000000"/>
          <w:kern w:val="0"/>
          <w:sz w:val="20"/>
          <w:szCs w:val="20"/>
          <w:lang w:bidi="ar"/>
        </w:rPr>
        <w:t>e principal factors underlying long-term traffic growth are sustained economic growth and political stability both in developed and emerging markets. Demand for our commercial aircraft is further influenced by airline profitability, availability of aircraf</w:t>
      </w:r>
      <w:r>
        <w:rPr>
          <w:rFonts w:ascii="Arial" w:eastAsia="宋体" w:hAnsi="Arial" w:cs="Arial"/>
          <w:color w:val="000000"/>
          <w:kern w:val="0"/>
          <w:sz w:val="20"/>
          <w:szCs w:val="20"/>
          <w:lang w:bidi="ar"/>
        </w:rPr>
        <w:t>t financing, world trade policies, government-to-government relations, technological advances, price and other competitive factors, fuel prices, terrorism, pandemics, epidemics and environmental regulations. Historically, the airline industry has been cycl</w:t>
      </w:r>
      <w:r>
        <w:rPr>
          <w:rFonts w:ascii="Arial" w:eastAsia="宋体" w:hAnsi="Arial" w:cs="Arial"/>
          <w:color w:val="000000"/>
          <w:kern w:val="0"/>
          <w:sz w:val="20"/>
          <w:szCs w:val="20"/>
          <w:lang w:bidi="ar"/>
        </w:rPr>
        <w:t>ical and very competitive and has experienced significant profit swings and constant challenges to be more cost competitive. Significant deterioration in the global economic environment, the airline industry generally or the financial stability of one or m</w:t>
      </w:r>
      <w:r>
        <w:rPr>
          <w:rFonts w:ascii="Arial" w:eastAsia="宋体" w:hAnsi="Arial" w:cs="Arial"/>
          <w:color w:val="000000"/>
          <w:kern w:val="0"/>
          <w:sz w:val="20"/>
          <w:szCs w:val="20"/>
          <w:lang w:bidi="ar"/>
        </w:rPr>
        <w:t xml:space="preserve">ore of our major customers could result in fewer new orders for aircraft or services, or could cause customers to seek to postpone or cancel contractual orders and/or payments to us, which could result in lower revenues, profitability and cash flows and a </w:t>
      </w:r>
      <w:r>
        <w:rPr>
          <w:rFonts w:ascii="Arial" w:eastAsia="宋体" w:hAnsi="Arial" w:cs="Arial"/>
          <w:color w:val="000000"/>
          <w:kern w:val="0"/>
          <w:sz w:val="20"/>
          <w:szCs w:val="20"/>
          <w:lang w:bidi="ar"/>
        </w:rPr>
        <w:t>reduction in our contractual backlog. In addition, because our commercial aircraft backlog consists of aircraft scheduled for delivery over a period of several years, any of these macroeconomic, industry or customer impacts could unexpectedly affect delive</w:t>
      </w:r>
      <w:r>
        <w:rPr>
          <w:rFonts w:ascii="Arial" w:eastAsia="宋体" w:hAnsi="Arial" w:cs="Arial"/>
          <w:color w:val="000000"/>
          <w:kern w:val="0"/>
          <w:sz w:val="20"/>
          <w:szCs w:val="20"/>
          <w:lang w:bidi="ar"/>
        </w:rPr>
        <w:t>ries over a long period.</w:t>
      </w:r>
    </w:p>
    <w:p w14:paraId="4B75FF88"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enter into firm fixed-price aircraft sales contracts with indexed price escalation clauses, which could subject us to losses if we have cost overruns or if increases in our costs exceed the applicable escalation rate.</w:t>
      </w:r>
      <w:r>
        <w:rPr>
          <w:rFonts w:ascii="Arial" w:eastAsia="宋体" w:hAnsi="Arial" w:cs="Arial"/>
          <w:color w:val="000000"/>
          <w:kern w:val="0"/>
          <w:sz w:val="20"/>
          <w:szCs w:val="20"/>
          <w:lang w:bidi="ar"/>
        </w:rPr>
        <w:t xml:space="preserve"> Commercial</w:t>
      </w:r>
      <w:r>
        <w:rPr>
          <w:rFonts w:ascii="Arial" w:eastAsia="宋体" w:hAnsi="Arial" w:cs="Arial"/>
          <w:color w:val="000000"/>
          <w:kern w:val="0"/>
          <w:sz w:val="20"/>
          <w:szCs w:val="20"/>
          <w:lang w:bidi="ar"/>
        </w:rPr>
        <w:t xml:space="preserve"> aircraft sales contracts are often entered into years before the aircraft are delivered. In order to help account for economic fluctuations between the contract date and delivery date, aircraft pricing generally consists of a fixed amount as modified by p</w:t>
      </w:r>
      <w:r>
        <w:rPr>
          <w:rFonts w:ascii="Arial" w:eastAsia="宋体" w:hAnsi="Arial" w:cs="Arial"/>
          <w:color w:val="000000"/>
          <w:kern w:val="0"/>
          <w:sz w:val="20"/>
          <w:szCs w:val="20"/>
          <w:lang w:bidi="ar"/>
        </w:rPr>
        <w:t>rice escalation formulas derived from labor, commodity and other price indices. Our revenue estimates are based on current expectations with respect to these escalation formulas, but the actual escalation amounts are outside of our control. Escalation fact</w:t>
      </w:r>
      <w:r>
        <w:rPr>
          <w:rFonts w:ascii="Arial" w:eastAsia="宋体" w:hAnsi="Arial" w:cs="Arial"/>
          <w:color w:val="000000"/>
          <w:kern w:val="0"/>
          <w:sz w:val="20"/>
          <w:szCs w:val="20"/>
          <w:lang w:bidi="ar"/>
        </w:rPr>
        <w:t>ors can fluctuate significantly from period to period. Changes in escalation amounts can significantly impact revenues and operating margins in our Commercial Airplanes business.</w:t>
      </w:r>
    </w:p>
    <w:p w14:paraId="4B75FF89"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derive a significant portion of our revenues from a limited number of comm</w:t>
      </w:r>
      <w:r>
        <w:rPr>
          <w:rFonts w:ascii="Arial" w:eastAsia="宋体" w:hAnsi="Arial" w:cs="Arial"/>
          <w:i/>
          <w:iCs/>
          <w:color w:val="000000"/>
          <w:kern w:val="0"/>
          <w:sz w:val="20"/>
          <w:szCs w:val="20"/>
          <w:lang w:bidi="ar"/>
        </w:rPr>
        <w:t>ercial airlines.</w:t>
      </w:r>
      <w:r>
        <w:rPr>
          <w:rFonts w:ascii="Arial" w:eastAsia="宋体" w:hAnsi="Arial" w:cs="Arial"/>
          <w:color w:val="000000"/>
          <w:kern w:val="0"/>
          <w:sz w:val="20"/>
          <w:szCs w:val="20"/>
          <w:lang w:bidi="ar"/>
        </w:rPr>
        <w:t xml:space="preserve"> We can make no assurance that any customer will exercise purchase options, fulfill existing purchase commitments or purchase additional products or services from us. In addition, fleet decisions, airline consolidations or financial challen</w:t>
      </w:r>
      <w:r>
        <w:rPr>
          <w:rFonts w:ascii="Arial" w:eastAsia="宋体" w:hAnsi="Arial" w:cs="Arial"/>
          <w:color w:val="000000"/>
          <w:kern w:val="0"/>
          <w:sz w:val="20"/>
          <w:szCs w:val="20"/>
          <w:lang w:bidi="ar"/>
        </w:rPr>
        <w:t xml:space="preserve">ges involving any of our major commercial airline customers could significantly reduce our revenues and limit our opportunity to generate profits from those customers. </w:t>
      </w:r>
    </w:p>
    <w:p w14:paraId="4B75FF8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w:t>
      </w:r>
    </w:p>
    <w:p w14:paraId="4B75FF8B" w14:textId="77777777" w:rsidR="0099058F" w:rsidRDefault="00EB2559">
      <w:pPr>
        <w:widowControl/>
        <w:jc w:val="center"/>
      </w:pPr>
      <w:r>
        <w:rPr>
          <w:rFonts w:ascii="宋体" w:eastAsia="宋体" w:hAnsi="宋体" w:cs="宋体"/>
          <w:kern w:val="0"/>
          <w:sz w:val="24"/>
        </w:rPr>
        <w:pict w14:anchorId="4B763BFD">
          <v:rect id="_x0000_i1032" style="width:6in;height:1.5pt" o:hralign="center" o:hrstd="t" o:hr="t" fillcolor="#a0a0a0" stroked="f"/>
        </w:pict>
      </w:r>
    </w:p>
    <w:p w14:paraId="4B75FF8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8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Airlines also are experiencing increased fuel and other costs, and the global economy is experiencing high inflation.</w:t>
      </w:r>
    </w:p>
    <w:p w14:paraId="4B75FF8E"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Our Commercial Airplanes business depends on our ability to m</w:t>
      </w:r>
      <w:r>
        <w:rPr>
          <w:rFonts w:ascii="Arial" w:eastAsia="宋体" w:hAnsi="Arial" w:cs="Arial"/>
          <w:b/>
          <w:bCs/>
          <w:i/>
          <w:iCs/>
          <w:color w:val="000000"/>
          <w:kern w:val="0"/>
          <w:sz w:val="20"/>
          <w:szCs w:val="20"/>
          <w:lang w:bidi="ar"/>
        </w:rPr>
        <w:t>aintain a healthy production system, ensure every airplane in our production system conforms to our exacting specifications, achieve planned production rate targets, successfully develop and certify new aircraft or new derivative aircraft, and meet or exce</w:t>
      </w:r>
      <w:r>
        <w:rPr>
          <w:rFonts w:ascii="Arial" w:eastAsia="宋体" w:hAnsi="Arial" w:cs="Arial"/>
          <w:b/>
          <w:bCs/>
          <w:i/>
          <w:iCs/>
          <w:color w:val="000000"/>
          <w:kern w:val="0"/>
          <w:sz w:val="20"/>
          <w:szCs w:val="20"/>
          <w:lang w:bidi="ar"/>
        </w:rPr>
        <w:t xml:space="preserve">ed stringent performance and reliability standards. </w:t>
      </w:r>
    </w:p>
    <w:p w14:paraId="4B75FF8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commercial aircraft business is extremely complex, involving extensive coordination and integration with U.S and non-U.S. suppliers, highly-skilled labor performed by thousands of employees of ours a</w:t>
      </w:r>
      <w:r>
        <w:rPr>
          <w:rFonts w:ascii="Arial" w:eastAsia="宋体" w:hAnsi="Arial" w:cs="Arial"/>
          <w:color w:val="000000"/>
          <w:kern w:val="0"/>
          <w:sz w:val="20"/>
          <w:szCs w:val="20"/>
          <w:lang w:bidi="ar"/>
        </w:rPr>
        <w:t>nd other partners, and stringent and evolving regulatory requirements and performance and reliability standards. The FAA has been working to implement safety reforms such as the 2018 FAA Reauthorization Act and the 2020 Aircraft Certification, Safety and A</w:t>
      </w:r>
      <w:r>
        <w:rPr>
          <w:rFonts w:ascii="Arial" w:eastAsia="宋体" w:hAnsi="Arial" w:cs="Arial"/>
          <w:color w:val="000000"/>
          <w:kern w:val="0"/>
          <w:sz w:val="20"/>
          <w:szCs w:val="20"/>
          <w:lang w:bidi="ar"/>
        </w:rPr>
        <w:t>ccountability Act (ACSAA). One of these, section 116 of the ACSAA prohibited the FAA from issuing a type certificate to aircraft after December 27, 2022 unless the aircraft’s flight crew alerting system met certain specifications. The Consolidated Appropri</w:t>
      </w:r>
      <w:r>
        <w:rPr>
          <w:rFonts w:ascii="Arial" w:eastAsia="宋体" w:hAnsi="Arial" w:cs="Arial"/>
          <w:color w:val="000000"/>
          <w:kern w:val="0"/>
          <w:sz w:val="20"/>
          <w:szCs w:val="20"/>
          <w:lang w:bidi="ar"/>
        </w:rPr>
        <w:t>ations Act, 2023 amended Section 116 of the ACSAA, such that applications for original or amended type certifications that were submitted to the FAA prior to December 27, 2020, including those of the 737-7 and 737-10, are no longer subject to the crew aler</w:t>
      </w:r>
      <w:r>
        <w:rPr>
          <w:rFonts w:ascii="Arial" w:eastAsia="宋体" w:hAnsi="Arial" w:cs="Arial"/>
          <w:color w:val="000000"/>
          <w:kern w:val="0"/>
          <w:sz w:val="20"/>
          <w:szCs w:val="20"/>
          <w:lang w:bidi="ar"/>
        </w:rPr>
        <w:t>ting specifications of Section 116. Additionally, beginning one year after the FAA issues the type certificate for the 737-10, any new 737 MAX aircraft must include certain safety enhancements to be issued an original airworthiness certification by the FAA</w:t>
      </w:r>
      <w:r>
        <w:rPr>
          <w:rFonts w:ascii="Arial" w:eastAsia="宋体" w:hAnsi="Arial" w:cs="Arial"/>
          <w:color w:val="000000"/>
          <w:kern w:val="0"/>
          <w:sz w:val="20"/>
          <w:szCs w:val="20"/>
          <w:lang w:bidi="ar"/>
        </w:rPr>
        <w:t>. These enhancements are included in Boeing’s application for the certification for the 737-10, and the sufficiency of these enhancements will be determined by the FAA. Beginning three years after the issuance of a type certificate for the 737-10, all prev</w:t>
      </w:r>
      <w:r>
        <w:rPr>
          <w:rFonts w:ascii="Arial" w:eastAsia="宋体" w:hAnsi="Arial" w:cs="Arial"/>
          <w:color w:val="000000"/>
          <w:kern w:val="0"/>
          <w:sz w:val="20"/>
          <w:szCs w:val="20"/>
          <w:lang w:bidi="ar"/>
        </w:rPr>
        <w:t xml:space="preserve">iously delivered 737 MAX aircraft must be retrofitted with these safety enhancements. As the holder of the type certificate, Boeing is required to bear any costs of these safety enhancement retrofits. We have provisioned for the estimated costs associated </w:t>
      </w:r>
      <w:r>
        <w:rPr>
          <w:rFonts w:ascii="Arial" w:eastAsia="宋体" w:hAnsi="Arial" w:cs="Arial"/>
          <w:color w:val="000000"/>
          <w:kern w:val="0"/>
          <w:sz w:val="20"/>
          <w:szCs w:val="20"/>
          <w:lang w:bidi="ar"/>
        </w:rPr>
        <w:t>with the safety enhancements and do not expect those costs to be material. If we experience delays in achieving certification and/or incorporating safety enhancements, future revenues, cash flows and results of operations could be adversely impacted. Compa</w:t>
      </w:r>
      <w:r>
        <w:rPr>
          <w:rFonts w:ascii="Arial" w:eastAsia="宋体" w:hAnsi="Arial" w:cs="Arial"/>
          <w:color w:val="000000"/>
          <w:kern w:val="0"/>
          <w:sz w:val="20"/>
          <w:szCs w:val="20"/>
          <w:lang w:bidi="ar"/>
        </w:rPr>
        <w:t>rable agencies in other countries may adopt similar changes. To the extent the FAA or similar regulatory agencies outside the U.S. implement more stringent regulations, we may incur additional compliance costs. In addition, the introduction of new aircraft</w:t>
      </w:r>
      <w:r>
        <w:rPr>
          <w:rFonts w:ascii="Arial" w:eastAsia="宋体" w:hAnsi="Arial" w:cs="Arial"/>
          <w:color w:val="000000"/>
          <w:kern w:val="0"/>
          <w:sz w:val="20"/>
          <w:szCs w:val="20"/>
          <w:lang w:bidi="ar"/>
        </w:rPr>
        <w:t xml:space="preserve"> programs and/or derivatives, such as the 777X, 737-7 and 737-10, involves increased risks associated with meeting development, testing, certification and production schedules. </w:t>
      </w:r>
    </w:p>
    <w:p w14:paraId="4B75FF9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have experienced production quality issues, including in our s</w:t>
      </w:r>
      <w:r>
        <w:rPr>
          <w:rFonts w:ascii="Arial" w:eastAsia="宋体" w:hAnsi="Arial" w:cs="Arial"/>
          <w:color w:val="000000"/>
          <w:kern w:val="0"/>
          <w:sz w:val="20"/>
          <w:szCs w:val="20"/>
          <w:lang w:bidi="ar"/>
        </w:rPr>
        <w:t>upply chain, which have contributed to lower 787 deliveries, including a suspension of 787 deliveries from May 2021 to August 2022. We continue to conduct inspections and rework on built and stored 787 aircraft. A number of our customers have contractual r</w:t>
      </w:r>
      <w:r>
        <w:rPr>
          <w:rFonts w:ascii="Arial" w:eastAsia="宋体" w:hAnsi="Arial" w:cs="Arial"/>
          <w:color w:val="000000"/>
          <w:kern w:val="0"/>
          <w:sz w:val="20"/>
          <w:szCs w:val="20"/>
          <w:lang w:bidi="ar"/>
        </w:rPr>
        <w:t>emedies, including compensation for late deliveries or rights to reject individual airplane deliveries based on delivery delays. Delays on the 737, 777X and 787 programs have resulted in, and may continue to result in, customers having the right to termina</w:t>
      </w:r>
      <w:r>
        <w:rPr>
          <w:rFonts w:ascii="Arial" w:eastAsia="宋体" w:hAnsi="Arial" w:cs="Arial"/>
          <w:color w:val="000000"/>
          <w:kern w:val="0"/>
          <w:sz w:val="20"/>
          <w:szCs w:val="20"/>
          <w:lang w:bidi="ar"/>
        </w:rPr>
        <w:t>te orders, be compensated for late deliveries and/or substitute orders for other Boeing aircraft.</w:t>
      </w:r>
    </w:p>
    <w:p w14:paraId="4B75FF91"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must minimize disruption caused by production changes, achieve operational stability and implement productivity improvements in order to meet customer dema</w:t>
      </w:r>
      <w:r>
        <w:rPr>
          <w:rFonts w:ascii="Arial" w:eastAsia="宋体" w:hAnsi="Arial" w:cs="Arial"/>
          <w:i/>
          <w:iCs/>
          <w:color w:val="000000"/>
          <w:kern w:val="0"/>
          <w:sz w:val="20"/>
          <w:szCs w:val="20"/>
          <w:lang w:bidi="ar"/>
        </w:rPr>
        <w:t xml:space="preserve">nd and maintain our profitability. </w:t>
      </w:r>
      <w:r>
        <w:rPr>
          <w:rFonts w:ascii="Arial" w:eastAsia="宋体" w:hAnsi="Arial" w:cs="Arial"/>
          <w:color w:val="000000"/>
          <w:kern w:val="0"/>
          <w:sz w:val="20"/>
          <w:szCs w:val="20"/>
          <w:lang w:bidi="ar"/>
        </w:rPr>
        <w:t>We have previously announced plans to adjust production rates on several of our commercial aircraft programs. The 787 program is currently producing at low rates and we expect to gradually increase to 5 per month in 2023. Production of the 777X is currentl</w:t>
      </w:r>
      <w:r>
        <w:rPr>
          <w:rFonts w:ascii="Arial" w:eastAsia="宋体" w:hAnsi="Arial" w:cs="Arial"/>
          <w:color w:val="000000"/>
          <w:kern w:val="0"/>
          <w:sz w:val="20"/>
          <w:szCs w:val="20"/>
          <w:lang w:bidi="ar"/>
        </w:rPr>
        <w:t>y paused and is expected to resume in 2023. The 737 program has experienced operational and supply chain challenges stabilizing production at 31 per month. We plan to gradually increase 737 production rates based on market demand and supply chain capacity.</w:t>
      </w:r>
      <w:r>
        <w:rPr>
          <w:rFonts w:ascii="Arial" w:eastAsia="宋体" w:hAnsi="Arial" w:cs="Arial"/>
          <w:color w:val="000000"/>
          <w:kern w:val="0"/>
          <w:sz w:val="20"/>
          <w:szCs w:val="20"/>
          <w:lang w:bidi="ar"/>
        </w:rPr>
        <w:t xml:space="preserve"> In addition, we continue to seek opportunities to reduce the costs of building our aircraft, including working with our suppliers to reduce supplier costs, identifying and implementing productivity improvements and optimizing how we manage inventory. If p</w:t>
      </w:r>
      <w:r>
        <w:rPr>
          <w:rFonts w:ascii="Arial" w:eastAsia="宋体" w:hAnsi="Arial" w:cs="Arial"/>
          <w:color w:val="000000"/>
          <w:kern w:val="0"/>
          <w:sz w:val="20"/>
          <w:szCs w:val="20"/>
          <w:lang w:bidi="ar"/>
        </w:rPr>
        <w:t xml:space="preserve">roduction rate changes at any of our </w:t>
      </w:r>
    </w:p>
    <w:p w14:paraId="4B75FF9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w:t>
      </w:r>
    </w:p>
    <w:p w14:paraId="4B75FF93" w14:textId="77777777" w:rsidR="0099058F" w:rsidRDefault="00EB2559">
      <w:pPr>
        <w:widowControl/>
        <w:jc w:val="center"/>
      </w:pPr>
      <w:r>
        <w:rPr>
          <w:rFonts w:ascii="宋体" w:eastAsia="宋体" w:hAnsi="宋体" w:cs="宋体"/>
          <w:kern w:val="0"/>
          <w:sz w:val="24"/>
        </w:rPr>
        <w:pict w14:anchorId="4B763BFE">
          <v:rect id="_x0000_i1033" style="width:6in;height:1.5pt" o:hralign="center" o:hrstd="t" o:hr="t" fillcolor="#a0a0a0" stroked="f"/>
        </w:pict>
      </w:r>
    </w:p>
    <w:p w14:paraId="4B75FF9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9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aircraft assembly facilities are delayed or create significant disruption to our production system, or if our </w:t>
      </w:r>
      <w:r>
        <w:rPr>
          <w:rFonts w:ascii="Arial" w:eastAsia="宋体" w:hAnsi="Arial" w:cs="Arial"/>
          <w:color w:val="000000"/>
          <w:kern w:val="0"/>
          <w:sz w:val="20"/>
          <w:szCs w:val="20"/>
          <w:lang w:bidi="ar"/>
        </w:rPr>
        <w:t>suppliers cannot timely deliver components to us at the cost and rates necessary to achieve our targets, we may be unable to meet delivery schedules and/or the financial performance of one or more of our programs may suffer.</w:t>
      </w:r>
    </w:p>
    <w:p w14:paraId="4B75FF96"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Operational challenges impactin</w:t>
      </w:r>
      <w:r>
        <w:rPr>
          <w:rFonts w:ascii="Arial" w:eastAsia="宋体" w:hAnsi="Arial" w:cs="Arial"/>
          <w:i/>
          <w:iCs/>
          <w:color w:val="000000"/>
          <w:kern w:val="0"/>
          <w:sz w:val="20"/>
          <w:szCs w:val="20"/>
          <w:lang w:bidi="ar"/>
        </w:rPr>
        <w:t xml:space="preserve">g the production system for one or more of our commercial aircraft programs could result in additional production delays and/or failure to meet customer demand for new aircraft, either of which would negatively impact our revenues and operating margins. </w:t>
      </w:r>
      <w:r>
        <w:rPr>
          <w:rFonts w:ascii="Arial" w:eastAsia="宋体" w:hAnsi="Arial" w:cs="Arial"/>
          <w:color w:val="000000"/>
          <w:kern w:val="0"/>
          <w:sz w:val="20"/>
          <w:szCs w:val="20"/>
          <w:lang w:bidi="ar"/>
        </w:rPr>
        <w:t>Ou</w:t>
      </w:r>
      <w:r>
        <w:rPr>
          <w:rFonts w:ascii="Arial" w:eastAsia="宋体" w:hAnsi="Arial" w:cs="Arial"/>
          <w:color w:val="000000"/>
          <w:kern w:val="0"/>
          <w:sz w:val="20"/>
          <w:szCs w:val="20"/>
          <w:lang w:bidi="ar"/>
        </w:rPr>
        <w:t>r commercial aircraft production system is extremely complex. Operational issues, including delays or defects in supplier components, failure to meet internal performance plans, or delays or failures to achieve required regulatory approval, could result in</w:t>
      </w:r>
      <w:r>
        <w:rPr>
          <w:rFonts w:ascii="Arial" w:eastAsia="宋体" w:hAnsi="Arial" w:cs="Arial"/>
          <w:color w:val="000000"/>
          <w:kern w:val="0"/>
          <w:sz w:val="20"/>
          <w:szCs w:val="20"/>
          <w:lang w:bidi="ar"/>
        </w:rPr>
        <w:t xml:space="preserve"> additional out-of-sequence work and increased production costs, as well as delayed deliveries to customers, impacts to aircraft performance and/or increased warranty or fleet support costs. We and our suppliers are experiencing supply chain disruptions as</w:t>
      </w:r>
      <w:r>
        <w:rPr>
          <w:rFonts w:ascii="Arial" w:eastAsia="宋体" w:hAnsi="Arial" w:cs="Arial"/>
          <w:color w:val="000000"/>
          <w:kern w:val="0"/>
          <w:sz w:val="20"/>
          <w:szCs w:val="20"/>
          <w:lang w:bidi="ar"/>
        </w:rPr>
        <w:t xml:space="preserve"> a result of the lingering impacts of COVID-19, global supply chain constraints, and labor instability. We and our suppliers are also experiencing inflationary pressures. We continue to monitor the health and stability of the supply chain as we ramp up pro</w:t>
      </w:r>
      <w:r>
        <w:rPr>
          <w:rFonts w:ascii="Arial" w:eastAsia="宋体" w:hAnsi="Arial" w:cs="Arial"/>
          <w:color w:val="000000"/>
          <w:kern w:val="0"/>
          <w:sz w:val="20"/>
          <w:szCs w:val="20"/>
          <w:lang w:bidi="ar"/>
        </w:rPr>
        <w:t>duction. These factors have reduced overall productivity and adversely impacted our financial position, results of operations and cash flows.</w:t>
      </w:r>
    </w:p>
    <w:p w14:paraId="4B75FF97"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If our commercial aircraft fail to satisfy performance and reliability requirements and/or potentially required su</w:t>
      </w:r>
      <w:r>
        <w:rPr>
          <w:rFonts w:ascii="Arial" w:eastAsia="宋体" w:hAnsi="Arial" w:cs="Arial"/>
          <w:i/>
          <w:iCs/>
          <w:color w:val="000000"/>
          <w:kern w:val="0"/>
          <w:sz w:val="20"/>
          <w:szCs w:val="20"/>
          <w:lang w:bidi="ar"/>
        </w:rPr>
        <w:t xml:space="preserve">stainability standards, we could face additional costs and/or lower revenues. </w:t>
      </w:r>
      <w:r>
        <w:rPr>
          <w:rFonts w:ascii="Arial" w:eastAsia="宋体" w:hAnsi="Arial" w:cs="Arial"/>
          <w:color w:val="000000"/>
          <w:kern w:val="0"/>
          <w:sz w:val="20"/>
          <w:szCs w:val="20"/>
          <w:lang w:bidi="ar"/>
        </w:rPr>
        <w:t>Developing and manufacturing commercial aircraft that meet or exceed our performance and reliability standards and/or potentially required sustainability standards, as well as th</w:t>
      </w:r>
      <w:r>
        <w:rPr>
          <w:rFonts w:ascii="Arial" w:eastAsia="宋体" w:hAnsi="Arial" w:cs="Arial"/>
          <w:color w:val="000000"/>
          <w:kern w:val="0"/>
          <w:sz w:val="20"/>
          <w:szCs w:val="20"/>
          <w:lang w:bidi="ar"/>
        </w:rPr>
        <w:t>ose of customers and regulatory agencies, can be costly and technologically challenging. These challenges are particularly significant with newer aircraft programs. Any failure of any Boeing aircraft to satisfy performance or reliability requirements could</w:t>
      </w:r>
      <w:r>
        <w:rPr>
          <w:rFonts w:ascii="Arial" w:eastAsia="宋体" w:hAnsi="Arial" w:cs="Arial"/>
          <w:color w:val="000000"/>
          <w:kern w:val="0"/>
          <w:sz w:val="20"/>
          <w:szCs w:val="20"/>
          <w:lang w:bidi="ar"/>
        </w:rPr>
        <w:t xml:space="preserve"> result in disruption to our operations, higher costs and/or lower revenues.</w:t>
      </w:r>
    </w:p>
    <w:p w14:paraId="4B75FF98"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Changes in levels of U.S. government defense spending or acquisition priorities could negatively impact our financial position and results of operations.</w:t>
      </w:r>
    </w:p>
    <w:p w14:paraId="4B75FF9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derive a </w:t>
      </w:r>
      <w:r>
        <w:rPr>
          <w:rFonts w:ascii="Arial" w:eastAsia="宋体" w:hAnsi="Arial" w:cs="Arial"/>
          <w:color w:val="000000"/>
          <w:kern w:val="0"/>
          <w:sz w:val="20"/>
          <w:szCs w:val="20"/>
          <w:lang w:bidi="ar"/>
        </w:rPr>
        <w:t>substantial portion of our revenue from the U.S. government, primarily from defense related programs with the United States Department of Defense (U.S. DoD). Levels of U.S. defense spending are very difficult to predict and may be impacted by numerous fact</w:t>
      </w:r>
      <w:r>
        <w:rPr>
          <w:rFonts w:ascii="Arial" w:eastAsia="宋体" w:hAnsi="Arial" w:cs="Arial"/>
          <w:color w:val="000000"/>
          <w:kern w:val="0"/>
          <w:sz w:val="20"/>
          <w:szCs w:val="20"/>
          <w:lang w:bidi="ar"/>
        </w:rPr>
        <w:t>ors such as the evolving nature of the national security threat environment, U.S. national security strategy, U.S. foreign policy, the domestic political environment, macroeconomic conditions and the ability of the U.S. government to enact relevant legisla</w:t>
      </w:r>
      <w:r>
        <w:rPr>
          <w:rFonts w:ascii="Arial" w:eastAsia="宋体" w:hAnsi="Arial" w:cs="Arial"/>
          <w:color w:val="000000"/>
          <w:kern w:val="0"/>
          <w:sz w:val="20"/>
          <w:szCs w:val="20"/>
          <w:lang w:bidi="ar"/>
        </w:rPr>
        <w:t>tion such as authorization and appropriations bills.</w:t>
      </w:r>
    </w:p>
    <w:p w14:paraId="4B75FF9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timeliness of FY24 and future appropriations for government departments and agencies remains a recurrent risk. A lapse in appropriations for government departments or agencies would result in a full </w:t>
      </w:r>
      <w:r>
        <w:rPr>
          <w:rFonts w:ascii="Arial" w:eastAsia="宋体" w:hAnsi="Arial" w:cs="Arial"/>
          <w:color w:val="000000"/>
          <w:kern w:val="0"/>
          <w:sz w:val="20"/>
          <w:szCs w:val="20"/>
          <w:lang w:bidi="ar"/>
        </w:rPr>
        <w:t>or partial government shutdown, which could impact the Company’s operations. Alternatively, Congress may fund government departments and agencies with one or more Continuing Resolutions; however, this would restrict the execution of certain program activit</w:t>
      </w:r>
      <w:r>
        <w:rPr>
          <w:rFonts w:ascii="Arial" w:eastAsia="宋体" w:hAnsi="Arial" w:cs="Arial"/>
          <w:color w:val="000000"/>
          <w:kern w:val="0"/>
          <w:sz w:val="20"/>
          <w:szCs w:val="20"/>
          <w:lang w:bidi="ar"/>
        </w:rPr>
        <w:t>ies and delay new programs or competitions. In addition, long-term uncertainty remains with respect to overall levels of defense spending in FY24 and beyond. U.S. government discretionary spending, including defense spending, is likely to continue to be su</w:t>
      </w:r>
      <w:r>
        <w:rPr>
          <w:rFonts w:ascii="Arial" w:eastAsia="宋体" w:hAnsi="Arial" w:cs="Arial"/>
          <w:color w:val="000000"/>
          <w:kern w:val="0"/>
          <w:sz w:val="20"/>
          <w:szCs w:val="20"/>
          <w:lang w:bidi="ar"/>
        </w:rPr>
        <w:t>bject to pressure.</w:t>
      </w:r>
    </w:p>
    <w:p w14:paraId="4B75FF9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There continues to be uncertainty with respect to future acquisition priorities and program-level appropriations for the U.S. DoD and other government agencies (including NASA), including changes to national security and defense prioriti</w:t>
      </w:r>
      <w:r>
        <w:rPr>
          <w:rFonts w:ascii="Arial" w:eastAsia="宋体" w:hAnsi="Arial" w:cs="Arial"/>
          <w:color w:val="000000"/>
          <w:kern w:val="0"/>
          <w:sz w:val="20"/>
          <w:szCs w:val="20"/>
          <w:lang w:bidi="ar"/>
        </w:rPr>
        <w:t>es, and tension between modernization investments, sustainment investments, and investments in new technologies or emergent capabilities. Future investment priority changes or budget cuts, including changes associated with the authorizations and appropriat</w:t>
      </w:r>
      <w:r>
        <w:rPr>
          <w:rFonts w:ascii="Arial" w:eastAsia="宋体" w:hAnsi="Arial" w:cs="Arial"/>
          <w:color w:val="000000"/>
          <w:kern w:val="0"/>
          <w:sz w:val="20"/>
          <w:szCs w:val="20"/>
          <w:lang w:bidi="ar"/>
        </w:rPr>
        <w:t>ions process, could result in reductions, cancellations, and/or delays of existing contracts or programs, or future program opportunities. Any of these impacts could have a material effect on the results of the Company’s financial position, results of oper</w:t>
      </w:r>
      <w:r>
        <w:rPr>
          <w:rFonts w:ascii="Arial" w:eastAsia="宋体" w:hAnsi="Arial" w:cs="Arial"/>
          <w:color w:val="000000"/>
          <w:kern w:val="0"/>
          <w:sz w:val="20"/>
          <w:szCs w:val="20"/>
          <w:lang w:bidi="ar"/>
        </w:rPr>
        <w:t>ations and/or cash flows.</w:t>
      </w:r>
    </w:p>
    <w:p w14:paraId="4B75FF9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w:t>
      </w:r>
    </w:p>
    <w:p w14:paraId="4B75FF9D" w14:textId="77777777" w:rsidR="0099058F" w:rsidRDefault="00EB2559">
      <w:pPr>
        <w:widowControl/>
        <w:jc w:val="center"/>
      </w:pPr>
      <w:r>
        <w:rPr>
          <w:rFonts w:ascii="宋体" w:eastAsia="宋体" w:hAnsi="宋体" w:cs="宋体"/>
          <w:kern w:val="0"/>
          <w:sz w:val="24"/>
        </w:rPr>
        <w:pict w14:anchorId="4B763BFF">
          <v:rect id="_x0000_i1034" style="width:6in;height:1.5pt" o:hralign="center" o:hrstd="t" o:hr="t" fillcolor="#a0a0a0" stroked="f"/>
        </w:pict>
      </w:r>
    </w:p>
    <w:p w14:paraId="4B75FF9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9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as a result of the significant ongoing uncertainty with respect to both U.S. defense spending and the evolving nature of the national se</w:t>
      </w:r>
      <w:r>
        <w:rPr>
          <w:rFonts w:ascii="Arial" w:eastAsia="宋体" w:hAnsi="Arial" w:cs="Arial"/>
          <w:color w:val="000000"/>
          <w:kern w:val="0"/>
          <w:sz w:val="20"/>
          <w:szCs w:val="20"/>
          <w:lang w:bidi="ar"/>
        </w:rPr>
        <w:t>curity threat environment, we also expect the U.S. DoD to continue to emphasize affordability, innovation, cybersecurity and delivery of technical data and software in its procurement processes, including the implementation of cybersecurity compliance requ</w:t>
      </w:r>
      <w:r>
        <w:rPr>
          <w:rFonts w:ascii="Arial" w:eastAsia="宋体" w:hAnsi="Arial" w:cs="Arial"/>
          <w:color w:val="000000"/>
          <w:kern w:val="0"/>
          <w:sz w:val="20"/>
          <w:szCs w:val="20"/>
          <w:lang w:bidi="ar"/>
        </w:rPr>
        <w:t>irements on the Defense Industrial Base, for which the supply chain may not be fully prepared. We and our suppliers will need to continue to adjust successfully to these changing acquisition priorities and policies or our revenues and market share could be</w:t>
      </w:r>
      <w:r>
        <w:rPr>
          <w:rFonts w:ascii="Arial" w:eastAsia="宋体" w:hAnsi="Arial" w:cs="Arial"/>
          <w:color w:val="000000"/>
          <w:kern w:val="0"/>
          <w:sz w:val="20"/>
          <w:szCs w:val="20"/>
          <w:lang w:bidi="ar"/>
        </w:rPr>
        <w:t xml:space="preserve"> impacted. </w:t>
      </w:r>
    </w:p>
    <w:p w14:paraId="4B75FFA0"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Our ability to deliver products and services that satisfy customer requirements is heavily dependent on the performance and financial stability of our subcontractors and suppliers, as well as on the availability of highly skilled labor, raw mat</w:t>
      </w:r>
      <w:r>
        <w:rPr>
          <w:rFonts w:ascii="Arial" w:eastAsia="宋体" w:hAnsi="Arial" w:cs="Arial"/>
          <w:b/>
          <w:bCs/>
          <w:i/>
          <w:iCs/>
          <w:color w:val="000000"/>
          <w:kern w:val="0"/>
          <w:sz w:val="20"/>
          <w:szCs w:val="20"/>
          <w:lang w:bidi="ar"/>
        </w:rPr>
        <w:t xml:space="preserve">erials and other components. </w:t>
      </w:r>
    </w:p>
    <w:p w14:paraId="4B75FFA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rely on other companies, including U.S. and non-U.S. subcontractors and suppliers, to provide and produce raw materials, integrated components and sub-assemblies, and production commodities and to perform some of the servic</w:t>
      </w:r>
      <w:r>
        <w:rPr>
          <w:rFonts w:ascii="Arial" w:eastAsia="宋体" w:hAnsi="Arial" w:cs="Arial"/>
          <w:color w:val="000000"/>
          <w:kern w:val="0"/>
          <w:sz w:val="20"/>
          <w:szCs w:val="20"/>
          <w:lang w:bidi="ar"/>
        </w:rPr>
        <w:t xml:space="preserve">es that we provide to our customers. Many of our suppliers are experiencing inflationary pressures, as well as disruptions due to the lingering impacts of COVID-19, global supply chain constraints, and labor instability. If one or more of our suppliers or </w:t>
      </w:r>
      <w:r>
        <w:rPr>
          <w:rFonts w:ascii="Arial" w:eastAsia="宋体" w:hAnsi="Arial" w:cs="Arial"/>
          <w:color w:val="000000"/>
          <w:kern w:val="0"/>
          <w:sz w:val="20"/>
          <w:szCs w:val="20"/>
          <w:lang w:bidi="ar"/>
        </w:rPr>
        <w:t>subcontractors continue to experience financial difficulties, delivery delays or other performance problems, we may be unable to meet commitments to our customers and our financial position, results of operations and cash flows may continue to be adversely</w:t>
      </w:r>
      <w:r>
        <w:rPr>
          <w:rFonts w:ascii="Arial" w:eastAsia="宋体" w:hAnsi="Arial" w:cs="Arial"/>
          <w:color w:val="000000"/>
          <w:kern w:val="0"/>
          <w:sz w:val="20"/>
          <w:szCs w:val="20"/>
          <w:lang w:bidi="ar"/>
        </w:rPr>
        <w:t xml:space="preserve"> impacted. In addition, if one or more of the raw materials on which we depend (such as aluminum, titanium or composites) becomes unavailable to us or our suppliers, or is available only at very high prices, we may be unable to deliver one or more of our p</w:t>
      </w:r>
      <w:r>
        <w:rPr>
          <w:rFonts w:ascii="Arial" w:eastAsia="宋体" w:hAnsi="Arial" w:cs="Arial"/>
          <w:color w:val="000000"/>
          <w:kern w:val="0"/>
          <w:sz w:val="20"/>
          <w:szCs w:val="20"/>
          <w:lang w:bidi="ar"/>
        </w:rPr>
        <w:t>roducts in a timely fashion or at budgeted costs. For example, we suspended purchasing titanium from Russia during 2022 as a result of the Russia Ukraine war. We believe we have sufficient material and parts to avoid production disruptions in the near-term</w:t>
      </w:r>
      <w:r>
        <w:rPr>
          <w:rFonts w:ascii="Arial" w:eastAsia="宋体" w:hAnsi="Arial" w:cs="Arial"/>
          <w:color w:val="000000"/>
          <w:kern w:val="0"/>
          <w:sz w:val="20"/>
          <w:szCs w:val="20"/>
          <w:lang w:bidi="ar"/>
        </w:rPr>
        <w:t>, but future impacts to our production from disruptions in our supply chain are possible. In some instances, we depend upon a single source of supply. Any service disruption from one of these suppliers, either due to circumstances beyond the supplier’s con</w:t>
      </w:r>
      <w:r>
        <w:rPr>
          <w:rFonts w:ascii="Arial" w:eastAsia="宋体" w:hAnsi="Arial" w:cs="Arial"/>
          <w:color w:val="000000"/>
          <w:kern w:val="0"/>
          <w:sz w:val="20"/>
          <w:szCs w:val="20"/>
          <w:lang w:bidi="ar"/>
        </w:rPr>
        <w:t>trol, such as geopolitical developments, or as a result of performance problems or financial difficulties, could have a material adverse effect on our ability to meet commitments to our customers or increase our operating costs.</w:t>
      </w:r>
    </w:p>
    <w:p w14:paraId="4B75FFA2"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Competition within our mark</w:t>
      </w:r>
      <w:r>
        <w:rPr>
          <w:rFonts w:ascii="Arial" w:eastAsia="宋体" w:hAnsi="Arial" w:cs="Arial"/>
          <w:b/>
          <w:bCs/>
          <w:i/>
          <w:iCs/>
          <w:color w:val="000000"/>
          <w:kern w:val="0"/>
          <w:sz w:val="20"/>
          <w:szCs w:val="20"/>
          <w:lang w:bidi="ar"/>
        </w:rPr>
        <w:t>ets and with respect to the products we sell may reduce our future contracts and sales.</w:t>
      </w:r>
    </w:p>
    <w:p w14:paraId="4B75FFA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markets in which we operate are highly competitive and one or more of our competitors may have more extensive or more specialized engineering, manufacturing and mar</w:t>
      </w:r>
      <w:r>
        <w:rPr>
          <w:rFonts w:ascii="Arial" w:eastAsia="宋体" w:hAnsi="Arial" w:cs="Arial"/>
          <w:color w:val="000000"/>
          <w:kern w:val="0"/>
          <w:sz w:val="20"/>
          <w:szCs w:val="20"/>
          <w:lang w:bidi="ar"/>
        </w:rPr>
        <w:t>keting capabilities than we do in some areas. In our BCA business, we face aggressive international competition intent on increasing market share. In our BDS business, we anticipate that the effects of defense industry consolidation, shifting acquisition a</w:t>
      </w:r>
      <w:r>
        <w:rPr>
          <w:rFonts w:ascii="Arial" w:eastAsia="宋体" w:hAnsi="Arial" w:cs="Arial"/>
          <w:color w:val="000000"/>
          <w:kern w:val="0"/>
          <w:sz w:val="20"/>
          <w:szCs w:val="20"/>
          <w:lang w:bidi="ar"/>
        </w:rPr>
        <w:t>nd budget priorities, and continued cost pressure at our U.S. DoD and non-U.S. customers will intensify competition for many of our BDS products. Our BGS segment faces competition from many of the same strong U.S. and non-U.S. competitors facing BCA and BD</w:t>
      </w:r>
      <w:r>
        <w:rPr>
          <w:rFonts w:ascii="Arial" w:eastAsia="宋体" w:hAnsi="Arial" w:cs="Arial"/>
          <w:color w:val="000000"/>
          <w:kern w:val="0"/>
          <w:sz w:val="20"/>
          <w:szCs w:val="20"/>
          <w:lang w:bidi="ar"/>
        </w:rPr>
        <w:t xml:space="preserve">S. Furthermore, we are facing increased international competition and cross-border consolidation of competition, and U.S. procurement and compliance requirements that could limit our ability to be cost-competitive in the international market. There can be </w:t>
      </w:r>
      <w:r>
        <w:rPr>
          <w:rFonts w:ascii="Arial" w:eastAsia="宋体" w:hAnsi="Arial" w:cs="Arial"/>
          <w:color w:val="000000"/>
          <w:kern w:val="0"/>
          <w:sz w:val="20"/>
          <w:szCs w:val="20"/>
          <w:lang w:bidi="ar"/>
        </w:rPr>
        <w:t>no assurance that we will be able to compete successfully against our current or future competitors or that the competitive pressures we face will not result in reduced revenues and market share.</w:t>
      </w:r>
    </w:p>
    <w:p w14:paraId="4B75FFA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w:t>
      </w:r>
    </w:p>
    <w:p w14:paraId="4B75FFA5" w14:textId="77777777" w:rsidR="0099058F" w:rsidRDefault="00EB2559">
      <w:pPr>
        <w:widowControl/>
        <w:jc w:val="center"/>
      </w:pPr>
      <w:r>
        <w:rPr>
          <w:rFonts w:ascii="宋体" w:eastAsia="宋体" w:hAnsi="宋体" w:cs="宋体"/>
          <w:kern w:val="0"/>
          <w:sz w:val="24"/>
        </w:rPr>
        <w:pict w14:anchorId="4B763C00">
          <v:rect id="_x0000_i1035" style="width:6in;height:1.5pt" o:hralign="center" o:hrstd="t" o:hr="t" fillcolor="#a0a0a0" stroked="f"/>
        </w:pict>
      </w:r>
    </w:p>
    <w:p w14:paraId="4B75FFA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A7"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derive a significant portion of our revenues from non-U.S. sales and are subject to the risks of doing business in other countries. </w:t>
      </w:r>
    </w:p>
    <w:p w14:paraId="4B75FFA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In 2022, non-U.S. customers, which includes</w:t>
      </w:r>
      <w:r>
        <w:rPr>
          <w:rFonts w:ascii="Arial" w:eastAsia="宋体" w:hAnsi="Arial" w:cs="Arial"/>
          <w:color w:val="000000"/>
          <w:kern w:val="0"/>
          <w:sz w:val="20"/>
          <w:szCs w:val="20"/>
          <w:lang w:bidi="ar"/>
        </w:rPr>
        <w:t xml:space="preserve"> foreign military sales (FMS), accounted for approximately 41% of our revenues. We expect that non-U.S. sales will continue to account for a significant portion of our revenues for the foreseeable future. As a result, we are subject to risks of doing busin</w:t>
      </w:r>
      <w:r>
        <w:rPr>
          <w:rFonts w:ascii="Arial" w:eastAsia="宋体" w:hAnsi="Arial" w:cs="Arial"/>
          <w:color w:val="000000"/>
          <w:kern w:val="0"/>
          <w:sz w:val="20"/>
          <w:szCs w:val="20"/>
          <w:lang w:bidi="ar"/>
        </w:rPr>
        <w:t>ess internationally, including:</w:t>
      </w:r>
    </w:p>
    <w:p w14:paraId="4B75FFA9"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•changes in regulatory requirements or other executive branch actions, such as Executive Orders;</w:t>
      </w:r>
    </w:p>
    <w:p w14:paraId="4B75FFAA"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 xml:space="preserve">•changes in the global trade environment, including disputes with authorities in non-U.S. jurisdictions, including </w:t>
      </w:r>
      <w:r>
        <w:rPr>
          <w:rFonts w:ascii="Arial" w:eastAsia="宋体" w:hAnsi="Arial" w:cs="Arial"/>
          <w:color w:val="000000"/>
          <w:kern w:val="0"/>
          <w:sz w:val="20"/>
          <w:szCs w:val="20"/>
          <w:lang w:bidi="ar"/>
        </w:rPr>
        <w:t>international trade authorities, that could impact sales and/or delivery of products and services outside the U.S. and/or impose costs on our customers in the form of tariffs, duties or penalties attributable to the importation of Boeing products and servi</w:t>
      </w:r>
      <w:r>
        <w:rPr>
          <w:rFonts w:ascii="Arial" w:eastAsia="宋体" w:hAnsi="Arial" w:cs="Arial"/>
          <w:color w:val="000000"/>
          <w:kern w:val="0"/>
          <w:sz w:val="20"/>
          <w:szCs w:val="20"/>
          <w:lang w:bidi="ar"/>
        </w:rPr>
        <w:t>ces;</w:t>
      </w:r>
    </w:p>
    <w:p w14:paraId="4B75FFAB"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•changes to U.S. and non-U.S. government policies, including sourcing restrictions, requirements to expend a portion of program funds locally and governmental industrial cooperation or participation requirements;</w:t>
      </w:r>
    </w:p>
    <w:p w14:paraId="4B75FFAC"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•fluctuations in international currenc</w:t>
      </w:r>
      <w:r>
        <w:rPr>
          <w:rFonts w:ascii="Arial" w:eastAsia="宋体" w:hAnsi="Arial" w:cs="Arial"/>
          <w:color w:val="000000"/>
          <w:kern w:val="0"/>
          <w:sz w:val="20"/>
          <w:szCs w:val="20"/>
          <w:lang w:bidi="ar"/>
        </w:rPr>
        <w:t>y exchange rates;</w:t>
      </w:r>
    </w:p>
    <w:p w14:paraId="4B75FFAD"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•volatility in international political and economic environments and changes in non-U.S. national priorities and budgets, which can lead to delays or fluctuations in orders;</w:t>
      </w:r>
    </w:p>
    <w:p w14:paraId="4B75FFAE"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 xml:space="preserve">•the complexity and necessity of using non-U.S. representatives </w:t>
      </w:r>
      <w:r>
        <w:rPr>
          <w:rFonts w:ascii="Arial" w:eastAsia="宋体" w:hAnsi="Arial" w:cs="Arial"/>
          <w:color w:val="000000"/>
          <w:kern w:val="0"/>
          <w:sz w:val="20"/>
          <w:szCs w:val="20"/>
          <w:lang w:bidi="ar"/>
        </w:rPr>
        <w:t>and consultants;</w:t>
      </w:r>
    </w:p>
    <w:p w14:paraId="4B75FFAF"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•the uncertainty of the ability of non-U.S. customers to finance purchases, including the availability of financing from the Export-Import Bank of the United States;</w:t>
      </w:r>
    </w:p>
    <w:p w14:paraId="4B75FFB0"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•uncertainties and restrictions concerning the availability of funding cr</w:t>
      </w:r>
      <w:r>
        <w:rPr>
          <w:rFonts w:ascii="Arial" w:eastAsia="宋体" w:hAnsi="Arial" w:cs="Arial"/>
          <w:color w:val="000000"/>
          <w:kern w:val="0"/>
          <w:sz w:val="20"/>
          <w:szCs w:val="20"/>
          <w:lang w:bidi="ar"/>
        </w:rPr>
        <w:t>edit or guarantees;</w:t>
      </w:r>
    </w:p>
    <w:p w14:paraId="4B75FFB1"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•imposition of domestic and international taxes, export controls, tariffs, embargoes, sanctions (such as those imposed on Russia) and other trade restrictions;</w:t>
      </w:r>
    </w:p>
    <w:p w14:paraId="4B75FFB2"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•the difficulty of management and operation of an enterprise spread over man</w:t>
      </w:r>
      <w:r>
        <w:rPr>
          <w:rFonts w:ascii="Arial" w:eastAsia="宋体" w:hAnsi="Arial" w:cs="Arial"/>
          <w:color w:val="000000"/>
          <w:kern w:val="0"/>
          <w:sz w:val="20"/>
          <w:szCs w:val="20"/>
          <w:lang w:bidi="ar"/>
        </w:rPr>
        <w:t>y countries;</w:t>
      </w:r>
    </w:p>
    <w:p w14:paraId="4B75FFB3"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•compliance with a variety of non-U.S. laws, as well as U.S. laws affecting the activities of U.S. companies abroad; and</w:t>
      </w:r>
    </w:p>
    <w:p w14:paraId="4B75FFB4" w14:textId="77777777" w:rsidR="0099058F" w:rsidRDefault="00EB2559">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 xml:space="preserve">•unforeseen developments and conditions, including terrorism, war, epidemics and international tensions and </w:t>
      </w:r>
      <w:r>
        <w:rPr>
          <w:rFonts w:ascii="Arial" w:eastAsia="宋体" w:hAnsi="Arial" w:cs="Arial"/>
          <w:color w:val="000000"/>
          <w:kern w:val="0"/>
          <w:sz w:val="20"/>
          <w:szCs w:val="20"/>
          <w:lang w:bidi="ar"/>
        </w:rPr>
        <w:t>conflicts.</w:t>
      </w:r>
    </w:p>
    <w:p w14:paraId="4B75FFB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While the impact of these factors is difficult to predict, any one or more of these factors could adversely affect our operations in the future. For example, since 2018, the U.S. and China have imposed tariffs on each other’s imports. Certain ai</w:t>
      </w:r>
      <w:r>
        <w:rPr>
          <w:rFonts w:ascii="Arial" w:eastAsia="宋体" w:hAnsi="Arial" w:cs="Arial"/>
          <w:color w:val="000000"/>
          <w:kern w:val="0"/>
          <w:sz w:val="20"/>
          <w:szCs w:val="20"/>
          <w:lang w:bidi="ar"/>
        </w:rPr>
        <w:t>rcraft parts and components that Boeing procures are subject to these tariffs. We are mitigating import costs through Duty Drawback Customs procedures. Overall, the U.S.-China trade relationship remains stalled as economic and national security concerns co</w:t>
      </w:r>
      <w:r>
        <w:rPr>
          <w:rFonts w:ascii="Arial" w:eastAsia="宋体" w:hAnsi="Arial" w:cs="Arial"/>
          <w:color w:val="000000"/>
          <w:kern w:val="0"/>
          <w:sz w:val="20"/>
          <w:szCs w:val="20"/>
          <w:lang w:bidi="ar"/>
        </w:rPr>
        <w:t>ntinue to be a challenge. China is a significant market for commercial aircraft. Boeing has long-standing relationships with our Chinese customers, who represent a key component of our commercial aircraft backlog.</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For the 737 MAX, there is uncertainty rega</w:t>
      </w:r>
      <w:r>
        <w:rPr>
          <w:rFonts w:ascii="Arial" w:eastAsia="宋体" w:hAnsi="Arial" w:cs="Arial"/>
          <w:color w:val="000000"/>
          <w:kern w:val="0"/>
          <w:sz w:val="20"/>
          <w:szCs w:val="20"/>
          <w:lang w:bidi="ar"/>
        </w:rPr>
        <w:t>rding timing of resumption of deliveries in China which is still subject to final regulatory approvals. If we are unable to obtain additional orders from China in the future, our market share could be adversely affected. Furthermore, following Russia’s inv</w:t>
      </w:r>
      <w:r>
        <w:rPr>
          <w:rFonts w:ascii="Arial" w:eastAsia="宋体" w:hAnsi="Arial" w:cs="Arial"/>
          <w:color w:val="000000"/>
          <w:kern w:val="0"/>
          <w:sz w:val="20"/>
          <w:szCs w:val="20"/>
          <w:lang w:bidi="ar"/>
        </w:rPr>
        <w:t>asion of Ukraine, we suspended our operations in Russia due to sanctions and export controls, and the war has negatively impacted, and could continue to adversely impact, our business and financial results. Impacts from future potential deterioration in tr</w:t>
      </w:r>
      <w:r>
        <w:rPr>
          <w:rFonts w:ascii="Arial" w:eastAsia="宋体" w:hAnsi="Arial" w:cs="Arial"/>
          <w:color w:val="000000"/>
          <w:kern w:val="0"/>
          <w:sz w:val="20"/>
          <w:szCs w:val="20"/>
          <w:lang w:bidi="ar"/>
        </w:rPr>
        <w:t>ade relations between the U.S. and one or more other countries, could have a material adverse impact on our financial position, results of operations and/or cash flows.</w:t>
      </w:r>
    </w:p>
    <w:p w14:paraId="4B75FFB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w:t>
      </w:r>
    </w:p>
    <w:p w14:paraId="4B75FFB7" w14:textId="77777777" w:rsidR="0099058F" w:rsidRDefault="00EB2559">
      <w:pPr>
        <w:widowControl/>
        <w:jc w:val="center"/>
      </w:pPr>
      <w:r>
        <w:rPr>
          <w:rFonts w:ascii="宋体" w:eastAsia="宋体" w:hAnsi="宋体" w:cs="宋体"/>
          <w:kern w:val="0"/>
          <w:sz w:val="24"/>
        </w:rPr>
        <w:pict w14:anchorId="4B763C01">
          <v:rect id="_x0000_i1036" style="width:6in;height:1.5pt" o:hralign="center" o:hrstd="t" o:hr="t" fillcolor="#a0a0a0" stroked="f"/>
        </w:pict>
      </w:r>
    </w:p>
    <w:p w14:paraId="4B75FFB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B9"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w:t>
      </w:r>
      <w:r>
        <w:rPr>
          <w:rFonts w:ascii="Arial" w:eastAsia="宋体" w:hAnsi="Arial" w:cs="Arial"/>
          <w:b/>
          <w:bCs/>
          <w:i/>
          <w:iCs/>
          <w:color w:val="000000"/>
          <w:kern w:val="0"/>
          <w:sz w:val="20"/>
          <w:szCs w:val="20"/>
          <w:lang w:bidi="ar"/>
        </w:rPr>
        <w:t>use estimates and make assumptions in accounting for contracts and programs. Changes in our estimates and/or assumptions could adversely affect our future financial results.</w:t>
      </w:r>
    </w:p>
    <w:p w14:paraId="4B75FFB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 and program accounting require judgment relative to assessing risks, esti</w:t>
      </w:r>
      <w:r>
        <w:rPr>
          <w:rFonts w:ascii="Arial" w:eastAsia="宋体" w:hAnsi="Arial" w:cs="Arial"/>
          <w:color w:val="000000"/>
          <w:kern w:val="0"/>
          <w:sz w:val="20"/>
          <w:szCs w:val="20"/>
          <w:lang w:bidi="ar"/>
        </w:rPr>
        <w:t>mating revenues and costs and making assumptions for schedule and technical issues. Due to the size and nature of many of our contracts and programs, the estimation of total revenues and cost at completion is complicated and subject to many variables. Assu</w:t>
      </w:r>
      <w:r>
        <w:rPr>
          <w:rFonts w:ascii="Arial" w:eastAsia="宋体" w:hAnsi="Arial" w:cs="Arial"/>
          <w:color w:val="000000"/>
          <w:kern w:val="0"/>
          <w:sz w:val="20"/>
          <w:szCs w:val="20"/>
          <w:lang w:bidi="ar"/>
        </w:rPr>
        <w:t>mptions have to be made regarding the length of time to complete the contract or program because costs also include expected increases in wages and employee benefits, material prices and allocated fixed costs. Incentives or penalties related to performance</w:t>
      </w:r>
      <w:r>
        <w:rPr>
          <w:rFonts w:ascii="Arial" w:eastAsia="宋体" w:hAnsi="Arial" w:cs="Arial"/>
          <w:color w:val="000000"/>
          <w:kern w:val="0"/>
          <w:sz w:val="20"/>
          <w:szCs w:val="20"/>
          <w:lang w:bidi="ar"/>
        </w:rPr>
        <w:t xml:space="preserve"> on contracts are considered in estimating sales and profit rates and are recorded when there is sufficient information for us to assess anticipated performance. Customer and supplier claims and assertions are also assessed and considered in estimating rev</w:t>
      </w:r>
      <w:r>
        <w:rPr>
          <w:rFonts w:ascii="Arial" w:eastAsia="宋体" w:hAnsi="Arial" w:cs="Arial"/>
          <w:color w:val="000000"/>
          <w:kern w:val="0"/>
          <w:sz w:val="20"/>
          <w:szCs w:val="20"/>
          <w:lang w:bidi="ar"/>
        </w:rPr>
        <w:t>enues, costs and profit rates. Estimates of future award fees are also included in revenues and profit rates.</w:t>
      </w:r>
    </w:p>
    <w:p w14:paraId="4B75FFB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With respect to each of our commercial aircraft programs, inventoriable production costs (including overhead), program tooling and other non-recur</w:t>
      </w:r>
      <w:r>
        <w:rPr>
          <w:rFonts w:ascii="Arial" w:eastAsia="宋体" w:hAnsi="Arial" w:cs="Arial"/>
          <w:color w:val="000000"/>
          <w:kern w:val="0"/>
          <w:sz w:val="20"/>
          <w:szCs w:val="20"/>
          <w:lang w:bidi="ar"/>
        </w:rPr>
        <w:t>ring costs and routine warranty costs are accumulated and charged as cost of sales by program instead of by individual units or contracts. A program consists of the estimated number of units (accounting quantity) of a product to be produced in a continuing</w:t>
      </w:r>
      <w:r>
        <w:rPr>
          <w:rFonts w:ascii="Arial" w:eastAsia="宋体" w:hAnsi="Arial" w:cs="Arial"/>
          <w:color w:val="000000"/>
          <w:kern w:val="0"/>
          <w:sz w:val="20"/>
          <w:szCs w:val="20"/>
          <w:lang w:bidi="ar"/>
        </w:rPr>
        <w:t>, long-term production effort for delivery under existing and anticipated contracts limited by the ability to make reasonably dependable estimates. To establish the relationship of sales to cost of sales, program accounting requires estimates of (a) the nu</w:t>
      </w:r>
      <w:r>
        <w:rPr>
          <w:rFonts w:ascii="Arial" w:eastAsia="宋体" w:hAnsi="Arial" w:cs="Arial"/>
          <w:color w:val="000000"/>
          <w:kern w:val="0"/>
          <w:sz w:val="20"/>
          <w:szCs w:val="20"/>
          <w:lang w:bidi="ar"/>
        </w:rPr>
        <w:t>mber of units to be produced and sold in a program, (b) the period over which the units can reasonably be expected to be produced and (c) the units’ expected sales prices, production costs, program tooling and other non-recurring costs, and routine warrant</w:t>
      </w:r>
      <w:r>
        <w:rPr>
          <w:rFonts w:ascii="Arial" w:eastAsia="宋体" w:hAnsi="Arial" w:cs="Arial"/>
          <w:color w:val="000000"/>
          <w:kern w:val="0"/>
          <w:sz w:val="20"/>
          <w:szCs w:val="20"/>
          <w:lang w:bidi="ar"/>
        </w:rPr>
        <w:t>y costs for the total program. Several factors determine accounting quantity, including firm orders, letters of intent from prospective customers and market studies. Changes to customer or model mix, production costs and rates, learning curve, changes to p</w:t>
      </w:r>
      <w:r>
        <w:rPr>
          <w:rFonts w:ascii="Arial" w:eastAsia="宋体" w:hAnsi="Arial" w:cs="Arial"/>
          <w:color w:val="000000"/>
          <w:kern w:val="0"/>
          <w:sz w:val="20"/>
          <w:szCs w:val="20"/>
          <w:lang w:bidi="ar"/>
        </w:rPr>
        <w:t>rice escalation indices, costs of derivative aircraft, supplier performance, customer and supplier negotiations/settlements, supplier claims and/or certification issues can impact these estimates. In addition, on development programs such as the 777X, 737-</w:t>
      </w:r>
      <w:r>
        <w:rPr>
          <w:rFonts w:ascii="Arial" w:eastAsia="宋体" w:hAnsi="Arial" w:cs="Arial"/>
          <w:color w:val="000000"/>
          <w:kern w:val="0"/>
          <w:sz w:val="20"/>
          <w:szCs w:val="20"/>
          <w:lang w:bidi="ar"/>
        </w:rPr>
        <w:t>7 and 737-10 we are subject to risks with respect to the timing and conditions of aircraft certification, including potential gaps between when aircraft are certified in various jurisdictions, changes in certification processes and our estimates with respe</w:t>
      </w:r>
      <w:r>
        <w:rPr>
          <w:rFonts w:ascii="Arial" w:eastAsia="宋体" w:hAnsi="Arial" w:cs="Arial"/>
          <w:color w:val="000000"/>
          <w:kern w:val="0"/>
          <w:sz w:val="20"/>
          <w:szCs w:val="20"/>
          <w:lang w:bidi="ar"/>
        </w:rPr>
        <w:t>ct to timing of future certifications, which could have an impact on overall program status. Any such change in estimates relating to program accounting may adversely affect future financial performance.</w:t>
      </w:r>
    </w:p>
    <w:p w14:paraId="4B75FFB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Because of the significance of the judgments and est</w:t>
      </w:r>
      <w:r>
        <w:rPr>
          <w:rFonts w:ascii="Arial" w:eastAsia="宋体" w:hAnsi="Arial" w:cs="Arial"/>
          <w:color w:val="000000"/>
          <w:kern w:val="0"/>
          <w:sz w:val="20"/>
          <w:szCs w:val="20"/>
          <w:lang w:bidi="ar"/>
        </w:rPr>
        <w:t>imation processes described above, materially different revenues and profit amounts could be recorded if we used different assumptions, revised our estimates, or if the underlying circumstances were to change. Changes in underlying assumptions, circumstanc</w:t>
      </w:r>
      <w:r>
        <w:rPr>
          <w:rFonts w:ascii="Arial" w:eastAsia="宋体" w:hAnsi="Arial" w:cs="Arial"/>
          <w:color w:val="000000"/>
          <w:kern w:val="0"/>
          <w:sz w:val="20"/>
          <w:szCs w:val="20"/>
          <w:lang w:bidi="ar"/>
        </w:rPr>
        <w:t>es or estimates may adversely affect future period financial performance. For additional information on our accounting policies for recognizing sales and profits, see our discussion under “Management’s Discussion and Analysis – Critical Accounting Policies</w:t>
      </w:r>
      <w:r>
        <w:rPr>
          <w:rFonts w:ascii="Arial" w:eastAsia="宋体" w:hAnsi="Arial" w:cs="Arial"/>
          <w:color w:val="000000"/>
          <w:kern w:val="0"/>
          <w:sz w:val="20"/>
          <w:szCs w:val="20"/>
          <w:lang w:bidi="ar"/>
        </w:rPr>
        <w:t xml:space="preserve"> &amp; Estimates – Accounting for Long-term Contracts/Program Accounting” on pages 48 - 49 and Note 1 to our Consolidated Financial Statements on pages 59 - 69 of this Form 10-K.</w:t>
      </w:r>
    </w:p>
    <w:p w14:paraId="4B75FFBD"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not realize the anticipated benefits of mergers, acquisitions, joint ventu</w:t>
      </w:r>
      <w:r>
        <w:rPr>
          <w:rFonts w:ascii="Arial" w:eastAsia="宋体" w:hAnsi="Arial" w:cs="Arial"/>
          <w:b/>
          <w:bCs/>
          <w:i/>
          <w:iCs/>
          <w:color w:val="000000"/>
          <w:kern w:val="0"/>
          <w:sz w:val="20"/>
          <w:szCs w:val="20"/>
          <w:lang w:bidi="ar"/>
        </w:rPr>
        <w:t>res/strategic alliances or divestitures.</w:t>
      </w:r>
    </w:p>
    <w:p w14:paraId="4B75FFB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part of our business strategy, we may merge with or acquire businesses and/or form joint ventures and strategic alliances. Whether we realize the anticipated benefits from these acquisitions and related activitie</w:t>
      </w:r>
      <w:r>
        <w:rPr>
          <w:rFonts w:ascii="Arial" w:eastAsia="宋体" w:hAnsi="Arial" w:cs="Arial"/>
          <w:color w:val="000000"/>
          <w:kern w:val="0"/>
          <w:sz w:val="20"/>
          <w:szCs w:val="20"/>
          <w:lang w:bidi="ar"/>
        </w:rPr>
        <w:t>s depends, in part, upon our ability to integrate the operations of the acquired business, the performance of the underlying product and service portfolio, and the performance of the management team and other personnel of the acquired operations. According</w:t>
      </w:r>
      <w:r>
        <w:rPr>
          <w:rFonts w:ascii="Arial" w:eastAsia="宋体" w:hAnsi="Arial" w:cs="Arial"/>
          <w:color w:val="000000"/>
          <w:kern w:val="0"/>
          <w:sz w:val="20"/>
          <w:szCs w:val="20"/>
          <w:lang w:bidi="ar"/>
        </w:rPr>
        <w:t xml:space="preserve">ly, our financial results could be adversely affected by unanticipated performance issues, legacy liabilities, transaction-related charges, amortization of expenses related to intangibles, charges for impairment of long-term assets, credit </w:t>
      </w:r>
    </w:p>
    <w:p w14:paraId="4B75FFB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w:t>
      </w:r>
    </w:p>
    <w:p w14:paraId="4B75FFC0" w14:textId="77777777" w:rsidR="0099058F" w:rsidRDefault="00EB2559">
      <w:pPr>
        <w:widowControl/>
        <w:jc w:val="center"/>
      </w:pPr>
      <w:r>
        <w:rPr>
          <w:rFonts w:ascii="宋体" w:eastAsia="宋体" w:hAnsi="宋体" w:cs="宋体"/>
          <w:kern w:val="0"/>
          <w:sz w:val="24"/>
        </w:rPr>
        <w:pict w14:anchorId="4B763C02">
          <v:rect id="_x0000_i1037" style="width:6in;height:1.5pt" o:hralign="center" o:hrstd="t" o:hr="t" fillcolor="#a0a0a0" stroked="f"/>
        </w:pict>
      </w:r>
    </w:p>
    <w:p w14:paraId="4B75FFC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C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guarantees, partner performance and indemnifications. Consolidations of joint ventures could also impact our reported results of operations or financial position. While we believe that we h</w:t>
      </w:r>
      <w:r>
        <w:rPr>
          <w:rFonts w:ascii="Arial" w:eastAsia="宋体" w:hAnsi="Arial" w:cs="Arial"/>
          <w:color w:val="000000"/>
          <w:kern w:val="0"/>
          <w:sz w:val="20"/>
          <w:szCs w:val="20"/>
          <w:lang w:bidi="ar"/>
        </w:rPr>
        <w:t>ave established appropriate and adequate procedures and processes to mitigate these risks, there is no assurance that these transactions will be successful. We also may make strategic divestitures from time to time. These transactions may result in continu</w:t>
      </w:r>
      <w:r>
        <w:rPr>
          <w:rFonts w:ascii="Arial" w:eastAsia="宋体" w:hAnsi="Arial" w:cs="Arial"/>
          <w:color w:val="000000"/>
          <w:kern w:val="0"/>
          <w:sz w:val="20"/>
          <w:szCs w:val="20"/>
          <w:lang w:bidi="ar"/>
        </w:rPr>
        <w:t>ed financial involvement in the divested businesses, such as through guarantees or other financial arrangements, following the transaction. Nonperformance by those divested businesses could affect our future financial results through additional payment obl</w:t>
      </w:r>
      <w:r>
        <w:rPr>
          <w:rFonts w:ascii="Arial" w:eastAsia="宋体" w:hAnsi="Arial" w:cs="Arial"/>
          <w:color w:val="000000"/>
          <w:kern w:val="0"/>
          <w:sz w:val="20"/>
          <w:szCs w:val="20"/>
          <w:lang w:bidi="ar"/>
        </w:rPr>
        <w:t>igations, higher costs or asset write-downs.</w:t>
      </w:r>
    </w:p>
    <w:p w14:paraId="4B75FFC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Our Contracts</w:t>
      </w:r>
    </w:p>
    <w:p w14:paraId="4B75FFC4"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conduct a significant portion of our business pursuant to U.S. government contracts, which are subject to unique risks. </w:t>
      </w:r>
    </w:p>
    <w:p w14:paraId="4B75FFC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2022, 40% of our revenues were earned pursuant to U.S. government contracts, which include FMS through the U.S. government. Busin</w:t>
      </w:r>
      <w:r>
        <w:rPr>
          <w:rFonts w:ascii="Arial" w:eastAsia="宋体" w:hAnsi="Arial" w:cs="Arial"/>
          <w:color w:val="000000"/>
          <w:kern w:val="0"/>
          <w:sz w:val="20"/>
          <w:szCs w:val="20"/>
          <w:lang w:bidi="ar"/>
        </w:rPr>
        <w:t>ess conducted pursuant to such contracts is subject to extensive procurement regulations and other unique risks.</w:t>
      </w:r>
    </w:p>
    <w:p w14:paraId="4B75FFC6"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Our sales to the U.S. government are subject to extensive procurement regulations, and changes to those regulations could increase our costs.</w:t>
      </w:r>
      <w:r>
        <w:rPr>
          <w:rFonts w:ascii="Arial" w:eastAsia="宋体" w:hAnsi="Arial" w:cs="Arial"/>
          <w:color w:val="000000"/>
          <w:kern w:val="0"/>
          <w:sz w:val="20"/>
          <w:szCs w:val="20"/>
          <w:lang w:bidi="ar"/>
        </w:rPr>
        <w:t xml:space="preserve"> N</w:t>
      </w:r>
      <w:r>
        <w:rPr>
          <w:rFonts w:ascii="Arial" w:eastAsia="宋体" w:hAnsi="Arial" w:cs="Arial"/>
          <w:color w:val="000000"/>
          <w:kern w:val="0"/>
          <w:sz w:val="20"/>
          <w:szCs w:val="20"/>
          <w:lang w:bidi="ar"/>
        </w:rPr>
        <w:t>ew procurement regulations or climate or cyber-related contractual disclosures, or changes to existing requirements, could increase our compliance costs or otherwise have a material impact on the operating margins of our BDS and BGS businesses. These requi</w:t>
      </w:r>
      <w:r>
        <w:rPr>
          <w:rFonts w:ascii="Arial" w:eastAsia="宋体" w:hAnsi="Arial" w:cs="Arial"/>
          <w:color w:val="000000"/>
          <w:kern w:val="0"/>
          <w:sz w:val="20"/>
          <w:szCs w:val="20"/>
          <w:lang w:bidi="ar"/>
        </w:rPr>
        <w:t>rements may also result in withheld payments and/or reduced future business if we fail to comply. For example, proposals to raise domestic content thresholds for our U.S. government contracts could have negative impacts on our business. Compliance costs at</w:t>
      </w:r>
      <w:r>
        <w:rPr>
          <w:rFonts w:ascii="Arial" w:eastAsia="宋体" w:hAnsi="Arial" w:cs="Arial"/>
          <w:color w:val="000000"/>
          <w:kern w:val="0"/>
          <w:sz w:val="20"/>
          <w:szCs w:val="20"/>
          <w:lang w:bidi="ar"/>
        </w:rPr>
        <w:t>tributable to current and potential future procurement regulations such as these could negatively impact our financial position, results of operations and/or cash flows.</w:t>
      </w:r>
    </w:p>
    <w:p w14:paraId="4B75FFC7"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The U.S. government may modify, curtail or terminate one or more of our contracts.</w:t>
      </w:r>
      <w:r>
        <w:rPr>
          <w:rFonts w:ascii="Arial" w:eastAsia="宋体" w:hAnsi="Arial" w:cs="Arial"/>
          <w:color w:val="000000"/>
          <w:kern w:val="0"/>
          <w:sz w:val="20"/>
          <w:szCs w:val="20"/>
          <w:lang w:bidi="ar"/>
        </w:rPr>
        <w:t xml:space="preserve"> The</w:t>
      </w:r>
      <w:r>
        <w:rPr>
          <w:rFonts w:ascii="Arial" w:eastAsia="宋体" w:hAnsi="Arial" w:cs="Arial"/>
          <w:color w:val="000000"/>
          <w:kern w:val="0"/>
          <w:sz w:val="20"/>
          <w:szCs w:val="20"/>
          <w:lang w:bidi="ar"/>
        </w:rPr>
        <w:t xml:space="preserve"> U.S. government contracting party may modify, curtail or terminate its contracts and subcontracts with us, without prior notice and either at its convenience or for default based on performance. In addition, funding pursuant to our U.S. government contrac</w:t>
      </w:r>
      <w:r>
        <w:rPr>
          <w:rFonts w:ascii="Arial" w:eastAsia="宋体" w:hAnsi="Arial" w:cs="Arial"/>
          <w:color w:val="000000"/>
          <w:kern w:val="0"/>
          <w:sz w:val="20"/>
          <w:szCs w:val="20"/>
          <w:lang w:bidi="ar"/>
        </w:rPr>
        <w:t>ts may be reduced or withheld as part of the U.S. Congressional appropriations process due to fiscal constraints, changes in U.S. national security strategy and/or priorities or other reasons. Further uncertainty with respect to ongoing programs could also</w:t>
      </w:r>
      <w:r>
        <w:rPr>
          <w:rFonts w:ascii="Arial" w:eastAsia="宋体" w:hAnsi="Arial" w:cs="Arial"/>
          <w:color w:val="000000"/>
          <w:kern w:val="0"/>
          <w:sz w:val="20"/>
          <w:szCs w:val="20"/>
          <w:lang w:bidi="ar"/>
        </w:rPr>
        <w:t xml:space="preserve"> result in the event that the U.S. government finances its operations through temporary funding measures such as “continuing resolutions” rather than full-year appropriations. Any loss or anticipated loss or reduction of expected funding and/or modificatio</w:t>
      </w:r>
      <w:r>
        <w:rPr>
          <w:rFonts w:ascii="Arial" w:eastAsia="宋体" w:hAnsi="Arial" w:cs="Arial"/>
          <w:color w:val="000000"/>
          <w:kern w:val="0"/>
          <w:sz w:val="20"/>
          <w:szCs w:val="20"/>
          <w:lang w:bidi="ar"/>
        </w:rPr>
        <w:t>n, curtailment or termination of one or more large programs could have a material adverse effect on our financial position, results of operations and/or cash flows.</w:t>
      </w:r>
    </w:p>
    <w:p w14:paraId="4B75FFC8"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are subject to U.S. government inquiries and investigations, including periodic audits o</w:t>
      </w:r>
      <w:r>
        <w:rPr>
          <w:rFonts w:ascii="Arial" w:eastAsia="宋体" w:hAnsi="Arial" w:cs="Arial"/>
          <w:i/>
          <w:iCs/>
          <w:color w:val="000000"/>
          <w:kern w:val="0"/>
          <w:sz w:val="20"/>
          <w:szCs w:val="20"/>
          <w:lang w:bidi="ar"/>
        </w:rPr>
        <w:t>f costs that we determine are reimbursable under U.S. government contracts.</w:t>
      </w:r>
      <w:r>
        <w:rPr>
          <w:rFonts w:ascii="Arial" w:eastAsia="宋体" w:hAnsi="Arial" w:cs="Arial"/>
          <w:color w:val="000000"/>
          <w:kern w:val="0"/>
          <w:sz w:val="20"/>
          <w:szCs w:val="20"/>
          <w:lang w:bidi="ar"/>
        </w:rPr>
        <w:t xml:space="preserve"> U.S. government agencies, including the Defense Contract Audit Agency and the Defense Contract Management Agency, routinely audit government contractors. These agencies review our </w:t>
      </w:r>
      <w:r>
        <w:rPr>
          <w:rFonts w:ascii="Arial" w:eastAsia="宋体" w:hAnsi="Arial" w:cs="Arial"/>
          <w:color w:val="000000"/>
          <w:kern w:val="0"/>
          <w:sz w:val="20"/>
          <w:szCs w:val="20"/>
          <w:lang w:bidi="ar"/>
        </w:rPr>
        <w:t>performance under contracts, cost structure and compliance with applicable laws, regulations and standards, as well as the adequacy of and our compliance with our internal control systems and policies. Any costs found to be misclassified or inaccurately al</w:t>
      </w:r>
      <w:r>
        <w:rPr>
          <w:rFonts w:ascii="Arial" w:eastAsia="宋体" w:hAnsi="Arial" w:cs="Arial"/>
          <w:color w:val="000000"/>
          <w:kern w:val="0"/>
          <w:sz w:val="20"/>
          <w:szCs w:val="20"/>
          <w:lang w:bidi="ar"/>
        </w:rPr>
        <w:t>located to a specific contract will be deemed non-reimbursable, and to the extent already reimbursed, must be refunded. Any inadequacies in our systems and policies could result in withholds on billed receivables, penalties and reduced future business. Fur</w:t>
      </w:r>
      <w:r>
        <w:rPr>
          <w:rFonts w:ascii="Arial" w:eastAsia="宋体" w:hAnsi="Arial" w:cs="Arial"/>
          <w:color w:val="000000"/>
          <w:kern w:val="0"/>
          <w:sz w:val="20"/>
          <w:szCs w:val="20"/>
          <w:lang w:bidi="ar"/>
        </w:rPr>
        <w:t>thermore, if any audit, inquiry or investigation uncovers improper or illegal activities, we could be subject to civil and criminal penalties and administrative sanctions, including termination of contracts, forfeiture of profits, suspension of payments, f</w:t>
      </w:r>
      <w:r>
        <w:rPr>
          <w:rFonts w:ascii="Arial" w:eastAsia="宋体" w:hAnsi="Arial" w:cs="Arial"/>
          <w:color w:val="000000"/>
          <w:kern w:val="0"/>
          <w:sz w:val="20"/>
          <w:szCs w:val="20"/>
          <w:lang w:bidi="ar"/>
        </w:rPr>
        <w:t xml:space="preserve">ines and suspension or debarment from doing business with the U.S. government. We also </w:t>
      </w:r>
    </w:p>
    <w:p w14:paraId="4B75FFC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w:t>
      </w:r>
    </w:p>
    <w:p w14:paraId="4B75FFCA" w14:textId="77777777" w:rsidR="0099058F" w:rsidRDefault="00EB2559">
      <w:pPr>
        <w:widowControl/>
        <w:jc w:val="center"/>
      </w:pPr>
      <w:r>
        <w:rPr>
          <w:rFonts w:ascii="宋体" w:eastAsia="宋体" w:hAnsi="宋体" w:cs="宋体"/>
          <w:kern w:val="0"/>
          <w:sz w:val="24"/>
        </w:rPr>
        <w:pict w14:anchorId="4B763C03">
          <v:rect id="_x0000_i1038" style="width:6in;height:1.5pt" o:hralign="center" o:hrstd="t" o:hr="t" fillcolor="#a0a0a0" stroked="f"/>
        </w:pict>
      </w:r>
    </w:p>
    <w:p w14:paraId="4B75FFC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C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could suffer reputational harm if allegations of impropriety were made against us, </w:t>
      </w:r>
      <w:r>
        <w:rPr>
          <w:rFonts w:ascii="Arial" w:eastAsia="宋体" w:hAnsi="Arial" w:cs="Arial"/>
          <w:color w:val="000000"/>
          <w:kern w:val="0"/>
          <w:sz w:val="20"/>
          <w:szCs w:val="20"/>
          <w:lang w:bidi="ar"/>
        </w:rPr>
        <w:t>even if such allegations are later determined to be false.</w:t>
      </w:r>
    </w:p>
    <w:p w14:paraId="4B75FFCD"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enter into fixed-price contracts which could subject us to losses if we have cost overruns. </w:t>
      </w:r>
    </w:p>
    <w:p w14:paraId="4B75FFC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and BGS defense businesses generated approximately 60% and 69% of their 2022 revenues from fi</w:t>
      </w:r>
      <w:r>
        <w:rPr>
          <w:rFonts w:ascii="Arial" w:eastAsia="宋体" w:hAnsi="Arial" w:cs="Arial"/>
          <w:color w:val="000000"/>
          <w:kern w:val="0"/>
          <w:sz w:val="20"/>
          <w:szCs w:val="20"/>
          <w:lang w:bidi="ar"/>
        </w:rPr>
        <w:t>xed-price contracts. While fixed-price contracts enable us to benefit from performance improvements, cost reductions and efficiencies, they also subject us to the risk of reduced margins or incurring losses if we are unable to achieve estimated costs and r</w:t>
      </w:r>
      <w:r>
        <w:rPr>
          <w:rFonts w:ascii="Arial" w:eastAsia="宋体" w:hAnsi="Arial" w:cs="Arial"/>
          <w:color w:val="000000"/>
          <w:kern w:val="0"/>
          <w:sz w:val="20"/>
          <w:szCs w:val="20"/>
          <w:lang w:bidi="ar"/>
        </w:rPr>
        <w:t>evenues. If our estimated costs exceed our estimated price, we recognize reach-forward losses which can significantly affect our reported results. For example, during the year ended December 31, 2022, BDS recorded additional losses on several fixed price d</w:t>
      </w:r>
      <w:r>
        <w:rPr>
          <w:rFonts w:ascii="Arial" w:eastAsia="宋体" w:hAnsi="Arial" w:cs="Arial"/>
          <w:color w:val="000000"/>
          <w:kern w:val="0"/>
          <w:sz w:val="20"/>
          <w:szCs w:val="20"/>
          <w:lang w:bidi="ar"/>
        </w:rPr>
        <w:t>evelopment programs. We continue to experience near-term production disruptions and inefficiencies due to supplier disruption, labor instability and factory performance. These factors have contributed to significant earnings charges on a number of fixed-pr</w:t>
      </w:r>
      <w:r>
        <w:rPr>
          <w:rFonts w:ascii="Arial" w:eastAsia="宋体" w:hAnsi="Arial" w:cs="Arial"/>
          <w:color w:val="000000"/>
          <w:kern w:val="0"/>
          <w:sz w:val="20"/>
          <w:szCs w:val="20"/>
          <w:lang w:bidi="ar"/>
        </w:rPr>
        <w:t>ice development programs which are expected to adversely affect cash flows in future periods, and may result in future earnings charges and adverse cash flow effects. New programs could also have risk for reach-forward loss upon contract award and during t</w:t>
      </w:r>
      <w:r>
        <w:rPr>
          <w:rFonts w:ascii="Arial" w:eastAsia="宋体" w:hAnsi="Arial" w:cs="Arial"/>
          <w:color w:val="000000"/>
          <w:kern w:val="0"/>
          <w:sz w:val="20"/>
          <w:szCs w:val="20"/>
          <w:lang w:bidi="ar"/>
        </w:rPr>
        <w:t>he period of contract performance. The long term nature of many of our contracts makes the process of estimating costs and revenues on fixed-price contracts inherently risky. Fixed-price contracts often contain price incentives and penalties tied to perfor</w:t>
      </w:r>
      <w:r>
        <w:rPr>
          <w:rFonts w:ascii="Arial" w:eastAsia="宋体" w:hAnsi="Arial" w:cs="Arial"/>
          <w:color w:val="000000"/>
          <w:kern w:val="0"/>
          <w:sz w:val="20"/>
          <w:szCs w:val="20"/>
          <w:lang w:bidi="ar"/>
        </w:rPr>
        <w:t>mance, which can be difficult to estimate and have significant impacts on margins. In addition, some of our contracts have specific provisions relating to cost, schedule and performance.</w:t>
      </w:r>
    </w:p>
    <w:p w14:paraId="4B75FFC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Estimating costs to complete fixed-price development contracts is gen</w:t>
      </w:r>
      <w:r>
        <w:rPr>
          <w:rFonts w:ascii="Arial" w:eastAsia="宋体" w:hAnsi="Arial" w:cs="Arial"/>
          <w:color w:val="000000"/>
          <w:kern w:val="0"/>
          <w:sz w:val="20"/>
          <w:szCs w:val="20"/>
          <w:lang w:bidi="ar"/>
        </w:rPr>
        <w:t xml:space="preserve">erally subject to more uncertainty than fixed-price production contracts. Many of these development programs have highly complex designs. In addition, technical or quality issues that arise during development could lead to schedule delays and higher costs </w:t>
      </w:r>
      <w:r>
        <w:rPr>
          <w:rFonts w:ascii="Arial" w:eastAsia="宋体" w:hAnsi="Arial" w:cs="Arial"/>
          <w:color w:val="000000"/>
          <w:kern w:val="0"/>
          <w:sz w:val="20"/>
          <w:szCs w:val="20"/>
          <w:lang w:bidi="ar"/>
        </w:rPr>
        <w:t>to complete, which could result in a material charge or otherwise adversely affect our financial condition. Examples of significant BDS fixed-price development contracts include Commercial Crew, KC-46A Tanker, MQ-25, T-7A Red Hawk, VC-25B Presidential Airc</w:t>
      </w:r>
      <w:r>
        <w:rPr>
          <w:rFonts w:ascii="Arial" w:eastAsia="宋体" w:hAnsi="Arial" w:cs="Arial"/>
          <w:color w:val="000000"/>
          <w:kern w:val="0"/>
          <w:sz w:val="20"/>
          <w:szCs w:val="20"/>
          <w:lang w:bidi="ar"/>
        </w:rPr>
        <w:t>raft, and commercial and military satellites.</w:t>
      </w:r>
    </w:p>
    <w:p w14:paraId="4B75FFD0"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enter into cost-type contracts, which also carry risks.</w:t>
      </w:r>
    </w:p>
    <w:p w14:paraId="4B75FFD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and BGS defense businesses generated approximately 40% and 31% of their 2022 revenues from cost-type contracting arrangements. Some of these ar</w:t>
      </w:r>
      <w:r>
        <w:rPr>
          <w:rFonts w:ascii="Arial" w:eastAsia="宋体" w:hAnsi="Arial" w:cs="Arial"/>
          <w:color w:val="000000"/>
          <w:kern w:val="0"/>
          <w:sz w:val="20"/>
          <w:szCs w:val="20"/>
          <w:lang w:bidi="ar"/>
        </w:rPr>
        <w:t>e development programs that have complex design and technical challenges. These cost-type programs typically have award or incentive fees that are subject to uncertainty and may be earned over extended periods. In these cases the associated financial risks</w:t>
      </w:r>
      <w:r>
        <w:rPr>
          <w:rFonts w:ascii="Arial" w:eastAsia="宋体" w:hAnsi="Arial" w:cs="Arial"/>
          <w:color w:val="000000"/>
          <w:kern w:val="0"/>
          <w:sz w:val="20"/>
          <w:szCs w:val="20"/>
          <w:lang w:bidi="ar"/>
        </w:rPr>
        <w:t xml:space="preserve"> are primarily in reduced fees, lower profit rates or program cancellation if cost, schedule or technical performance issues arise. Programs whose contracts are primarily cost-type include Ground-based Midcourse Defense, Proprietary and Space Launch System</w:t>
      </w:r>
      <w:r>
        <w:rPr>
          <w:rFonts w:ascii="Arial" w:eastAsia="宋体" w:hAnsi="Arial" w:cs="Arial"/>
          <w:color w:val="000000"/>
          <w:kern w:val="0"/>
          <w:sz w:val="20"/>
          <w:szCs w:val="20"/>
          <w:lang w:bidi="ar"/>
        </w:rPr>
        <w:t xml:space="preserve"> programs.</w:t>
      </w:r>
    </w:p>
    <w:p w14:paraId="4B75FFD2"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enter into contracts that include in-orbit incentive payments that subject us to risks.</w:t>
      </w:r>
    </w:p>
    <w:p w14:paraId="4B75FFD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Contracts in the commercial satellite industry and certain government satellite contracts include in-orbit incentive payments. These in-orbit payments may</w:t>
      </w:r>
      <w:r>
        <w:rPr>
          <w:rFonts w:ascii="Arial" w:eastAsia="宋体" w:hAnsi="Arial" w:cs="Arial"/>
          <w:color w:val="000000"/>
          <w:kern w:val="0"/>
          <w:sz w:val="20"/>
          <w:szCs w:val="20"/>
          <w:lang w:bidi="ar"/>
        </w:rPr>
        <w:t xml:space="preserve"> be paid over time after final satellite acceptance or paid in full prior to final satellite acceptance. In both cases, the in-orbit incentive payment is at risk if the satellite does not perform to specifications for up to 15 years after acceptance. The n</w:t>
      </w:r>
      <w:r>
        <w:rPr>
          <w:rFonts w:ascii="Arial" w:eastAsia="宋体" w:hAnsi="Arial" w:cs="Arial"/>
          <w:color w:val="000000"/>
          <w:kern w:val="0"/>
          <w:sz w:val="20"/>
          <w:szCs w:val="20"/>
          <w:lang w:bidi="ar"/>
        </w:rPr>
        <w:t>et present value of in-orbit incentive fees we ultimately expect to realize is recognized as revenue in the construction period. If the satellite fails to meet contractual performance criteria, customers will not be obligated to continue making in-orbit pa</w:t>
      </w:r>
      <w:r>
        <w:rPr>
          <w:rFonts w:ascii="Arial" w:eastAsia="宋体" w:hAnsi="Arial" w:cs="Arial"/>
          <w:color w:val="000000"/>
          <w:kern w:val="0"/>
          <w:sz w:val="20"/>
          <w:szCs w:val="20"/>
          <w:lang w:bidi="ar"/>
        </w:rPr>
        <w:t>yments and/or we may be required to provide refunds to the customer and incur significant charges.</w:t>
      </w:r>
    </w:p>
    <w:p w14:paraId="4B75FFD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w:t>
      </w:r>
    </w:p>
    <w:p w14:paraId="4B75FFD5" w14:textId="77777777" w:rsidR="0099058F" w:rsidRDefault="00EB2559">
      <w:pPr>
        <w:widowControl/>
        <w:jc w:val="center"/>
      </w:pPr>
      <w:r>
        <w:rPr>
          <w:rFonts w:ascii="宋体" w:eastAsia="宋体" w:hAnsi="宋体" w:cs="宋体"/>
          <w:kern w:val="0"/>
          <w:sz w:val="24"/>
        </w:rPr>
        <w:pict w14:anchorId="4B763C04">
          <v:rect id="_x0000_i1039" style="width:6in;height:1.5pt" o:hralign="center" o:hrstd="t" o:hr="t" fillcolor="#a0a0a0" stroked="f"/>
        </w:pict>
      </w:r>
    </w:p>
    <w:p w14:paraId="4B75FFD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D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Cybersecurity and Business Disruptions</w:t>
      </w:r>
    </w:p>
    <w:p w14:paraId="4B75FFD8"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Unauthorized access to our, our customers’ and/or our suppliers’ information and systems could negatively impact our business.</w:t>
      </w:r>
    </w:p>
    <w:p w14:paraId="4B75FFD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rely extensively on information technology systems and networks to operate our company and meet our business objectives. As cy</w:t>
      </w:r>
      <w:r>
        <w:rPr>
          <w:rFonts w:ascii="Arial" w:eastAsia="宋体" w:hAnsi="Arial" w:cs="Arial"/>
          <w:color w:val="000000"/>
          <w:kern w:val="0"/>
          <w:sz w:val="20"/>
          <w:szCs w:val="20"/>
          <w:lang w:bidi="ar"/>
        </w:rPr>
        <w:t>ber threats increase in volume and sophistication, the risk to the security of these systems and networks – and to the confidentiality, integrity, and availability of the data they house – continues to evolve, requiring constant vigilance and concerted, co</w:t>
      </w:r>
      <w:r>
        <w:rPr>
          <w:rFonts w:ascii="Arial" w:eastAsia="宋体" w:hAnsi="Arial" w:cs="Arial"/>
          <w:color w:val="000000"/>
          <w:kern w:val="0"/>
          <w:sz w:val="20"/>
          <w:szCs w:val="20"/>
          <w:lang w:bidi="ar"/>
        </w:rPr>
        <w:t xml:space="preserve">mpany-wide risk management efforts. </w:t>
      </w:r>
    </w:p>
    <w:p w14:paraId="4B75FFD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 cyberattack or security breach, whether experienced directly or through our supply chain, could, among other serious consequences, result in loss of intellectual property; unauthorized access to various categories of </w:t>
      </w:r>
      <w:r>
        <w:rPr>
          <w:rFonts w:ascii="Arial" w:eastAsia="宋体" w:hAnsi="Arial" w:cs="Arial"/>
          <w:color w:val="000000"/>
          <w:kern w:val="0"/>
          <w:sz w:val="20"/>
          <w:szCs w:val="20"/>
          <w:lang w:bidi="ar"/>
        </w:rPr>
        <w:t>sensitive, proprietary or customer data; disruption or degradation of business operations, or compromise of products or services. To address these risks, we maintain an extensive network of technical security controls, policy enforcement mechanisms, monito</w:t>
      </w:r>
      <w:r>
        <w:rPr>
          <w:rFonts w:ascii="Arial" w:eastAsia="宋体" w:hAnsi="Arial" w:cs="Arial"/>
          <w:color w:val="000000"/>
          <w:kern w:val="0"/>
          <w:sz w:val="20"/>
          <w:szCs w:val="20"/>
          <w:lang w:bidi="ar"/>
        </w:rPr>
        <w:t>ring systems and management oversight. We also have established a Cybersecurity Governance Council to strengthen governance and coordination of cybersecurity activities. While these measures are designed to prevent, detect and respond to unauthorized activ</w:t>
      </w:r>
      <w:r>
        <w:rPr>
          <w:rFonts w:ascii="Arial" w:eastAsia="宋体" w:hAnsi="Arial" w:cs="Arial"/>
          <w:color w:val="000000"/>
          <w:kern w:val="0"/>
          <w:sz w:val="20"/>
          <w:szCs w:val="20"/>
          <w:lang w:bidi="ar"/>
        </w:rPr>
        <w:t>ity, there is no guarantee that they will be sufficient to prevent or mitigate the risk of a cyberattack or the potentially serious reputational, operational, or financial impacts that may result. In November 2022, we discovered a cybersecurity incident th</w:t>
      </w:r>
      <w:r>
        <w:rPr>
          <w:rFonts w:ascii="Arial" w:eastAsia="宋体" w:hAnsi="Arial" w:cs="Arial"/>
          <w:color w:val="000000"/>
          <w:kern w:val="0"/>
          <w:sz w:val="20"/>
          <w:szCs w:val="20"/>
          <w:lang w:bidi="ar"/>
        </w:rPr>
        <w:t>at impacted certain systems of Jeppesen, a wholly owned Boeing subsidiary that provides flight planning and navigation services. We determined that the incident posed no risk to flight safety. We promptly notified law enforcement, regulatory authorities an</w:t>
      </w:r>
      <w:r>
        <w:rPr>
          <w:rFonts w:ascii="Arial" w:eastAsia="宋体" w:hAnsi="Arial" w:cs="Arial"/>
          <w:color w:val="000000"/>
          <w:kern w:val="0"/>
          <w:sz w:val="20"/>
          <w:szCs w:val="20"/>
          <w:lang w:bidi="ar"/>
        </w:rPr>
        <w:t>d customers, launched an investigation, and took additional steps to protect the integrity of our systems. While this incident has not had a material impact on us, future incidents like this one could have material impact on our business, operations, and r</w:t>
      </w:r>
      <w:r>
        <w:rPr>
          <w:rFonts w:ascii="Arial" w:eastAsia="宋体" w:hAnsi="Arial" w:cs="Arial"/>
          <w:color w:val="000000"/>
          <w:kern w:val="0"/>
          <w:sz w:val="20"/>
          <w:szCs w:val="20"/>
          <w:lang w:bidi="ar"/>
        </w:rPr>
        <w:t>eputation.</w:t>
      </w:r>
    </w:p>
    <w:p w14:paraId="4B75FFD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manage information and information technology systems for certain customers and/or suppliers. Many of these customers and/or suppliers face similar security threats. If we were unable to protect against the unauthorized access, r</w:t>
      </w:r>
      <w:r>
        <w:rPr>
          <w:rFonts w:ascii="Arial" w:eastAsia="宋体" w:hAnsi="Arial" w:cs="Arial"/>
          <w:color w:val="000000"/>
          <w:kern w:val="0"/>
          <w:sz w:val="20"/>
          <w:szCs w:val="20"/>
          <w:lang w:bidi="ar"/>
        </w:rPr>
        <w:t xml:space="preserve">elease and/or corruption of our customers’ and/or suppliers’ confidential, classified or personally identifiable information, our reputation could be damaged, and/or we could face financial or other losses. </w:t>
      </w:r>
    </w:p>
    <w:p w14:paraId="4B75FFDC"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Business disruptions could seriously affect our </w:t>
      </w:r>
      <w:r>
        <w:rPr>
          <w:rFonts w:ascii="Arial" w:eastAsia="宋体" w:hAnsi="Arial" w:cs="Arial"/>
          <w:b/>
          <w:bCs/>
          <w:i/>
          <w:iCs/>
          <w:color w:val="000000"/>
          <w:kern w:val="0"/>
          <w:sz w:val="20"/>
          <w:szCs w:val="20"/>
          <w:lang w:bidi="ar"/>
        </w:rPr>
        <w:t>future sales and financial condition or increase our costs and expenses.</w:t>
      </w:r>
    </w:p>
    <w:p w14:paraId="4B75FFD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business may be impacted by disruptions including threats to physical security or our information technology systems, extreme weather (including effects of climate change) or </w:t>
      </w:r>
      <w:r>
        <w:rPr>
          <w:rFonts w:ascii="Arial" w:eastAsia="宋体" w:hAnsi="Arial" w:cs="Arial"/>
          <w:color w:val="000000"/>
          <w:kern w:val="0"/>
          <w:sz w:val="20"/>
          <w:szCs w:val="20"/>
          <w:lang w:bidi="ar"/>
        </w:rPr>
        <w:t>other acts of nature, and pandemics or other public health crises. Any of these disruptions could affect our internal operations or our suppliers’ operations and delay delivery of products and services to our customers. Any significant production delays, o</w:t>
      </w:r>
      <w:r>
        <w:rPr>
          <w:rFonts w:ascii="Arial" w:eastAsia="宋体" w:hAnsi="Arial" w:cs="Arial"/>
          <w:color w:val="000000"/>
          <w:kern w:val="0"/>
          <w:sz w:val="20"/>
          <w:szCs w:val="20"/>
          <w:lang w:bidi="ar"/>
        </w:rPr>
        <w:t>r any destruction, manipulation or improper use of Boeing’s or our suppliers’ data, information systems or networks could impact our sales, increase our expenses and/or have an adverse effect on the reputation of Boeing and of our products and services.</w:t>
      </w:r>
    </w:p>
    <w:p w14:paraId="4B75FFD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w:t>
      </w:r>
      <w:r>
        <w:rPr>
          <w:rFonts w:ascii="Arial" w:eastAsia="宋体" w:hAnsi="Arial" w:cs="Arial"/>
          <w:b/>
          <w:bCs/>
          <w:color w:val="000000"/>
          <w:kern w:val="0"/>
          <w:sz w:val="20"/>
          <w:szCs w:val="20"/>
          <w:lang w:bidi="ar"/>
        </w:rPr>
        <w:t>sks Related to Legal and Regulatory Matters</w:t>
      </w:r>
    </w:p>
    <w:p w14:paraId="4B75FFDF"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The outcome of litigation and of government inquiries and investigations involving our business is unpredictable and an adverse decision in any such matter could have a material effect on our financial position a</w:t>
      </w:r>
      <w:r>
        <w:rPr>
          <w:rFonts w:ascii="Arial" w:eastAsia="宋体" w:hAnsi="Arial" w:cs="Arial"/>
          <w:b/>
          <w:bCs/>
          <w:i/>
          <w:iCs/>
          <w:color w:val="000000"/>
          <w:kern w:val="0"/>
          <w:sz w:val="20"/>
          <w:szCs w:val="20"/>
          <w:lang w:bidi="ar"/>
        </w:rPr>
        <w:t>nd results of operations.</w:t>
      </w:r>
    </w:p>
    <w:p w14:paraId="4B75FFE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involved in a number of litigation matters. These matters may divert financial and management resources that would otherwise be used to benefit our operations. No assurances can be given that the results of these matters wi</w:t>
      </w:r>
      <w:r>
        <w:rPr>
          <w:rFonts w:ascii="Arial" w:eastAsia="宋体" w:hAnsi="Arial" w:cs="Arial"/>
          <w:color w:val="000000"/>
          <w:kern w:val="0"/>
          <w:sz w:val="20"/>
          <w:szCs w:val="20"/>
          <w:lang w:bidi="ar"/>
        </w:rPr>
        <w:t xml:space="preserve">ll be favorable to us. An adverse resolution of any of these lawsuits, or future lawsuits, could have a material impact on our financial position and results of operations. In addition, we </w:t>
      </w:r>
    </w:p>
    <w:p w14:paraId="4B75FFE1"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w:t>
      </w:r>
    </w:p>
    <w:p w14:paraId="4B75FFE2" w14:textId="77777777" w:rsidR="0099058F" w:rsidRDefault="00EB2559">
      <w:pPr>
        <w:widowControl/>
        <w:jc w:val="center"/>
      </w:pPr>
      <w:r>
        <w:rPr>
          <w:rFonts w:ascii="宋体" w:eastAsia="宋体" w:hAnsi="宋体" w:cs="宋体"/>
          <w:kern w:val="0"/>
          <w:sz w:val="24"/>
        </w:rPr>
        <w:pict w14:anchorId="4B763C05">
          <v:rect id="_x0000_i1040" style="width:6in;height:1.5pt" o:hralign="center" o:hrstd="t" o:hr="t" fillcolor="#a0a0a0" stroked="f"/>
        </w:pict>
      </w:r>
    </w:p>
    <w:p w14:paraId="4B75FFE3"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w:t>
        </w:r>
        <w:r>
          <w:rPr>
            <w:rStyle w:val="a4"/>
            <w:rFonts w:ascii="Arial" w:eastAsia="宋体" w:hAnsi="Arial" w:cs="Arial"/>
            <w:sz w:val="20"/>
            <w:szCs w:val="20"/>
          </w:rPr>
          <w:t xml:space="preserve"> of Contents</w:t>
        </w:r>
      </w:hyperlink>
    </w:p>
    <w:p w14:paraId="4B75FFE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are subject to extensive regulation under the laws of the United States and its various states, as well as other jurisdictions in which we operate. As a result, we are sometimes subject to government inquiries and </w:t>
      </w:r>
      <w:r>
        <w:rPr>
          <w:rFonts w:ascii="Arial" w:eastAsia="宋体" w:hAnsi="Arial" w:cs="Arial"/>
          <w:color w:val="000000"/>
          <w:kern w:val="0"/>
          <w:sz w:val="20"/>
          <w:szCs w:val="20"/>
          <w:lang w:bidi="ar"/>
        </w:rPr>
        <w:t xml:space="preserve">investigations due, among other things, to our business relationships with the U.S. government, the heavily regulated nature of our industry, and in the case of environmental proceedings, our current or past ownership of certain property. Any such inquiry </w:t>
      </w:r>
      <w:r>
        <w:rPr>
          <w:rFonts w:ascii="Arial" w:eastAsia="宋体" w:hAnsi="Arial" w:cs="Arial"/>
          <w:color w:val="000000"/>
          <w:kern w:val="0"/>
          <w:sz w:val="20"/>
          <w:szCs w:val="20"/>
          <w:lang w:bidi="ar"/>
        </w:rPr>
        <w:t>or investigation could result in an adverse ruling against us, which could have a material impact on our financial position, results of operations and/or cash flows.</w:t>
      </w:r>
    </w:p>
    <w:p w14:paraId="4B75FFE5" w14:textId="77777777" w:rsidR="0099058F" w:rsidRDefault="00EB2559">
      <w:pPr>
        <w:widowControl/>
        <w:spacing w:before="180" w:after="180"/>
        <w:rPr>
          <w:rFonts w:ascii="宋体" w:eastAsia="宋体" w:hAnsi="宋体" w:cs="宋体"/>
          <w:kern w:val="0"/>
          <w:sz w:val="24"/>
        </w:rPr>
      </w:pPr>
      <w:r>
        <w:rPr>
          <w:rFonts w:ascii="Arial" w:eastAsia="宋体" w:hAnsi="Arial" w:cs="Arial"/>
          <w:b/>
          <w:bCs/>
          <w:i/>
          <w:iCs/>
          <w:color w:val="000000"/>
          <w:kern w:val="0"/>
          <w:sz w:val="20"/>
          <w:szCs w:val="20"/>
          <w:lang w:bidi="ar"/>
        </w:rPr>
        <w:t>Our operations expose us to the risk of material environmental liabilities.</w:t>
      </w:r>
    </w:p>
    <w:p w14:paraId="4B75FFE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w:t>
      </w:r>
      <w:r>
        <w:rPr>
          <w:rFonts w:ascii="Arial" w:eastAsia="宋体" w:hAnsi="Arial" w:cs="Arial"/>
          <w:color w:val="000000"/>
          <w:kern w:val="0"/>
          <w:sz w:val="20"/>
          <w:szCs w:val="20"/>
          <w:lang w:bidi="ar"/>
        </w:rPr>
        <w:t xml:space="preserve"> to various U.S. federal, state, local and non-U.S. laws and regulations related to environmental protection, including the discharge, treatment, storage, disposal and remediation of hazardous substances and wastes. We could incur substantial costs, includ</w:t>
      </w:r>
      <w:r>
        <w:rPr>
          <w:rFonts w:ascii="Arial" w:eastAsia="宋体" w:hAnsi="Arial" w:cs="Arial"/>
          <w:color w:val="000000"/>
          <w:kern w:val="0"/>
          <w:sz w:val="20"/>
          <w:szCs w:val="20"/>
          <w:lang w:bidi="ar"/>
        </w:rPr>
        <w:t xml:space="preserve">ing cleanup costs, fines and civil or criminal sanctions, as well as third-party claims for property damage or personal injury, if we were to violate or become liable under environmental laws or regulations. In some cases, we are subject to such costs due </w:t>
      </w:r>
      <w:r>
        <w:rPr>
          <w:rFonts w:ascii="Arial" w:eastAsia="宋体" w:hAnsi="Arial" w:cs="Arial"/>
          <w:color w:val="000000"/>
          <w:kern w:val="0"/>
          <w:sz w:val="20"/>
          <w:szCs w:val="20"/>
          <w:lang w:bidi="ar"/>
        </w:rPr>
        <w:t>to environmental impacts attributable to our current or past manufacturing operations or the operations of companies we have acquired. In other cases, we are subject to such costs due to an indemnification agreement between us and a third party relating to</w:t>
      </w:r>
      <w:r>
        <w:rPr>
          <w:rFonts w:ascii="Arial" w:eastAsia="宋体" w:hAnsi="Arial" w:cs="Arial"/>
          <w:color w:val="000000"/>
          <w:kern w:val="0"/>
          <w:sz w:val="20"/>
          <w:szCs w:val="20"/>
          <w:lang w:bidi="ar"/>
        </w:rPr>
        <w:t xml:space="preserve"> such environmental liabilities. In all cases, our current liabilities and ongoing cost assessments are based on current laws and regulations. New laws and regulations, more stringent enforcement of existing laws and regulations, the discovery of previousl</w:t>
      </w:r>
      <w:r>
        <w:rPr>
          <w:rFonts w:ascii="Arial" w:eastAsia="宋体" w:hAnsi="Arial" w:cs="Arial"/>
          <w:color w:val="000000"/>
          <w:kern w:val="0"/>
          <w:sz w:val="20"/>
          <w:szCs w:val="20"/>
          <w:lang w:bidi="ar"/>
        </w:rPr>
        <w:t>y unknown contamination or the imposition of new remediation requirements could result in additional costs. For additional information relating to environmental contingencies, see Note 13 to our Consolidated Financial Statements.</w:t>
      </w:r>
    </w:p>
    <w:p w14:paraId="4B75FFE7"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be adversely affect</w:t>
      </w:r>
      <w:r>
        <w:rPr>
          <w:rFonts w:ascii="Arial" w:eastAsia="宋体" w:hAnsi="Arial" w:cs="Arial"/>
          <w:b/>
          <w:bCs/>
          <w:i/>
          <w:iCs/>
          <w:color w:val="000000"/>
          <w:kern w:val="0"/>
          <w:sz w:val="20"/>
          <w:szCs w:val="20"/>
          <w:lang w:bidi="ar"/>
        </w:rPr>
        <w:t xml:space="preserve">ed by global climate change or by legal, regulatory or market responses to such change. </w:t>
      </w:r>
    </w:p>
    <w:p w14:paraId="4B75FFE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Increasing stakeholder environmental, social and governance (ESG) expectations, physical and transition risks associated with climate change, emerging ESG regulation, </w:t>
      </w:r>
      <w:r>
        <w:rPr>
          <w:rFonts w:ascii="Arial" w:eastAsia="宋体" w:hAnsi="Arial" w:cs="Arial"/>
          <w:color w:val="000000"/>
          <w:kern w:val="0"/>
          <w:sz w:val="20"/>
          <w:szCs w:val="20"/>
          <w:lang w:bidi="ar"/>
        </w:rPr>
        <w:t>contractual requirements, and policy requirements may pose risk to our market outlook, brand and reputation, financial outlook, cost of capital, global supply chain and production continuity, which may impact our ability to achieve long-term business objec</w:t>
      </w:r>
      <w:r>
        <w:rPr>
          <w:rFonts w:ascii="Arial" w:eastAsia="宋体" w:hAnsi="Arial" w:cs="Arial"/>
          <w:color w:val="000000"/>
          <w:kern w:val="0"/>
          <w:sz w:val="20"/>
          <w:szCs w:val="20"/>
          <w:lang w:bidi="ar"/>
        </w:rPr>
        <w:t>tives. Changes in environmental and climate change laws or regulations could lead to additional operational restrictions and compliance requirements upon us or our products, require new or additional investment in product designs, result in carbon offset i</w:t>
      </w:r>
      <w:r>
        <w:rPr>
          <w:rFonts w:ascii="Arial" w:eastAsia="宋体" w:hAnsi="Arial" w:cs="Arial"/>
          <w:color w:val="000000"/>
          <w:kern w:val="0"/>
          <w:sz w:val="20"/>
          <w:szCs w:val="20"/>
          <w:lang w:bidi="ar"/>
        </w:rPr>
        <w:t>nvestments or otherwise could negatively impact our business and/or competitive position. Increasing aircraft performance standards, increasing sustainability disclosure requirements in the U.S. and globally, and requirements on manufacturing and product a</w:t>
      </w:r>
      <w:r>
        <w:rPr>
          <w:rFonts w:ascii="Arial" w:eastAsia="宋体" w:hAnsi="Arial" w:cs="Arial"/>
          <w:color w:val="000000"/>
          <w:kern w:val="0"/>
          <w:sz w:val="20"/>
          <w:szCs w:val="20"/>
          <w:lang w:bidi="ar"/>
        </w:rPr>
        <w:t>ir pollutant emissions, especially greenhouse gas (GHG) emissions, may result in increased costs or reputational risks and could limit our ability to manufacture and/or market certain of our products at acceptable costs, or at all. Physical impacts of clim</w:t>
      </w:r>
      <w:r>
        <w:rPr>
          <w:rFonts w:ascii="Arial" w:eastAsia="宋体" w:hAnsi="Arial" w:cs="Arial"/>
          <w:color w:val="000000"/>
          <w:kern w:val="0"/>
          <w:sz w:val="20"/>
          <w:szCs w:val="20"/>
          <w:lang w:bidi="ar"/>
        </w:rPr>
        <w:t>ate change, increasing global chemical restrictions and bans, and water and waste requirements may drive increased costs to us and our suppliers and impact our production continuity and data facilities.</w:t>
      </w:r>
    </w:p>
    <w:p w14:paraId="4B75FFE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Finally, from time to time, in alignment with our sus</w:t>
      </w:r>
      <w:r>
        <w:rPr>
          <w:rFonts w:ascii="Arial" w:eastAsia="宋体" w:hAnsi="Arial" w:cs="Arial"/>
          <w:color w:val="000000"/>
          <w:kern w:val="0"/>
          <w:sz w:val="20"/>
          <w:szCs w:val="20"/>
          <w:lang w:bidi="ar"/>
        </w:rPr>
        <w:t>tainability priorities, we establish and publicly announce goals and commitments to improve our environmental performance, such as our recent operational goals in areas of GHG emissions, energy, water and waste. If we fail to achieve or improperly report o</w:t>
      </w:r>
      <w:r>
        <w:rPr>
          <w:rFonts w:ascii="Arial" w:eastAsia="宋体" w:hAnsi="Arial" w:cs="Arial"/>
          <w:color w:val="000000"/>
          <w:kern w:val="0"/>
          <w:sz w:val="20"/>
          <w:szCs w:val="20"/>
          <w:lang w:bidi="ar"/>
        </w:rPr>
        <w:t>n our progress toward achieving our sustainability goals and commitments, the resulting negative publicity could adversely affect our reputation and/or our access to capital.</w:t>
      </w:r>
    </w:p>
    <w:p w14:paraId="4B75FFE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15</w:t>
      </w:r>
    </w:p>
    <w:p w14:paraId="4B75FFEB" w14:textId="77777777" w:rsidR="0099058F" w:rsidRDefault="00EB2559">
      <w:pPr>
        <w:widowControl/>
        <w:jc w:val="center"/>
      </w:pPr>
      <w:r>
        <w:rPr>
          <w:rFonts w:ascii="宋体" w:eastAsia="宋体" w:hAnsi="宋体" w:cs="宋体"/>
          <w:kern w:val="0"/>
          <w:sz w:val="24"/>
        </w:rPr>
        <w:pict w14:anchorId="4B763C06">
          <v:rect id="_x0000_i1041" style="width:6in;height:1.5pt" o:hralign="center" o:hrstd="t" o:hr="t" fillcolor="#a0a0a0" stroked="f"/>
        </w:pict>
      </w:r>
    </w:p>
    <w:p w14:paraId="4B75FFE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E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Financing and Liquidity</w:t>
      </w:r>
    </w:p>
    <w:p w14:paraId="4B75FFEE"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be unable to obtain debt to fund our operations and contractual commitments at competitive rates, on commercially reasonable terms or in sufficient amounts.</w:t>
      </w:r>
    </w:p>
    <w:p w14:paraId="4B75FFE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depend, in part, upon the issuance of debt to </w:t>
      </w:r>
      <w:r>
        <w:rPr>
          <w:rFonts w:ascii="Arial" w:eastAsia="宋体" w:hAnsi="Arial" w:cs="Arial"/>
          <w:color w:val="000000"/>
          <w:kern w:val="0"/>
          <w:sz w:val="20"/>
          <w:szCs w:val="20"/>
          <w:lang w:bidi="ar"/>
        </w:rPr>
        <w:t>fund our operations and contractual commitments. In addition, our debt balances have increased significantly since 2019, driven primarily by impacts related to the 737 MAX grounding and the COVID-19 pandemic, and we expect to continue to actively manage ou</w:t>
      </w:r>
      <w:r>
        <w:rPr>
          <w:rFonts w:ascii="Arial" w:eastAsia="宋体" w:hAnsi="Arial" w:cs="Arial"/>
          <w:color w:val="000000"/>
          <w:kern w:val="0"/>
          <w:sz w:val="20"/>
          <w:szCs w:val="20"/>
          <w:lang w:bidi="ar"/>
        </w:rPr>
        <w:t>r liquidity. As of December 31, 2022, our debt totaled $57.0 billion of which approximately $14.5 billion of principal payments on outstanding debt will become due over the next three years. In addition, as of December 31, 2022, our airplane financing comm</w:t>
      </w:r>
      <w:r>
        <w:rPr>
          <w:rFonts w:ascii="Arial" w:eastAsia="宋体" w:hAnsi="Arial" w:cs="Arial"/>
          <w:color w:val="000000"/>
          <w:kern w:val="0"/>
          <w:sz w:val="20"/>
          <w:szCs w:val="20"/>
          <w:lang w:bidi="ar"/>
        </w:rPr>
        <w:t>itments totaled $16.1 billion. Our increased debt balance resulted in downgrades to our credit ratings in 2020, and our ratings remained unchanged in 2022 and 2021. If we require additional funding in order to pay off existing debt, address further impacts</w:t>
      </w:r>
      <w:r>
        <w:rPr>
          <w:rFonts w:ascii="Arial" w:eastAsia="宋体" w:hAnsi="Arial" w:cs="Arial"/>
          <w:color w:val="000000"/>
          <w:kern w:val="0"/>
          <w:sz w:val="20"/>
          <w:szCs w:val="20"/>
          <w:lang w:bidi="ar"/>
        </w:rPr>
        <w:t xml:space="preserve"> to our business related to market developments, fund outstanding financing commitments or meet other business requirements, our market liquidity may not be sufficient. These risks will be particularly acute if we are subject to further credit rating downg</w:t>
      </w:r>
      <w:r>
        <w:rPr>
          <w:rFonts w:ascii="Arial" w:eastAsia="宋体" w:hAnsi="Arial" w:cs="Arial"/>
          <w:color w:val="000000"/>
          <w:kern w:val="0"/>
          <w:sz w:val="20"/>
          <w:szCs w:val="20"/>
          <w:lang w:bidi="ar"/>
        </w:rPr>
        <w:t>rades. A number of factors could cause us to incur increased borrowing costs and to have greater difficulty accessing public and private markets for debt. These factors include disruptions or declines in the global capital markets and/or a decline in our f</w:t>
      </w:r>
      <w:r>
        <w:rPr>
          <w:rFonts w:ascii="Arial" w:eastAsia="宋体" w:hAnsi="Arial" w:cs="Arial"/>
          <w:color w:val="000000"/>
          <w:kern w:val="0"/>
          <w:sz w:val="20"/>
          <w:szCs w:val="20"/>
          <w:lang w:bidi="ar"/>
        </w:rPr>
        <w:t>inancial performance, outlook or credit ratings and/or changes in demand for our products and services. The occurrence of any or all of these events may adversely affect our ability to fund our operations and contractual or financing commitments.</w:t>
      </w:r>
    </w:p>
    <w:p w14:paraId="4B75FFF0"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Substanti</w:t>
      </w:r>
      <w:r>
        <w:rPr>
          <w:rFonts w:ascii="Arial" w:eastAsia="宋体" w:hAnsi="Arial" w:cs="Arial"/>
          <w:b/>
          <w:bCs/>
          <w:i/>
          <w:iCs/>
          <w:color w:val="000000"/>
          <w:kern w:val="0"/>
          <w:sz w:val="20"/>
          <w:szCs w:val="20"/>
          <w:lang w:bidi="ar"/>
        </w:rPr>
        <w:t>al pension and other postretirement benefit obligations have a material impact on our earnings, shareholders’ equity and cash flows from operations, and could have significant adverse impacts in future periods.</w:t>
      </w:r>
    </w:p>
    <w:p w14:paraId="4B75FFF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employees have earned benefits un</w:t>
      </w:r>
      <w:r>
        <w:rPr>
          <w:rFonts w:ascii="Arial" w:eastAsia="宋体" w:hAnsi="Arial" w:cs="Arial"/>
          <w:color w:val="000000"/>
          <w:kern w:val="0"/>
          <w:sz w:val="20"/>
          <w:szCs w:val="20"/>
          <w:lang w:bidi="ar"/>
        </w:rPr>
        <w:t>der defined benefit pension plans. Potential pension contributions include both mandatory amounts required under the Employee Retirement Income Security Act and discretionary contributions to improve the plans' funded status. The extent of future contribut</w:t>
      </w:r>
      <w:r>
        <w:rPr>
          <w:rFonts w:ascii="Arial" w:eastAsia="宋体" w:hAnsi="Arial" w:cs="Arial"/>
          <w:color w:val="000000"/>
          <w:kern w:val="0"/>
          <w:sz w:val="20"/>
          <w:szCs w:val="20"/>
          <w:lang w:bidi="ar"/>
        </w:rPr>
        <w:t>ions depends heavily on market factors such as the discount rate and the actual return on plan assets. We estimate future contributions to these plans using assumptions with respect to these and other items. Changes to those assumptions could have a signif</w:t>
      </w:r>
      <w:r>
        <w:rPr>
          <w:rFonts w:ascii="Arial" w:eastAsia="宋体" w:hAnsi="Arial" w:cs="Arial"/>
          <w:color w:val="000000"/>
          <w:kern w:val="0"/>
          <w:sz w:val="20"/>
          <w:szCs w:val="20"/>
          <w:lang w:bidi="ar"/>
        </w:rPr>
        <w:t>icant effect on future contributions as well as on our annual pension costs and/or result in a significant change to shareholders' equity. For U.S. government contracts, we allocate pension costs to individual contracts based on U.S. Cost Accounting Standa</w:t>
      </w:r>
      <w:r>
        <w:rPr>
          <w:rFonts w:ascii="Arial" w:eastAsia="宋体" w:hAnsi="Arial" w:cs="Arial"/>
          <w:color w:val="000000"/>
          <w:kern w:val="0"/>
          <w:sz w:val="20"/>
          <w:szCs w:val="20"/>
          <w:lang w:bidi="ar"/>
        </w:rPr>
        <w:t>rds which can also affect contract profitability. We also provide other postretirement benefits to certain of our employees, consisting principally of health care coverage for eligible retirees and qualifying dependents. Our estimates of future costs assoc</w:t>
      </w:r>
      <w:r>
        <w:rPr>
          <w:rFonts w:ascii="Arial" w:eastAsia="宋体" w:hAnsi="Arial" w:cs="Arial"/>
          <w:color w:val="000000"/>
          <w:kern w:val="0"/>
          <w:sz w:val="20"/>
          <w:szCs w:val="20"/>
          <w:lang w:bidi="ar"/>
        </w:rPr>
        <w:t>iated with these benefits are also subject to assumptions, including estimates of the level of medical cost increases. For a discussion regarding how our financial statements can be affected by pension and other postretirement plan accounting policies, see</w:t>
      </w:r>
      <w:r>
        <w:rPr>
          <w:rFonts w:ascii="Arial" w:eastAsia="宋体" w:hAnsi="Arial" w:cs="Arial"/>
          <w:color w:val="000000"/>
          <w:kern w:val="0"/>
          <w:sz w:val="20"/>
          <w:szCs w:val="20"/>
          <w:lang w:bidi="ar"/>
        </w:rPr>
        <w:t xml:space="preserve"> “Management's Discussion and Analysis – Critical Accounting Policies &amp; Estimates – Pension Plans” on page 50 of this Form 10-K. Although under Generally Accepted Accounting Principles in the United States of America (GAAP) the timing of periodic pension a</w:t>
      </w:r>
      <w:r>
        <w:rPr>
          <w:rFonts w:ascii="Arial" w:eastAsia="宋体" w:hAnsi="Arial" w:cs="Arial"/>
          <w:color w:val="000000"/>
          <w:kern w:val="0"/>
          <w:sz w:val="20"/>
          <w:szCs w:val="20"/>
          <w:lang w:bidi="ar"/>
        </w:rPr>
        <w:t>nd other postretirement benefit expense and plan contributions are not directly related, the key economic factors that affect GAAP expense would also likely affect the amount of cash or stock we would contribute to our plans.</w:t>
      </w:r>
    </w:p>
    <w:p w14:paraId="4B75FFF2"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Our insurance coverage may be </w:t>
      </w:r>
      <w:r>
        <w:rPr>
          <w:rFonts w:ascii="Arial" w:eastAsia="宋体" w:hAnsi="Arial" w:cs="Arial"/>
          <w:b/>
          <w:bCs/>
          <w:i/>
          <w:iCs/>
          <w:color w:val="000000"/>
          <w:kern w:val="0"/>
          <w:sz w:val="20"/>
          <w:szCs w:val="20"/>
          <w:lang w:bidi="ar"/>
        </w:rPr>
        <w:t>inadequate to cover all significant risk exposures.</w:t>
      </w:r>
    </w:p>
    <w:p w14:paraId="4B75FFF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exposed to liabilities that are unique to the products and services we provide. We maintain insurance for certain risks and, in some circumstances, we may receive indemnification from the U.S. gove</w:t>
      </w:r>
      <w:r>
        <w:rPr>
          <w:rFonts w:ascii="Arial" w:eastAsia="宋体" w:hAnsi="Arial" w:cs="Arial"/>
          <w:color w:val="000000"/>
          <w:kern w:val="0"/>
          <w:sz w:val="20"/>
          <w:szCs w:val="20"/>
          <w:lang w:bidi="ar"/>
        </w:rPr>
        <w:t>rnment. The amount of our insurance coverage may not cover all claims or liabilities, and we may be forced to bear substantial costs. For example, liabilities arising from the use of certain of our products, such as aircraft technologies, space systems, sp</w:t>
      </w:r>
      <w:r>
        <w:rPr>
          <w:rFonts w:ascii="Arial" w:eastAsia="宋体" w:hAnsi="Arial" w:cs="Arial"/>
          <w:color w:val="000000"/>
          <w:kern w:val="0"/>
          <w:sz w:val="20"/>
          <w:szCs w:val="20"/>
          <w:lang w:bidi="ar"/>
        </w:rPr>
        <w:t xml:space="preserve">acecraft, satellites, missile systems, </w:t>
      </w:r>
    </w:p>
    <w:p w14:paraId="4B75FFF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16</w:t>
      </w:r>
    </w:p>
    <w:p w14:paraId="4B75FFF5" w14:textId="77777777" w:rsidR="0099058F" w:rsidRDefault="00EB2559">
      <w:pPr>
        <w:widowControl/>
        <w:jc w:val="center"/>
      </w:pPr>
      <w:r>
        <w:rPr>
          <w:rFonts w:ascii="宋体" w:eastAsia="宋体" w:hAnsi="宋体" w:cs="宋体"/>
          <w:kern w:val="0"/>
          <w:sz w:val="24"/>
        </w:rPr>
        <w:pict w14:anchorId="4B763C07">
          <v:rect id="_x0000_i1042" style="width:6in;height:1.5pt" o:hralign="center" o:hrstd="t" o:hr="t" fillcolor="#a0a0a0" stroked="f"/>
        </w:pict>
      </w:r>
    </w:p>
    <w:p w14:paraId="4B75FFF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5FFF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weapons, cybersecurity, border security systems, anti-terrorism technologies and/or air traffic management systems may not be insurable on commercially reasonable terms. While some of these products are shielded from liability within the U.S. under the SAF</w:t>
      </w:r>
      <w:r>
        <w:rPr>
          <w:rFonts w:ascii="Arial" w:eastAsia="宋体" w:hAnsi="Arial" w:cs="Arial"/>
          <w:color w:val="000000"/>
          <w:kern w:val="0"/>
          <w:sz w:val="20"/>
          <w:szCs w:val="20"/>
          <w:lang w:bidi="ar"/>
        </w:rPr>
        <w:t>ETY Act provisions of the 2002 Homeland Security Act, no such protection is available outside the U.S., potentially resulting in significant liabilities. See Note 21 of the Consolidated Financial Statements for discussion of legal proceedings resulting fro</w:t>
      </w:r>
      <w:r>
        <w:rPr>
          <w:rFonts w:ascii="Arial" w:eastAsia="宋体" w:hAnsi="Arial" w:cs="Arial"/>
          <w:color w:val="000000"/>
          <w:kern w:val="0"/>
          <w:sz w:val="20"/>
          <w:szCs w:val="20"/>
          <w:lang w:bidi="ar"/>
        </w:rPr>
        <w:t xml:space="preserve">m the October 29, 2018 accident of Lion Air Flight 610 and the March 10, 2019 accident of Ethiopian Airlines Flight 302. The amount of insurance coverage we maintain may be inadequate to cover these or other claims or liabilities. </w:t>
      </w:r>
    </w:p>
    <w:p w14:paraId="4B75FFF8"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A significant portion of</w:t>
      </w:r>
      <w:r>
        <w:rPr>
          <w:rFonts w:ascii="Arial" w:eastAsia="宋体" w:hAnsi="Arial" w:cs="Arial"/>
          <w:b/>
          <w:bCs/>
          <w:i/>
          <w:iCs/>
          <w:color w:val="000000"/>
          <w:kern w:val="0"/>
          <w:sz w:val="20"/>
          <w:szCs w:val="20"/>
          <w:lang w:bidi="ar"/>
        </w:rPr>
        <w:t xml:space="preserve"> our customer financing portfolio is concentrated among certain customers and in certain types of Boeing aircraft, which exposes us to concentration risks.</w:t>
      </w:r>
    </w:p>
    <w:p w14:paraId="4B75FFF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 significant portion of our customer financing portfolio is concentrated among certain customers an</w:t>
      </w:r>
      <w:r>
        <w:rPr>
          <w:rFonts w:ascii="Arial" w:eastAsia="宋体" w:hAnsi="Arial" w:cs="Arial"/>
          <w:color w:val="000000"/>
          <w:kern w:val="0"/>
          <w:sz w:val="20"/>
          <w:szCs w:val="20"/>
          <w:lang w:bidi="ar"/>
        </w:rPr>
        <w:t>d in distinct geographic regions. Our portfolio is also concentrated by varying degrees across Boeing aircraft product types, most notably 717 and 747-8 aircraft, and among customers that we believe have less than investment-grade credit. If one or more cu</w:t>
      </w:r>
      <w:r>
        <w:rPr>
          <w:rFonts w:ascii="Arial" w:eastAsia="宋体" w:hAnsi="Arial" w:cs="Arial"/>
          <w:color w:val="000000"/>
          <w:kern w:val="0"/>
          <w:sz w:val="20"/>
          <w:szCs w:val="20"/>
          <w:lang w:bidi="ar"/>
        </w:rPr>
        <w:t>stomers holding a significant portion of our portfolio assets experiences financial difficulties or otherwise defaults on or does not renew its leases with us at their expiration, and we are unable to redeploy the aircraft on reasonable terms, or if the ty</w:t>
      </w:r>
      <w:r>
        <w:rPr>
          <w:rFonts w:ascii="Arial" w:eastAsia="宋体" w:hAnsi="Arial" w:cs="Arial"/>
          <w:color w:val="000000"/>
          <w:kern w:val="0"/>
          <w:sz w:val="20"/>
          <w:szCs w:val="20"/>
          <w:lang w:bidi="ar"/>
        </w:rPr>
        <w:t>pes of aircraft that are concentrated in our portfolio suffer greater than expected declines in value, our financial position, results of operations and/or cash flows could be materially adversely affected.</w:t>
      </w:r>
    </w:p>
    <w:p w14:paraId="4B75FFF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Labor</w:t>
      </w:r>
    </w:p>
    <w:p w14:paraId="4B75FFFB" w14:textId="77777777" w:rsidR="0099058F" w:rsidRDefault="00EB2559">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Some of our and our suppli</w:t>
      </w:r>
      <w:r>
        <w:rPr>
          <w:rFonts w:ascii="Arial" w:eastAsia="宋体" w:hAnsi="Arial" w:cs="Arial"/>
          <w:b/>
          <w:bCs/>
          <w:i/>
          <w:iCs/>
          <w:color w:val="000000"/>
          <w:kern w:val="0"/>
          <w:sz w:val="20"/>
          <w:szCs w:val="20"/>
          <w:lang w:bidi="ar"/>
        </w:rPr>
        <w:t>ers’ workforces are represented by labor unions, which may lead to work stoppages.</w:t>
      </w:r>
    </w:p>
    <w:p w14:paraId="4B75FFFC"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Approximately 50,000 employees, which constitute 32% of our total workforce, were union represented as of December 31, 2022. We experienced a work stoppage in 2008 when a la</w:t>
      </w:r>
      <w:r>
        <w:rPr>
          <w:rFonts w:ascii="Arial" w:eastAsia="宋体" w:hAnsi="Arial" w:cs="Arial"/>
          <w:color w:val="000000"/>
          <w:kern w:val="0"/>
          <w:sz w:val="20"/>
          <w:szCs w:val="20"/>
          <w:lang w:bidi="ar"/>
        </w:rPr>
        <w:t>bor strike halted commercial aircraft and certain BDS program production. We may experience additional work stoppages in the future, which could adversely affect our business. We cannot predict how stable our union relationships, currently with 11 U.S. lab</w:t>
      </w:r>
      <w:r>
        <w:rPr>
          <w:rFonts w:ascii="Arial" w:eastAsia="宋体" w:hAnsi="Arial" w:cs="Arial"/>
          <w:color w:val="000000"/>
          <w:kern w:val="0"/>
          <w:sz w:val="20"/>
          <w:szCs w:val="20"/>
          <w:lang w:bidi="ar"/>
        </w:rPr>
        <w:t>or organizations and 12 non-U.S. labor organizations, will be or whether we will be able to meet the unions’ requirements without impacting our financial condition. The unions may also limit our flexibility in dealing with our workforce. Union actions at s</w:t>
      </w:r>
      <w:r>
        <w:rPr>
          <w:rFonts w:ascii="Arial" w:eastAsia="宋体" w:hAnsi="Arial" w:cs="Arial"/>
          <w:color w:val="000000"/>
          <w:kern w:val="0"/>
          <w:sz w:val="20"/>
          <w:szCs w:val="20"/>
          <w:lang w:bidi="ar"/>
        </w:rPr>
        <w:t>uppliers can also affect us. Work stoppages and instability in our union relationships could delay the production and/or development of our products, which could strain relationships with customers and result in lower revenues.</w:t>
      </w:r>
    </w:p>
    <w:p w14:paraId="4B75FFF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1B. Unresolved Staff Co</w:t>
      </w:r>
      <w:r>
        <w:rPr>
          <w:rFonts w:ascii="Arial" w:eastAsia="宋体" w:hAnsi="Arial" w:cs="Arial"/>
          <w:b/>
          <w:bCs/>
          <w:color w:val="000000"/>
          <w:kern w:val="0"/>
          <w:sz w:val="20"/>
          <w:szCs w:val="20"/>
          <w:lang w:bidi="ar"/>
        </w:rPr>
        <w:t>mments</w:t>
      </w:r>
    </w:p>
    <w:p w14:paraId="4B75FFFE"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B75FFF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17</w:t>
      </w:r>
    </w:p>
    <w:p w14:paraId="4B760000" w14:textId="77777777" w:rsidR="0099058F" w:rsidRDefault="00EB2559">
      <w:pPr>
        <w:widowControl/>
        <w:jc w:val="center"/>
      </w:pPr>
      <w:r>
        <w:rPr>
          <w:rFonts w:ascii="宋体" w:eastAsia="宋体" w:hAnsi="宋体" w:cs="宋体"/>
          <w:kern w:val="0"/>
          <w:sz w:val="24"/>
        </w:rPr>
        <w:pict w14:anchorId="4B763C08">
          <v:rect id="_x0000_i1043" style="width:6in;height:1.5pt" o:hralign="center" o:hrstd="t" o:hr="t" fillcolor="#a0a0a0" stroked="f"/>
        </w:pict>
      </w:r>
    </w:p>
    <w:p w14:paraId="4B76000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00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Properties</w:t>
      </w:r>
    </w:p>
    <w:p w14:paraId="4B76000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had approximately 87 million square feet of floor space on December 31, 2022 for manufacturing, warehousing, </w:t>
      </w:r>
      <w:r>
        <w:rPr>
          <w:rFonts w:ascii="Arial" w:eastAsia="宋体" w:hAnsi="Arial" w:cs="Arial"/>
          <w:color w:val="000000"/>
          <w:kern w:val="0"/>
          <w:sz w:val="20"/>
          <w:szCs w:val="20"/>
          <w:lang w:bidi="ar"/>
        </w:rPr>
        <w:t>engineering, administration and other productive uses, of which approximately 88% was located in the United States. The following table provides a summary of the floor space by business as of December 31, 2022:</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3826"/>
        <w:gridCol w:w="37"/>
        <w:gridCol w:w="59"/>
        <w:gridCol w:w="878"/>
        <w:gridCol w:w="36"/>
        <w:gridCol w:w="36"/>
        <w:gridCol w:w="36"/>
        <w:gridCol w:w="36"/>
        <w:gridCol w:w="59"/>
        <w:gridCol w:w="870"/>
        <w:gridCol w:w="36"/>
        <w:gridCol w:w="36"/>
        <w:gridCol w:w="36"/>
        <w:gridCol w:w="36"/>
        <w:gridCol w:w="81"/>
        <w:gridCol w:w="1052"/>
        <w:gridCol w:w="36"/>
        <w:gridCol w:w="36"/>
        <w:gridCol w:w="36"/>
        <w:gridCol w:w="36"/>
        <w:gridCol w:w="59"/>
        <w:gridCol w:w="861"/>
        <w:gridCol w:w="36"/>
      </w:tblGrid>
      <w:tr w:rsidR="0099058F" w14:paraId="4B76001C" w14:textId="77777777">
        <w:tc>
          <w:tcPr>
            <w:tcW w:w="50" w:type="pct"/>
            <w:tcBorders>
              <w:top w:val="nil"/>
              <w:left w:val="nil"/>
              <w:bottom w:val="nil"/>
              <w:right w:val="nil"/>
            </w:tcBorders>
            <w:shd w:val="clear" w:color="auto" w:fill="auto"/>
            <w:vAlign w:val="bottom"/>
          </w:tcPr>
          <w:p w14:paraId="4B760004" w14:textId="77777777" w:rsidR="0099058F" w:rsidRDefault="0099058F">
            <w:pPr>
              <w:widowControl/>
              <w:jc w:val="left"/>
              <w:rPr>
                <w:rFonts w:ascii="Times New Roman" w:eastAsia="宋体" w:hAnsi="宋体" w:cs="宋体"/>
                <w:kern w:val="0"/>
                <w:sz w:val="24"/>
              </w:rPr>
            </w:pPr>
          </w:p>
        </w:tc>
        <w:tc>
          <w:tcPr>
            <w:tcW w:w="2313" w:type="pct"/>
            <w:tcBorders>
              <w:top w:val="nil"/>
              <w:left w:val="nil"/>
              <w:bottom w:val="nil"/>
              <w:right w:val="nil"/>
            </w:tcBorders>
            <w:shd w:val="clear" w:color="auto" w:fill="auto"/>
            <w:vAlign w:val="bottom"/>
          </w:tcPr>
          <w:p w14:paraId="4B76000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0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07"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00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0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0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0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0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0D"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00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0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1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13" w14:textId="77777777" w:rsidR="0099058F" w:rsidRDefault="0099058F">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4B76001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1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19"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01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1B" w14:textId="77777777" w:rsidR="0099058F" w:rsidRDefault="0099058F">
            <w:pPr>
              <w:widowControl/>
              <w:jc w:val="left"/>
              <w:rPr>
                <w:rFonts w:ascii="Times New Roman" w:eastAsia="宋体" w:hAnsi="宋体" w:cs="宋体"/>
                <w:kern w:val="0"/>
                <w:sz w:val="24"/>
              </w:rPr>
            </w:pPr>
          </w:p>
        </w:tc>
      </w:tr>
      <w:tr w:rsidR="0099058F" w14:paraId="4B7600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1D"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(Square feet in thousands)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Owned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1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2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Government Owned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2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99058F" w14:paraId="4B76003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02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0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39,586 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028"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2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0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02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2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2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2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0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030" w14:textId="77777777" w:rsidR="0099058F" w:rsidRDefault="0099058F">
            <w:pPr>
              <w:widowControl/>
              <w:jc w:val="right"/>
              <w:rPr>
                <w:rFonts w:ascii="Times New Roman" w:eastAsia="宋体" w:hAnsi="宋体" w:cs="宋体"/>
                <w:kern w:val="0"/>
                <w:sz w:val="24"/>
              </w:rPr>
            </w:pPr>
          </w:p>
        </w:tc>
      </w:tr>
      <w:tr w:rsidR="0099058F" w14:paraId="4B7600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03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w:t>
            </w:r>
            <w:r>
              <w:rPr>
                <w:rFonts w:ascii="Arial" w:eastAsia="宋体" w:hAnsi="Arial" w:cs="Arial"/>
                <w:color w:val="000000"/>
                <w:kern w:val="0"/>
                <w:sz w:val="20"/>
                <w:szCs w:val="20"/>
                <w:lang w:bidi="ar"/>
              </w:rPr>
              <w:t>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22,643 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3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3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3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3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27,733 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3C" w14:textId="77777777" w:rsidR="0099058F" w:rsidRDefault="0099058F">
            <w:pPr>
              <w:widowControl/>
              <w:jc w:val="right"/>
              <w:rPr>
                <w:rFonts w:ascii="Times New Roman" w:eastAsia="宋体" w:hAnsi="宋体" w:cs="宋体"/>
                <w:kern w:val="0"/>
                <w:sz w:val="24"/>
              </w:rPr>
            </w:pPr>
          </w:p>
        </w:tc>
      </w:tr>
      <w:tr w:rsidR="0099058F" w14:paraId="4B7600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03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0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04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4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0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04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4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4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04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048" w14:textId="77777777" w:rsidR="0099058F" w:rsidRDefault="0099058F">
            <w:pPr>
              <w:widowControl/>
              <w:jc w:val="right"/>
              <w:rPr>
                <w:rFonts w:ascii="Times New Roman" w:eastAsia="宋体" w:hAnsi="宋体" w:cs="宋体"/>
                <w:kern w:val="0"/>
                <w:sz w:val="24"/>
              </w:rPr>
            </w:pPr>
          </w:p>
        </w:tc>
      </w:tr>
      <w:tr w:rsidR="0099058F" w14:paraId="4B7600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04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4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4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4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5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5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55" w14:textId="77777777" w:rsidR="0099058F" w:rsidRDefault="0099058F">
            <w:pPr>
              <w:widowControl/>
              <w:jc w:val="right"/>
              <w:rPr>
                <w:rFonts w:ascii="Times New Roman" w:eastAsia="宋体" w:hAnsi="宋体" w:cs="宋体"/>
                <w:kern w:val="0"/>
                <w:sz w:val="24"/>
              </w:rPr>
            </w:pPr>
          </w:p>
        </w:tc>
      </w:tr>
      <w:tr w:rsidR="0099058F" w14:paraId="4B76006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005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0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65,251 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059"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05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0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05C"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05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0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05F"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06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0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87,396 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062" w14:textId="77777777" w:rsidR="0099058F" w:rsidRDefault="0099058F">
            <w:pPr>
              <w:widowControl/>
              <w:jc w:val="right"/>
              <w:rPr>
                <w:rFonts w:ascii="Times New Roman" w:eastAsia="宋体" w:hAnsi="宋体" w:cs="宋体"/>
                <w:kern w:val="0"/>
                <w:sz w:val="24"/>
              </w:rPr>
            </w:pPr>
          </w:p>
        </w:tc>
      </w:tr>
    </w:tbl>
    <w:p w14:paraId="4B76006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Other includes sites used for corporate offices, enterprise research and development and common internal services.</w:t>
      </w:r>
    </w:p>
    <w:p w14:paraId="4B76006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At December 31, 2022, the combined square footage at the following major locations totaled m</w:t>
      </w:r>
      <w:r>
        <w:rPr>
          <w:rFonts w:ascii="Arial" w:eastAsia="宋体" w:hAnsi="Arial" w:cs="Arial"/>
          <w:color w:val="000000"/>
          <w:kern w:val="0"/>
          <w:sz w:val="20"/>
          <w:szCs w:val="20"/>
          <w:lang w:bidi="ar"/>
        </w:rPr>
        <w:t>ore than 81 million square feet:</w:t>
      </w:r>
    </w:p>
    <w:p w14:paraId="4B760066"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Commercial Airplanes – Greater Seattle, WA; China; Greater Charleston, SC; Greater Portland, OR; Greater Los Angeles, CA; Greater Salt Lake City, UT; Australia and Canada</w:t>
      </w:r>
    </w:p>
    <w:p w14:paraId="4B760067"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•Defense, Space &amp; Security – Greater St. Louis, MO;</w:t>
      </w:r>
      <w:r>
        <w:rPr>
          <w:rFonts w:ascii="Arial" w:eastAsia="宋体" w:hAnsi="Arial" w:cs="Arial"/>
          <w:color w:val="000000"/>
          <w:kern w:val="0"/>
          <w:sz w:val="20"/>
          <w:szCs w:val="20"/>
          <w:lang w:bidi="ar"/>
        </w:rPr>
        <w:t xml:space="preserve"> Greater Seattle, WA; Greater Los Angeles, CA; Philadelphia, PA; Mesa, AZ; Huntsville, AL; Oklahoma City, OK; Heath, OH; Greater Washington, DC; Australia; Greater Portland, OR; Houston, TX; and Kennedy Space Center</w:t>
      </w:r>
    </w:p>
    <w:p w14:paraId="4B760068"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•Global Services – San Antonio, TX; Grea</w:t>
      </w:r>
      <w:r>
        <w:rPr>
          <w:rFonts w:ascii="Arial" w:eastAsia="宋体" w:hAnsi="Arial" w:cs="Arial"/>
          <w:color w:val="000000"/>
          <w:kern w:val="0"/>
          <w:sz w:val="20"/>
          <w:szCs w:val="20"/>
          <w:lang w:bidi="ar"/>
        </w:rPr>
        <w:t>ter Miami, FL; Dallas, TX; Great Britain; China; Jacksonville, FL; and Germany</w:t>
      </w:r>
    </w:p>
    <w:p w14:paraId="4B760069"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•Other – Chicago, IL; India; Greater Los Angeles, CA; Greater St. Louis, MO; and Greater Washington, DC.</w:t>
      </w:r>
    </w:p>
    <w:p w14:paraId="4B76006A"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Most runways and taxiways that we use are located on airport properties </w:t>
      </w:r>
      <w:r>
        <w:rPr>
          <w:rFonts w:ascii="Arial" w:eastAsia="宋体" w:hAnsi="Arial" w:cs="Arial"/>
          <w:color w:val="000000"/>
          <w:kern w:val="0"/>
          <w:sz w:val="20"/>
          <w:szCs w:val="20"/>
          <w:lang w:bidi="ar"/>
        </w:rPr>
        <w:t>owned by others and are used jointly with others. Our rights to use such facilities are provided for under long-term leases with municipal, county or other government authorities. In addition, the U.S. government furnishes us certain office space, installa</w:t>
      </w:r>
      <w:r>
        <w:rPr>
          <w:rFonts w:ascii="Arial" w:eastAsia="宋体" w:hAnsi="Arial" w:cs="Arial"/>
          <w:color w:val="000000"/>
          <w:kern w:val="0"/>
          <w:sz w:val="20"/>
          <w:szCs w:val="20"/>
          <w:lang w:bidi="ar"/>
        </w:rPr>
        <w:t>tions and equipment at U.S. government bases for use in connection with various contract activities.</w:t>
      </w:r>
    </w:p>
    <w:p w14:paraId="4B76006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3. Legal Proceedings</w:t>
      </w:r>
    </w:p>
    <w:p w14:paraId="4B76006C"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Currently, we are involved in a number of legal proceedings. For a discussion of contingencies related to legal proceedings, see </w:t>
      </w:r>
      <w:r>
        <w:rPr>
          <w:rFonts w:ascii="Arial" w:eastAsia="宋体" w:hAnsi="Arial" w:cs="Arial"/>
          <w:color w:val="000000"/>
          <w:kern w:val="0"/>
          <w:sz w:val="20"/>
          <w:szCs w:val="20"/>
          <w:lang w:bidi="ar"/>
        </w:rPr>
        <w:t>Note 21 to our Consolidated Financial Statements, which is hereby incorporated by reference.</w:t>
      </w:r>
    </w:p>
    <w:p w14:paraId="4B76006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4B76006E"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B76006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18</w:t>
      </w:r>
    </w:p>
    <w:p w14:paraId="4B760070" w14:textId="77777777" w:rsidR="0099058F" w:rsidRDefault="00EB2559">
      <w:pPr>
        <w:widowControl/>
        <w:jc w:val="center"/>
      </w:pPr>
      <w:r>
        <w:rPr>
          <w:rFonts w:ascii="宋体" w:eastAsia="宋体" w:hAnsi="宋体" w:cs="宋体"/>
          <w:kern w:val="0"/>
          <w:sz w:val="24"/>
        </w:rPr>
        <w:pict w14:anchorId="4B763C09">
          <v:rect id="_x0000_i1044" style="width:6in;height:1.5pt" o:hralign="center" o:hrstd="t" o:hr="t" fillcolor="#a0a0a0" stroked="f"/>
        </w:pict>
      </w:r>
    </w:p>
    <w:p w14:paraId="4B76007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072" w14:textId="77777777" w:rsidR="0099058F" w:rsidRDefault="00EB2559">
      <w:pPr>
        <w:widowControl/>
        <w:spacing w:before="180" w:after="300"/>
        <w:jc w:val="center"/>
        <w:rPr>
          <w:rFonts w:ascii="宋体" w:eastAsia="宋体" w:hAnsi="宋体" w:cs="宋体"/>
          <w:kern w:val="0"/>
          <w:sz w:val="24"/>
        </w:rPr>
      </w:pPr>
      <w:r>
        <w:rPr>
          <w:rFonts w:ascii="Arial" w:eastAsia="宋体" w:hAnsi="Arial" w:cs="Arial"/>
          <w:b/>
          <w:bCs/>
          <w:color w:val="000000"/>
          <w:kern w:val="0"/>
          <w:sz w:val="20"/>
          <w:szCs w:val="20"/>
          <w:lang w:bidi="ar"/>
        </w:rPr>
        <w:t>PART II</w:t>
      </w:r>
    </w:p>
    <w:p w14:paraId="4B760073"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Market for Registrant’s Common Equity, Related Stockholder Matters and Issuer Purchases of Equity Securities</w:t>
      </w:r>
    </w:p>
    <w:p w14:paraId="4B760074"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principal market for our common stock is the New Y</w:t>
      </w:r>
      <w:r>
        <w:rPr>
          <w:rFonts w:ascii="Arial" w:eastAsia="宋体" w:hAnsi="Arial" w:cs="Arial"/>
          <w:color w:val="000000"/>
          <w:kern w:val="0"/>
          <w:sz w:val="20"/>
          <w:szCs w:val="20"/>
          <w:lang w:bidi="ar"/>
        </w:rPr>
        <w:t>ork Stock Exchange where it trades under the symbol BA. As of January 20, 2023, there were 88,322 shareholders of record.</w:t>
      </w:r>
    </w:p>
    <w:p w14:paraId="4B760075"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4B76007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about purchases we made during the quarter ended Decemb</w:t>
      </w:r>
      <w:r>
        <w:rPr>
          <w:rFonts w:ascii="Arial" w:eastAsia="宋体" w:hAnsi="Arial" w:cs="Arial"/>
          <w:color w:val="000000"/>
          <w:kern w:val="0"/>
          <w:sz w:val="20"/>
          <w:szCs w:val="20"/>
          <w:lang w:bidi="ar"/>
        </w:rPr>
        <w:t>er 31, 2022 of equity securities that are registered by us pursuant to Section 12 of the Exchange Act:</w:t>
      </w:r>
    </w:p>
    <w:p w14:paraId="4B760077" w14:textId="77777777" w:rsidR="0099058F" w:rsidRDefault="00EB2559">
      <w:pPr>
        <w:widowControl/>
        <w:spacing w:after="100"/>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2215"/>
        <w:gridCol w:w="36"/>
        <w:gridCol w:w="68"/>
        <w:gridCol w:w="1021"/>
        <w:gridCol w:w="36"/>
        <w:gridCol w:w="36"/>
        <w:gridCol w:w="36"/>
        <w:gridCol w:w="36"/>
        <w:gridCol w:w="59"/>
        <w:gridCol w:w="1022"/>
        <w:gridCol w:w="36"/>
        <w:gridCol w:w="36"/>
        <w:gridCol w:w="36"/>
        <w:gridCol w:w="36"/>
        <w:gridCol w:w="51"/>
        <w:gridCol w:w="1315"/>
        <w:gridCol w:w="36"/>
        <w:gridCol w:w="36"/>
        <w:gridCol w:w="36"/>
        <w:gridCol w:w="36"/>
        <w:gridCol w:w="51"/>
        <w:gridCol w:w="1958"/>
        <w:gridCol w:w="36"/>
      </w:tblGrid>
      <w:tr w:rsidR="0099058F" w14:paraId="4B760090" w14:textId="77777777">
        <w:tc>
          <w:tcPr>
            <w:tcW w:w="50" w:type="pct"/>
            <w:tcBorders>
              <w:top w:val="nil"/>
              <w:left w:val="nil"/>
              <w:bottom w:val="nil"/>
              <w:right w:val="nil"/>
            </w:tcBorders>
            <w:shd w:val="clear" w:color="auto" w:fill="auto"/>
            <w:vAlign w:val="bottom"/>
          </w:tcPr>
          <w:p w14:paraId="4B760078" w14:textId="77777777" w:rsidR="0099058F" w:rsidRDefault="0099058F">
            <w:pPr>
              <w:widowControl/>
              <w:jc w:val="left"/>
              <w:rPr>
                <w:rFonts w:ascii="Times New Roman" w:eastAsia="宋体" w:hAnsi="宋体" w:cs="宋体"/>
                <w:kern w:val="0"/>
                <w:sz w:val="24"/>
              </w:rPr>
            </w:pPr>
          </w:p>
        </w:tc>
        <w:tc>
          <w:tcPr>
            <w:tcW w:w="1344" w:type="pct"/>
            <w:tcBorders>
              <w:top w:val="nil"/>
              <w:left w:val="nil"/>
              <w:bottom w:val="nil"/>
              <w:right w:val="nil"/>
            </w:tcBorders>
            <w:shd w:val="clear" w:color="auto" w:fill="auto"/>
            <w:vAlign w:val="bottom"/>
          </w:tcPr>
          <w:p w14:paraId="4B76007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7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7B" w14:textId="77777777" w:rsidR="0099058F" w:rsidRDefault="0099058F">
            <w:pPr>
              <w:widowControl/>
              <w:jc w:val="left"/>
              <w:rPr>
                <w:rFonts w:ascii="Times New Roman" w:eastAsia="宋体" w:hAnsi="宋体" w:cs="宋体"/>
                <w:kern w:val="0"/>
                <w:sz w:val="24"/>
              </w:rPr>
            </w:pPr>
          </w:p>
        </w:tc>
        <w:tc>
          <w:tcPr>
            <w:tcW w:w="632" w:type="pct"/>
            <w:tcBorders>
              <w:top w:val="nil"/>
              <w:left w:val="nil"/>
              <w:bottom w:val="nil"/>
              <w:right w:val="nil"/>
            </w:tcBorders>
            <w:shd w:val="clear" w:color="auto" w:fill="auto"/>
            <w:vAlign w:val="bottom"/>
          </w:tcPr>
          <w:p w14:paraId="4B76007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7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7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7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81" w14:textId="77777777" w:rsidR="0099058F" w:rsidRDefault="0099058F">
            <w:pPr>
              <w:widowControl/>
              <w:jc w:val="left"/>
              <w:rPr>
                <w:rFonts w:ascii="Times New Roman" w:eastAsia="宋体" w:hAnsi="宋体" w:cs="宋体"/>
                <w:kern w:val="0"/>
                <w:sz w:val="24"/>
              </w:rPr>
            </w:pPr>
          </w:p>
        </w:tc>
        <w:tc>
          <w:tcPr>
            <w:tcW w:w="632" w:type="pct"/>
            <w:tcBorders>
              <w:top w:val="nil"/>
              <w:left w:val="nil"/>
              <w:bottom w:val="nil"/>
              <w:right w:val="nil"/>
            </w:tcBorders>
            <w:shd w:val="clear" w:color="auto" w:fill="auto"/>
            <w:vAlign w:val="bottom"/>
          </w:tcPr>
          <w:p w14:paraId="4B76008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8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87" w14:textId="77777777" w:rsidR="0099058F" w:rsidRDefault="0099058F">
            <w:pPr>
              <w:widowControl/>
              <w:jc w:val="left"/>
              <w:rPr>
                <w:rFonts w:ascii="Times New Roman" w:eastAsia="宋体" w:hAnsi="宋体" w:cs="宋体"/>
                <w:kern w:val="0"/>
                <w:sz w:val="24"/>
              </w:rPr>
            </w:pPr>
          </w:p>
        </w:tc>
        <w:tc>
          <w:tcPr>
            <w:tcW w:w="803" w:type="pct"/>
            <w:tcBorders>
              <w:top w:val="nil"/>
              <w:left w:val="nil"/>
              <w:bottom w:val="nil"/>
              <w:right w:val="nil"/>
            </w:tcBorders>
            <w:shd w:val="clear" w:color="auto" w:fill="auto"/>
            <w:vAlign w:val="bottom"/>
          </w:tcPr>
          <w:p w14:paraId="4B7600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8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8D" w14:textId="77777777" w:rsidR="0099058F" w:rsidRDefault="0099058F">
            <w:pPr>
              <w:widowControl/>
              <w:jc w:val="left"/>
              <w:rPr>
                <w:rFonts w:ascii="Times New Roman" w:eastAsia="宋体" w:hAnsi="宋体" w:cs="宋体"/>
                <w:kern w:val="0"/>
                <w:sz w:val="24"/>
              </w:rPr>
            </w:pPr>
          </w:p>
        </w:tc>
        <w:tc>
          <w:tcPr>
            <w:tcW w:w="1189" w:type="pct"/>
            <w:tcBorders>
              <w:top w:val="nil"/>
              <w:left w:val="nil"/>
              <w:bottom w:val="nil"/>
              <w:right w:val="nil"/>
            </w:tcBorders>
            <w:shd w:val="clear" w:color="auto" w:fill="auto"/>
            <w:vAlign w:val="bottom"/>
          </w:tcPr>
          <w:p w14:paraId="4B7600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8F" w14:textId="77777777" w:rsidR="0099058F" w:rsidRDefault="0099058F">
            <w:pPr>
              <w:widowControl/>
              <w:jc w:val="left"/>
              <w:rPr>
                <w:rFonts w:ascii="Times New Roman" w:eastAsia="宋体" w:hAnsi="宋体" w:cs="宋体"/>
                <w:kern w:val="0"/>
                <w:sz w:val="24"/>
              </w:rPr>
            </w:pPr>
          </w:p>
        </w:tc>
      </w:tr>
      <w:tr w:rsidR="0099058F" w14:paraId="4B76009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9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9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9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9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9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9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(d)</w:t>
            </w:r>
          </w:p>
        </w:tc>
      </w:tr>
      <w:tr w:rsidR="0099058F" w14:paraId="4B7600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9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0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Total Number </w:t>
            </w:r>
          </w:p>
          <w:p w14:paraId="4B7600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of Shares</w:t>
            </w:r>
          </w:p>
          <w:p w14:paraId="4B7600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Purchased</w:t>
            </w:r>
            <w:r>
              <w:rPr>
                <w:rFonts w:ascii="Arial" w:eastAsia="宋体" w:hAnsi="Arial" w:cs="Arial"/>
                <w:color w:val="000000"/>
                <w:kern w:val="0"/>
                <w:sz w:val="10"/>
                <w:szCs w:val="10"/>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09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0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Average</w:t>
            </w:r>
            <w:r>
              <w:rPr>
                <w:rFonts w:ascii="Arial" w:eastAsia="宋体" w:hAnsi="Arial" w:cs="Arial"/>
                <w:color w:val="000000"/>
                <w:kern w:val="0"/>
                <w:sz w:val="16"/>
                <w:szCs w:val="16"/>
                <w:lang w:bidi="ar"/>
              </w:rPr>
              <w:br/>
              <w:t>Price Paid per</w:t>
            </w:r>
            <w:r>
              <w:rPr>
                <w:rFonts w:ascii="Arial" w:eastAsia="宋体" w:hAnsi="Arial" w:cs="Arial"/>
                <w:color w:val="000000"/>
                <w:kern w:val="0"/>
                <w:sz w:val="16"/>
                <w:szCs w:val="16"/>
                <w:lang w:bidi="ar"/>
              </w:rPr>
              <w:br/>
              <w:t>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0A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0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 Number of</w:t>
            </w:r>
            <w:r>
              <w:rPr>
                <w:rFonts w:ascii="Arial" w:eastAsia="宋体" w:hAnsi="Arial" w:cs="Arial"/>
                <w:color w:val="000000"/>
                <w:kern w:val="0"/>
                <w:sz w:val="16"/>
                <w:szCs w:val="16"/>
                <w:lang w:bidi="ar"/>
              </w:rPr>
              <w:br/>
              <w:t>Shares Purchased</w:t>
            </w:r>
            <w:r>
              <w:rPr>
                <w:rFonts w:ascii="Arial" w:eastAsia="宋体" w:hAnsi="Arial" w:cs="Arial"/>
                <w:color w:val="000000"/>
                <w:kern w:val="0"/>
                <w:sz w:val="16"/>
                <w:szCs w:val="16"/>
                <w:lang w:bidi="ar"/>
              </w:rPr>
              <w:br/>
              <w:t xml:space="preserve">as Part of Publicly </w:t>
            </w:r>
            <w:r>
              <w:rPr>
                <w:rFonts w:ascii="Arial" w:eastAsia="宋体" w:hAnsi="Arial" w:cs="Arial"/>
                <w:color w:val="000000"/>
                <w:kern w:val="0"/>
                <w:sz w:val="16"/>
                <w:szCs w:val="16"/>
                <w:lang w:bidi="ar"/>
              </w:rPr>
              <w:br/>
              <w:t>Announced Plans</w:t>
            </w:r>
            <w:r>
              <w:rPr>
                <w:rFonts w:ascii="Arial" w:eastAsia="宋体" w:hAnsi="Arial" w:cs="Arial"/>
                <w:color w:val="000000"/>
                <w:kern w:val="0"/>
                <w:sz w:val="16"/>
                <w:szCs w:val="16"/>
                <w:lang w:bidi="ar"/>
              </w:rPr>
              <w:br/>
              <w:t>or Programs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0A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0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Approximate Dollar </w:t>
            </w:r>
          </w:p>
          <w:p w14:paraId="4B7600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Value of Shares </w:t>
            </w:r>
            <w:r>
              <w:rPr>
                <w:rFonts w:ascii="Arial" w:eastAsia="宋体" w:hAnsi="Arial" w:cs="Arial"/>
                <w:color w:val="000000"/>
                <w:kern w:val="0"/>
                <w:sz w:val="16"/>
                <w:szCs w:val="16"/>
                <w:lang w:bidi="ar"/>
              </w:rPr>
              <w:t>That May Yet</w:t>
            </w:r>
          </w:p>
          <w:p w14:paraId="4B7600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be Purchased Under the</w:t>
            </w:r>
          </w:p>
          <w:p w14:paraId="4B7600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Plans or Programs</w:t>
            </w:r>
            <w:r>
              <w:rPr>
                <w:rFonts w:ascii="Arial" w:eastAsia="宋体" w:hAnsi="Arial" w:cs="Arial"/>
                <w:color w:val="000000"/>
                <w:kern w:val="0"/>
                <w:sz w:val="10"/>
                <w:szCs w:val="10"/>
                <w:lang w:bidi="ar"/>
              </w:rPr>
              <w:t>(2)</w:t>
            </w:r>
          </w:p>
        </w:tc>
      </w:tr>
      <w:tr w:rsidR="0099058F" w14:paraId="4B7600B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0A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10/1/2022 thru 10/31/2022</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0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4,578</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A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0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0A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A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A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A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0B0" w14:textId="77777777" w:rsidR="0099058F" w:rsidRDefault="0099058F">
            <w:pPr>
              <w:widowControl/>
              <w:jc w:val="left"/>
              <w:rPr>
                <w:rFonts w:ascii="Times New Roman" w:eastAsia="宋体" w:hAnsi="宋体" w:cs="宋体"/>
                <w:kern w:val="0"/>
                <w:sz w:val="24"/>
              </w:rPr>
            </w:pPr>
          </w:p>
        </w:tc>
      </w:tr>
      <w:tr w:rsidR="0099058F" w14:paraId="4B7600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0B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11/1/2022 thru 11/30/2022</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0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B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0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0B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B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B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0BA" w14:textId="77777777" w:rsidR="0099058F" w:rsidRDefault="0099058F">
            <w:pPr>
              <w:widowControl/>
              <w:jc w:val="left"/>
              <w:rPr>
                <w:rFonts w:ascii="Times New Roman" w:eastAsia="宋体" w:hAnsi="宋体" w:cs="宋体"/>
                <w:kern w:val="0"/>
                <w:sz w:val="24"/>
              </w:rPr>
            </w:pPr>
          </w:p>
        </w:tc>
      </w:tr>
      <w:tr w:rsidR="0099058F" w14:paraId="4B7600C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0B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12/1/2022 thru 12/31/2022</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0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18,793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B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0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0C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0C4" w14:textId="77777777" w:rsidR="0099058F" w:rsidRDefault="0099058F">
            <w:pPr>
              <w:widowControl/>
              <w:jc w:val="left"/>
              <w:rPr>
                <w:rFonts w:ascii="Times New Roman" w:eastAsia="宋体" w:hAnsi="宋体" w:cs="宋体"/>
                <w:kern w:val="0"/>
                <w:sz w:val="24"/>
              </w:rPr>
            </w:pPr>
          </w:p>
        </w:tc>
      </w:tr>
      <w:tr w:rsidR="0099058F" w14:paraId="4B7600C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00C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00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25,742</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0C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0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0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0C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0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0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0CE" w14:textId="77777777" w:rsidR="0099058F" w:rsidRDefault="0099058F">
            <w:pPr>
              <w:widowControl/>
              <w:jc w:val="left"/>
              <w:rPr>
                <w:rFonts w:ascii="Times New Roman" w:eastAsia="宋体" w:hAnsi="宋体" w:cs="宋体"/>
                <w:kern w:val="0"/>
                <w:sz w:val="24"/>
              </w:rPr>
            </w:pPr>
          </w:p>
        </w:tc>
      </w:tr>
    </w:tbl>
    <w:p w14:paraId="4B7600D0"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25,742 </w:t>
      </w:r>
      <w:r>
        <w:rPr>
          <w:rFonts w:ascii="Arial" w:eastAsia="宋体" w:hAnsi="Arial" w:cs="Arial"/>
          <w:color w:val="000000"/>
          <w:kern w:val="0"/>
          <w:sz w:val="20"/>
          <w:szCs w:val="20"/>
          <w:lang w:bidi="ar"/>
        </w:rPr>
        <w:t>shares were transferred to us from employees in satisfaction of tax withholding obligations associated with the vesting of restricted stock units during the period. We did not purchase any shares of our common stock in the open market pursuant to a repurch</w:t>
      </w:r>
      <w:r>
        <w:rPr>
          <w:rFonts w:ascii="Arial" w:eastAsia="宋体" w:hAnsi="Arial" w:cs="Arial"/>
          <w:color w:val="000000"/>
          <w:kern w:val="0"/>
          <w:sz w:val="20"/>
          <w:szCs w:val="20"/>
          <w:lang w:bidi="ar"/>
        </w:rPr>
        <w:t>ase program.</w:t>
      </w:r>
    </w:p>
    <w:p w14:paraId="4B7600D1"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4"/>
          <w:szCs w:val="14"/>
          <w:lang w:bidi="ar"/>
        </w:rPr>
        <w:t>(2)</w:t>
      </w:r>
      <w:r>
        <w:rPr>
          <w:rFonts w:ascii="Arial" w:eastAsia="宋体" w:hAnsi="Arial" w:cs="Arial"/>
          <w:color w:val="000000"/>
          <w:kern w:val="0"/>
          <w:sz w:val="20"/>
          <w:szCs w:val="20"/>
          <w:lang w:bidi="ar"/>
        </w:rPr>
        <w:t>On March 21, 2020, the Board of Directors terminated its prior authorization to repurchase shares of the Company's outstanding common stock. Share repurchases under this open market repurchase program have been suspended since April 2019.</w:t>
      </w:r>
    </w:p>
    <w:p w14:paraId="4B7600D2"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w:t>
      </w:r>
      <w:r>
        <w:rPr>
          <w:rFonts w:ascii="Arial" w:eastAsia="宋体" w:hAnsi="Arial" w:cs="Arial"/>
          <w:b/>
          <w:bCs/>
          <w:color w:val="000000"/>
          <w:kern w:val="0"/>
          <w:sz w:val="20"/>
          <w:szCs w:val="20"/>
          <w:lang w:bidi="ar"/>
        </w:rPr>
        <w:t>tem 6. [Reserved]</w:t>
      </w:r>
    </w:p>
    <w:p w14:paraId="4B7600D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19</w:t>
      </w:r>
    </w:p>
    <w:p w14:paraId="4B7600D4" w14:textId="77777777" w:rsidR="0099058F" w:rsidRDefault="00EB2559">
      <w:pPr>
        <w:widowControl/>
        <w:jc w:val="center"/>
      </w:pPr>
      <w:r>
        <w:rPr>
          <w:rFonts w:ascii="宋体" w:eastAsia="宋体" w:hAnsi="宋体" w:cs="宋体"/>
          <w:kern w:val="0"/>
          <w:sz w:val="24"/>
        </w:rPr>
        <w:pict w14:anchorId="4B763C0A">
          <v:rect id="_x0000_i1045" style="width:6in;height:1.5pt" o:hralign="center" o:hrstd="t" o:hr="t" fillcolor="#a0a0a0" stroked="f"/>
        </w:pict>
      </w:r>
    </w:p>
    <w:p w14:paraId="4B7600D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0D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7. Management’s Discussion and Analysis of Financial Condition and Results of Operations</w:t>
      </w:r>
    </w:p>
    <w:p w14:paraId="4B7600D7"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and Financial </w:t>
      </w:r>
      <w:r>
        <w:rPr>
          <w:rFonts w:ascii="Arial" w:eastAsia="宋体" w:hAnsi="Arial" w:cs="Arial"/>
          <w:b/>
          <w:bCs/>
          <w:color w:val="000000"/>
          <w:kern w:val="0"/>
          <w:sz w:val="20"/>
          <w:szCs w:val="20"/>
          <w:lang w:bidi="ar"/>
        </w:rPr>
        <w:t>Condition</w:t>
      </w:r>
    </w:p>
    <w:p w14:paraId="4B7600D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4B7600D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 global market leader in the design, development, manufacture, sale, service and support of commercial jetliners, military aircraft, satellites, missile defense, human space flight and launch systems and services. We are one of t</w:t>
      </w:r>
      <w:r>
        <w:rPr>
          <w:rFonts w:ascii="Arial" w:eastAsia="宋体" w:hAnsi="Arial" w:cs="Arial"/>
          <w:color w:val="000000"/>
          <w:kern w:val="0"/>
          <w:sz w:val="20"/>
          <w:szCs w:val="20"/>
          <w:lang w:bidi="ar"/>
        </w:rPr>
        <w:t>he two major manufacturers of 100+ seat airplanes for the worldwide commercial airline industry and one of the largest defense contractors in the U.S. While our principal operations are in the U.S., we conduct operations in an expanding number of countries</w:t>
      </w:r>
      <w:r>
        <w:rPr>
          <w:rFonts w:ascii="Arial" w:eastAsia="宋体" w:hAnsi="Arial" w:cs="Arial"/>
          <w:color w:val="000000"/>
          <w:kern w:val="0"/>
          <w:sz w:val="20"/>
          <w:szCs w:val="20"/>
          <w:lang w:bidi="ar"/>
        </w:rPr>
        <w:t xml:space="preserve"> and rely on an extensive network of non-U.S. partners, key suppliers and subcontractors.</w:t>
      </w:r>
    </w:p>
    <w:p w14:paraId="4B7600D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strategy is centered on successful execution in healthy core businesses – Commercial Airplanes (BCA), Defense, Space &amp; Security (BDS) and Global Services (BGS) – </w:t>
      </w:r>
      <w:r>
        <w:rPr>
          <w:rFonts w:ascii="Arial" w:eastAsia="宋体" w:hAnsi="Arial" w:cs="Arial"/>
          <w:color w:val="000000"/>
          <w:kern w:val="0"/>
          <w:sz w:val="20"/>
          <w:szCs w:val="20"/>
          <w:lang w:bidi="ar"/>
        </w:rPr>
        <w:t>supplemented and supported by Boeing Capital (BCC). Taken together, these core businesses have historically generated substantial earnings and cash flow that enable our investments in new products and services. We focus on producing the products and provid</w:t>
      </w:r>
      <w:r>
        <w:rPr>
          <w:rFonts w:ascii="Arial" w:eastAsia="宋体" w:hAnsi="Arial" w:cs="Arial"/>
          <w:color w:val="000000"/>
          <w:kern w:val="0"/>
          <w:sz w:val="20"/>
          <w:szCs w:val="20"/>
          <w:lang w:bidi="ar"/>
        </w:rPr>
        <w:t>ing the services that the market demands, and continue to find new ways to improve efficiency and quality to provide a fair return for our shareholders. BCA is committed to being the leader in commercial aviation by offering airplanes and services that del</w:t>
      </w:r>
      <w:r>
        <w:rPr>
          <w:rFonts w:ascii="Arial" w:eastAsia="宋体" w:hAnsi="Arial" w:cs="Arial"/>
          <w:color w:val="000000"/>
          <w:kern w:val="0"/>
          <w:sz w:val="20"/>
          <w:szCs w:val="20"/>
          <w:lang w:bidi="ar"/>
        </w:rPr>
        <w:t xml:space="preserve">iver superior design, safety, efficiency and value to customers around the world. BDS integrates its resources in defense, intelligence, communications, security, space and services to deliver capability-driven solutions to customers at reduced costs. Our </w:t>
      </w:r>
      <w:r>
        <w:rPr>
          <w:rFonts w:ascii="Arial" w:eastAsia="宋体" w:hAnsi="Arial" w:cs="Arial"/>
          <w:color w:val="000000"/>
          <w:kern w:val="0"/>
          <w:sz w:val="20"/>
          <w:szCs w:val="20"/>
          <w:lang w:bidi="ar"/>
        </w:rPr>
        <w:t xml:space="preserve">BDS strategy is to leverage our core businesses to capture key next-generation programs while expanding our presence in adjacent and international markets, underscored by an intense focus on growth and productivity. BGS provides support for commercial and </w:t>
      </w:r>
      <w:r>
        <w:rPr>
          <w:rFonts w:ascii="Arial" w:eastAsia="宋体" w:hAnsi="Arial" w:cs="Arial"/>
          <w:color w:val="000000"/>
          <w:kern w:val="0"/>
          <w:sz w:val="20"/>
          <w:szCs w:val="20"/>
          <w:lang w:bidi="ar"/>
        </w:rPr>
        <w:t>defense through innovative, comprehensive and cost-competitive product and service solutions. BCC facilitates, arranges, structures and provides selective financing solutions for our Boeing customers.</w:t>
      </w:r>
    </w:p>
    <w:p w14:paraId="4B7600DB"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B7600D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Domestic travel continu</w:t>
      </w:r>
      <w:r>
        <w:rPr>
          <w:rFonts w:ascii="Arial" w:eastAsia="宋体" w:hAnsi="Arial" w:cs="Arial"/>
          <w:color w:val="000000"/>
          <w:kern w:val="0"/>
          <w:sz w:val="20"/>
          <w:szCs w:val="20"/>
          <w:lang w:bidi="ar"/>
        </w:rPr>
        <w:t>es to recover from the lingering effects of the COVID-19 pandemic before international travel and the narrow-body market continues to follow domestic travel recovery, while the wide-body market continues to be paced by international travel recovery. The pa</w:t>
      </w:r>
      <w:r>
        <w:rPr>
          <w:rFonts w:ascii="Arial" w:eastAsia="宋体" w:hAnsi="Arial" w:cs="Arial"/>
          <w:color w:val="000000"/>
          <w:kern w:val="0"/>
          <w:sz w:val="20"/>
          <w:szCs w:val="20"/>
          <w:lang w:bidi="ar"/>
        </w:rPr>
        <w:t xml:space="preserve">ce of the commercial market recovery remains impacted by government restrictions related to COVID-19, especially China. We are seeing a strong recovery in travel demand for our airline customers in North and South America, the Middle East, and Europe, and </w:t>
      </w:r>
      <w:r>
        <w:rPr>
          <w:rFonts w:ascii="Arial" w:eastAsia="宋体" w:hAnsi="Arial" w:cs="Arial"/>
          <w:color w:val="000000"/>
          <w:kern w:val="0"/>
          <w:sz w:val="20"/>
          <w:szCs w:val="20"/>
          <w:lang w:bidi="ar"/>
        </w:rPr>
        <w:t>demand for dedicated freighters continues to be underpinned by a strong recovery in global trade.</w:t>
      </w:r>
    </w:p>
    <w:p w14:paraId="4B7600D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and our suppliers are experiencing supply chain disruptions as a result of the lingering impacts of COVID-19, global supply chain constraints, and labor in</w:t>
      </w:r>
      <w:r>
        <w:rPr>
          <w:rFonts w:ascii="Arial" w:eastAsia="宋体" w:hAnsi="Arial" w:cs="Arial"/>
          <w:color w:val="000000"/>
          <w:kern w:val="0"/>
          <w:sz w:val="20"/>
          <w:szCs w:val="20"/>
          <w:lang w:bidi="ar"/>
        </w:rPr>
        <w:t>stability. We and our suppliers are also experiencing inflationary pressures. We continue to monitor the health and stability of the supply chain as we ramp up production. These factors have reduced overall productivity and adversely impacted our financial</w:t>
      </w:r>
      <w:r>
        <w:rPr>
          <w:rFonts w:ascii="Arial" w:eastAsia="宋体" w:hAnsi="Arial" w:cs="Arial"/>
          <w:color w:val="000000"/>
          <w:kern w:val="0"/>
          <w:sz w:val="20"/>
          <w:szCs w:val="20"/>
          <w:lang w:bidi="ar"/>
        </w:rPr>
        <w:t xml:space="preserve"> position, results of operations and cash flows.</w:t>
      </w:r>
    </w:p>
    <w:p w14:paraId="4B7600D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Airline financial performance, which influences demand for new capacity, has been adversely impacted by the COVID-19 pandemic. According to the International Air Transport Association (IATA), net losses for </w:t>
      </w:r>
      <w:r>
        <w:rPr>
          <w:rFonts w:ascii="Arial" w:eastAsia="宋体" w:hAnsi="Arial" w:cs="Arial"/>
          <w:color w:val="000000"/>
          <w:kern w:val="0"/>
          <w:sz w:val="20"/>
          <w:szCs w:val="20"/>
          <w:lang w:bidi="ar"/>
        </w:rPr>
        <w:t>the airline industry were $138 billion in 2020 and $42 billion in 2021. IATA also forecasts $6.9 billion of losses for the industry globally in 2022, with approximately $9.9 billion of profits in North America driven by the robust domestic market being mor</w:t>
      </w:r>
      <w:r>
        <w:rPr>
          <w:rFonts w:ascii="Arial" w:eastAsia="宋体" w:hAnsi="Arial" w:cs="Arial"/>
          <w:color w:val="000000"/>
          <w:kern w:val="0"/>
          <w:sz w:val="20"/>
          <w:szCs w:val="20"/>
          <w:lang w:bidi="ar"/>
        </w:rPr>
        <w:t>e than offset by losses in other regions. For 2023, IATA is forecasting $4.6 billion in profits for the industry globally. While the outlook continues to improve, we continue to face a challenging environment in the near- to medium-term as airlines are fac</w:t>
      </w:r>
      <w:r>
        <w:rPr>
          <w:rFonts w:ascii="Arial" w:eastAsia="宋体" w:hAnsi="Arial" w:cs="Arial"/>
          <w:color w:val="000000"/>
          <w:kern w:val="0"/>
          <w:sz w:val="20"/>
          <w:szCs w:val="20"/>
          <w:lang w:bidi="ar"/>
        </w:rPr>
        <w:t>ing increased fuel and other costs, and the global economy is experiencing high inflation. The current environment is also affecting the financial viability of some airlines.</w:t>
      </w:r>
    </w:p>
    <w:p w14:paraId="4B7600D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20</w:t>
      </w:r>
    </w:p>
    <w:p w14:paraId="4B7600E0" w14:textId="77777777" w:rsidR="0099058F" w:rsidRDefault="00EB2559">
      <w:pPr>
        <w:widowControl/>
        <w:jc w:val="center"/>
      </w:pPr>
      <w:r>
        <w:rPr>
          <w:rFonts w:ascii="宋体" w:eastAsia="宋体" w:hAnsi="宋体" w:cs="宋体"/>
          <w:kern w:val="0"/>
          <w:sz w:val="24"/>
        </w:rPr>
        <w:pict w14:anchorId="4B763C0B">
          <v:rect id="_x0000_i1046" style="width:6in;height:1.5pt" o:hralign="center" o:hrstd="t" o:hr="t" fillcolor="#a0a0a0" stroked="f"/>
        </w:pict>
      </w:r>
    </w:p>
    <w:p w14:paraId="4B7600E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0E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fundamental drivers of air travel demand: economic growth, increasing propensity to travel due to increased trad</w:t>
      </w:r>
      <w:r>
        <w:rPr>
          <w:rFonts w:ascii="Arial" w:eastAsia="宋体" w:hAnsi="Arial" w:cs="Arial"/>
          <w:color w:val="000000"/>
          <w:kern w:val="0"/>
          <w:sz w:val="20"/>
          <w:szCs w:val="20"/>
          <w:lang w:bidi="ar"/>
        </w:rPr>
        <w:t>e, globalization and improved airline services driven by liberalization of air traffic rights between countries. Our Commercial Market Outlook forecast projects a 3.8% growth rate for passenger and cargo traffic over a 20-year period. Based on long-term gl</w:t>
      </w:r>
      <w:r>
        <w:rPr>
          <w:rFonts w:ascii="Arial" w:eastAsia="宋体" w:hAnsi="Arial" w:cs="Arial"/>
          <w:color w:val="000000"/>
          <w:kern w:val="0"/>
          <w:sz w:val="20"/>
          <w:szCs w:val="20"/>
          <w:lang w:bidi="ar"/>
        </w:rPr>
        <w:t>obal economic growth projections of 2.6% in average annual gross domestic product, we project demand for approximately 41,170 new airplanes over the next 20 years. The industry remains vulnerable to exogenous developments including fuel price spikes, credi</w:t>
      </w:r>
      <w:r>
        <w:rPr>
          <w:rFonts w:ascii="Arial" w:eastAsia="宋体" w:hAnsi="Arial" w:cs="Arial"/>
          <w:color w:val="000000"/>
          <w:kern w:val="0"/>
          <w:sz w:val="20"/>
          <w:szCs w:val="20"/>
          <w:lang w:bidi="ar"/>
        </w:rPr>
        <w:t>t market shocks, acts of terrorism, natural disasters, conflicts, epidemics, pandemics and increased global environmental regulations.</w:t>
      </w:r>
    </w:p>
    <w:p w14:paraId="4B7600E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2022, commercial services volume at BGS recovered to pre-pandemic levels. We expect BGS commercial revenues to rem</w:t>
      </w:r>
      <w:r>
        <w:rPr>
          <w:rFonts w:ascii="Arial" w:eastAsia="宋体" w:hAnsi="Arial" w:cs="Arial"/>
          <w:color w:val="000000"/>
          <w:kern w:val="0"/>
          <w:sz w:val="20"/>
          <w:szCs w:val="20"/>
          <w:lang w:bidi="ar"/>
        </w:rPr>
        <w:t>ain strong in future quarters as the commercial airline industry continues to recover. The demand outlook for our government services business remains stable.</w:t>
      </w:r>
    </w:p>
    <w:p w14:paraId="4B7600E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BDS, we continue to see stable demand reflecting the important role our products and services </w:t>
      </w:r>
      <w:r>
        <w:rPr>
          <w:rFonts w:ascii="Arial" w:eastAsia="宋体" w:hAnsi="Arial" w:cs="Arial"/>
          <w:color w:val="000000"/>
          <w:kern w:val="0"/>
          <w:sz w:val="20"/>
          <w:szCs w:val="20"/>
          <w:lang w:bidi="ar"/>
        </w:rPr>
        <w:t>have in ensuring our national security. Outside of the U.S., we are seeing similar solid demand as governments prioritize security, defense technology and global cooperation given evolving threats. We continue to experience near-term production disruptions</w:t>
      </w:r>
      <w:r>
        <w:rPr>
          <w:rFonts w:ascii="Arial" w:eastAsia="宋体" w:hAnsi="Arial" w:cs="Arial"/>
          <w:color w:val="000000"/>
          <w:kern w:val="0"/>
          <w:sz w:val="20"/>
          <w:szCs w:val="20"/>
          <w:lang w:bidi="ar"/>
        </w:rPr>
        <w:t xml:space="preserve"> and inefficiencies due to supplier disruption, labor instability and factory performance. These factors have contributed to significant earnings charges on a number of fixed-price development programs which are expected to adversely affect cash flows in f</w:t>
      </w:r>
      <w:r>
        <w:rPr>
          <w:rFonts w:ascii="Arial" w:eastAsia="宋体" w:hAnsi="Arial" w:cs="Arial"/>
          <w:color w:val="000000"/>
          <w:kern w:val="0"/>
          <w:sz w:val="20"/>
          <w:szCs w:val="20"/>
          <w:lang w:bidi="ar"/>
        </w:rPr>
        <w:t>uture periods.</w:t>
      </w:r>
    </w:p>
    <w:p w14:paraId="4B7600E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a result of the war in Ukraine, we recorded earnings charges totaling $212 million during the first quarter of 2022, primarily related to asset impairments. We have closed our facilities in Russia. We are focused on the safety of our empl</w:t>
      </w:r>
      <w:r>
        <w:rPr>
          <w:rFonts w:ascii="Arial" w:eastAsia="宋体" w:hAnsi="Arial" w:cs="Arial"/>
          <w:color w:val="000000"/>
          <w:kern w:val="0"/>
          <w:sz w:val="20"/>
          <w:szCs w:val="20"/>
          <w:lang w:bidi="ar"/>
        </w:rPr>
        <w:t>oyees and retaining the strength of our engineering talent through voluntary transfers to other countries. We have also suspended our business in Russia, including parts, maintenance and technical support for Russian airlines, and purchases from Russian su</w:t>
      </w:r>
      <w:r>
        <w:rPr>
          <w:rFonts w:ascii="Arial" w:eastAsia="宋体" w:hAnsi="Arial" w:cs="Arial"/>
          <w:color w:val="000000"/>
          <w:kern w:val="0"/>
          <w:sz w:val="20"/>
          <w:szCs w:val="20"/>
          <w:lang w:bidi="ar"/>
        </w:rPr>
        <w:t>ppliers. We are complying with U.S. and international sanctions and export control restrictions. We have sufficient material and parts to avoid production disruptions in the near-term, but future impacts to our production from disruptions in our supply cha</w:t>
      </w:r>
      <w:r>
        <w:rPr>
          <w:rFonts w:ascii="Arial" w:eastAsia="宋体" w:hAnsi="Arial" w:cs="Arial"/>
          <w:color w:val="000000"/>
          <w:kern w:val="0"/>
          <w:sz w:val="20"/>
          <w:szCs w:val="20"/>
          <w:lang w:bidi="ar"/>
        </w:rPr>
        <w:t>in are possible. The war in Ukraine continues to impact our airline and lessor customers. We continue to monitor developments and potential Boeing impacts, and take mitigating actions as appropriate.</w:t>
      </w:r>
    </w:p>
    <w:p w14:paraId="4B7600E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21</w:t>
      </w:r>
    </w:p>
    <w:p w14:paraId="4B7600E7" w14:textId="77777777" w:rsidR="0099058F" w:rsidRDefault="00EB2559">
      <w:pPr>
        <w:widowControl/>
        <w:jc w:val="center"/>
      </w:pPr>
      <w:r>
        <w:rPr>
          <w:rFonts w:ascii="宋体" w:eastAsia="宋体" w:hAnsi="宋体" w:cs="宋体"/>
          <w:kern w:val="0"/>
          <w:sz w:val="24"/>
        </w:rPr>
        <w:pict w14:anchorId="4B763C0C">
          <v:rect id="_x0000_i1047" style="width:6in;height:1.5pt" o:hralign="center" o:hrstd="t" o:hr="t" fillcolor="#a0a0a0" stroked="f"/>
        </w:pict>
      </w:r>
    </w:p>
    <w:p w14:paraId="4B7600E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0E9" w14:textId="77777777" w:rsidR="0099058F" w:rsidRDefault="00EB2559">
      <w:pPr>
        <w:widowControl/>
        <w:spacing w:before="180" w:after="180"/>
        <w:jc w:val="left"/>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w:t>
      </w:r>
    </w:p>
    <w:p w14:paraId="4B7600E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consolidated results of operations: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4674"/>
        <w:gridCol w:w="37"/>
        <w:gridCol w:w="62"/>
        <w:gridCol w:w="818"/>
        <w:gridCol w:w="265"/>
        <w:gridCol w:w="36"/>
        <w:gridCol w:w="36"/>
        <w:gridCol w:w="36"/>
        <w:gridCol w:w="62"/>
        <w:gridCol w:w="744"/>
        <w:gridCol w:w="265"/>
        <w:gridCol w:w="36"/>
        <w:gridCol w:w="36"/>
        <w:gridCol w:w="36"/>
        <w:gridCol w:w="68"/>
        <w:gridCol w:w="809"/>
        <w:gridCol w:w="265"/>
      </w:tblGrid>
      <w:tr w:rsidR="0099058F" w14:paraId="4B7600FD" w14:textId="77777777">
        <w:tc>
          <w:tcPr>
            <w:tcW w:w="50" w:type="pct"/>
            <w:tcBorders>
              <w:top w:val="nil"/>
              <w:left w:val="nil"/>
              <w:bottom w:val="nil"/>
              <w:right w:val="nil"/>
            </w:tcBorders>
            <w:shd w:val="clear" w:color="auto" w:fill="auto"/>
            <w:vAlign w:val="bottom"/>
          </w:tcPr>
          <w:p w14:paraId="4B7600EB" w14:textId="77777777" w:rsidR="0099058F" w:rsidRDefault="0099058F">
            <w:pPr>
              <w:widowControl/>
              <w:jc w:val="left"/>
              <w:rPr>
                <w:rFonts w:ascii="Times New Roman" w:eastAsia="宋体" w:hAnsi="宋体" w:cs="宋体"/>
                <w:kern w:val="0"/>
                <w:sz w:val="24"/>
              </w:rPr>
            </w:pPr>
          </w:p>
        </w:tc>
        <w:tc>
          <w:tcPr>
            <w:tcW w:w="2899" w:type="pct"/>
            <w:tcBorders>
              <w:top w:val="nil"/>
              <w:left w:val="nil"/>
              <w:bottom w:val="nil"/>
              <w:right w:val="nil"/>
            </w:tcBorders>
            <w:shd w:val="clear" w:color="auto" w:fill="auto"/>
            <w:vAlign w:val="bottom"/>
          </w:tcPr>
          <w:p w14:paraId="4B7600E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E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EE"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0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F4"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0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0F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0FA"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0F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0FC" w14:textId="77777777" w:rsidR="0099058F" w:rsidRDefault="0099058F">
            <w:pPr>
              <w:widowControl/>
              <w:jc w:val="left"/>
              <w:rPr>
                <w:rFonts w:ascii="Times New Roman" w:eastAsia="宋体" w:hAnsi="宋体" w:cs="宋体"/>
                <w:kern w:val="0"/>
                <w:sz w:val="24"/>
              </w:rPr>
            </w:pPr>
          </w:p>
        </w:tc>
      </w:tr>
      <w:tr w:rsidR="0099058F" w14:paraId="4B7601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0FE"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0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3" w14:textId="77777777" w:rsidR="0099058F" w:rsidRDefault="0099058F">
            <w:pPr>
              <w:widowControl/>
              <w:jc w:val="left"/>
              <w:rPr>
                <w:rFonts w:ascii="Times New Roman" w:eastAsia="宋体" w:hAnsi="宋体" w:cs="宋体"/>
                <w:kern w:val="0"/>
                <w:sz w:val="24"/>
              </w:rPr>
            </w:pPr>
          </w:p>
        </w:tc>
      </w:tr>
      <w:tr w:rsidR="0099058F" w14:paraId="4B76010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0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0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11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10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0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10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1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11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14" w14:textId="77777777" w:rsidR="0099058F" w:rsidRDefault="0099058F">
            <w:pPr>
              <w:widowControl/>
              <w:jc w:val="left"/>
              <w:rPr>
                <w:rFonts w:ascii="Times New Roman" w:eastAsia="宋体" w:hAnsi="宋体" w:cs="宋体"/>
                <w:kern w:val="0"/>
                <w:sz w:val="24"/>
              </w:rPr>
            </w:pPr>
          </w:p>
        </w:tc>
      </w:tr>
      <w:tr w:rsidR="0099058F" w14:paraId="4B76011C"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1B" w14:textId="77777777" w:rsidR="0099058F" w:rsidRDefault="0099058F">
            <w:pPr>
              <w:widowControl/>
              <w:jc w:val="left"/>
              <w:rPr>
                <w:rFonts w:ascii="Times New Roman" w:eastAsia="宋体" w:hAnsi="宋体" w:cs="宋体"/>
                <w:kern w:val="0"/>
                <w:sz w:val="24"/>
              </w:rPr>
            </w:pPr>
          </w:p>
        </w:tc>
      </w:tr>
      <w:tr w:rsidR="0099058F" w14:paraId="4B76012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11D"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1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2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2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22" w14:textId="77777777" w:rsidR="0099058F" w:rsidRDefault="0099058F">
            <w:pPr>
              <w:widowControl/>
              <w:jc w:val="left"/>
              <w:rPr>
                <w:rFonts w:ascii="Times New Roman" w:eastAsia="宋体" w:hAnsi="宋体" w:cs="宋体"/>
                <w:kern w:val="0"/>
                <w:sz w:val="24"/>
              </w:rPr>
            </w:pPr>
          </w:p>
        </w:tc>
      </w:tr>
      <w:tr w:rsidR="0099058F" w14:paraId="4B7601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12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1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1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2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1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1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1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12C" w14:textId="77777777" w:rsidR="0099058F" w:rsidRDefault="0099058F">
            <w:pPr>
              <w:widowControl/>
              <w:jc w:val="left"/>
              <w:rPr>
                <w:rFonts w:ascii="Times New Roman" w:eastAsia="宋体" w:hAnsi="宋体" w:cs="宋体"/>
                <w:kern w:val="0"/>
                <w:sz w:val="24"/>
              </w:rPr>
            </w:pPr>
          </w:p>
        </w:tc>
      </w:tr>
      <w:tr w:rsidR="0099058F" w14:paraId="4B76013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12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3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3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1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13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3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3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14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14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loss attributable to </w:t>
            </w:r>
            <w:r>
              <w:rPr>
                <w:rFonts w:ascii="Arial" w:eastAsia="宋体" w:hAnsi="Arial" w:cs="Arial"/>
                <w:color w:val="000000"/>
                <w:kern w:val="0"/>
                <w:sz w:val="20"/>
                <w:szCs w:val="20"/>
                <w:lang w:bidi="ar"/>
              </w:rPr>
              <w:t>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4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4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4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4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4A" w14:textId="77777777" w:rsidR="0099058F" w:rsidRDefault="0099058F">
            <w:pPr>
              <w:widowControl/>
              <w:jc w:val="left"/>
              <w:rPr>
                <w:rFonts w:ascii="Times New Roman" w:eastAsia="宋体" w:hAnsi="宋体" w:cs="宋体"/>
                <w:kern w:val="0"/>
                <w:sz w:val="24"/>
              </w:rPr>
            </w:pPr>
          </w:p>
        </w:tc>
      </w:tr>
      <w:tr w:rsidR="0099058F" w14:paraId="4B76015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14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14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1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154" w14:textId="77777777" w:rsidR="0099058F" w:rsidRDefault="0099058F">
            <w:pPr>
              <w:widowControl/>
              <w:jc w:val="left"/>
              <w:rPr>
                <w:rFonts w:ascii="Times New Roman" w:eastAsia="宋体" w:hAnsi="宋体" w:cs="宋体"/>
                <w:kern w:val="0"/>
                <w:sz w:val="24"/>
              </w:rPr>
            </w:pPr>
          </w:p>
        </w:tc>
      </w:tr>
      <w:tr w:rsidR="0099058F" w14:paraId="4B76015C"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8"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15B" w14:textId="77777777" w:rsidR="0099058F" w:rsidRDefault="0099058F">
            <w:pPr>
              <w:widowControl/>
              <w:jc w:val="left"/>
              <w:rPr>
                <w:rFonts w:ascii="Times New Roman" w:eastAsia="宋体" w:hAnsi="宋体" w:cs="宋体"/>
                <w:kern w:val="0"/>
                <w:sz w:val="24"/>
              </w:rPr>
            </w:pPr>
          </w:p>
        </w:tc>
      </w:tr>
      <w:tr w:rsidR="0099058F" w14:paraId="4B7601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15D"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u w:val="single"/>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6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6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62" w14:textId="77777777" w:rsidR="0099058F" w:rsidRDefault="0099058F">
            <w:pPr>
              <w:widowControl/>
              <w:jc w:val="left"/>
              <w:rPr>
                <w:rFonts w:ascii="Times New Roman" w:eastAsia="宋体" w:hAnsi="宋体" w:cs="宋体"/>
                <w:kern w:val="0"/>
                <w:sz w:val="24"/>
              </w:rPr>
            </w:pPr>
          </w:p>
        </w:tc>
      </w:tr>
      <w:tr w:rsidR="0099058F" w14:paraId="4B7601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16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6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6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6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6C" w14:textId="77777777" w:rsidR="0099058F" w:rsidRDefault="0099058F">
            <w:pPr>
              <w:widowControl/>
              <w:jc w:val="left"/>
              <w:rPr>
                <w:rFonts w:ascii="Times New Roman" w:eastAsia="宋体" w:hAnsi="宋体" w:cs="宋体"/>
                <w:kern w:val="0"/>
                <w:sz w:val="24"/>
              </w:rPr>
            </w:pPr>
          </w:p>
        </w:tc>
      </w:tr>
      <w:tr w:rsidR="0099058F" w14:paraId="4B7601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16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70"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7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7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7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7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18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017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1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1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17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1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17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17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1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180" w14:textId="77777777" w:rsidR="0099058F" w:rsidRDefault="0099058F">
            <w:pPr>
              <w:widowControl/>
              <w:jc w:val="left"/>
              <w:rPr>
                <w:rFonts w:ascii="Times New Roman" w:eastAsia="宋体" w:hAnsi="宋体" w:cs="宋体"/>
                <w:kern w:val="0"/>
                <w:sz w:val="24"/>
              </w:rPr>
            </w:pPr>
          </w:p>
        </w:tc>
      </w:tr>
    </w:tbl>
    <w:p w14:paraId="4B760182"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w:t>
      </w:r>
      <w:r>
        <w:rPr>
          <w:rFonts w:ascii="Arial" w:eastAsia="宋体" w:hAnsi="Arial" w:cs="Arial"/>
          <w:color w:val="000000"/>
          <w:kern w:val="0"/>
          <w:sz w:val="20"/>
          <w:szCs w:val="20"/>
          <w:lang w:bidi="ar"/>
        </w:rPr>
        <w:t>measures exclude certain components of pension and other postretirement benefit expense. See pages 45 - 47 for important information about these non-GAAP measures and reconciliations to the most directly comparable GAAP measures.</w:t>
      </w:r>
    </w:p>
    <w:p w14:paraId="4B76018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B760184"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w:t>
      </w:r>
      <w:r>
        <w:rPr>
          <w:rFonts w:ascii="Arial" w:eastAsia="宋体" w:hAnsi="Arial" w:cs="Arial"/>
          <w:color w:val="000000"/>
          <w:kern w:val="0"/>
          <w:sz w:val="20"/>
          <w:szCs w:val="20"/>
          <w:lang w:bidi="ar"/>
        </w:rPr>
        <w:t>ble summarizes Revenues: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1"/>
        <w:gridCol w:w="5120"/>
        <w:gridCol w:w="37"/>
        <w:gridCol w:w="68"/>
        <w:gridCol w:w="873"/>
        <w:gridCol w:w="36"/>
        <w:gridCol w:w="36"/>
        <w:gridCol w:w="36"/>
        <w:gridCol w:w="36"/>
        <w:gridCol w:w="69"/>
        <w:gridCol w:w="851"/>
        <w:gridCol w:w="36"/>
        <w:gridCol w:w="36"/>
        <w:gridCol w:w="36"/>
        <w:gridCol w:w="36"/>
        <w:gridCol w:w="69"/>
        <w:gridCol w:w="851"/>
        <w:gridCol w:w="36"/>
      </w:tblGrid>
      <w:tr w:rsidR="0099058F" w14:paraId="4B760197" w14:textId="77777777">
        <w:tc>
          <w:tcPr>
            <w:tcW w:w="50" w:type="pct"/>
            <w:tcBorders>
              <w:top w:val="nil"/>
              <w:left w:val="nil"/>
              <w:bottom w:val="nil"/>
              <w:right w:val="nil"/>
            </w:tcBorders>
            <w:shd w:val="clear" w:color="auto" w:fill="auto"/>
            <w:vAlign w:val="bottom"/>
          </w:tcPr>
          <w:p w14:paraId="4B760185" w14:textId="77777777" w:rsidR="0099058F" w:rsidRDefault="0099058F">
            <w:pPr>
              <w:widowControl/>
              <w:jc w:val="left"/>
              <w:rPr>
                <w:rFonts w:ascii="Times New Roman" w:eastAsia="宋体" w:hAnsi="宋体" w:cs="宋体"/>
                <w:kern w:val="0"/>
                <w:sz w:val="24"/>
              </w:rPr>
            </w:pPr>
          </w:p>
        </w:tc>
        <w:tc>
          <w:tcPr>
            <w:tcW w:w="3087" w:type="pct"/>
            <w:tcBorders>
              <w:top w:val="nil"/>
              <w:left w:val="nil"/>
              <w:bottom w:val="nil"/>
              <w:right w:val="nil"/>
            </w:tcBorders>
            <w:shd w:val="clear" w:color="auto" w:fill="auto"/>
            <w:vAlign w:val="bottom"/>
          </w:tcPr>
          <w:p w14:paraId="4B7601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8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88"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1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8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8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1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8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8E" w14:textId="77777777" w:rsidR="0099058F" w:rsidRDefault="0099058F">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B7601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9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1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9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94" w14:textId="77777777" w:rsidR="0099058F" w:rsidRDefault="0099058F">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B76019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96" w14:textId="77777777" w:rsidR="0099058F" w:rsidRDefault="0099058F">
            <w:pPr>
              <w:widowControl/>
              <w:jc w:val="left"/>
              <w:rPr>
                <w:rFonts w:ascii="Times New Roman" w:eastAsia="宋体" w:hAnsi="宋体" w:cs="宋体"/>
                <w:kern w:val="0"/>
                <w:sz w:val="24"/>
              </w:rPr>
            </w:pPr>
          </w:p>
        </w:tc>
      </w:tr>
      <w:tr w:rsidR="0099058F" w14:paraId="4B7601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98"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9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9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9D" w14:textId="77777777" w:rsidR="0099058F" w:rsidRDefault="0099058F">
            <w:pPr>
              <w:widowControl/>
              <w:jc w:val="left"/>
              <w:rPr>
                <w:rFonts w:ascii="Times New Roman" w:eastAsia="宋体" w:hAnsi="宋体" w:cs="宋体"/>
                <w:kern w:val="0"/>
                <w:sz w:val="24"/>
              </w:rPr>
            </w:pPr>
          </w:p>
        </w:tc>
      </w:tr>
      <w:tr w:rsidR="0099058F" w14:paraId="4B7601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9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1AF" w14:textId="77777777">
        <w:tc>
          <w:tcPr>
            <w:tcW w:w="0" w:type="auto"/>
            <w:gridSpan w:val="3"/>
            <w:tcBorders>
              <w:top w:val="single" w:sz="8" w:space="0" w:color="000000"/>
              <w:left w:val="nil"/>
              <w:bottom w:val="nil"/>
              <w:right w:val="nil"/>
            </w:tcBorders>
            <w:shd w:val="clear" w:color="auto" w:fill="CCEEFF"/>
            <w:tcMar>
              <w:top w:w="40" w:type="dxa"/>
              <w:left w:w="35" w:type="dxa"/>
              <w:bottom w:w="40" w:type="dxa"/>
              <w:right w:w="20" w:type="dxa"/>
            </w:tcMar>
          </w:tcPr>
          <w:p w14:paraId="4B7601A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$25,867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A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1A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A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1A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1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1AE" w14:textId="77777777" w:rsidR="0099058F" w:rsidRDefault="0099058F">
            <w:pPr>
              <w:widowControl/>
              <w:jc w:val="left"/>
              <w:rPr>
                <w:rFonts w:ascii="Times New Roman" w:eastAsia="宋体" w:hAnsi="宋体" w:cs="宋体"/>
                <w:kern w:val="0"/>
                <w:sz w:val="24"/>
              </w:rPr>
            </w:pPr>
          </w:p>
        </w:tc>
      </w:tr>
      <w:tr w:rsidR="0099058F" w14:paraId="4B7601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1B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B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B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B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B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B8" w14:textId="77777777" w:rsidR="0099058F" w:rsidRDefault="0099058F">
            <w:pPr>
              <w:widowControl/>
              <w:jc w:val="right"/>
              <w:rPr>
                <w:rFonts w:ascii="Times New Roman" w:eastAsia="宋体" w:hAnsi="宋体" w:cs="宋体"/>
                <w:kern w:val="0"/>
                <w:sz w:val="24"/>
              </w:rPr>
            </w:pPr>
          </w:p>
        </w:tc>
      </w:tr>
      <w:tr w:rsidR="0099058F" w14:paraId="4B7601C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1B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B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B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B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C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C2" w14:textId="77777777" w:rsidR="0099058F" w:rsidRDefault="0099058F">
            <w:pPr>
              <w:widowControl/>
              <w:jc w:val="right"/>
              <w:rPr>
                <w:rFonts w:ascii="Times New Roman" w:eastAsia="宋体" w:hAnsi="宋体" w:cs="宋体"/>
                <w:kern w:val="0"/>
                <w:sz w:val="24"/>
              </w:rPr>
            </w:pPr>
          </w:p>
        </w:tc>
      </w:tr>
      <w:tr w:rsidR="0099058F" w14:paraId="4B7601CD"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B7601C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C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C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C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1C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1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1CC" w14:textId="77777777" w:rsidR="0099058F" w:rsidRDefault="0099058F">
            <w:pPr>
              <w:widowControl/>
              <w:jc w:val="right"/>
              <w:rPr>
                <w:rFonts w:ascii="Times New Roman" w:eastAsia="宋体" w:hAnsi="宋体" w:cs="宋体"/>
                <w:kern w:val="0"/>
                <w:sz w:val="24"/>
              </w:rPr>
            </w:pPr>
          </w:p>
        </w:tc>
      </w:tr>
      <w:tr w:rsidR="0099058F" w14:paraId="4B7601D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1C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D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1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1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1D6" w14:textId="77777777" w:rsidR="0099058F" w:rsidRDefault="0099058F">
            <w:pPr>
              <w:widowControl/>
              <w:jc w:val="right"/>
              <w:rPr>
                <w:rFonts w:ascii="Times New Roman" w:eastAsia="宋体" w:hAnsi="宋体" w:cs="宋体"/>
                <w:kern w:val="0"/>
                <w:sz w:val="24"/>
              </w:rPr>
            </w:pPr>
          </w:p>
        </w:tc>
      </w:tr>
      <w:tr w:rsidR="0099058F" w14:paraId="4B7601E1"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01D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1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1D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1D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1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1D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1D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1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1E0" w14:textId="77777777" w:rsidR="0099058F" w:rsidRDefault="0099058F">
            <w:pPr>
              <w:widowControl/>
              <w:jc w:val="left"/>
              <w:rPr>
                <w:rFonts w:ascii="Times New Roman" w:eastAsia="宋体" w:hAnsi="宋体" w:cs="宋体"/>
                <w:kern w:val="0"/>
                <w:sz w:val="24"/>
              </w:rPr>
            </w:pPr>
          </w:p>
        </w:tc>
      </w:tr>
    </w:tbl>
    <w:p w14:paraId="4B7601E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increased by $4,322 million in 2022 compared with 2021 driven by higher revenues at BCA and BGS, partially offset by lower revenues at BDS. BCA revenues increased by $6,374 million primarily driven by higher 737 and 787 deliveries. BGS revenues in</w:t>
      </w:r>
      <w:r>
        <w:rPr>
          <w:rFonts w:ascii="Arial" w:eastAsia="宋体" w:hAnsi="Arial" w:cs="Arial"/>
          <w:color w:val="000000"/>
          <w:kern w:val="0"/>
          <w:sz w:val="20"/>
          <w:szCs w:val="20"/>
          <w:lang w:bidi="ar"/>
        </w:rPr>
        <w:t>creased by $1,283 million primarily due to higher commercial services volume, partially offset by lower government services volume and performance. BDS revenues decreased by $3,378 million primarily due to charges on development programs, unfavorable perfo</w:t>
      </w:r>
      <w:r>
        <w:rPr>
          <w:rFonts w:ascii="Arial" w:eastAsia="宋体" w:hAnsi="Arial" w:cs="Arial"/>
          <w:color w:val="000000"/>
          <w:kern w:val="0"/>
          <w:sz w:val="20"/>
          <w:szCs w:val="20"/>
          <w:lang w:bidi="ar"/>
        </w:rPr>
        <w:t xml:space="preserve">rmance across other defense programs, and lower P-8 and weapons volume. </w:t>
      </w:r>
    </w:p>
    <w:p w14:paraId="4B7601E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increased by $4,128 million in 2021 compared with 2020 driven by higher revenues at BCA, BDS and BGS. BCA revenues increased by $3,331 million primarily driven by higher 737 </w:t>
      </w:r>
      <w:r>
        <w:rPr>
          <w:rFonts w:ascii="Arial" w:eastAsia="宋体" w:hAnsi="Arial" w:cs="Arial"/>
          <w:color w:val="000000"/>
          <w:kern w:val="0"/>
          <w:sz w:val="20"/>
          <w:szCs w:val="20"/>
          <w:lang w:bidi="ar"/>
        </w:rPr>
        <w:t>MAX deliveries due to recertification and return to service in most jurisdictions and the absence of $498 million of 737 MAX customer considerations which reduced revenues in 2020, partially offset by lower 787 deliveries in 2021. BDS revenues increased by</w:t>
      </w:r>
      <w:r>
        <w:rPr>
          <w:rFonts w:ascii="Arial" w:eastAsia="宋体" w:hAnsi="Arial" w:cs="Arial"/>
          <w:color w:val="000000"/>
          <w:kern w:val="0"/>
          <w:sz w:val="20"/>
          <w:szCs w:val="20"/>
          <w:lang w:bidi="ar"/>
        </w:rPr>
        <w:t xml:space="preserve"> $283 million primarily from higher revenue on the </w:t>
      </w:r>
    </w:p>
    <w:p w14:paraId="4B7601E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22</w:t>
      </w:r>
    </w:p>
    <w:p w14:paraId="4B7601E5" w14:textId="77777777" w:rsidR="0099058F" w:rsidRDefault="00EB2559">
      <w:pPr>
        <w:widowControl/>
        <w:jc w:val="center"/>
      </w:pPr>
      <w:r>
        <w:rPr>
          <w:rFonts w:ascii="宋体" w:eastAsia="宋体" w:hAnsi="宋体" w:cs="宋体"/>
          <w:kern w:val="0"/>
          <w:sz w:val="24"/>
        </w:rPr>
        <w:pict w14:anchorId="4B763C0D">
          <v:rect id="_x0000_i1048" style="width:6in;height:1.5pt" o:hralign="center" o:hrstd="t" o:hr="t" fillcolor="#a0a0a0" stroked="f"/>
        </w:pict>
      </w:r>
    </w:p>
    <w:p w14:paraId="4B7601E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1E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KC-46A Tanker program and lower charges in 2021. BGS revenues increased by $785 million primarily due to higher </w:t>
      </w:r>
      <w:r>
        <w:rPr>
          <w:rFonts w:ascii="Arial" w:eastAsia="宋体" w:hAnsi="Arial" w:cs="Arial"/>
          <w:color w:val="000000"/>
          <w:kern w:val="0"/>
          <w:sz w:val="20"/>
          <w:szCs w:val="20"/>
          <w:lang w:bidi="ar"/>
        </w:rPr>
        <w:t>commercial and government services volume.</w:t>
      </w:r>
    </w:p>
    <w:p w14:paraId="4B7601E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will continue to be significantly impacted until the global supply chain stabilizes, labor instability diminishes, and deliveries ramp up.</w:t>
      </w:r>
    </w:p>
    <w:p w14:paraId="4B7601E9"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r>
        <w:rPr>
          <w:rFonts w:ascii="Arial" w:eastAsia="宋体" w:hAnsi="Arial" w:cs="Arial"/>
          <w:i/>
          <w:iCs/>
          <w:color w:val="000000"/>
          <w:kern w:val="0"/>
          <w:sz w:val="20"/>
          <w:szCs w:val="20"/>
          <w:lang w:bidi="ar"/>
        </w:rPr>
        <w:t xml:space="preserve"> </w:t>
      </w:r>
    </w:p>
    <w:p w14:paraId="4B7601E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Loss from op</w:t>
      </w:r>
      <w:r>
        <w:rPr>
          <w:rFonts w:ascii="Arial" w:eastAsia="宋体" w:hAnsi="Arial" w:cs="Arial"/>
          <w:color w:val="000000"/>
          <w:kern w:val="0"/>
          <w:sz w:val="20"/>
          <w:szCs w:val="20"/>
          <w:lang w:bidi="ar"/>
        </w:rPr>
        <w:t>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345"/>
        <w:gridCol w:w="37"/>
        <w:gridCol w:w="71"/>
        <w:gridCol w:w="782"/>
        <w:gridCol w:w="36"/>
        <w:gridCol w:w="36"/>
        <w:gridCol w:w="36"/>
        <w:gridCol w:w="36"/>
        <w:gridCol w:w="71"/>
        <w:gridCol w:w="774"/>
        <w:gridCol w:w="36"/>
        <w:gridCol w:w="36"/>
        <w:gridCol w:w="36"/>
        <w:gridCol w:w="36"/>
        <w:gridCol w:w="81"/>
        <w:gridCol w:w="796"/>
        <w:gridCol w:w="36"/>
      </w:tblGrid>
      <w:tr w:rsidR="0099058F" w14:paraId="4B7601FD" w14:textId="77777777">
        <w:tc>
          <w:tcPr>
            <w:tcW w:w="50" w:type="pct"/>
            <w:tcBorders>
              <w:top w:val="nil"/>
              <w:left w:val="nil"/>
              <w:bottom w:val="nil"/>
              <w:right w:val="nil"/>
            </w:tcBorders>
            <w:shd w:val="clear" w:color="auto" w:fill="auto"/>
            <w:vAlign w:val="bottom"/>
          </w:tcPr>
          <w:p w14:paraId="4B7601EB" w14:textId="77777777" w:rsidR="0099058F" w:rsidRDefault="0099058F">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B7601E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E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EE"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1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1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F4"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1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1F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1FA"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1F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1FC" w14:textId="77777777" w:rsidR="0099058F" w:rsidRDefault="0099058F">
            <w:pPr>
              <w:widowControl/>
              <w:jc w:val="left"/>
              <w:rPr>
                <w:rFonts w:ascii="Times New Roman" w:eastAsia="宋体" w:hAnsi="宋体" w:cs="宋体"/>
                <w:kern w:val="0"/>
                <w:sz w:val="24"/>
              </w:rPr>
            </w:pPr>
          </w:p>
        </w:tc>
      </w:tr>
      <w:tr w:rsidR="0099058F" w14:paraId="4B7602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1FE"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1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3" w14:textId="77777777" w:rsidR="0099058F" w:rsidRDefault="0099058F">
            <w:pPr>
              <w:widowControl/>
              <w:jc w:val="left"/>
              <w:rPr>
                <w:rFonts w:ascii="Times New Roman" w:eastAsia="宋体" w:hAnsi="宋体" w:cs="宋体"/>
                <w:kern w:val="0"/>
                <w:sz w:val="24"/>
              </w:rPr>
            </w:pPr>
          </w:p>
        </w:tc>
      </w:tr>
      <w:tr w:rsidR="0099058F" w14:paraId="4B76020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0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0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215" w14:textId="77777777">
        <w:tc>
          <w:tcPr>
            <w:tcW w:w="0" w:type="auto"/>
            <w:gridSpan w:val="3"/>
            <w:tcBorders>
              <w:top w:val="single" w:sz="8" w:space="0" w:color="000000"/>
              <w:left w:val="nil"/>
              <w:bottom w:val="nil"/>
              <w:right w:val="nil"/>
            </w:tcBorders>
            <w:shd w:val="clear" w:color="auto" w:fill="CCEEFF"/>
            <w:tcMar>
              <w:top w:w="40" w:type="dxa"/>
              <w:left w:w="35" w:type="dxa"/>
              <w:bottom w:w="40" w:type="dxa"/>
              <w:right w:w="20" w:type="dxa"/>
            </w:tcMar>
          </w:tcPr>
          <w:p w14:paraId="4B76020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0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0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1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1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14" w14:textId="77777777" w:rsidR="0099058F" w:rsidRDefault="0099058F">
            <w:pPr>
              <w:widowControl/>
              <w:jc w:val="left"/>
              <w:rPr>
                <w:rFonts w:ascii="Times New Roman" w:eastAsia="宋体" w:hAnsi="宋体" w:cs="宋体"/>
                <w:kern w:val="0"/>
                <w:sz w:val="24"/>
              </w:rPr>
            </w:pPr>
          </w:p>
        </w:tc>
      </w:tr>
      <w:tr w:rsidR="0099058F" w14:paraId="4B7602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21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1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1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1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1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1E" w14:textId="77777777" w:rsidR="0099058F" w:rsidRDefault="0099058F">
            <w:pPr>
              <w:widowControl/>
              <w:jc w:val="right"/>
              <w:rPr>
                <w:rFonts w:ascii="Times New Roman" w:eastAsia="宋体" w:hAnsi="宋体" w:cs="宋体"/>
                <w:kern w:val="0"/>
                <w:sz w:val="24"/>
              </w:rPr>
            </w:pPr>
          </w:p>
        </w:tc>
      </w:tr>
      <w:tr w:rsidR="0099058F" w14:paraId="4B7602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22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2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2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28" w14:textId="77777777" w:rsidR="0099058F" w:rsidRDefault="0099058F">
            <w:pPr>
              <w:widowControl/>
              <w:jc w:val="right"/>
              <w:rPr>
                <w:rFonts w:ascii="Times New Roman" w:eastAsia="宋体" w:hAnsi="宋体" w:cs="宋体"/>
                <w:kern w:val="0"/>
                <w:sz w:val="24"/>
              </w:rPr>
            </w:pPr>
          </w:p>
        </w:tc>
      </w:tr>
      <w:tr w:rsidR="0099058F" w14:paraId="4B760233"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B76022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2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2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2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3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32" w14:textId="77777777" w:rsidR="0099058F" w:rsidRDefault="0099058F">
            <w:pPr>
              <w:widowControl/>
              <w:jc w:val="right"/>
              <w:rPr>
                <w:rFonts w:ascii="Times New Roman" w:eastAsia="宋体" w:hAnsi="宋体" w:cs="宋体"/>
                <w:kern w:val="0"/>
                <w:sz w:val="24"/>
              </w:rPr>
            </w:pPr>
          </w:p>
        </w:tc>
      </w:tr>
      <w:tr w:rsidR="0099058F" w14:paraId="4B76023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23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(3,158)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36"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3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39"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3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3C" w14:textId="77777777" w:rsidR="0099058F" w:rsidRDefault="0099058F">
            <w:pPr>
              <w:widowControl/>
              <w:jc w:val="right"/>
              <w:rPr>
                <w:rFonts w:ascii="Times New Roman" w:eastAsia="宋体" w:hAnsi="宋体" w:cs="宋体"/>
                <w:kern w:val="0"/>
                <w:sz w:val="24"/>
              </w:rPr>
            </w:pPr>
          </w:p>
        </w:tc>
      </w:tr>
      <w:tr w:rsidR="0099058F" w14:paraId="4B7602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23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4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4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4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4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46" w14:textId="77777777" w:rsidR="0099058F" w:rsidRDefault="0099058F">
            <w:pPr>
              <w:widowControl/>
              <w:jc w:val="right"/>
              <w:rPr>
                <w:rFonts w:ascii="Times New Roman" w:eastAsia="宋体" w:hAnsi="宋体" w:cs="宋体"/>
                <w:kern w:val="0"/>
                <w:sz w:val="24"/>
              </w:rPr>
            </w:pPr>
          </w:p>
        </w:tc>
      </w:tr>
      <w:tr w:rsidR="0099058F" w14:paraId="4B7602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24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4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4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4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4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50" w14:textId="77777777" w:rsidR="0099058F" w:rsidRDefault="0099058F">
            <w:pPr>
              <w:widowControl/>
              <w:jc w:val="right"/>
              <w:rPr>
                <w:rFonts w:ascii="Times New Roman" w:eastAsia="宋体" w:hAnsi="宋体" w:cs="宋体"/>
                <w:kern w:val="0"/>
                <w:sz w:val="24"/>
              </w:rPr>
            </w:pPr>
          </w:p>
        </w:tc>
      </w:tr>
      <w:tr w:rsidR="0099058F" w14:paraId="4B76025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25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w:t>
            </w:r>
            <w:r>
              <w:rPr>
                <w:rFonts w:ascii="Arial" w:eastAsia="宋体" w:hAnsi="Arial" w:cs="Arial"/>
                <w:color w:val="000000"/>
                <w:kern w:val="0"/>
                <w:sz w:val="20"/>
                <w:szCs w:val="20"/>
                <w:lang w:bidi="ar"/>
              </w:rPr>
              <w:t>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5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5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5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5A" w14:textId="77777777" w:rsidR="0099058F" w:rsidRDefault="0099058F">
            <w:pPr>
              <w:widowControl/>
              <w:jc w:val="right"/>
              <w:rPr>
                <w:rFonts w:ascii="Times New Roman" w:eastAsia="宋体" w:hAnsi="宋体" w:cs="宋体"/>
                <w:kern w:val="0"/>
                <w:sz w:val="24"/>
              </w:rPr>
            </w:pPr>
          </w:p>
        </w:tc>
      </w:tr>
      <w:tr w:rsidR="0099058F" w14:paraId="4B76026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25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5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5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6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6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64" w14:textId="77777777" w:rsidR="0099058F" w:rsidRDefault="0099058F">
            <w:pPr>
              <w:widowControl/>
              <w:jc w:val="left"/>
              <w:rPr>
                <w:rFonts w:ascii="Times New Roman" w:eastAsia="宋体" w:hAnsi="宋体" w:cs="宋体"/>
                <w:kern w:val="0"/>
                <w:sz w:val="24"/>
              </w:rPr>
            </w:pPr>
          </w:p>
        </w:tc>
      </w:tr>
      <w:tr w:rsidR="0099058F" w14:paraId="4B76026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B76026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02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0268" w14:textId="77777777" w:rsidR="0099058F" w:rsidRDefault="0099058F">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269"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02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026B" w14:textId="77777777" w:rsidR="0099058F" w:rsidRDefault="0099058F">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26C"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026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026E" w14:textId="77777777" w:rsidR="0099058F" w:rsidRDefault="0099058F">
            <w:pPr>
              <w:widowControl/>
              <w:jc w:val="right"/>
              <w:rPr>
                <w:rFonts w:ascii="Times New Roman" w:eastAsia="宋体" w:hAnsi="宋体" w:cs="宋体"/>
                <w:kern w:val="0"/>
                <w:sz w:val="24"/>
              </w:rPr>
            </w:pPr>
          </w:p>
        </w:tc>
      </w:tr>
      <w:tr w:rsidR="0099058F" w14:paraId="4B76027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027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2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27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27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2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27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27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2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278" w14:textId="77777777" w:rsidR="0099058F" w:rsidRDefault="0099058F">
            <w:pPr>
              <w:widowControl/>
              <w:jc w:val="left"/>
              <w:rPr>
                <w:rFonts w:ascii="Times New Roman" w:eastAsia="宋体" w:hAnsi="宋体" w:cs="宋体"/>
                <w:kern w:val="0"/>
                <w:sz w:val="24"/>
              </w:rPr>
            </w:pPr>
          </w:p>
        </w:tc>
      </w:tr>
    </w:tbl>
    <w:p w14:paraId="4B76027A"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w:t>
      </w:r>
      <w:r>
        <w:rPr>
          <w:rFonts w:ascii="Arial" w:eastAsia="宋体" w:hAnsi="Arial" w:cs="Arial"/>
          <w:color w:val="000000"/>
          <w:kern w:val="0"/>
          <w:sz w:val="20"/>
          <w:szCs w:val="20"/>
          <w:lang w:bidi="ar"/>
        </w:rPr>
        <w:t>The FAS/CAS service cost adjustment represents the difference between the FAS pension and postretirement service costs calculated under GAAP and costs allocated to the business segments.</w:t>
      </w:r>
    </w:p>
    <w:p w14:paraId="4B76027B"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Core operating loss is a non-GAAP measure that excludes the FAS</w:t>
      </w:r>
      <w:r>
        <w:rPr>
          <w:rFonts w:ascii="Arial" w:eastAsia="宋体" w:hAnsi="Arial" w:cs="Arial"/>
          <w:color w:val="000000"/>
          <w:kern w:val="0"/>
          <w:sz w:val="20"/>
          <w:szCs w:val="20"/>
          <w:lang w:bidi="ar"/>
        </w:rPr>
        <w:t>/CAS service cost adjustment. See pages 45 - 47.</w:t>
      </w:r>
    </w:p>
    <w:p w14:paraId="4B76027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increased by $645 million in 2022 compared with 2021. BDS had a loss from operations of $3,544 million compared with earnings of $1,544 million during 2021, primarily due to charges on d</w:t>
      </w:r>
      <w:r>
        <w:rPr>
          <w:rFonts w:ascii="Arial" w:eastAsia="宋体" w:hAnsi="Arial" w:cs="Arial"/>
          <w:color w:val="000000"/>
          <w:kern w:val="0"/>
          <w:sz w:val="20"/>
          <w:szCs w:val="20"/>
          <w:lang w:bidi="ar"/>
        </w:rPr>
        <w:t>evelopment programs. BCA loss from operations decreased by $4,105 million primarily due to the absence in 2022 of the $3,460 million reach-forward loss taken on the 787 program in 2021, higher 737 deliveries and lower abnormal production costs, partially o</w:t>
      </w:r>
      <w:r>
        <w:rPr>
          <w:rFonts w:ascii="Arial" w:eastAsia="宋体" w:hAnsi="Arial" w:cs="Arial"/>
          <w:color w:val="000000"/>
          <w:kern w:val="0"/>
          <w:sz w:val="20"/>
          <w:szCs w:val="20"/>
          <w:lang w:bidi="ar"/>
        </w:rPr>
        <w:t>ffset by higher research and development spending, charges related to the war in Ukraine and other period expenses. BGS earnings from operations increased by $710 million in 2022 compared with 2021 primarily due to higher commercial services volume and fav</w:t>
      </w:r>
      <w:r>
        <w:rPr>
          <w:rFonts w:ascii="Arial" w:eastAsia="宋体" w:hAnsi="Arial" w:cs="Arial"/>
          <w:color w:val="000000"/>
          <w:kern w:val="0"/>
          <w:sz w:val="20"/>
          <w:szCs w:val="20"/>
          <w:lang w:bidi="ar"/>
        </w:rPr>
        <w:t xml:space="preserve">orable mix, partially offset by lower government services performance. </w:t>
      </w:r>
    </w:p>
    <w:p w14:paraId="4B76027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Loss from operations decreased by $9,865 million in 2021 compared with 2020 primarily due to lower losses at BCA and higher earnings at BGS. BCA loss from operations decreased by </w:t>
      </w:r>
      <w:r>
        <w:rPr>
          <w:rFonts w:ascii="Arial" w:eastAsia="宋体" w:hAnsi="Arial" w:cs="Arial"/>
          <w:color w:val="000000"/>
          <w:kern w:val="0"/>
          <w:sz w:val="20"/>
          <w:szCs w:val="20"/>
          <w:lang w:bidi="ar"/>
        </w:rPr>
        <w:t>$7,372 million primarily due to the absence of a $6,493 million reach-forward loss on the 777X program recorded in 2020, lower period expenses, lower 737 MAX customer considerations and higher 737 MAX deliveries, partially offset by a $3,460 million reach-</w:t>
      </w:r>
      <w:r>
        <w:rPr>
          <w:rFonts w:ascii="Arial" w:eastAsia="宋体" w:hAnsi="Arial" w:cs="Arial"/>
          <w:color w:val="000000"/>
          <w:kern w:val="0"/>
          <w:sz w:val="20"/>
          <w:szCs w:val="20"/>
          <w:lang w:bidi="ar"/>
        </w:rPr>
        <w:t>forward loss on the 787 program in 2021. BGS earnings from operations increased by $1,567 million in 2021 compared with 2020 primarily due to charges incurred in 2020 as a result of the COVID-19 pandemic, as well as higher commercial services volume.</w:t>
      </w:r>
    </w:p>
    <w:p w14:paraId="4B76027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Core </w:t>
      </w:r>
      <w:r>
        <w:rPr>
          <w:rFonts w:ascii="Arial" w:eastAsia="宋体" w:hAnsi="Arial" w:cs="Arial"/>
          <w:color w:val="000000"/>
          <w:kern w:val="0"/>
          <w:sz w:val="20"/>
          <w:szCs w:val="20"/>
          <w:lang w:bidi="ar"/>
        </w:rPr>
        <w:t>operating loss increased by $615 million in 2022 compared with 2021 and decreased by $10,075 million in 2021 compared with 2020 primarily due to changes in Segment operating loss as described above.</w:t>
      </w:r>
    </w:p>
    <w:p w14:paraId="4B76027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23</w:t>
      </w:r>
    </w:p>
    <w:p w14:paraId="4B760280" w14:textId="77777777" w:rsidR="0099058F" w:rsidRDefault="00EB2559">
      <w:pPr>
        <w:widowControl/>
        <w:jc w:val="center"/>
      </w:pPr>
      <w:r>
        <w:rPr>
          <w:rFonts w:ascii="宋体" w:eastAsia="宋体" w:hAnsi="宋体" w:cs="宋体"/>
          <w:kern w:val="0"/>
          <w:sz w:val="24"/>
        </w:rPr>
        <w:pict w14:anchorId="4B763C0E">
          <v:rect id="_x0000_i1049" style="width:6in;height:1.5pt" o:hralign="center" o:hrstd="t" o:hr="t" fillcolor="#a0a0a0" stroked="f"/>
        </w:pict>
      </w:r>
    </w:p>
    <w:p w14:paraId="4B76028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282"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Unallocated Items, Eliminations and Other </w:t>
      </w:r>
      <w:r>
        <w:rPr>
          <w:rFonts w:ascii="Arial" w:eastAsia="宋体" w:hAnsi="Arial" w:cs="Arial"/>
          <w:color w:val="000000"/>
          <w:kern w:val="0"/>
          <w:sz w:val="20"/>
          <w:szCs w:val="20"/>
          <w:lang w:bidi="ar"/>
        </w:rPr>
        <w:t>The most significant items included in Unallocated items, eliminations and other are shown in the following table: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0"/>
        <w:gridCol w:w="5617"/>
        <w:gridCol w:w="37"/>
        <w:gridCol w:w="80"/>
        <w:gridCol w:w="685"/>
        <w:gridCol w:w="36"/>
        <w:gridCol w:w="36"/>
        <w:gridCol w:w="36"/>
        <w:gridCol w:w="36"/>
        <w:gridCol w:w="80"/>
        <w:gridCol w:w="685"/>
        <w:gridCol w:w="36"/>
        <w:gridCol w:w="36"/>
        <w:gridCol w:w="36"/>
        <w:gridCol w:w="36"/>
        <w:gridCol w:w="79"/>
        <w:gridCol w:w="686"/>
        <w:gridCol w:w="36"/>
      </w:tblGrid>
      <w:tr w:rsidR="0099058F" w14:paraId="4B760295" w14:textId="77777777">
        <w:tc>
          <w:tcPr>
            <w:tcW w:w="50" w:type="pct"/>
            <w:tcBorders>
              <w:top w:val="nil"/>
              <w:left w:val="nil"/>
              <w:bottom w:val="nil"/>
              <w:right w:val="nil"/>
            </w:tcBorders>
            <w:shd w:val="clear" w:color="auto" w:fill="auto"/>
            <w:vAlign w:val="bottom"/>
          </w:tcPr>
          <w:p w14:paraId="4B760283"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028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286"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028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28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28C"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02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8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2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9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292"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029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94" w14:textId="77777777" w:rsidR="0099058F" w:rsidRDefault="0099058F">
            <w:pPr>
              <w:widowControl/>
              <w:jc w:val="left"/>
              <w:rPr>
                <w:rFonts w:ascii="Times New Roman" w:eastAsia="宋体" w:hAnsi="宋体" w:cs="宋体"/>
                <w:kern w:val="0"/>
                <w:sz w:val="24"/>
              </w:rPr>
            </w:pPr>
          </w:p>
        </w:tc>
      </w:tr>
      <w:tr w:rsidR="0099058F" w14:paraId="4B76029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96"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B" w14:textId="77777777" w:rsidR="0099058F" w:rsidRDefault="0099058F">
            <w:pPr>
              <w:widowControl/>
              <w:jc w:val="left"/>
              <w:rPr>
                <w:rFonts w:ascii="Times New Roman" w:eastAsia="宋体" w:hAnsi="宋体" w:cs="宋体"/>
                <w:kern w:val="0"/>
                <w:sz w:val="24"/>
              </w:rPr>
            </w:pPr>
          </w:p>
        </w:tc>
      </w:tr>
      <w:tr w:rsidR="0099058F" w14:paraId="4B7602A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9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2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2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2A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2A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A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A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A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2A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2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2AC" w14:textId="77777777" w:rsidR="0099058F" w:rsidRDefault="0099058F">
            <w:pPr>
              <w:widowControl/>
              <w:jc w:val="left"/>
              <w:rPr>
                <w:rFonts w:ascii="Times New Roman" w:eastAsia="宋体" w:hAnsi="宋体" w:cs="宋体"/>
                <w:kern w:val="0"/>
                <w:sz w:val="24"/>
              </w:rPr>
            </w:pPr>
          </w:p>
        </w:tc>
      </w:tr>
      <w:tr w:rsidR="0099058F" w14:paraId="4B7602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2A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B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B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B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B6" w14:textId="77777777" w:rsidR="0099058F" w:rsidRDefault="0099058F">
            <w:pPr>
              <w:widowControl/>
              <w:jc w:val="left"/>
              <w:rPr>
                <w:rFonts w:ascii="Times New Roman" w:eastAsia="宋体" w:hAnsi="宋体" w:cs="宋体"/>
                <w:kern w:val="0"/>
                <w:sz w:val="24"/>
              </w:rPr>
            </w:pPr>
          </w:p>
        </w:tc>
      </w:tr>
      <w:tr w:rsidR="0099058F" w14:paraId="4B7602C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2B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B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B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B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B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C0" w14:textId="77777777" w:rsidR="0099058F" w:rsidRDefault="0099058F">
            <w:pPr>
              <w:widowControl/>
              <w:jc w:val="right"/>
              <w:rPr>
                <w:rFonts w:ascii="Times New Roman" w:eastAsia="宋体" w:hAnsi="宋体" w:cs="宋体"/>
                <w:kern w:val="0"/>
                <w:sz w:val="24"/>
              </w:rPr>
            </w:pPr>
          </w:p>
        </w:tc>
      </w:tr>
      <w:tr w:rsidR="0099058F" w14:paraId="4B7602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2C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C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C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C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2C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2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2CA" w14:textId="77777777" w:rsidR="0099058F" w:rsidRDefault="0099058F">
            <w:pPr>
              <w:widowControl/>
              <w:jc w:val="right"/>
              <w:rPr>
                <w:rFonts w:ascii="Times New Roman" w:eastAsia="宋体" w:hAnsi="宋体" w:cs="宋体"/>
                <w:kern w:val="0"/>
                <w:sz w:val="24"/>
              </w:rPr>
            </w:pPr>
          </w:p>
        </w:tc>
      </w:tr>
      <w:tr w:rsidR="0099058F" w14:paraId="4B7602D2" w14:textId="77777777">
        <w:trPr>
          <w:hidden/>
        </w:trPr>
        <w:tc>
          <w:tcPr>
            <w:tcW w:w="0" w:type="auto"/>
            <w:gridSpan w:val="3"/>
            <w:tcBorders>
              <w:top w:val="nil"/>
              <w:left w:val="nil"/>
              <w:bottom w:val="nil"/>
              <w:right w:val="nil"/>
            </w:tcBorders>
            <w:shd w:val="clear" w:color="auto" w:fill="auto"/>
            <w:vAlign w:val="bottom"/>
          </w:tcPr>
          <w:p w14:paraId="4B7602C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C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C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C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1" w14:textId="77777777" w:rsidR="0099058F" w:rsidRDefault="0099058F">
            <w:pPr>
              <w:widowControl/>
              <w:jc w:val="left"/>
              <w:rPr>
                <w:rFonts w:ascii="Times New Roman" w:eastAsia="宋体" w:hAnsi="宋体" w:cs="宋体"/>
                <w:vanish/>
                <w:kern w:val="0"/>
                <w:sz w:val="24"/>
              </w:rPr>
            </w:pPr>
          </w:p>
        </w:tc>
      </w:tr>
      <w:tr w:rsidR="0099058F" w14:paraId="4B7602D9" w14:textId="77777777">
        <w:trPr>
          <w:hidden/>
        </w:trPr>
        <w:tc>
          <w:tcPr>
            <w:tcW w:w="0" w:type="auto"/>
            <w:gridSpan w:val="3"/>
            <w:tcBorders>
              <w:top w:val="nil"/>
              <w:left w:val="nil"/>
              <w:bottom w:val="nil"/>
              <w:right w:val="nil"/>
            </w:tcBorders>
            <w:shd w:val="clear" w:color="auto" w:fill="auto"/>
            <w:vAlign w:val="bottom"/>
          </w:tcPr>
          <w:p w14:paraId="4B7602D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2D8" w14:textId="77777777" w:rsidR="0099058F" w:rsidRDefault="0099058F">
            <w:pPr>
              <w:widowControl/>
              <w:jc w:val="left"/>
              <w:rPr>
                <w:rFonts w:ascii="Times New Roman" w:eastAsia="宋体" w:hAnsi="宋体" w:cs="宋体"/>
                <w:vanish/>
                <w:kern w:val="0"/>
                <w:sz w:val="24"/>
              </w:rPr>
            </w:pPr>
          </w:p>
        </w:tc>
      </w:tr>
      <w:tr w:rsidR="0099058F" w14:paraId="4B7602E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2D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D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D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D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2E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2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2E2" w14:textId="77777777" w:rsidR="0099058F" w:rsidRDefault="0099058F">
            <w:pPr>
              <w:widowControl/>
              <w:jc w:val="right"/>
              <w:rPr>
                <w:rFonts w:ascii="Times New Roman" w:eastAsia="宋体" w:hAnsi="宋体" w:cs="宋体"/>
                <w:kern w:val="0"/>
                <w:sz w:val="24"/>
              </w:rPr>
            </w:pPr>
          </w:p>
        </w:tc>
      </w:tr>
      <w:tr w:rsidR="0099058F" w14:paraId="4B7602E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02E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2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2E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2E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2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2E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2E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2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2EC" w14:textId="77777777" w:rsidR="0099058F" w:rsidRDefault="0099058F">
            <w:pPr>
              <w:widowControl/>
              <w:jc w:val="left"/>
              <w:rPr>
                <w:rFonts w:ascii="Times New Roman" w:eastAsia="宋体" w:hAnsi="宋体" w:cs="宋体"/>
                <w:kern w:val="0"/>
                <w:sz w:val="24"/>
              </w:rPr>
            </w:pPr>
          </w:p>
        </w:tc>
      </w:tr>
    </w:tbl>
    <w:p w14:paraId="4B7602E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Share-based plans expense decreased by $60 million in 2022 and increased by $54 million in 2021. The lower expense in 2022 compared to 2021 was due to decreased grants of restricted stock units (RSUs) and other share-based compensation. The higher expense </w:t>
      </w:r>
      <w:r>
        <w:rPr>
          <w:rFonts w:ascii="Arial" w:eastAsia="宋体" w:hAnsi="Arial" w:cs="Arial"/>
          <w:color w:val="000000"/>
          <w:kern w:val="0"/>
          <w:sz w:val="20"/>
          <w:szCs w:val="20"/>
          <w:lang w:bidi="ar"/>
        </w:rPr>
        <w:t xml:space="preserve">in 2021 compared to 2020 was primarily related to a one-time grant of RSUs to most employees in December 2020. </w:t>
      </w:r>
    </w:p>
    <w:p w14:paraId="4B7602E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Deferred compensation expense decreased by $243 million in 2022, primarily driven by changes in broad stock market conditions, and </w:t>
      </w:r>
      <w:r>
        <w:rPr>
          <w:rFonts w:ascii="Arial" w:eastAsia="宋体" w:hAnsi="Arial" w:cs="Arial"/>
          <w:color w:val="000000"/>
          <w:kern w:val="0"/>
          <w:sz w:val="20"/>
          <w:szCs w:val="20"/>
          <w:lang w:bidi="ar"/>
        </w:rPr>
        <w:t>increased by $33 million in 2021, primarily driven by changes in broad stock market conditions and our stock price.</w:t>
      </w:r>
    </w:p>
    <w:p w14:paraId="4B7602F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increased by $94 million in 2022 and decreased by $56 million in 2021 primarily due to enterprise investmen</w:t>
      </w:r>
      <w:r>
        <w:rPr>
          <w:rFonts w:ascii="Arial" w:eastAsia="宋体" w:hAnsi="Arial" w:cs="Arial"/>
          <w:color w:val="000000"/>
          <w:kern w:val="0"/>
          <w:sz w:val="20"/>
          <w:szCs w:val="20"/>
          <w:lang w:bidi="ar"/>
        </w:rPr>
        <w:t>ts in product development.</w:t>
      </w:r>
    </w:p>
    <w:p w14:paraId="4B7602F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Eliminations and other unallocated expense increased by $486 million in 2022 primarily due to a $200 million settlement with the Securities and Exchange Commission related to the 737 MAX accidents, lower income from operating inv</w:t>
      </w:r>
      <w:r>
        <w:rPr>
          <w:rFonts w:ascii="Arial" w:eastAsia="宋体" w:hAnsi="Arial" w:cs="Arial"/>
          <w:color w:val="000000"/>
          <w:kern w:val="0"/>
          <w:sz w:val="20"/>
          <w:szCs w:val="20"/>
          <w:lang w:bidi="ar"/>
        </w:rPr>
        <w:t xml:space="preserve">estments, and an increase in environmental remediation expense. Eliminations and other unallocated expense decreased by $1,131 million in 2021 primarily due to earnings charges of $744 million in the fourth quarter of 2020 in anticipation of the agreement </w:t>
      </w:r>
      <w:r>
        <w:rPr>
          <w:rFonts w:ascii="Arial" w:eastAsia="宋体" w:hAnsi="Arial" w:cs="Arial"/>
          <w:color w:val="000000"/>
          <w:kern w:val="0"/>
          <w:sz w:val="20"/>
          <w:szCs w:val="20"/>
          <w:lang w:bidi="ar"/>
        </w:rPr>
        <w:t>between Boeing and the U.S. Department of Justice that was finalized in January 2021 and higher income from operating investments in 2021.</w:t>
      </w:r>
    </w:p>
    <w:p w14:paraId="4B7602F2"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Net periodic pension benefit costs included in Loss from operations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49"/>
        <w:gridCol w:w="5722"/>
        <w:gridCol w:w="37"/>
        <w:gridCol w:w="65"/>
        <w:gridCol w:w="645"/>
        <w:gridCol w:w="37"/>
        <w:gridCol w:w="37"/>
        <w:gridCol w:w="37"/>
        <w:gridCol w:w="37"/>
        <w:gridCol w:w="65"/>
        <w:gridCol w:w="633"/>
        <w:gridCol w:w="36"/>
        <w:gridCol w:w="36"/>
        <w:gridCol w:w="36"/>
        <w:gridCol w:w="36"/>
        <w:gridCol w:w="83"/>
        <w:gridCol w:w="682"/>
        <w:gridCol w:w="36"/>
      </w:tblGrid>
      <w:tr w:rsidR="0099058F" w14:paraId="4B760305" w14:textId="77777777">
        <w:tc>
          <w:tcPr>
            <w:tcW w:w="50" w:type="pct"/>
            <w:tcBorders>
              <w:top w:val="nil"/>
              <w:left w:val="nil"/>
              <w:bottom w:val="nil"/>
              <w:right w:val="nil"/>
            </w:tcBorders>
            <w:shd w:val="clear" w:color="auto" w:fill="auto"/>
            <w:vAlign w:val="bottom"/>
          </w:tcPr>
          <w:p w14:paraId="4B7602F3" w14:textId="77777777" w:rsidR="0099058F" w:rsidRDefault="0099058F">
            <w:pPr>
              <w:widowControl/>
              <w:jc w:val="left"/>
              <w:rPr>
                <w:rFonts w:ascii="Times New Roman" w:eastAsia="宋体" w:hAnsi="宋体" w:cs="宋体"/>
                <w:kern w:val="0"/>
                <w:sz w:val="24"/>
              </w:rPr>
            </w:pPr>
          </w:p>
        </w:tc>
        <w:tc>
          <w:tcPr>
            <w:tcW w:w="3461" w:type="pct"/>
            <w:tcBorders>
              <w:top w:val="nil"/>
              <w:left w:val="nil"/>
              <w:bottom w:val="nil"/>
              <w:right w:val="nil"/>
            </w:tcBorders>
            <w:shd w:val="clear" w:color="auto" w:fill="auto"/>
            <w:vAlign w:val="bottom"/>
          </w:tcPr>
          <w:p w14:paraId="4B7602F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2F6" w14:textId="77777777" w:rsidR="0099058F" w:rsidRDefault="0099058F">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B7602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2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2FC" w14:textId="77777777" w:rsidR="0099058F" w:rsidRDefault="0099058F">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B7602F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2F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0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0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02" w14:textId="77777777" w:rsidR="0099058F" w:rsidRDefault="0099058F">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B76030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04" w14:textId="77777777" w:rsidR="0099058F" w:rsidRDefault="0099058F">
            <w:pPr>
              <w:widowControl/>
              <w:jc w:val="left"/>
              <w:rPr>
                <w:rFonts w:ascii="Times New Roman" w:eastAsia="宋体" w:hAnsi="宋体" w:cs="宋体"/>
                <w:kern w:val="0"/>
                <w:sz w:val="24"/>
              </w:rPr>
            </w:pPr>
          </w:p>
        </w:tc>
      </w:tr>
      <w:tr w:rsidR="0099058F" w14:paraId="4B76030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06"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B76030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r>
      <w:tr w:rsidR="0099058F" w14:paraId="4B76030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30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3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30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3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3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3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31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31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Allocated to business segments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B760311" w14:textId="77777777" w:rsidR="0099058F" w:rsidRDefault="00EB2559">
            <w:pPr>
              <w:widowControl/>
              <w:jc w:val="right"/>
              <w:textAlignment w:val="top"/>
              <w:rPr>
                <w:rFonts w:ascii="宋体" w:eastAsia="宋体" w:hAnsi="宋体" w:cs="宋体"/>
                <w:kern w:val="0"/>
                <w:sz w:val="24"/>
              </w:rPr>
            </w:pPr>
            <w:r>
              <w:rPr>
                <w:rFonts w:ascii="Arial" w:eastAsia="宋体" w:hAnsi="Arial" w:cs="Arial"/>
                <w:b/>
                <w:bCs/>
                <w:color w:val="000000"/>
                <w:kern w:val="0"/>
                <w:sz w:val="20"/>
                <w:szCs w:val="20"/>
                <w:lang w:bidi="ar"/>
              </w:rPr>
              <w:t>($852)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B76031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1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B760314" w14:textId="77777777" w:rsidR="0099058F" w:rsidRDefault="00EB2559">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($885)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B76031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1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B760317" w14:textId="77777777" w:rsidR="0099058F" w:rsidRDefault="00EB2559">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($1,027)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B760318" w14:textId="77777777" w:rsidR="0099058F" w:rsidRDefault="0099058F">
            <w:pPr>
              <w:widowControl/>
              <w:jc w:val="left"/>
              <w:rPr>
                <w:rFonts w:ascii="Times New Roman" w:eastAsia="宋体" w:hAnsi="宋体" w:cs="宋体"/>
                <w:kern w:val="0"/>
                <w:sz w:val="24"/>
              </w:rPr>
            </w:pPr>
          </w:p>
        </w:tc>
      </w:tr>
      <w:tr w:rsidR="0099058F" w14:paraId="4B7603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31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31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31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31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3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31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32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3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322" w14:textId="77777777" w:rsidR="0099058F" w:rsidRDefault="0099058F">
            <w:pPr>
              <w:widowControl/>
              <w:jc w:val="left"/>
              <w:rPr>
                <w:rFonts w:ascii="Times New Roman" w:eastAsia="宋体" w:hAnsi="宋体" w:cs="宋体"/>
                <w:kern w:val="0"/>
                <w:sz w:val="24"/>
              </w:rPr>
            </w:pPr>
          </w:p>
        </w:tc>
      </w:tr>
      <w:tr w:rsidR="0099058F" w14:paraId="4B76032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032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Net periodic pension benefit cost included in Loss from </w:t>
            </w:r>
            <w:r>
              <w:rPr>
                <w:rFonts w:ascii="Arial" w:eastAsia="宋体" w:hAnsi="Arial" w:cs="Arial"/>
                <w:color w:val="000000"/>
                <w:kern w:val="0"/>
                <w:sz w:val="20"/>
                <w:szCs w:val="20"/>
                <w:lang w:bidi="ar"/>
              </w:rPr>
              <w:t>operations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3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32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32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3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32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32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3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32C" w14:textId="77777777" w:rsidR="0099058F" w:rsidRDefault="0099058F">
            <w:pPr>
              <w:widowControl/>
              <w:jc w:val="left"/>
              <w:rPr>
                <w:rFonts w:ascii="Times New Roman" w:eastAsia="宋体" w:hAnsi="宋体" w:cs="宋体"/>
                <w:kern w:val="0"/>
                <w:sz w:val="24"/>
              </w:rPr>
            </w:pPr>
          </w:p>
        </w:tc>
      </w:tr>
    </w:tbl>
    <w:p w14:paraId="4B76032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FAS/CAS service cost adjustment recognized in Loss from operations in 2022 decreased by $33 million compared with 2021 and decreased by $142 million in 2021 compared with 2020 due to reductions in allocated pension cost year over year. Net peri</w:t>
      </w:r>
      <w:r>
        <w:rPr>
          <w:rFonts w:ascii="Arial" w:eastAsia="宋体" w:hAnsi="Arial" w:cs="Arial"/>
          <w:color w:val="000000"/>
          <w:kern w:val="0"/>
          <w:sz w:val="20"/>
          <w:szCs w:val="20"/>
          <w:lang w:bidi="ar"/>
        </w:rPr>
        <w:t xml:space="preserve">odic benefit cost included in Loss from operations in 2022 was largely consistent with 2021 and 2020. </w:t>
      </w:r>
    </w:p>
    <w:p w14:paraId="4B76032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additional discussion related to Postretirement Plans, see Note 16 to our Consolidated Financial Statements.</w:t>
      </w:r>
    </w:p>
    <w:p w14:paraId="4B76033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24</w:t>
      </w:r>
    </w:p>
    <w:p w14:paraId="4B760331" w14:textId="77777777" w:rsidR="0099058F" w:rsidRDefault="00EB2559">
      <w:pPr>
        <w:widowControl/>
        <w:jc w:val="center"/>
      </w:pPr>
      <w:r>
        <w:rPr>
          <w:rFonts w:ascii="宋体" w:eastAsia="宋体" w:hAnsi="宋体" w:cs="宋体"/>
          <w:kern w:val="0"/>
          <w:sz w:val="24"/>
        </w:rPr>
        <w:pict w14:anchorId="4B763C0F">
          <v:rect id="_x0000_i1050" style="width:6in;height:1.5pt" o:hralign="center" o:hrstd="t" o:hr="t" fillcolor="#a0a0a0" stroked="f"/>
        </w:pict>
      </w:r>
    </w:p>
    <w:p w14:paraId="4B76033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333" w14:textId="77777777" w:rsidR="0099058F" w:rsidRDefault="00EB2559">
      <w:pPr>
        <w:widowControl/>
        <w:spacing w:before="180" w:after="100"/>
        <w:jc w:val="left"/>
        <w:rPr>
          <w:rFonts w:ascii="宋体" w:eastAsia="宋体" w:hAnsi="宋体" w:cs="宋体"/>
          <w:kern w:val="0"/>
          <w:sz w:val="24"/>
        </w:rPr>
      </w:pPr>
      <w:r>
        <w:rPr>
          <w:rFonts w:ascii="Arial" w:eastAsia="宋体" w:hAnsi="Arial" w:cs="Arial"/>
          <w:b/>
          <w:bCs/>
          <w:color w:val="000000"/>
          <w:kern w:val="0"/>
          <w:sz w:val="20"/>
          <w:szCs w:val="20"/>
          <w:lang w:bidi="ar"/>
        </w:rPr>
        <w:t>Other Earnings Items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5345"/>
        <w:gridCol w:w="38"/>
        <w:gridCol w:w="71"/>
        <w:gridCol w:w="782"/>
        <w:gridCol w:w="36"/>
        <w:gridCol w:w="36"/>
        <w:gridCol w:w="36"/>
        <w:gridCol w:w="36"/>
        <w:gridCol w:w="71"/>
        <w:gridCol w:w="774"/>
        <w:gridCol w:w="36"/>
        <w:gridCol w:w="36"/>
        <w:gridCol w:w="36"/>
        <w:gridCol w:w="36"/>
        <w:gridCol w:w="81"/>
        <w:gridCol w:w="796"/>
        <w:gridCol w:w="36"/>
      </w:tblGrid>
      <w:tr w:rsidR="0099058F" w14:paraId="4B760346" w14:textId="77777777">
        <w:tc>
          <w:tcPr>
            <w:tcW w:w="50" w:type="pct"/>
            <w:tcBorders>
              <w:top w:val="nil"/>
              <w:left w:val="nil"/>
              <w:bottom w:val="nil"/>
              <w:right w:val="nil"/>
            </w:tcBorders>
            <w:shd w:val="clear" w:color="auto" w:fill="auto"/>
            <w:vAlign w:val="bottom"/>
          </w:tcPr>
          <w:p w14:paraId="4B760334" w14:textId="77777777" w:rsidR="0099058F" w:rsidRDefault="0099058F">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B76033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3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37"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33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3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3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3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3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3D"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33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3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4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4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4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43"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34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45" w14:textId="77777777" w:rsidR="0099058F" w:rsidRDefault="0099058F">
            <w:pPr>
              <w:widowControl/>
              <w:jc w:val="left"/>
              <w:rPr>
                <w:rFonts w:ascii="Times New Roman" w:eastAsia="宋体" w:hAnsi="宋体" w:cs="宋体"/>
                <w:kern w:val="0"/>
                <w:sz w:val="24"/>
              </w:rPr>
            </w:pPr>
          </w:p>
        </w:tc>
      </w:tr>
      <w:tr w:rsidR="0099058F" w14:paraId="4B7603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47" w14:textId="77777777" w:rsidR="0099058F" w:rsidRDefault="00EB2559">
            <w:pPr>
              <w:widowControl/>
              <w:spacing w:after="180"/>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4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4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4C" w14:textId="77777777" w:rsidR="0099058F" w:rsidRDefault="0099058F">
            <w:pPr>
              <w:widowControl/>
              <w:jc w:val="left"/>
              <w:rPr>
                <w:rFonts w:ascii="Times New Roman" w:eastAsia="宋体" w:hAnsi="宋体" w:cs="宋体"/>
                <w:kern w:val="0"/>
                <w:sz w:val="24"/>
              </w:rPr>
            </w:pPr>
          </w:p>
        </w:tc>
      </w:tr>
      <w:tr w:rsidR="0099058F" w14:paraId="4B76035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4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5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5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35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35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5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5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5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5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5D" w14:textId="77777777" w:rsidR="0099058F" w:rsidRDefault="0099058F">
            <w:pPr>
              <w:widowControl/>
              <w:jc w:val="left"/>
              <w:rPr>
                <w:rFonts w:ascii="Times New Roman" w:eastAsia="宋体" w:hAnsi="宋体" w:cs="宋体"/>
                <w:kern w:val="0"/>
                <w:sz w:val="24"/>
              </w:rPr>
            </w:pPr>
          </w:p>
        </w:tc>
      </w:tr>
      <w:tr w:rsidR="0099058F" w14:paraId="4B7603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35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Other </w:t>
            </w:r>
            <w:r>
              <w:rPr>
                <w:rFonts w:ascii="Arial" w:eastAsia="宋体" w:hAnsi="Arial" w:cs="Arial"/>
                <w:color w:val="000000"/>
                <w:kern w:val="0"/>
                <w:sz w:val="20"/>
                <w:szCs w:val="20"/>
                <w:lang w:bidi="ar"/>
              </w:rPr>
              <w:t>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3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36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36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3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3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36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3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367" w14:textId="77777777" w:rsidR="0099058F" w:rsidRDefault="0099058F">
            <w:pPr>
              <w:widowControl/>
              <w:jc w:val="right"/>
              <w:rPr>
                <w:rFonts w:ascii="Times New Roman" w:eastAsia="宋体" w:hAnsi="宋体" w:cs="宋体"/>
                <w:kern w:val="0"/>
                <w:sz w:val="24"/>
              </w:rPr>
            </w:pPr>
          </w:p>
        </w:tc>
      </w:tr>
      <w:tr w:rsidR="0099058F" w14:paraId="4B76037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36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6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6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6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6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6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71" w14:textId="77777777" w:rsidR="0099058F" w:rsidRDefault="0099058F">
            <w:pPr>
              <w:widowControl/>
              <w:jc w:val="right"/>
              <w:rPr>
                <w:rFonts w:ascii="Times New Roman" w:eastAsia="宋体" w:hAnsi="宋体" w:cs="宋体"/>
                <w:kern w:val="0"/>
                <w:sz w:val="24"/>
              </w:rPr>
            </w:pPr>
          </w:p>
        </w:tc>
      </w:tr>
      <w:tr w:rsidR="0099058F" w14:paraId="4B76037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37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75"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37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78"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37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7B" w14:textId="77777777" w:rsidR="0099058F" w:rsidRDefault="0099058F">
            <w:pPr>
              <w:widowControl/>
              <w:jc w:val="right"/>
              <w:rPr>
                <w:rFonts w:ascii="Times New Roman" w:eastAsia="宋体" w:hAnsi="宋体" w:cs="宋体"/>
                <w:kern w:val="0"/>
                <w:sz w:val="24"/>
              </w:rPr>
            </w:pPr>
          </w:p>
        </w:tc>
      </w:tr>
      <w:tr w:rsidR="0099058F" w14:paraId="4B76038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37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7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8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8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85" w14:textId="77777777" w:rsidR="0099058F" w:rsidRDefault="0099058F">
            <w:pPr>
              <w:widowControl/>
              <w:jc w:val="right"/>
              <w:rPr>
                <w:rFonts w:ascii="Times New Roman" w:eastAsia="宋体" w:hAnsi="宋体" w:cs="宋体"/>
                <w:kern w:val="0"/>
                <w:sz w:val="24"/>
              </w:rPr>
            </w:pPr>
          </w:p>
        </w:tc>
      </w:tr>
      <w:tr w:rsidR="0099058F" w14:paraId="4B76039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38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8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38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8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38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3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38F" w14:textId="77777777" w:rsidR="0099058F" w:rsidRDefault="0099058F">
            <w:pPr>
              <w:widowControl/>
              <w:jc w:val="left"/>
              <w:rPr>
                <w:rFonts w:ascii="Times New Roman" w:eastAsia="宋体" w:hAnsi="宋体" w:cs="宋体"/>
                <w:kern w:val="0"/>
                <w:sz w:val="24"/>
              </w:rPr>
            </w:pPr>
          </w:p>
        </w:tc>
      </w:tr>
      <w:tr w:rsidR="0099058F" w14:paraId="4B7603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39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9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9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9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39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3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399" w14:textId="77777777" w:rsidR="0099058F" w:rsidRDefault="0099058F">
            <w:pPr>
              <w:widowControl/>
              <w:jc w:val="left"/>
              <w:rPr>
                <w:rFonts w:ascii="Times New Roman" w:eastAsia="宋体" w:hAnsi="宋体" w:cs="宋体"/>
                <w:kern w:val="0"/>
                <w:sz w:val="24"/>
              </w:rPr>
            </w:pPr>
          </w:p>
        </w:tc>
      </w:tr>
      <w:tr w:rsidR="0099058F" w14:paraId="4B7603A4"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039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3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39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39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3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3A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3A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3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3A3" w14:textId="77777777" w:rsidR="0099058F" w:rsidRDefault="0099058F">
            <w:pPr>
              <w:widowControl/>
              <w:jc w:val="left"/>
              <w:rPr>
                <w:rFonts w:ascii="Times New Roman" w:eastAsia="宋体" w:hAnsi="宋体" w:cs="宋体"/>
                <w:kern w:val="0"/>
                <w:sz w:val="24"/>
              </w:rPr>
            </w:pPr>
          </w:p>
        </w:tc>
      </w:tr>
    </w:tbl>
    <w:p w14:paraId="4B7603A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Non-operating pension income included in Other income, net was $881 </w:t>
      </w:r>
      <w:r>
        <w:rPr>
          <w:rFonts w:ascii="Arial" w:eastAsia="宋体" w:hAnsi="Arial" w:cs="Arial"/>
          <w:color w:val="000000"/>
          <w:kern w:val="0"/>
          <w:sz w:val="20"/>
          <w:szCs w:val="20"/>
          <w:lang w:bidi="ar"/>
        </w:rPr>
        <w:t>million in 2022, $528 million in 2021, and $340 million in 2020. The increased income in 2022 compared to 2021 was primarily due to lower amortization of net actuarial losses in 2022 and a settlement loss recorded in 2021. The increased income in 2021 comp</w:t>
      </w:r>
      <w:r>
        <w:rPr>
          <w:rFonts w:ascii="Arial" w:eastAsia="宋体" w:hAnsi="Arial" w:cs="Arial"/>
          <w:color w:val="000000"/>
          <w:kern w:val="0"/>
          <w:sz w:val="20"/>
          <w:szCs w:val="20"/>
          <w:lang w:bidi="ar"/>
        </w:rPr>
        <w:t>ared to 2020 was primarily due to lower interest cost and higher expected return on plan assets, partially offset by higher amortization of net actuarial losses and higher settlement charges.</w:t>
      </w:r>
    </w:p>
    <w:p w14:paraId="4B7603A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Non-operating postretirement income included in Other income, ne</w:t>
      </w:r>
      <w:r>
        <w:rPr>
          <w:rFonts w:ascii="Arial" w:eastAsia="宋体" w:hAnsi="Arial" w:cs="Arial"/>
          <w:color w:val="000000"/>
          <w:kern w:val="0"/>
          <w:sz w:val="20"/>
          <w:szCs w:val="20"/>
          <w:lang w:bidi="ar"/>
        </w:rPr>
        <w:t xml:space="preserve">t was $58 million in 2022, compared with income of $1 million in 2021 and expense of $16 million in 2020. The increased income in 2022 and 2021 was due to lower amortization of net actuarial losses. </w:t>
      </w:r>
    </w:p>
    <w:p w14:paraId="4B7603A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Interest and debt expense decreased by $149 </w:t>
      </w:r>
      <w:r>
        <w:rPr>
          <w:rFonts w:ascii="Arial" w:eastAsia="宋体" w:hAnsi="Arial" w:cs="Arial"/>
          <w:color w:val="000000"/>
          <w:kern w:val="0"/>
          <w:sz w:val="20"/>
          <w:szCs w:val="20"/>
          <w:lang w:bidi="ar"/>
        </w:rPr>
        <w:t>million in 2022 primarily due to lower average debt balances and increased by $526 million in 2021 as a result of higher average debt balances.</w:t>
      </w:r>
    </w:p>
    <w:p w14:paraId="4B7603A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August 2022, the President signed into law the Inflation Reduction Act of 2022, which contained provisions ef</w:t>
      </w:r>
      <w:r>
        <w:rPr>
          <w:rFonts w:ascii="Arial" w:eastAsia="宋体" w:hAnsi="Arial" w:cs="Arial"/>
          <w:color w:val="000000"/>
          <w:kern w:val="0"/>
          <w:sz w:val="20"/>
          <w:szCs w:val="20"/>
          <w:lang w:bidi="ar"/>
        </w:rPr>
        <w:t>fective January 1, 2023, including a 15% corporate minimum tax and a 1% excise tax on stock buybacks, both of which we do not expect to have a material impact on our results of operations, financial condition or cash flows. For additional discussion relate</w:t>
      </w:r>
      <w:r>
        <w:rPr>
          <w:rFonts w:ascii="Arial" w:eastAsia="宋体" w:hAnsi="Arial" w:cs="Arial"/>
          <w:color w:val="000000"/>
          <w:kern w:val="0"/>
          <w:sz w:val="20"/>
          <w:szCs w:val="20"/>
          <w:lang w:bidi="ar"/>
        </w:rPr>
        <w:t>d to Income Taxes, see Note 4 to our Consolidated Financial Statements.</w:t>
      </w:r>
    </w:p>
    <w:p w14:paraId="4B7603A9"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4B7603A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both products and services, consists primarily of raw materials, parts, sub-assemblies, labor, overhead and subcontracting</w:t>
      </w:r>
      <w:r>
        <w:rPr>
          <w:rFonts w:ascii="Arial" w:eastAsia="宋体" w:hAnsi="Arial" w:cs="Arial"/>
          <w:color w:val="000000"/>
          <w:kern w:val="0"/>
          <w:sz w:val="20"/>
          <w:szCs w:val="20"/>
          <w:lang w:bidi="ar"/>
        </w:rPr>
        <w:t xml:space="preserve"> costs. Our BCA segment predominantly uses program accounting to account for cost of sales. Under program accounting, cost of sales for each commercial aircraft program equals the product of (i) revenue recognized in connection with customer deliveries and</w:t>
      </w:r>
      <w:r>
        <w:rPr>
          <w:rFonts w:ascii="Arial" w:eastAsia="宋体" w:hAnsi="Arial" w:cs="Arial"/>
          <w:color w:val="000000"/>
          <w:kern w:val="0"/>
          <w:sz w:val="20"/>
          <w:szCs w:val="20"/>
          <w:lang w:bidi="ar"/>
        </w:rPr>
        <w:t xml:space="preserve"> (ii) the estimated cost of sales percentage applicable to the total remaining program. For long-term contracts, the amount reported as cost of sales is recognized as incurred. Substantially all contracts at our BDS segment and certain contracts at our BGS</w:t>
      </w:r>
      <w:r>
        <w:rPr>
          <w:rFonts w:ascii="Arial" w:eastAsia="宋体" w:hAnsi="Arial" w:cs="Arial"/>
          <w:color w:val="000000"/>
          <w:kern w:val="0"/>
          <w:sz w:val="20"/>
          <w:szCs w:val="20"/>
          <w:lang w:bidi="ar"/>
        </w:rPr>
        <w:t xml:space="preserve"> segment are long-term contracts with the U.S. government and other customers that generally extend over several years. Cost of sales for commercial spare parts is recorded at average cost.</w:t>
      </w:r>
    </w:p>
    <w:p w14:paraId="4B7603A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25</w:t>
      </w:r>
    </w:p>
    <w:p w14:paraId="4B7603AC" w14:textId="77777777" w:rsidR="0099058F" w:rsidRDefault="00EB2559">
      <w:pPr>
        <w:widowControl/>
        <w:jc w:val="center"/>
      </w:pPr>
      <w:r>
        <w:rPr>
          <w:rFonts w:ascii="宋体" w:eastAsia="宋体" w:hAnsi="宋体" w:cs="宋体"/>
          <w:kern w:val="0"/>
          <w:sz w:val="24"/>
        </w:rPr>
        <w:pict w14:anchorId="4B763C10">
          <v:rect id="_x0000_i1051" style="width:6in;height:1.5pt" o:hralign="center" o:hrstd="t" o:hr="t" fillcolor="#a0a0a0" stroked="f"/>
        </w:pict>
      </w:r>
    </w:p>
    <w:p w14:paraId="4B7603A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w:t>
        </w:r>
        <w:r>
          <w:rPr>
            <w:rStyle w:val="a4"/>
            <w:rFonts w:ascii="Arial" w:eastAsia="宋体" w:hAnsi="Arial" w:cs="Arial"/>
            <w:sz w:val="20"/>
            <w:szCs w:val="20"/>
          </w:rPr>
          <w:t xml:space="preserve"> of Contents</w:t>
        </w:r>
      </w:hyperlink>
    </w:p>
    <w:p w14:paraId="4B7603A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053"/>
        <w:gridCol w:w="37"/>
        <w:gridCol w:w="70"/>
        <w:gridCol w:w="729"/>
        <w:gridCol w:w="198"/>
        <w:gridCol w:w="36"/>
        <w:gridCol w:w="36"/>
        <w:gridCol w:w="36"/>
        <w:gridCol w:w="70"/>
        <w:gridCol w:w="729"/>
        <w:gridCol w:w="198"/>
        <w:gridCol w:w="64"/>
        <w:gridCol w:w="671"/>
        <w:gridCol w:w="198"/>
        <w:gridCol w:w="36"/>
        <w:gridCol w:w="36"/>
        <w:gridCol w:w="36"/>
        <w:gridCol w:w="70"/>
        <w:gridCol w:w="729"/>
        <w:gridCol w:w="198"/>
        <w:gridCol w:w="36"/>
        <w:gridCol w:w="36"/>
        <w:gridCol w:w="36"/>
        <w:gridCol w:w="70"/>
        <w:gridCol w:w="729"/>
        <w:gridCol w:w="198"/>
        <w:gridCol w:w="67"/>
        <w:gridCol w:w="698"/>
        <w:gridCol w:w="198"/>
      </w:tblGrid>
      <w:tr w:rsidR="0099058F" w14:paraId="4B7603CD" w14:textId="77777777">
        <w:tc>
          <w:tcPr>
            <w:tcW w:w="50" w:type="pct"/>
            <w:tcBorders>
              <w:top w:val="nil"/>
              <w:left w:val="nil"/>
              <w:bottom w:val="nil"/>
              <w:right w:val="nil"/>
            </w:tcBorders>
            <w:shd w:val="clear" w:color="auto" w:fill="auto"/>
            <w:vAlign w:val="bottom"/>
          </w:tcPr>
          <w:p w14:paraId="4B7603AF" w14:textId="77777777" w:rsidR="0099058F" w:rsidRDefault="0099058F">
            <w:pPr>
              <w:widowControl/>
              <w:jc w:val="left"/>
              <w:rPr>
                <w:rFonts w:ascii="Times New Roman" w:eastAsia="宋体" w:hAnsi="宋体" w:cs="宋体"/>
                <w:kern w:val="0"/>
                <w:sz w:val="24"/>
              </w:rPr>
            </w:pPr>
          </w:p>
        </w:tc>
        <w:tc>
          <w:tcPr>
            <w:tcW w:w="1339" w:type="pct"/>
            <w:tcBorders>
              <w:top w:val="nil"/>
              <w:left w:val="nil"/>
              <w:bottom w:val="nil"/>
              <w:right w:val="nil"/>
            </w:tcBorders>
            <w:shd w:val="clear" w:color="auto" w:fill="auto"/>
            <w:vAlign w:val="bottom"/>
          </w:tcPr>
          <w:p w14:paraId="4B7603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B2" w14:textId="77777777" w:rsidR="0099058F" w:rsidRDefault="0099058F">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B7603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B8" w14:textId="77777777" w:rsidR="0099058F" w:rsidRDefault="0099058F">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B7603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BB" w14:textId="77777777" w:rsidR="0099058F" w:rsidRDefault="0099058F">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B7603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B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C1" w14:textId="77777777" w:rsidR="0099058F" w:rsidRDefault="0099058F">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B7603C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3C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C7" w14:textId="77777777" w:rsidR="0099058F" w:rsidRDefault="0099058F">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B7603C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3CA" w14:textId="77777777" w:rsidR="0099058F" w:rsidRDefault="0099058F">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B7603C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3CC" w14:textId="77777777" w:rsidR="0099058F" w:rsidRDefault="0099058F">
            <w:pPr>
              <w:widowControl/>
              <w:jc w:val="left"/>
              <w:rPr>
                <w:rFonts w:ascii="Times New Roman" w:eastAsia="宋体" w:hAnsi="宋体" w:cs="宋体"/>
                <w:kern w:val="0"/>
                <w:sz w:val="24"/>
              </w:rPr>
            </w:pPr>
          </w:p>
        </w:tc>
      </w:tr>
      <w:tr w:rsidR="0099058F" w14:paraId="4B7603D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CE"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B7603C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1"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B7603D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3" w14:textId="77777777" w:rsidR="0099058F" w:rsidRDefault="0099058F">
            <w:pPr>
              <w:widowControl/>
              <w:jc w:val="left"/>
              <w:rPr>
                <w:rFonts w:ascii="Times New Roman" w:eastAsia="宋体" w:hAnsi="宋体" w:cs="宋体"/>
                <w:kern w:val="0"/>
                <w:sz w:val="24"/>
              </w:rPr>
            </w:pPr>
          </w:p>
        </w:tc>
      </w:tr>
      <w:tr w:rsidR="0099058F" w14:paraId="4B7603D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3D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3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99058F" w14:paraId="4B7603F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3E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$63,106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E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E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3E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$63,843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3E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3EF" w14:textId="77777777" w:rsidR="0099058F" w:rsidRDefault="0099058F">
            <w:pPr>
              <w:widowControl/>
              <w:jc w:val="left"/>
              <w:rPr>
                <w:rFonts w:ascii="Times New Roman" w:eastAsia="宋体" w:hAnsi="宋体" w:cs="宋体"/>
                <w:kern w:val="0"/>
                <w:sz w:val="24"/>
              </w:rPr>
            </w:pPr>
          </w:p>
        </w:tc>
      </w:tr>
      <w:tr w:rsidR="0099058F" w14:paraId="4B760401"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B7603F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94.7</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3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3F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3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3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3F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3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3F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3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3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4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040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increased by $3,837 million in 2022 compared with 2021, primarily due to charges recorded at BDS and higher revenues a</w:t>
      </w:r>
      <w:r>
        <w:rPr>
          <w:rFonts w:ascii="Arial" w:eastAsia="宋体" w:hAnsi="Arial" w:cs="Arial"/>
          <w:color w:val="000000"/>
          <w:kern w:val="0"/>
          <w:sz w:val="20"/>
          <w:szCs w:val="20"/>
          <w:lang w:bidi="ar"/>
        </w:rPr>
        <w:t>t BCA. Cost of sales as a percentage of Revenues remained largely consistent in 2022 compared to 2021.</w:t>
      </w:r>
    </w:p>
    <w:p w14:paraId="4B76040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decreased by $4,574 million in 2021 compared with 2020, primarily due to higher earnings charges at BCA, BDS and BGS in 2020, partially off</w:t>
      </w:r>
      <w:r>
        <w:rPr>
          <w:rFonts w:ascii="Arial" w:eastAsia="宋体" w:hAnsi="Arial" w:cs="Arial"/>
          <w:color w:val="000000"/>
          <w:kern w:val="0"/>
          <w:sz w:val="20"/>
          <w:szCs w:val="20"/>
          <w:lang w:bidi="ar"/>
        </w:rPr>
        <w:t>set by higher costs as a result of higher revenues in 2021 and the reach-forward loss on the 787 program. Cost of sales as a percentage of Revenues decreased in 2021 compared to 2020 primarily due to higher earnings charges at BCA and BGS in 2020 and highe</w:t>
      </w:r>
      <w:r>
        <w:rPr>
          <w:rFonts w:ascii="Arial" w:eastAsia="宋体" w:hAnsi="Arial" w:cs="Arial"/>
          <w:color w:val="000000"/>
          <w:kern w:val="0"/>
          <w:sz w:val="20"/>
          <w:szCs w:val="20"/>
          <w:lang w:bidi="ar"/>
        </w:rPr>
        <w:t>r revenues in 2021.</w:t>
      </w:r>
    </w:p>
    <w:p w14:paraId="4B760404"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r>
        <w:rPr>
          <w:rFonts w:ascii="Arial" w:eastAsia="宋体" w:hAnsi="Arial" w:cs="Arial"/>
          <w:color w:val="000000"/>
          <w:kern w:val="0"/>
          <w:sz w:val="20"/>
          <w:szCs w:val="20"/>
          <w:lang w:bidi="ar"/>
        </w:rPr>
        <w:t>The following table summarizes our Research and development expense: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7"/>
        <w:gridCol w:w="72"/>
        <w:gridCol w:w="690"/>
        <w:gridCol w:w="36"/>
        <w:gridCol w:w="36"/>
        <w:gridCol w:w="36"/>
        <w:gridCol w:w="36"/>
        <w:gridCol w:w="72"/>
        <w:gridCol w:w="683"/>
        <w:gridCol w:w="36"/>
        <w:gridCol w:w="36"/>
        <w:gridCol w:w="36"/>
        <w:gridCol w:w="36"/>
        <w:gridCol w:w="71"/>
        <w:gridCol w:w="687"/>
        <w:gridCol w:w="36"/>
      </w:tblGrid>
      <w:tr w:rsidR="0099058F" w14:paraId="4B760417" w14:textId="77777777">
        <w:tc>
          <w:tcPr>
            <w:tcW w:w="50" w:type="pct"/>
            <w:tcBorders>
              <w:top w:val="nil"/>
              <w:left w:val="nil"/>
              <w:bottom w:val="nil"/>
              <w:right w:val="nil"/>
            </w:tcBorders>
            <w:shd w:val="clear" w:color="auto" w:fill="auto"/>
            <w:vAlign w:val="bottom"/>
          </w:tcPr>
          <w:p w14:paraId="4B760405"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040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0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08"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040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0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0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40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0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0E"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040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1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1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41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1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14"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041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16" w14:textId="77777777" w:rsidR="0099058F" w:rsidRDefault="0099058F">
            <w:pPr>
              <w:widowControl/>
              <w:jc w:val="left"/>
              <w:rPr>
                <w:rFonts w:ascii="Times New Roman" w:eastAsia="宋体" w:hAnsi="宋体" w:cs="宋体"/>
                <w:kern w:val="0"/>
                <w:sz w:val="24"/>
              </w:rPr>
            </w:pPr>
          </w:p>
        </w:tc>
      </w:tr>
      <w:tr w:rsidR="0099058F" w14:paraId="4B7604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18" w14:textId="77777777" w:rsidR="0099058F" w:rsidRDefault="00EB2559">
            <w:pPr>
              <w:widowControl/>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1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1D" w14:textId="77777777" w:rsidR="0099058F" w:rsidRDefault="0099058F">
            <w:pPr>
              <w:widowControl/>
              <w:jc w:val="left"/>
              <w:rPr>
                <w:rFonts w:ascii="Times New Roman" w:eastAsia="宋体" w:hAnsi="宋体" w:cs="宋体"/>
                <w:kern w:val="0"/>
                <w:sz w:val="24"/>
              </w:rPr>
            </w:pPr>
          </w:p>
        </w:tc>
      </w:tr>
      <w:tr w:rsidR="0099058F" w14:paraId="4B7604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1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2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2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42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42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2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2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2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2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2E" w14:textId="77777777" w:rsidR="0099058F" w:rsidRDefault="0099058F">
            <w:pPr>
              <w:widowControl/>
              <w:jc w:val="left"/>
              <w:rPr>
                <w:rFonts w:ascii="Times New Roman" w:eastAsia="宋体" w:hAnsi="宋体" w:cs="宋体"/>
                <w:kern w:val="0"/>
                <w:sz w:val="24"/>
              </w:rPr>
            </w:pPr>
          </w:p>
        </w:tc>
      </w:tr>
      <w:tr w:rsidR="0099058F" w14:paraId="4B7604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43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3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3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3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38" w14:textId="77777777" w:rsidR="0099058F" w:rsidRDefault="0099058F">
            <w:pPr>
              <w:widowControl/>
              <w:jc w:val="right"/>
              <w:rPr>
                <w:rFonts w:ascii="Times New Roman" w:eastAsia="宋体" w:hAnsi="宋体" w:cs="宋体"/>
                <w:kern w:val="0"/>
                <w:sz w:val="24"/>
              </w:rPr>
            </w:pPr>
          </w:p>
        </w:tc>
      </w:tr>
      <w:tr w:rsidR="0099058F" w14:paraId="4B7604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43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3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43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3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44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42" w14:textId="77777777" w:rsidR="0099058F" w:rsidRDefault="0099058F">
            <w:pPr>
              <w:widowControl/>
              <w:jc w:val="right"/>
              <w:rPr>
                <w:rFonts w:ascii="Times New Roman" w:eastAsia="宋体" w:hAnsi="宋体" w:cs="宋体"/>
                <w:kern w:val="0"/>
                <w:sz w:val="24"/>
              </w:rPr>
            </w:pPr>
          </w:p>
        </w:tc>
      </w:tr>
      <w:tr w:rsidR="0099058F" w14:paraId="4B7604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44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4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4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4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4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4C" w14:textId="77777777" w:rsidR="0099058F" w:rsidRDefault="0099058F">
            <w:pPr>
              <w:widowControl/>
              <w:jc w:val="right"/>
              <w:rPr>
                <w:rFonts w:ascii="Times New Roman" w:eastAsia="宋体" w:hAnsi="宋体" w:cs="宋体"/>
                <w:kern w:val="0"/>
                <w:sz w:val="24"/>
              </w:rPr>
            </w:pPr>
          </w:p>
        </w:tc>
      </w:tr>
      <w:tr w:rsidR="0099058F" w14:paraId="4B76045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044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4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$2,852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5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45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4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5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45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4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56" w14:textId="77777777" w:rsidR="0099058F" w:rsidRDefault="0099058F">
            <w:pPr>
              <w:widowControl/>
              <w:jc w:val="left"/>
              <w:rPr>
                <w:rFonts w:ascii="Times New Roman" w:eastAsia="宋体" w:hAnsi="宋体" w:cs="宋体"/>
                <w:kern w:val="0"/>
                <w:sz w:val="24"/>
              </w:rPr>
            </w:pPr>
          </w:p>
        </w:tc>
      </w:tr>
    </w:tbl>
    <w:p w14:paraId="4B76045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increased by $603 million in 2022 compared with 2021 </w:t>
      </w:r>
      <w:r>
        <w:rPr>
          <w:rFonts w:ascii="Arial" w:eastAsia="宋体" w:hAnsi="Arial" w:cs="Arial"/>
          <w:color w:val="000000"/>
          <w:kern w:val="0"/>
          <w:sz w:val="20"/>
          <w:szCs w:val="20"/>
          <w:lang w:bidi="ar"/>
        </w:rPr>
        <w:t>primarily due to higher research and development expenditures on 777X, 737 MAX, as well as BCA and enterprise investments in product development.</w:t>
      </w:r>
    </w:p>
    <w:p w14:paraId="4B76045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decreased by $227 million in 2021 compared with 2020 primarily due to lower B</w:t>
      </w:r>
      <w:r>
        <w:rPr>
          <w:rFonts w:ascii="Arial" w:eastAsia="宋体" w:hAnsi="Arial" w:cs="Arial"/>
          <w:color w:val="000000"/>
          <w:kern w:val="0"/>
          <w:sz w:val="20"/>
          <w:szCs w:val="20"/>
          <w:lang w:bidi="ar"/>
        </w:rPr>
        <w:t>CA and enterprise investments in product development and lower spending on the 777X program.</w:t>
      </w:r>
    </w:p>
    <w:p w14:paraId="4B76045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26</w:t>
      </w:r>
    </w:p>
    <w:p w14:paraId="4B76045B" w14:textId="77777777" w:rsidR="0099058F" w:rsidRDefault="00EB2559">
      <w:pPr>
        <w:widowControl/>
        <w:jc w:val="center"/>
      </w:pPr>
      <w:r>
        <w:rPr>
          <w:rFonts w:ascii="宋体" w:eastAsia="宋体" w:hAnsi="宋体" w:cs="宋体"/>
          <w:kern w:val="0"/>
          <w:sz w:val="24"/>
        </w:rPr>
        <w:pict w14:anchorId="4B763C11">
          <v:rect id="_x0000_i1052" style="width:6in;height:1.5pt" o:hralign="center" o:hrstd="t" o:hr="t" fillcolor="#a0a0a0" stroked="f"/>
        </w:pict>
      </w:r>
    </w:p>
    <w:p w14:paraId="4B76045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45D"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B76045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Our backlog at December 31 was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7"/>
        <w:gridCol w:w="77"/>
        <w:gridCol w:w="868"/>
        <w:gridCol w:w="36"/>
        <w:gridCol w:w="36"/>
        <w:gridCol w:w="36"/>
        <w:gridCol w:w="36"/>
        <w:gridCol w:w="77"/>
        <w:gridCol w:w="865"/>
        <w:gridCol w:w="36"/>
      </w:tblGrid>
      <w:tr w:rsidR="0099058F" w14:paraId="4B76046B" w14:textId="77777777">
        <w:tc>
          <w:tcPr>
            <w:tcW w:w="50" w:type="pct"/>
            <w:tcBorders>
              <w:top w:val="nil"/>
              <w:left w:val="nil"/>
              <w:bottom w:val="nil"/>
              <w:right w:val="nil"/>
            </w:tcBorders>
            <w:shd w:val="clear" w:color="auto" w:fill="auto"/>
            <w:vAlign w:val="bottom"/>
          </w:tcPr>
          <w:p w14:paraId="4B76045F"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046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6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62"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46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6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6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46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6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68"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46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6A" w14:textId="77777777" w:rsidR="0099058F" w:rsidRDefault="0099058F">
            <w:pPr>
              <w:widowControl/>
              <w:jc w:val="left"/>
              <w:rPr>
                <w:rFonts w:ascii="Times New Roman" w:eastAsia="宋体" w:hAnsi="宋体" w:cs="宋体"/>
                <w:kern w:val="0"/>
                <w:sz w:val="24"/>
              </w:rPr>
            </w:pPr>
          </w:p>
        </w:tc>
      </w:tr>
      <w:tr w:rsidR="0099058F" w14:paraId="4B76047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6C"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6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6F" w14:textId="77777777" w:rsidR="0099058F" w:rsidRDefault="0099058F">
            <w:pPr>
              <w:widowControl/>
              <w:jc w:val="left"/>
              <w:rPr>
                <w:rFonts w:ascii="Times New Roman" w:eastAsia="宋体" w:hAnsi="宋体" w:cs="宋体"/>
                <w:kern w:val="0"/>
                <w:sz w:val="24"/>
              </w:rPr>
            </w:pPr>
          </w:p>
        </w:tc>
      </w:tr>
      <w:tr w:rsidR="0099058F" w14:paraId="4B76047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47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4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47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4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047C" w14:textId="77777777">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tcPr>
          <w:p w14:paraId="4B76047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$329,824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7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7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$296,882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7B" w14:textId="77777777" w:rsidR="0099058F" w:rsidRDefault="0099058F">
            <w:pPr>
              <w:widowControl/>
              <w:jc w:val="left"/>
              <w:rPr>
                <w:rFonts w:ascii="Times New Roman" w:eastAsia="宋体" w:hAnsi="宋体" w:cs="宋体"/>
                <w:kern w:val="0"/>
                <w:sz w:val="24"/>
              </w:rPr>
            </w:pPr>
          </w:p>
        </w:tc>
      </w:tr>
      <w:tr w:rsidR="0099058F" w14:paraId="4B76048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047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54,373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7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8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82" w14:textId="77777777" w:rsidR="0099058F" w:rsidRDefault="0099058F">
            <w:pPr>
              <w:widowControl/>
              <w:jc w:val="right"/>
              <w:rPr>
                <w:rFonts w:ascii="Times New Roman" w:eastAsia="宋体" w:hAnsi="宋体" w:cs="宋体"/>
                <w:kern w:val="0"/>
                <w:sz w:val="24"/>
              </w:rPr>
            </w:pPr>
          </w:p>
        </w:tc>
      </w:tr>
      <w:tr w:rsidR="0099058F" w14:paraId="4B76048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048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8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48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89" w14:textId="77777777" w:rsidR="0099058F" w:rsidRDefault="0099058F">
            <w:pPr>
              <w:widowControl/>
              <w:jc w:val="right"/>
              <w:rPr>
                <w:rFonts w:ascii="Times New Roman" w:eastAsia="宋体" w:hAnsi="宋体" w:cs="宋体"/>
                <w:kern w:val="0"/>
                <w:sz w:val="24"/>
              </w:rPr>
            </w:pPr>
          </w:p>
        </w:tc>
      </w:tr>
      <w:tr w:rsidR="0099058F" w14:paraId="4B76049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4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8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8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90" w14:textId="77777777" w:rsidR="0099058F" w:rsidRDefault="0099058F">
            <w:pPr>
              <w:widowControl/>
              <w:jc w:val="right"/>
              <w:rPr>
                <w:rFonts w:ascii="Times New Roman" w:eastAsia="宋体" w:hAnsi="宋体" w:cs="宋体"/>
                <w:kern w:val="0"/>
                <w:sz w:val="24"/>
              </w:rPr>
            </w:pPr>
          </w:p>
        </w:tc>
      </w:tr>
      <w:tr w:rsidR="0099058F" w14:paraId="4B76049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49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$404,381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9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9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97" w14:textId="77777777" w:rsidR="0099058F" w:rsidRDefault="0099058F">
            <w:pPr>
              <w:widowControl/>
              <w:jc w:val="left"/>
              <w:rPr>
                <w:rFonts w:ascii="Times New Roman" w:eastAsia="宋体" w:hAnsi="宋体" w:cs="宋体"/>
                <w:kern w:val="0"/>
                <w:sz w:val="24"/>
              </w:rPr>
            </w:pPr>
          </w:p>
        </w:tc>
      </w:tr>
      <w:tr w:rsidR="0099058F" w14:paraId="4B76049D"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49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49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49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49C" w14:textId="77777777" w:rsidR="0099058F" w:rsidRDefault="0099058F">
            <w:pPr>
              <w:widowControl/>
              <w:jc w:val="left"/>
              <w:rPr>
                <w:rFonts w:ascii="Times New Roman" w:eastAsia="宋体" w:hAnsi="宋体" w:cs="宋体"/>
                <w:kern w:val="0"/>
                <w:sz w:val="24"/>
              </w:rPr>
            </w:pPr>
          </w:p>
        </w:tc>
      </w:tr>
      <w:tr w:rsidR="0099058F" w14:paraId="4B7604A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49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$381,977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A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4A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4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4A3" w14:textId="77777777" w:rsidR="0099058F" w:rsidRDefault="0099058F">
            <w:pPr>
              <w:widowControl/>
              <w:jc w:val="left"/>
              <w:rPr>
                <w:rFonts w:ascii="Times New Roman" w:eastAsia="宋体" w:hAnsi="宋体" w:cs="宋体"/>
                <w:kern w:val="0"/>
                <w:sz w:val="24"/>
              </w:rPr>
            </w:pPr>
          </w:p>
        </w:tc>
      </w:tr>
      <w:tr w:rsidR="0099058F" w14:paraId="4B7604A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04A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A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A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AA" w14:textId="77777777" w:rsidR="0099058F" w:rsidRDefault="0099058F">
            <w:pPr>
              <w:widowControl/>
              <w:jc w:val="right"/>
              <w:rPr>
                <w:rFonts w:ascii="Times New Roman" w:eastAsia="宋体" w:hAnsi="宋体" w:cs="宋体"/>
                <w:kern w:val="0"/>
                <w:sz w:val="24"/>
              </w:rPr>
            </w:pPr>
          </w:p>
        </w:tc>
      </w:tr>
      <w:tr w:rsidR="0099058F" w14:paraId="4B7604B2" w14:textId="77777777">
        <w:tc>
          <w:tcPr>
            <w:tcW w:w="0" w:type="auto"/>
            <w:gridSpan w:val="3"/>
            <w:tcBorders>
              <w:top w:val="single" w:sz="8" w:space="0" w:color="000000"/>
              <w:left w:val="nil"/>
              <w:bottom w:val="double" w:sz="2" w:space="0" w:color="000000"/>
              <w:right w:val="nil"/>
            </w:tcBorders>
            <w:shd w:val="clear" w:color="auto" w:fill="CCEEFF"/>
            <w:tcMar>
              <w:top w:w="40" w:type="dxa"/>
              <w:left w:w="245" w:type="dxa"/>
              <w:bottom w:w="40" w:type="dxa"/>
              <w:right w:w="20" w:type="dxa"/>
            </w:tcMar>
          </w:tcPr>
          <w:p w14:paraId="4B7604A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4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$404,381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A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4A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4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4B1" w14:textId="77777777" w:rsidR="0099058F" w:rsidRDefault="0099058F">
            <w:pPr>
              <w:widowControl/>
              <w:jc w:val="left"/>
              <w:rPr>
                <w:rFonts w:ascii="Times New Roman" w:eastAsia="宋体" w:hAnsi="宋体" w:cs="宋体"/>
                <w:kern w:val="0"/>
                <w:sz w:val="24"/>
              </w:rPr>
            </w:pPr>
          </w:p>
        </w:tc>
      </w:tr>
    </w:tbl>
    <w:p w14:paraId="4B7604B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Contractual backlog of unfilled orders excludes purchase options, announced orders for which definitive contracts have not been executed, orders where customers have the unilateral right to terminate, and unobligated U.S. and non-U.S. government contract f</w:t>
      </w:r>
      <w:r>
        <w:rPr>
          <w:rFonts w:ascii="Arial" w:eastAsia="宋体" w:hAnsi="Arial" w:cs="Arial"/>
          <w:color w:val="000000"/>
          <w:kern w:val="0"/>
          <w:sz w:val="20"/>
          <w:szCs w:val="20"/>
          <w:lang w:bidi="ar"/>
        </w:rPr>
        <w:t xml:space="preserve">unding. The increase in contractual backlog during 2022 was primarily due to an increase in BCA backlog that was partially offset by a decrease in BDS backlog. If we remain unable to deliver 737 MAX aircraft in China for an extended period of time, and/or </w:t>
      </w:r>
      <w:r>
        <w:rPr>
          <w:rFonts w:ascii="Arial" w:eastAsia="宋体" w:hAnsi="Arial" w:cs="Arial"/>
          <w:color w:val="000000"/>
          <w:kern w:val="0"/>
          <w:sz w:val="20"/>
          <w:szCs w:val="20"/>
          <w:lang w:bidi="ar"/>
        </w:rPr>
        <w:t xml:space="preserve">entry into service of the 777X, 737-7 and/or 737-10 is further delayed, we may experience reductions to backlog and/or significant order cancellations. </w:t>
      </w:r>
    </w:p>
    <w:p w14:paraId="4B7604B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includes U.S. and non-U.S. government definitive contracts for which funding has </w:t>
      </w:r>
      <w:r>
        <w:rPr>
          <w:rFonts w:ascii="Arial" w:eastAsia="宋体" w:hAnsi="Arial" w:cs="Arial"/>
          <w:color w:val="000000"/>
          <w:kern w:val="0"/>
          <w:sz w:val="20"/>
          <w:szCs w:val="20"/>
          <w:lang w:bidi="ar"/>
        </w:rPr>
        <w:t>not been authorized. The increase in unobligated backlog in 2022 was primarily due to contract awards, partially offset by reclassifications to contractual backlog related to BDS and BGS contracts.</w:t>
      </w:r>
    </w:p>
    <w:p w14:paraId="4B7604B5"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B7604B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We continually moni</w:t>
      </w:r>
      <w:r>
        <w:rPr>
          <w:rFonts w:ascii="Arial" w:eastAsia="宋体" w:hAnsi="Arial" w:cs="Arial"/>
          <w:color w:val="000000"/>
          <w:kern w:val="0"/>
          <w:sz w:val="20"/>
          <w:szCs w:val="20"/>
          <w:lang w:bidi="ar"/>
        </w:rPr>
        <w:t>tor the global trade environment in response to geopolitical economic developments, as well as changes in tariffs, trade agreements or sanctions that may impact the Company.</w:t>
      </w:r>
    </w:p>
    <w:p w14:paraId="4B7604B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current state of U.S.-China relations remains an ongoing watch item. Since 201</w:t>
      </w:r>
      <w:r>
        <w:rPr>
          <w:rFonts w:ascii="Arial" w:eastAsia="宋体" w:hAnsi="Arial" w:cs="Arial"/>
          <w:color w:val="000000"/>
          <w:kern w:val="0"/>
          <w:sz w:val="20"/>
          <w:szCs w:val="20"/>
          <w:lang w:bidi="ar"/>
        </w:rPr>
        <w:t>8, the U.S. and China have imposed tariffs on each other’s imports. Certain aircraft parts and components that Boeing procures are subject to these tariffs. We are mitigating import costs through Duty Drawback Customs procedures. China is a significant mar</w:t>
      </w:r>
      <w:r>
        <w:rPr>
          <w:rFonts w:ascii="Arial" w:eastAsia="宋体" w:hAnsi="Arial" w:cs="Arial"/>
          <w:color w:val="000000"/>
          <w:kern w:val="0"/>
          <w:sz w:val="20"/>
          <w:szCs w:val="20"/>
          <w:lang w:bidi="ar"/>
        </w:rPr>
        <w:t>ket for commercial aircraft. Boeing has long-standing relationships with our Chinese customers, who represent a key component of our commercial aircraft backlog. Overall, the U.S.-China trade relationship remains stalled as economic and national security c</w:t>
      </w:r>
      <w:r>
        <w:rPr>
          <w:rFonts w:ascii="Arial" w:eastAsia="宋体" w:hAnsi="Arial" w:cs="Arial"/>
          <w:color w:val="000000"/>
          <w:kern w:val="0"/>
          <w:sz w:val="20"/>
          <w:szCs w:val="20"/>
          <w:lang w:bidi="ar"/>
        </w:rPr>
        <w:t>oncerns continue to be a challenge.</w:t>
      </w:r>
    </w:p>
    <w:p w14:paraId="4B7604B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Beginning in June 2018, the U.S. Government imposed tariffs on steel and aluminum imports. In response to these tariffs, several major U.S. trading partners have imposed, or announced their intention to impose, </w:t>
      </w:r>
      <w:r>
        <w:rPr>
          <w:rFonts w:ascii="Arial" w:eastAsia="宋体" w:hAnsi="Arial" w:cs="Arial"/>
          <w:color w:val="000000"/>
          <w:kern w:val="0"/>
          <w:sz w:val="20"/>
          <w:szCs w:val="20"/>
          <w:lang w:bidi="ar"/>
        </w:rPr>
        <w:t>tariffs on U.S. goods. The U.S. has subsequently reached agreements with Mexico, Canada, the United Kingdom, the European Union, and Japan to ease or remove tariffs on steel and/or aluminum. We continue to monitor the potential for any extra costs that may</w:t>
      </w:r>
      <w:r>
        <w:rPr>
          <w:rFonts w:ascii="Arial" w:eastAsia="宋体" w:hAnsi="Arial" w:cs="Arial"/>
          <w:color w:val="000000"/>
          <w:kern w:val="0"/>
          <w:sz w:val="20"/>
          <w:szCs w:val="20"/>
          <w:lang w:bidi="ar"/>
        </w:rPr>
        <w:t xml:space="preserve"> result from the remaining global tariffs.</w:t>
      </w:r>
    </w:p>
    <w:p w14:paraId="4B7604B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complying with all U.S. and other government export control restrictions and sanctions imposed on certain businesses and individuals in Russia. We continue to monitor and evaluate additional sanctions and e</w:t>
      </w:r>
      <w:r>
        <w:rPr>
          <w:rFonts w:ascii="Arial" w:eastAsia="宋体" w:hAnsi="Arial" w:cs="Arial"/>
          <w:color w:val="000000"/>
          <w:kern w:val="0"/>
          <w:sz w:val="20"/>
          <w:szCs w:val="20"/>
          <w:lang w:bidi="ar"/>
        </w:rPr>
        <w:t xml:space="preserve">xport restrictions that may be imposed by the U.S. Government or other governments, </w:t>
      </w:r>
    </w:p>
    <w:p w14:paraId="4B7604B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27</w:t>
      </w:r>
    </w:p>
    <w:p w14:paraId="4B7604BB" w14:textId="77777777" w:rsidR="0099058F" w:rsidRDefault="00EB2559">
      <w:pPr>
        <w:widowControl/>
        <w:jc w:val="center"/>
      </w:pPr>
      <w:r>
        <w:rPr>
          <w:rFonts w:ascii="宋体" w:eastAsia="宋体" w:hAnsi="宋体" w:cs="宋体"/>
          <w:kern w:val="0"/>
          <w:sz w:val="24"/>
        </w:rPr>
        <w:pict w14:anchorId="4B763C12">
          <v:rect id="_x0000_i1053" style="width:6in;height:1.5pt" o:hralign="center" o:hrstd="t" o:hr="t" fillcolor="#a0a0a0" stroked="f"/>
        </w:pict>
      </w:r>
    </w:p>
    <w:p w14:paraId="4B7604B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4B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well as any responses from Russia that could affect our supply chain, business partner</w:t>
      </w:r>
      <w:r>
        <w:rPr>
          <w:rFonts w:ascii="Arial" w:eastAsia="宋体" w:hAnsi="Arial" w:cs="Arial"/>
          <w:color w:val="000000"/>
          <w:kern w:val="0"/>
          <w:sz w:val="20"/>
          <w:szCs w:val="20"/>
          <w:lang w:bidi="ar"/>
        </w:rPr>
        <w:t>s or customers, for any additional impacts to our business.</w:t>
      </w:r>
    </w:p>
    <w:p w14:paraId="4B7604BE"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B7604B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Financial Condition</w:t>
      </w:r>
    </w:p>
    <w:p w14:paraId="4B7604C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4B7604C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B7604C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Airline Industry Environment </w:t>
      </w:r>
      <w:r>
        <w:rPr>
          <w:rFonts w:ascii="Arial" w:eastAsia="宋体" w:hAnsi="Arial" w:cs="Arial"/>
          <w:color w:val="000000"/>
          <w:kern w:val="0"/>
          <w:sz w:val="20"/>
          <w:szCs w:val="20"/>
          <w:lang w:bidi="ar"/>
        </w:rPr>
        <w:t xml:space="preserve">See Overview to Management’s Discussion and </w:t>
      </w:r>
      <w:r>
        <w:rPr>
          <w:rFonts w:ascii="Arial" w:eastAsia="宋体" w:hAnsi="Arial" w:cs="Arial"/>
          <w:color w:val="000000"/>
          <w:kern w:val="0"/>
          <w:sz w:val="20"/>
          <w:szCs w:val="20"/>
          <w:lang w:bidi="ar"/>
        </w:rPr>
        <w:t>Analysis of Financial Condition and Results of Operations for a discussion of the airline industry environment.</w:t>
      </w:r>
    </w:p>
    <w:p w14:paraId="4B7604C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Industry Competitiveness</w:t>
      </w:r>
      <w:r>
        <w:rPr>
          <w:rFonts w:ascii="Arial" w:eastAsia="宋体" w:hAnsi="Arial" w:cs="Arial"/>
          <w:color w:val="000000"/>
          <w:kern w:val="0"/>
          <w:sz w:val="20"/>
          <w:szCs w:val="20"/>
          <w:lang w:bidi="ar"/>
        </w:rPr>
        <w:t xml:space="preserve"> The industry continues to recover from the lingering effects of the COVID-19 pandemic. The commercial aircraft market a</w:t>
      </w:r>
      <w:r>
        <w:rPr>
          <w:rFonts w:ascii="Arial" w:eastAsia="宋体" w:hAnsi="Arial" w:cs="Arial"/>
          <w:color w:val="000000"/>
          <w:kern w:val="0"/>
          <w:sz w:val="20"/>
          <w:szCs w:val="20"/>
          <w:lang w:bidi="ar"/>
        </w:rPr>
        <w:t>nd the airline industry both remain extremely competitive. While the impacts and responses have varied globally, the reduction of demand and disruption in production has adversely impacted most manufacturers in the commercial aircraft industry.</w:t>
      </w:r>
    </w:p>
    <w:p w14:paraId="4B7604C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Continued a</w:t>
      </w:r>
      <w:r>
        <w:rPr>
          <w:rFonts w:ascii="Arial" w:eastAsia="宋体" w:hAnsi="Arial" w:cs="Arial"/>
          <w:color w:val="000000"/>
          <w:kern w:val="0"/>
          <w:sz w:val="20"/>
          <w:szCs w:val="20"/>
          <w:lang w:bidi="ar"/>
        </w:rPr>
        <w:t>ccess to global markets remains vital to our ability to fully realize our sales potential and long-term investment returns. Approximately 70% of Commercial Airplanes’ total backlog, in dollar terms, is with non-U.S. airlines. We face aggressive internation</w:t>
      </w:r>
      <w:r>
        <w:rPr>
          <w:rFonts w:ascii="Arial" w:eastAsia="宋体" w:hAnsi="Arial" w:cs="Arial"/>
          <w:color w:val="000000"/>
          <w:kern w:val="0"/>
          <w:sz w:val="20"/>
          <w:szCs w:val="20"/>
          <w:lang w:bidi="ar"/>
        </w:rPr>
        <w:t>al competitors who are intent on increasing their market share. They offer competitive products and have access to most of the same customers and suppliers. The grounding of the 737 MAX in 2019 and the associated suspension of 737 MAX deliveries in multipl</w:t>
      </w:r>
      <w:r>
        <w:rPr>
          <w:rFonts w:ascii="Arial" w:eastAsia="宋体" w:hAnsi="Arial" w:cs="Arial"/>
          <w:color w:val="000000"/>
          <w:kern w:val="0"/>
          <w:sz w:val="20"/>
          <w:szCs w:val="20"/>
          <w:lang w:bidi="ar"/>
        </w:rPr>
        <w:t>e jurisdictions significantly reduced our market share with respect to deliveries of single aisle aircraft and may provide competitors with an opportunity to obtain more orders and increase market share. With government support, Airbus has historically inv</w:t>
      </w:r>
      <w:r>
        <w:rPr>
          <w:rFonts w:ascii="Arial" w:eastAsia="宋体" w:hAnsi="Arial" w:cs="Arial"/>
          <w:color w:val="000000"/>
          <w:kern w:val="0"/>
          <w:sz w:val="20"/>
          <w:szCs w:val="20"/>
          <w:lang w:bidi="ar"/>
        </w:rPr>
        <w:t xml:space="preserve">ested heavily to create a family of products to compete with ours. After the acquisition of a majority share of Bombardier’s C Series (now A220) in 2018, Airbus continues to expand in the 100-150 seat transcontinental market. Other competitors are also in </w:t>
      </w:r>
      <w:r>
        <w:rPr>
          <w:rFonts w:ascii="Arial" w:eastAsia="宋体" w:hAnsi="Arial" w:cs="Arial"/>
          <w:color w:val="000000"/>
          <w:kern w:val="0"/>
          <w:sz w:val="20"/>
          <w:szCs w:val="20"/>
          <w:lang w:bidi="ar"/>
        </w:rPr>
        <w:t>different phases of developing commercial jet aircraft, including Commercial Aircraft Corporation of China, Ltd. (COMAC), which delivered its first C919 aircraft in 2022. Some of these competitors have historically enjoyed access to government-provided fin</w:t>
      </w:r>
      <w:r>
        <w:rPr>
          <w:rFonts w:ascii="Arial" w:eastAsia="宋体" w:hAnsi="Arial" w:cs="Arial"/>
          <w:color w:val="000000"/>
          <w:kern w:val="0"/>
          <w:sz w:val="20"/>
          <w:szCs w:val="20"/>
          <w:lang w:bidi="ar"/>
        </w:rPr>
        <w:t>ancial support, including “launch aid,” which greatly reduces the cost and commercial risks associated with airplane development activities. This has enabled the development of airplanes without broad commercial viability; others to be brought to market mo</w:t>
      </w:r>
      <w:r>
        <w:rPr>
          <w:rFonts w:ascii="Arial" w:eastAsia="宋体" w:hAnsi="Arial" w:cs="Arial"/>
          <w:color w:val="000000"/>
          <w:kern w:val="0"/>
          <w:sz w:val="20"/>
          <w:szCs w:val="20"/>
          <w:lang w:bidi="ar"/>
        </w:rPr>
        <w:t>re quickly than otherwise possible; and many offered for sale below market-based prices. Competitors continue to make improvements in efficiency, which may result in funding product development, gaining market share and improving earnings. This market envi</w:t>
      </w:r>
      <w:r>
        <w:rPr>
          <w:rFonts w:ascii="Arial" w:eastAsia="宋体" w:hAnsi="Arial" w:cs="Arial"/>
          <w:color w:val="000000"/>
          <w:kern w:val="0"/>
          <w:sz w:val="20"/>
          <w:szCs w:val="20"/>
          <w:lang w:bidi="ar"/>
        </w:rPr>
        <w:t>ronment has resulted in intense pressures on pricing and other competitive factors, and we expect these pressures to continue or intensify in the coming years.</w:t>
      </w:r>
    </w:p>
    <w:p w14:paraId="4B7604C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focused on improving our products and services and continuing our business transformation</w:t>
      </w:r>
      <w:r>
        <w:rPr>
          <w:rFonts w:ascii="Arial" w:eastAsia="宋体" w:hAnsi="Arial" w:cs="Arial"/>
          <w:color w:val="000000"/>
          <w:kern w:val="0"/>
          <w:sz w:val="20"/>
          <w:szCs w:val="20"/>
          <w:lang w:bidi="ar"/>
        </w:rPr>
        <w:t xml:space="preserve"> efforts, which enhances our ability to compete and positions us for market recovery. We are also focused on taking actions to ensure that Boeing is not harmed by unfair subsidization of competitors.</w:t>
      </w:r>
    </w:p>
    <w:p w14:paraId="4B7604C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28</w:t>
      </w:r>
    </w:p>
    <w:p w14:paraId="4B7604C7" w14:textId="77777777" w:rsidR="0099058F" w:rsidRDefault="00EB2559">
      <w:pPr>
        <w:widowControl/>
        <w:jc w:val="center"/>
      </w:pPr>
      <w:r>
        <w:rPr>
          <w:rFonts w:ascii="宋体" w:eastAsia="宋体" w:hAnsi="宋体" w:cs="宋体"/>
          <w:kern w:val="0"/>
          <w:sz w:val="24"/>
        </w:rPr>
        <w:pict w14:anchorId="4B763C13">
          <v:rect id="_x0000_i1054" style="width:6in;height:1.5pt" o:hralign="center" o:hrstd="t" o:hr="t" fillcolor="#a0a0a0" stroked="f"/>
        </w:pict>
      </w:r>
    </w:p>
    <w:p w14:paraId="4B7604C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4C9"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4732"/>
        <w:gridCol w:w="37"/>
        <w:gridCol w:w="62"/>
        <w:gridCol w:w="876"/>
        <w:gridCol w:w="198"/>
        <w:gridCol w:w="36"/>
        <w:gridCol w:w="36"/>
        <w:gridCol w:w="36"/>
        <w:gridCol w:w="62"/>
        <w:gridCol w:w="822"/>
        <w:gridCol w:w="198"/>
        <w:gridCol w:w="36"/>
        <w:gridCol w:w="36"/>
        <w:gridCol w:w="36"/>
        <w:gridCol w:w="68"/>
        <w:gridCol w:w="816"/>
        <w:gridCol w:w="198"/>
      </w:tblGrid>
      <w:tr w:rsidR="0099058F" w14:paraId="4B7604DC" w14:textId="77777777">
        <w:tc>
          <w:tcPr>
            <w:tcW w:w="50" w:type="pct"/>
            <w:tcBorders>
              <w:top w:val="nil"/>
              <w:left w:val="nil"/>
              <w:bottom w:val="nil"/>
              <w:right w:val="nil"/>
            </w:tcBorders>
            <w:shd w:val="clear" w:color="auto" w:fill="auto"/>
            <w:vAlign w:val="bottom"/>
          </w:tcPr>
          <w:p w14:paraId="4B7604CA" w14:textId="77777777" w:rsidR="0099058F" w:rsidRDefault="0099058F">
            <w:pPr>
              <w:widowControl/>
              <w:jc w:val="left"/>
              <w:rPr>
                <w:rFonts w:ascii="Times New Roman" w:eastAsia="宋体" w:hAnsi="宋体" w:cs="宋体"/>
                <w:kern w:val="0"/>
                <w:sz w:val="24"/>
              </w:rPr>
            </w:pPr>
          </w:p>
        </w:tc>
        <w:tc>
          <w:tcPr>
            <w:tcW w:w="2899" w:type="pct"/>
            <w:tcBorders>
              <w:top w:val="nil"/>
              <w:left w:val="nil"/>
              <w:bottom w:val="nil"/>
              <w:right w:val="nil"/>
            </w:tcBorders>
            <w:shd w:val="clear" w:color="auto" w:fill="auto"/>
            <w:vAlign w:val="bottom"/>
          </w:tcPr>
          <w:p w14:paraId="4B7604C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C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CD"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4C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C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4D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D3"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4D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4D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4D9"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04D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4DB" w14:textId="77777777" w:rsidR="0099058F" w:rsidRDefault="0099058F">
            <w:pPr>
              <w:widowControl/>
              <w:jc w:val="left"/>
              <w:rPr>
                <w:rFonts w:ascii="Times New Roman" w:eastAsia="宋体" w:hAnsi="宋体" w:cs="宋体"/>
                <w:kern w:val="0"/>
                <w:sz w:val="24"/>
              </w:rPr>
            </w:pPr>
          </w:p>
        </w:tc>
      </w:tr>
      <w:tr w:rsidR="0099058F" w14:paraId="4B7604E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DD"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D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E2" w14:textId="77777777" w:rsidR="0099058F" w:rsidRDefault="0099058F">
            <w:pPr>
              <w:widowControl/>
              <w:jc w:val="left"/>
              <w:rPr>
                <w:rFonts w:ascii="Times New Roman" w:eastAsia="宋体" w:hAnsi="宋体" w:cs="宋体"/>
                <w:kern w:val="0"/>
                <w:sz w:val="24"/>
              </w:rPr>
            </w:pPr>
          </w:p>
        </w:tc>
      </w:tr>
      <w:tr w:rsidR="0099058F" w14:paraId="4B7604E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E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E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4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4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4F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4E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$25,867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E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E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F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4F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4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4F3" w14:textId="77777777" w:rsidR="0099058F" w:rsidRDefault="0099058F">
            <w:pPr>
              <w:widowControl/>
              <w:jc w:val="left"/>
              <w:rPr>
                <w:rFonts w:ascii="Times New Roman" w:eastAsia="宋体" w:hAnsi="宋体" w:cs="宋体"/>
                <w:kern w:val="0"/>
                <w:sz w:val="24"/>
              </w:rPr>
            </w:pPr>
          </w:p>
        </w:tc>
      </w:tr>
      <w:tr w:rsidR="0099058F" w14:paraId="4B7604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4F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of total 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F7"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F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F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4F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4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4F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50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4F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Loss from </w:t>
            </w:r>
            <w:r>
              <w:rPr>
                <w:rFonts w:ascii="Arial" w:eastAsia="宋体" w:hAnsi="Arial" w:cs="Arial"/>
                <w:color w:val="000000"/>
                <w:kern w:val="0"/>
                <w:sz w:val="20"/>
                <w:szCs w:val="20"/>
                <w:lang w:bidi="ar"/>
              </w:rPr>
              <w:t>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5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5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0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5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5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0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50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507" w14:textId="77777777" w:rsidR="0099058F" w:rsidRDefault="0099058F">
            <w:pPr>
              <w:widowControl/>
              <w:jc w:val="left"/>
              <w:rPr>
                <w:rFonts w:ascii="Times New Roman" w:eastAsia="宋体" w:hAnsi="宋体" w:cs="宋体"/>
                <w:kern w:val="0"/>
                <w:sz w:val="24"/>
              </w:rPr>
            </w:pPr>
          </w:p>
        </w:tc>
      </w:tr>
      <w:tr w:rsidR="0099058F" w14:paraId="4B7605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50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5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5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0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5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5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0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5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5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51C"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B76051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5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51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51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5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5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51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5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51B" w14:textId="77777777" w:rsidR="0099058F" w:rsidRDefault="0099058F">
            <w:pPr>
              <w:widowControl/>
              <w:jc w:val="left"/>
              <w:rPr>
                <w:rFonts w:ascii="Times New Roman" w:eastAsia="宋体" w:hAnsi="宋体" w:cs="宋体"/>
                <w:kern w:val="0"/>
                <w:sz w:val="24"/>
              </w:rPr>
            </w:pPr>
          </w:p>
        </w:tc>
      </w:tr>
      <w:tr w:rsidR="0099058F" w14:paraId="4B760523" w14:textId="77777777">
        <w:trPr>
          <w:hidden/>
        </w:trPr>
        <w:tc>
          <w:tcPr>
            <w:tcW w:w="0" w:type="auto"/>
            <w:gridSpan w:val="3"/>
            <w:tcBorders>
              <w:top w:val="nil"/>
              <w:left w:val="nil"/>
              <w:bottom w:val="nil"/>
              <w:right w:val="nil"/>
            </w:tcBorders>
            <w:shd w:val="clear" w:color="auto" w:fill="auto"/>
            <w:vAlign w:val="bottom"/>
          </w:tcPr>
          <w:p w14:paraId="4B76051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1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1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2" w14:textId="77777777" w:rsidR="0099058F" w:rsidRDefault="0099058F">
            <w:pPr>
              <w:widowControl/>
              <w:jc w:val="left"/>
              <w:rPr>
                <w:rFonts w:ascii="Times New Roman" w:eastAsia="宋体" w:hAnsi="宋体" w:cs="宋体"/>
                <w:vanish/>
                <w:kern w:val="0"/>
                <w:sz w:val="24"/>
              </w:rPr>
            </w:pPr>
          </w:p>
        </w:tc>
      </w:tr>
      <w:tr w:rsidR="0099058F" w14:paraId="4B76052A" w14:textId="77777777">
        <w:trPr>
          <w:hidden/>
        </w:trPr>
        <w:tc>
          <w:tcPr>
            <w:tcW w:w="0" w:type="auto"/>
            <w:gridSpan w:val="3"/>
            <w:tcBorders>
              <w:top w:val="nil"/>
              <w:left w:val="nil"/>
              <w:bottom w:val="nil"/>
              <w:right w:val="nil"/>
            </w:tcBorders>
            <w:shd w:val="clear" w:color="auto" w:fill="auto"/>
            <w:vAlign w:val="bottom"/>
          </w:tcPr>
          <w:p w14:paraId="4B76052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529" w14:textId="77777777" w:rsidR="0099058F" w:rsidRDefault="0099058F">
            <w:pPr>
              <w:widowControl/>
              <w:jc w:val="left"/>
              <w:rPr>
                <w:rFonts w:ascii="Times New Roman" w:eastAsia="宋体" w:hAnsi="宋体" w:cs="宋体"/>
                <w:vanish/>
                <w:kern w:val="0"/>
                <w:sz w:val="24"/>
              </w:rPr>
            </w:pPr>
          </w:p>
        </w:tc>
      </w:tr>
    </w:tbl>
    <w:p w14:paraId="4B76052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B76052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increased by $6,374 million in 2022 compared with 2021 </w:t>
      </w:r>
      <w:r>
        <w:rPr>
          <w:rFonts w:ascii="Arial" w:eastAsia="宋体" w:hAnsi="Arial" w:cs="Arial"/>
          <w:color w:val="000000"/>
          <w:kern w:val="0"/>
          <w:sz w:val="20"/>
          <w:szCs w:val="20"/>
          <w:lang w:bidi="ar"/>
        </w:rPr>
        <w:t>primarily due to higher 737 and 787 deliveries in 2022.</w:t>
      </w:r>
    </w:p>
    <w:p w14:paraId="4B76052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increased by $3,331 million in 2021 compared with 2020 primarily due to higher 737 MAX deliveries driven by recertification and return to service in most jurisdictions and the </w:t>
      </w:r>
      <w:r>
        <w:rPr>
          <w:rFonts w:ascii="Arial" w:eastAsia="宋体" w:hAnsi="Arial" w:cs="Arial"/>
          <w:color w:val="000000"/>
          <w:kern w:val="0"/>
          <w:sz w:val="20"/>
          <w:szCs w:val="20"/>
          <w:lang w:bidi="ar"/>
        </w:rPr>
        <w:t>absence of charges for 737 MAX customer considerations which reduced revenues in 2020, partially offset by lower 787 deliveries in 2021.</w:t>
      </w:r>
    </w:p>
    <w:p w14:paraId="4B76052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BCA deliveries, including intercompany deliveries, as of December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2853"/>
        <w:gridCol w:w="36"/>
        <w:gridCol w:w="65"/>
        <w:gridCol w:w="649"/>
        <w:gridCol w:w="36"/>
        <w:gridCol w:w="70"/>
        <w:gridCol w:w="212"/>
        <w:gridCol w:w="36"/>
        <w:gridCol w:w="65"/>
        <w:gridCol w:w="649"/>
        <w:gridCol w:w="36"/>
        <w:gridCol w:w="36"/>
        <w:gridCol w:w="36"/>
        <w:gridCol w:w="36"/>
        <w:gridCol w:w="61"/>
        <w:gridCol w:w="649"/>
        <w:gridCol w:w="36"/>
        <w:gridCol w:w="70"/>
        <w:gridCol w:w="212"/>
        <w:gridCol w:w="36"/>
        <w:gridCol w:w="65"/>
        <w:gridCol w:w="649"/>
        <w:gridCol w:w="36"/>
        <w:gridCol w:w="36"/>
        <w:gridCol w:w="36"/>
        <w:gridCol w:w="36"/>
        <w:gridCol w:w="61"/>
        <w:gridCol w:w="649"/>
        <w:gridCol w:w="36"/>
        <w:gridCol w:w="36"/>
        <w:gridCol w:w="66"/>
        <w:gridCol w:w="650"/>
        <w:gridCol w:w="36"/>
      </w:tblGrid>
      <w:tr w:rsidR="0099058F" w14:paraId="4B760551" w14:textId="77777777">
        <w:tc>
          <w:tcPr>
            <w:tcW w:w="50" w:type="pct"/>
            <w:tcBorders>
              <w:top w:val="nil"/>
              <w:left w:val="nil"/>
              <w:bottom w:val="nil"/>
              <w:right w:val="nil"/>
            </w:tcBorders>
            <w:shd w:val="clear" w:color="auto" w:fill="auto"/>
            <w:vAlign w:val="bottom"/>
          </w:tcPr>
          <w:p w14:paraId="4B76052F" w14:textId="77777777" w:rsidR="0099058F" w:rsidRDefault="0099058F">
            <w:pPr>
              <w:widowControl/>
              <w:jc w:val="left"/>
              <w:rPr>
                <w:rFonts w:ascii="Times New Roman" w:eastAsia="宋体" w:hAnsi="宋体" w:cs="宋体"/>
                <w:kern w:val="0"/>
                <w:sz w:val="24"/>
              </w:rPr>
            </w:pPr>
          </w:p>
        </w:tc>
        <w:tc>
          <w:tcPr>
            <w:tcW w:w="1726" w:type="pct"/>
            <w:tcBorders>
              <w:top w:val="nil"/>
              <w:left w:val="nil"/>
              <w:bottom w:val="nil"/>
              <w:right w:val="nil"/>
            </w:tcBorders>
            <w:shd w:val="clear" w:color="auto" w:fill="auto"/>
            <w:vAlign w:val="bottom"/>
          </w:tcPr>
          <w:p w14:paraId="4B76053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32"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3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35" w14:textId="77777777" w:rsidR="0099058F" w:rsidRDefault="0099058F">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B76053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38"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3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53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3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3E"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3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41" w14:textId="77777777" w:rsidR="0099058F" w:rsidRDefault="0099058F">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B76054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44"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4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54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4A"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4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4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4D"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54E"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054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50" w14:textId="77777777" w:rsidR="0099058F" w:rsidRDefault="0099058F">
            <w:pPr>
              <w:widowControl/>
              <w:jc w:val="left"/>
              <w:rPr>
                <w:rFonts w:ascii="Times New Roman" w:eastAsia="宋体" w:hAnsi="宋体" w:cs="宋体"/>
                <w:kern w:val="0"/>
                <w:sz w:val="24"/>
              </w:rPr>
            </w:pPr>
          </w:p>
        </w:tc>
      </w:tr>
      <w:tr w:rsidR="0099058F" w14:paraId="4B76056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5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5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B76055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055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5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B76055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55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5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B76055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55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5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B76055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55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5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B760560"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6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5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99058F" w14:paraId="4B76057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564"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6E"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6F" w14:textId="77777777" w:rsidR="0099058F" w:rsidRDefault="0099058F">
            <w:pPr>
              <w:widowControl/>
              <w:jc w:val="left"/>
              <w:rPr>
                <w:rFonts w:ascii="Times New Roman" w:eastAsia="宋体" w:hAnsi="宋体" w:cs="宋体"/>
                <w:kern w:val="0"/>
                <w:sz w:val="24"/>
              </w:rPr>
            </w:pPr>
          </w:p>
        </w:tc>
      </w:tr>
      <w:tr w:rsidR="0099058F" w14:paraId="4B76057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57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8,132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7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1,037</w:t>
            </w:r>
          </w:p>
        </w:tc>
        <w:tc>
          <w:tcPr>
            <w:tcW w:w="0" w:type="auto"/>
            <w:tcBorders>
              <w:top w:val="nil"/>
              <w:left w:val="nil"/>
              <w:bottom w:val="nil"/>
              <w:right w:val="nil"/>
            </w:tcBorders>
            <w:shd w:val="clear" w:color="auto" w:fill="auto"/>
            <w:vAlign w:val="bottom"/>
          </w:tcPr>
          <w:p w14:paraId="4B76057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7C" w14:textId="77777777" w:rsidR="0099058F" w:rsidRDefault="0099058F">
            <w:pPr>
              <w:widowControl/>
              <w:jc w:val="left"/>
              <w:rPr>
                <w:rFonts w:ascii="Times New Roman" w:eastAsia="宋体" w:hAnsi="宋体" w:cs="宋体"/>
                <w:kern w:val="0"/>
                <w:sz w:val="24"/>
              </w:rPr>
            </w:pPr>
          </w:p>
        </w:tc>
      </w:tr>
      <w:tr w:rsidR="0099058F" w14:paraId="4B76058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57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387</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0580"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(13)</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0584"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auto"/>
            <w:vAlign w:val="bottom"/>
          </w:tcPr>
          <w:p w14:paraId="4B76058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480</w:t>
            </w:r>
          </w:p>
        </w:tc>
      </w:tr>
      <w:tr w:rsidR="0099058F" w14:paraId="4B76059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5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8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8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8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8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95"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596" w14:textId="77777777" w:rsidR="0099058F" w:rsidRDefault="0099058F">
            <w:pPr>
              <w:widowControl/>
              <w:jc w:val="left"/>
              <w:rPr>
                <w:rFonts w:ascii="Times New Roman" w:eastAsia="宋体" w:hAnsi="宋体" w:cs="宋体"/>
                <w:kern w:val="0"/>
                <w:sz w:val="24"/>
              </w:rPr>
            </w:pPr>
          </w:p>
        </w:tc>
      </w:tr>
      <w:tr w:rsidR="0099058F" w14:paraId="4B7605A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59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7,745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9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A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5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w:t>
            </w:r>
          </w:p>
        </w:tc>
        <w:tc>
          <w:tcPr>
            <w:tcW w:w="0" w:type="auto"/>
            <w:tcBorders>
              <w:top w:val="nil"/>
              <w:left w:val="nil"/>
              <w:bottom w:val="nil"/>
              <w:right w:val="nil"/>
            </w:tcBorders>
            <w:shd w:val="clear" w:color="auto" w:fill="auto"/>
            <w:vAlign w:val="bottom"/>
          </w:tcPr>
          <w:p w14:paraId="4B7605A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5A3" w14:textId="77777777" w:rsidR="0099058F" w:rsidRDefault="0099058F">
            <w:pPr>
              <w:widowControl/>
              <w:jc w:val="left"/>
              <w:rPr>
                <w:rFonts w:ascii="Times New Roman" w:eastAsia="宋体" w:hAnsi="宋体" w:cs="宋体"/>
                <w:kern w:val="0"/>
                <w:sz w:val="24"/>
              </w:rPr>
            </w:pPr>
          </w:p>
        </w:tc>
      </w:tr>
      <w:tr w:rsidR="0099058F" w14:paraId="4B7605B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5A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263</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05A7"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3"/>
                <w:szCs w:val="13"/>
                <w:lang w:bidi="ar"/>
              </w:rPr>
              <w:t>(16)</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A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05AB"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3"/>
                <w:szCs w:val="13"/>
                <w:lang w:bidi="ar"/>
              </w:rPr>
              <w:t>(13)</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A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auto"/>
            <w:vAlign w:val="bottom"/>
          </w:tcPr>
          <w:p w14:paraId="4B7605A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340</w:t>
            </w:r>
          </w:p>
        </w:tc>
      </w:tr>
      <w:tr w:rsidR="0099058F" w14:paraId="4B7605B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5B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B"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BC"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5BD" w14:textId="77777777" w:rsidR="0099058F" w:rsidRDefault="0099058F">
            <w:pPr>
              <w:widowControl/>
              <w:jc w:val="left"/>
              <w:rPr>
                <w:rFonts w:ascii="Times New Roman" w:eastAsia="宋体" w:hAnsi="宋体" w:cs="宋体"/>
                <w:kern w:val="0"/>
                <w:sz w:val="24"/>
              </w:rPr>
            </w:pPr>
          </w:p>
        </w:tc>
      </w:tr>
      <w:tr w:rsidR="0099058F" w14:paraId="4B7605C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5B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7,482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C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5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w:t>
            </w:r>
          </w:p>
        </w:tc>
        <w:tc>
          <w:tcPr>
            <w:tcW w:w="0" w:type="auto"/>
            <w:tcBorders>
              <w:top w:val="nil"/>
              <w:left w:val="nil"/>
              <w:bottom w:val="nil"/>
              <w:right w:val="nil"/>
            </w:tcBorders>
            <w:shd w:val="clear" w:color="auto" w:fill="auto"/>
            <w:vAlign w:val="bottom"/>
          </w:tcPr>
          <w:p w14:paraId="4B7605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5CA" w14:textId="77777777" w:rsidR="0099058F" w:rsidRDefault="0099058F">
            <w:pPr>
              <w:widowControl/>
              <w:jc w:val="left"/>
              <w:rPr>
                <w:rFonts w:ascii="Times New Roman" w:eastAsia="宋体" w:hAnsi="宋体" w:cs="宋体"/>
                <w:kern w:val="0"/>
                <w:sz w:val="24"/>
              </w:rPr>
            </w:pPr>
          </w:p>
        </w:tc>
      </w:tr>
      <w:tr w:rsidR="0099058F" w14:paraId="4B7605D8"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tcPr>
          <w:p w14:paraId="4B7605C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center"/>
          </w:tcPr>
          <w:p w14:paraId="4B7605CE"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(14)</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05D0" w14:textId="77777777" w:rsidR="0099058F" w:rsidRDefault="0099058F">
            <w:pPr>
              <w:widowControl/>
              <w:jc w:val="left"/>
              <w:rPr>
                <w:rFonts w:ascii="宋体"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center"/>
          </w:tcPr>
          <w:p w14:paraId="4B7605D2"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(11)</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05D4" w14:textId="77777777" w:rsidR="0099058F" w:rsidRDefault="0099058F">
            <w:pPr>
              <w:widowControl/>
              <w:jc w:val="left"/>
              <w:rPr>
                <w:rFonts w:ascii="宋体"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auto"/>
            <w:vAlign w:val="bottom"/>
          </w:tcPr>
          <w:p w14:paraId="4B7605D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05D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w:t>
            </w:r>
          </w:p>
        </w:tc>
      </w:tr>
    </w:tbl>
    <w:p w14:paraId="4B7605D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4B7605DA" w14:textId="77777777" w:rsidR="0099058F" w:rsidRDefault="00EB2559">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 xml:space="preserve">Loss From Operations </w:t>
      </w:r>
    </w:p>
    <w:p w14:paraId="4B7605D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$2,370 million in 2022 compared with $6,475 million in 2021 reflecting higher 737 deliveries and lower abnormal production costs, partially offse</w:t>
      </w:r>
      <w:r>
        <w:rPr>
          <w:rFonts w:ascii="Arial" w:eastAsia="宋体" w:hAnsi="Arial" w:cs="Arial"/>
          <w:color w:val="000000"/>
          <w:kern w:val="0"/>
          <w:sz w:val="20"/>
          <w:szCs w:val="20"/>
          <w:lang w:bidi="ar"/>
        </w:rPr>
        <w:t>t by higher research and development spending, charges related to the war in Ukraine and other period expenses. The 2021 loss also reflects a reach-forward loss on the 787 program of $3,460 million. Abnormal production costs in 2022 were $1,753 million, in</w:t>
      </w:r>
      <w:r>
        <w:rPr>
          <w:rFonts w:ascii="Arial" w:eastAsia="宋体" w:hAnsi="Arial" w:cs="Arial"/>
          <w:color w:val="000000"/>
          <w:kern w:val="0"/>
          <w:sz w:val="20"/>
          <w:szCs w:val="20"/>
          <w:lang w:bidi="ar"/>
        </w:rPr>
        <w:t xml:space="preserve">cluding $1,240 million related to the 787 program, $325 million related to the 777X program, and $188 million related to the 737 program. </w:t>
      </w:r>
    </w:p>
    <w:p w14:paraId="4B7605D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$6,475 million in 2021 compared with $13,847 million in 2020. The 2021 loss reflects the</w:t>
      </w:r>
      <w:r>
        <w:rPr>
          <w:rFonts w:ascii="Arial" w:eastAsia="宋体" w:hAnsi="Arial" w:cs="Arial"/>
          <w:color w:val="000000"/>
          <w:kern w:val="0"/>
          <w:sz w:val="20"/>
          <w:szCs w:val="20"/>
          <w:lang w:bidi="ar"/>
        </w:rPr>
        <w:t xml:space="preserve"> reach-forward loss on the 787 program of $3,460 million, abnormal production costs related to the 737 program of $1,887 million, and abnormal production costs related to the 787 program of $468 million resulting from continued production issues, inspectio</w:t>
      </w:r>
      <w:r>
        <w:rPr>
          <w:rFonts w:ascii="Arial" w:eastAsia="宋体" w:hAnsi="Arial" w:cs="Arial"/>
          <w:color w:val="000000"/>
          <w:kern w:val="0"/>
          <w:sz w:val="20"/>
          <w:szCs w:val="20"/>
          <w:lang w:bidi="ar"/>
        </w:rPr>
        <w:t xml:space="preserve">ns and rework, partially offset by higher 737 MAX deliveries. The 2020 loss reflects the reach-forward loss on the 777X program of $6,493 million, lower deliveries and lower program margins resulting from the COVID-19 pandemic, </w:t>
      </w:r>
    </w:p>
    <w:p w14:paraId="4B7605D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29</w:t>
      </w:r>
    </w:p>
    <w:p w14:paraId="4B7605DE" w14:textId="77777777" w:rsidR="0099058F" w:rsidRDefault="00EB2559">
      <w:pPr>
        <w:widowControl/>
        <w:jc w:val="center"/>
      </w:pPr>
      <w:r>
        <w:rPr>
          <w:rFonts w:ascii="宋体" w:eastAsia="宋体" w:hAnsi="宋体" w:cs="宋体"/>
          <w:kern w:val="0"/>
          <w:sz w:val="24"/>
        </w:rPr>
        <w:pict w14:anchorId="4B763C14">
          <v:rect id="_x0000_i1055" style="width:6in;height:1.5pt" o:hralign="center" o:hrstd="t" o:hr="t" fillcolor="#a0a0a0" stroked="f"/>
        </w:pict>
      </w:r>
    </w:p>
    <w:p w14:paraId="4B7605D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5E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$2,567 million of abnormal production costs related to the 737 program, $623 million of severance cost, $498 million of 737 MAX customer considerations, $336 million related to 73</w:t>
      </w:r>
      <w:r>
        <w:rPr>
          <w:rFonts w:ascii="Arial" w:eastAsia="宋体" w:hAnsi="Arial" w:cs="Arial"/>
          <w:color w:val="000000"/>
          <w:kern w:val="0"/>
          <w:sz w:val="20"/>
          <w:szCs w:val="20"/>
          <w:lang w:bidi="ar"/>
        </w:rPr>
        <w:t>7NG frame fitting component repair costs and $270 million of abnormal production costs in the first half of 2020 from the temporary suspension of operations in response to COVID-19, partially offset by lower research and development spending. Lower 787 mar</w:t>
      </w:r>
      <w:r>
        <w:rPr>
          <w:rFonts w:ascii="Arial" w:eastAsia="宋体" w:hAnsi="Arial" w:cs="Arial"/>
          <w:color w:val="000000"/>
          <w:kern w:val="0"/>
          <w:sz w:val="20"/>
          <w:szCs w:val="20"/>
          <w:lang w:bidi="ar"/>
        </w:rPr>
        <w:t>gins reflecting a reduction in the accounting quantity in the first quarter of 2020 also contributed to lower earnings.</w:t>
      </w:r>
    </w:p>
    <w:p w14:paraId="4B7605E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B7605E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represents the estimated transaction prices on unsatisfied and partially satisfied performance obligations to </w:t>
      </w:r>
      <w:r>
        <w:rPr>
          <w:rFonts w:ascii="Arial" w:eastAsia="宋体" w:hAnsi="Arial" w:cs="Arial"/>
          <w:color w:val="000000"/>
          <w:kern w:val="0"/>
          <w:sz w:val="20"/>
          <w:szCs w:val="20"/>
          <w:lang w:bidi="ar"/>
        </w:rPr>
        <w:t>our customers where we believe it is probable that we will collect the consideration due and where no contingencies remain before we and the customer are required to perform. Backlog does not include prospective orders where customer-controlled contingenci</w:t>
      </w:r>
      <w:r>
        <w:rPr>
          <w:rFonts w:ascii="Arial" w:eastAsia="宋体" w:hAnsi="Arial" w:cs="Arial"/>
          <w:color w:val="000000"/>
          <w:kern w:val="0"/>
          <w:sz w:val="20"/>
          <w:szCs w:val="20"/>
          <w:lang w:bidi="ar"/>
        </w:rPr>
        <w:t>es remain, such as the customer receiving approval from its board of directors, shareholders or government or completing financing arrangements. All such contingencies must be satisfied or have expired prior to recording a new firm order even if satisfying</w:t>
      </w:r>
      <w:r>
        <w:rPr>
          <w:rFonts w:ascii="Arial" w:eastAsia="宋体" w:hAnsi="Arial" w:cs="Arial"/>
          <w:color w:val="000000"/>
          <w:kern w:val="0"/>
          <w:sz w:val="20"/>
          <w:szCs w:val="20"/>
          <w:lang w:bidi="ar"/>
        </w:rPr>
        <w:t xml:space="preserve"> such conditions is highly probable. Backlog excludes options and BCC orders as well as orders where customers have the unilateral right to terminate. A number of our customers may have contractual remedies, including rights to reject individual airplane d</w:t>
      </w:r>
      <w:r>
        <w:rPr>
          <w:rFonts w:ascii="Arial" w:eastAsia="宋体" w:hAnsi="Arial" w:cs="Arial"/>
          <w:color w:val="000000"/>
          <w:kern w:val="0"/>
          <w:sz w:val="20"/>
          <w:szCs w:val="20"/>
          <w:lang w:bidi="ar"/>
        </w:rPr>
        <w:t>eliveries if the actual delivery date is significantly later than the contractual delivery date. We address customer claims and requests for other contractual relief as they arise. The value of orders in backlog is adjusted as changes to price and schedule</w:t>
      </w:r>
      <w:r>
        <w:rPr>
          <w:rFonts w:ascii="Arial" w:eastAsia="宋体" w:hAnsi="Arial" w:cs="Arial"/>
          <w:color w:val="000000"/>
          <w:kern w:val="0"/>
          <w:sz w:val="20"/>
          <w:szCs w:val="20"/>
          <w:lang w:bidi="ar"/>
        </w:rPr>
        <w:t xml:space="preserve"> are agreed to with customers and is reported in accordance with the requirements of ASC 606.</w:t>
      </w:r>
    </w:p>
    <w:p w14:paraId="4B7605E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of $329,824 million at December 31, 2022 increased from $296,882 million at December 31, 2021, reflecting new orders in excess of deliveries and</w:t>
      </w:r>
      <w:r>
        <w:rPr>
          <w:rFonts w:ascii="Arial" w:eastAsia="宋体" w:hAnsi="Arial" w:cs="Arial"/>
          <w:color w:val="000000"/>
          <w:kern w:val="0"/>
          <w:sz w:val="20"/>
          <w:szCs w:val="20"/>
          <w:lang w:bidi="ar"/>
        </w:rPr>
        <w:t xml:space="preserve"> price escalation, offset by order cancellations and by an increase in the value of existing orders that in our assessment do not meet the accounting requirements of ASC 606 for inclusion in backlog. Aircraft order cancellations during the year ended Decem</w:t>
      </w:r>
      <w:r>
        <w:rPr>
          <w:rFonts w:ascii="Arial" w:eastAsia="宋体" w:hAnsi="Arial" w:cs="Arial"/>
          <w:color w:val="000000"/>
          <w:kern w:val="0"/>
          <w:sz w:val="20"/>
          <w:szCs w:val="20"/>
          <w:lang w:bidi="ar"/>
        </w:rPr>
        <w:t>ber 31, 2022 totaled $11,251 million and relate to 737 and 787 aircraft. The net ASC 606 adjustments for the year ended December 31, 2022 resulted in a decrease to backlog of $4,675 million primarily due to a net increase of 777X aircraft in the ASC 606 re</w:t>
      </w:r>
      <w:r>
        <w:rPr>
          <w:rFonts w:ascii="Arial" w:eastAsia="宋体" w:hAnsi="Arial" w:cs="Arial"/>
          <w:color w:val="000000"/>
          <w:kern w:val="0"/>
          <w:sz w:val="20"/>
          <w:szCs w:val="20"/>
          <w:lang w:bidi="ar"/>
        </w:rPr>
        <w:t>serve, partially offset by net decreases in 737 and 787 aircraft in the ASC 606 reserve. ASC 606 adjustments include consideration of aircraft orders where a customer-controlled contingency may exist, as well as an assessment of whether the customer is com</w:t>
      </w:r>
      <w:r>
        <w:rPr>
          <w:rFonts w:ascii="Arial" w:eastAsia="宋体" w:hAnsi="Arial" w:cs="Arial"/>
          <w:color w:val="000000"/>
          <w:kern w:val="0"/>
          <w:sz w:val="20"/>
          <w:szCs w:val="20"/>
          <w:lang w:bidi="ar"/>
        </w:rPr>
        <w:t>mitted to perform, impacts of geopolitical events or related sanctions, or whether it is probable that the customer will pay the full amount of consideration when it is due. If we remain unable to deliver 737 MAX aircraft in China for an extended period of</w:t>
      </w:r>
      <w:r>
        <w:rPr>
          <w:rFonts w:ascii="Arial" w:eastAsia="宋体" w:hAnsi="Arial" w:cs="Arial"/>
          <w:color w:val="000000"/>
          <w:kern w:val="0"/>
          <w:sz w:val="20"/>
          <w:szCs w:val="20"/>
          <w:lang w:bidi="ar"/>
        </w:rPr>
        <w:t xml:space="preserve"> time, and/or entry into service of the 777X, 737-7 and/or 737-10 is further delayed, we may experience reductions to backlog and/or significant order cancellations.</w:t>
      </w:r>
    </w:p>
    <w:p w14:paraId="4B7605E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r>
        <w:rPr>
          <w:rFonts w:ascii="Arial" w:eastAsia="宋体" w:hAnsi="Arial" w:cs="Arial"/>
          <w:color w:val="000000"/>
          <w:kern w:val="0"/>
          <w:sz w:val="20"/>
          <w:szCs w:val="20"/>
          <w:lang w:bidi="ar"/>
        </w:rPr>
        <w:t xml:space="preserve"> The accounting quantity is our estimate of the quantity of airplanes t</w:t>
      </w:r>
      <w:r>
        <w:rPr>
          <w:rFonts w:ascii="Arial" w:eastAsia="宋体" w:hAnsi="Arial" w:cs="Arial"/>
          <w:color w:val="000000"/>
          <w:kern w:val="0"/>
          <w:sz w:val="20"/>
          <w:szCs w:val="20"/>
          <w:lang w:bidi="ar"/>
        </w:rPr>
        <w:t xml:space="preserve">hat will be produced for delivery under existing and anticipated contracts. The determination of the accounting quantity is limited by the ability to make reasonably dependable estimates of the revenue and cost of existing and anticipated contracts. It is </w:t>
      </w:r>
      <w:r>
        <w:rPr>
          <w:rFonts w:ascii="Arial" w:eastAsia="宋体" w:hAnsi="Arial" w:cs="Arial"/>
          <w:color w:val="000000"/>
          <w:kern w:val="0"/>
          <w:sz w:val="20"/>
          <w:szCs w:val="20"/>
          <w:lang w:bidi="ar"/>
        </w:rPr>
        <w:t>a key determinant of the gross margins we recognize on sales of individual airplanes throughout a program’s life. Estimation of each program’s accounting quantity takes into account several factors that are indicative of the demand for that program, includ</w:t>
      </w:r>
      <w:r>
        <w:rPr>
          <w:rFonts w:ascii="Arial" w:eastAsia="宋体" w:hAnsi="Arial" w:cs="Arial"/>
          <w:color w:val="000000"/>
          <w:kern w:val="0"/>
          <w:sz w:val="20"/>
          <w:szCs w:val="20"/>
          <w:lang w:bidi="ar"/>
        </w:rPr>
        <w:t>ing firm orders, letters of intent from prospective customers and market studies. We review our program accounting quantities quarterly.</w:t>
      </w:r>
    </w:p>
    <w:p w14:paraId="4B7605E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quantity for each program may include units that have been delivered, undelivered units under contract a</w:t>
      </w:r>
      <w:r>
        <w:rPr>
          <w:rFonts w:ascii="Arial" w:eastAsia="宋体" w:hAnsi="Arial" w:cs="Arial"/>
          <w:color w:val="000000"/>
          <w:kern w:val="0"/>
          <w:sz w:val="20"/>
          <w:szCs w:val="20"/>
          <w:lang w:bidi="ar"/>
        </w:rPr>
        <w:t>nd units anticipated to be under contract in the reasonable future (anticipated orders). In developing total program estimates, all of these items within the accounting quantity must be considered.</w:t>
      </w:r>
    </w:p>
    <w:p w14:paraId="4B7605E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30</w:t>
      </w:r>
    </w:p>
    <w:p w14:paraId="4B7605E7" w14:textId="77777777" w:rsidR="0099058F" w:rsidRDefault="00EB2559">
      <w:pPr>
        <w:widowControl/>
        <w:jc w:val="center"/>
      </w:pPr>
      <w:r>
        <w:rPr>
          <w:rFonts w:ascii="宋体" w:eastAsia="宋体" w:hAnsi="宋体" w:cs="宋体"/>
          <w:kern w:val="0"/>
          <w:sz w:val="24"/>
        </w:rPr>
        <w:pict w14:anchorId="4B763C15">
          <v:rect id="_x0000_i1056" style="width:6in;height:1.5pt" o:hralign="center" o:hrstd="t" o:hr="t" fillcolor="#a0a0a0" stroked="f"/>
        </w:pict>
      </w:r>
    </w:p>
    <w:p w14:paraId="4B7605E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5E9"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details of the accounting quantities and firm orders by program as of December 31. Cumulative firm orders represent the cumulative number of commercial jet aircraft deliveries plus undelivered firm </w:t>
      </w:r>
      <w:r>
        <w:rPr>
          <w:rFonts w:ascii="Arial" w:eastAsia="宋体" w:hAnsi="Arial" w:cs="Arial"/>
          <w:color w:val="000000"/>
          <w:kern w:val="0"/>
          <w:sz w:val="20"/>
          <w:szCs w:val="20"/>
          <w:lang w:bidi="ar"/>
        </w:rPr>
        <w:t>orders. Firm orders include military derivative aircraft that are not included in program accounting quantities. All revenues and costs associated with military derivative aircraft production are reported in the BDS segment.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575"/>
        <w:gridCol w:w="37"/>
        <w:gridCol w:w="77"/>
        <w:gridCol w:w="568"/>
        <w:gridCol w:w="36"/>
        <w:gridCol w:w="223"/>
        <w:gridCol w:w="74"/>
        <w:gridCol w:w="460"/>
        <w:gridCol w:w="36"/>
        <w:gridCol w:w="223"/>
        <w:gridCol w:w="74"/>
        <w:gridCol w:w="460"/>
        <w:gridCol w:w="36"/>
        <w:gridCol w:w="223"/>
        <w:gridCol w:w="74"/>
        <w:gridCol w:w="460"/>
        <w:gridCol w:w="36"/>
        <w:gridCol w:w="36"/>
        <w:gridCol w:w="36"/>
        <w:gridCol w:w="36"/>
        <w:gridCol w:w="73"/>
        <w:gridCol w:w="428"/>
        <w:gridCol w:w="36"/>
        <w:gridCol w:w="36"/>
        <w:gridCol w:w="36"/>
        <w:gridCol w:w="36"/>
        <w:gridCol w:w="74"/>
        <w:gridCol w:w="460"/>
        <w:gridCol w:w="36"/>
        <w:gridCol w:w="70"/>
        <w:gridCol w:w="196"/>
        <w:gridCol w:w="36"/>
      </w:tblGrid>
      <w:tr w:rsidR="0099058F" w14:paraId="4B760607" w14:textId="77777777">
        <w:tc>
          <w:tcPr>
            <w:tcW w:w="50" w:type="pct"/>
            <w:tcBorders>
              <w:top w:val="nil"/>
              <w:left w:val="nil"/>
              <w:bottom w:val="nil"/>
              <w:right w:val="nil"/>
            </w:tcBorders>
            <w:shd w:val="clear" w:color="auto" w:fill="auto"/>
            <w:vAlign w:val="bottom"/>
          </w:tcPr>
          <w:p w14:paraId="4B7605EA" w14:textId="77777777" w:rsidR="0099058F" w:rsidRDefault="0099058F">
            <w:pPr>
              <w:widowControl/>
              <w:jc w:val="left"/>
              <w:rPr>
                <w:rFonts w:ascii="Times New Roman" w:eastAsia="宋体" w:hAnsi="宋体" w:cs="宋体"/>
                <w:kern w:val="0"/>
                <w:sz w:val="24"/>
              </w:rPr>
            </w:pPr>
          </w:p>
        </w:tc>
        <w:tc>
          <w:tcPr>
            <w:tcW w:w="2502" w:type="pct"/>
            <w:tcBorders>
              <w:top w:val="nil"/>
              <w:left w:val="nil"/>
              <w:bottom w:val="nil"/>
              <w:right w:val="nil"/>
            </w:tcBorders>
            <w:shd w:val="clear" w:color="auto" w:fill="auto"/>
            <w:vAlign w:val="bottom"/>
          </w:tcPr>
          <w:p w14:paraId="4B7605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E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5ED" w14:textId="77777777" w:rsidR="0099058F" w:rsidRDefault="0099058F">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4B7605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E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F0"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5F1" w14:textId="77777777" w:rsidR="0099058F" w:rsidRDefault="0099058F">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B7605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F3"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F4"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5F5" w14:textId="77777777" w:rsidR="0099058F" w:rsidRDefault="0099058F">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B7605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F7"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5F8"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5F9" w14:textId="77777777" w:rsidR="0099058F" w:rsidRDefault="0099058F">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B7605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F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5FC"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5FD" w14:textId="77777777" w:rsidR="0099058F" w:rsidRDefault="0099058F">
            <w:pPr>
              <w:widowControl/>
              <w:jc w:val="left"/>
              <w:rPr>
                <w:rFonts w:ascii="Times New Roman" w:eastAsia="宋体" w:hAnsi="宋体" w:cs="宋体"/>
                <w:kern w:val="0"/>
                <w:sz w:val="24"/>
              </w:rPr>
            </w:pPr>
          </w:p>
        </w:tc>
        <w:tc>
          <w:tcPr>
            <w:tcW w:w="296" w:type="pct"/>
            <w:tcBorders>
              <w:top w:val="nil"/>
              <w:left w:val="nil"/>
              <w:bottom w:val="nil"/>
              <w:right w:val="nil"/>
            </w:tcBorders>
            <w:shd w:val="clear" w:color="auto" w:fill="auto"/>
            <w:vAlign w:val="bottom"/>
          </w:tcPr>
          <w:p w14:paraId="4B7605F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5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00"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0601" w14:textId="77777777" w:rsidR="0099058F" w:rsidRDefault="0099058F">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B76060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60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604" w14:textId="77777777" w:rsidR="0099058F" w:rsidRDefault="0099058F">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B76060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606" w14:textId="77777777" w:rsidR="0099058F" w:rsidRDefault="0099058F">
            <w:pPr>
              <w:widowControl/>
              <w:jc w:val="left"/>
              <w:rPr>
                <w:rFonts w:ascii="Times New Roman" w:eastAsia="宋体" w:hAnsi="宋体" w:cs="宋体"/>
                <w:kern w:val="0"/>
                <w:sz w:val="24"/>
              </w:rPr>
            </w:pPr>
          </w:p>
        </w:tc>
      </w:tr>
      <w:tr w:rsidR="0099058F" w14:paraId="4B76061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608" w14:textId="77777777" w:rsidR="0099058F" w:rsidRDefault="0099058F">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B76060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60A"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0B"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0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0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0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060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061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1"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3"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0615"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6"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7"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061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0619" w14:textId="77777777" w:rsidR="0099058F" w:rsidRDefault="0099058F">
            <w:pPr>
              <w:widowControl/>
              <w:jc w:val="left"/>
              <w:rPr>
                <w:rFonts w:ascii="Times New Roman" w:eastAsia="宋体" w:hAnsi="宋体" w:cs="宋体"/>
                <w:kern w:val="0"/>
                <w:sz w:val="24"/>
              </w:rPr>
            </w:pPr>
          </w:p>
        </w:tc>
      </w:tr>
      <w:tr w:rsidR="0099058F" w14:paraId="4B76062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6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06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B76061D"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1E"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06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B760620"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21"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06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B760623"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24"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06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B76062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27"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6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nil"/>
              <w:left w:val="nil"/>
              <w:bottom w:val="nil"/>
              <w:right w:val="nil"/>
            </w:tcBorders>
            <w:shd w:val="clear" w:color="auto" w:fill="auto"/>
            <w:vAlign w:val="bottom"/>
          </w:tcPr>
          <w:p w14:paraId="4B760629"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06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B76062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062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r>
      <w:tr w:rsidR="0099058F" w14:paraId="4B7606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62E"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2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30"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1"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32"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3"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34"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36"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38"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3A" w14:textId="77777777" w:rsidR="0099058F" w:rsidRDefault="0099058F">
            <w:pPr>
              <w:widowControl/>
              <w:jc w:val="left"/>
              <w:rPr>
                <w:rFonts w:ascii="Times New Roman" w:eastAsia="宋体" w:hAnsi="宋体" w:cs="宋体"/>
                <w:kern w:val="0"/>
                <w:sz w:val="24"/>
              </w:rPr>
            </w:pPr>
          </w:p>
        </w:tc>
      </w:tr>
      <w:tr w:rsidR="0099058F" w14:paraId="4B76064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63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10,800</w:t>
            </w:r>
          </w:p>
        </w:tc>
        <w:tc>
          <w:tcPr>
            <w:tcW w:w="0" w:type="auto"/>
            <w:tcBorders>
              <w:top w:val="nil"/>
              <w:left w:val="nil"/>
              <w:bottom w:val="nil"/>
              <w:right w:val="nil"/>
            </w:tcBorders>
            <w:shd w:val="clear" w:color="auto" w:fill="auto"/>
            <w:vAlign w:val="bottom"/>
          </w:tcPr>
          <w:p w14:paraId="4B76063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p>
        </w:tc>
        <w:tc>
          <w:tcPr>
            <w:tcW w:w="0" w:type="auto"/>
            <w:tcBorders>
              <w:top w:val="nil"/>
              <w:left w:val="nil"/>
              <w:bottom w:val="nil"/>
              <w:right w:val="nil"/>
            </w:tcBorders>
            <w:shd w:val="clear" w:color="auto" w:fill="auto"/>
            <w:vAlign w:val="bottom"/>
          </w:tcPr>
          <w:p w14:paraId="4B7606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p>
        </w:tc>
        <w:tc>
          <w:tcPr>
            <w:tcW w:w="0" w:type="auto"/>
            <w:tcBorders>
              <w:top w:val="nil"/>
              <w:left w:val="nil"/>
              <w:bottom w:val="nil"/>
              <w:right w:val="nil"/>
            </w:tcBorders>
            <w:shd w:val="clear" w:color="auto" w:fill="auto"/>
            <w:vAlign w:val="bottom"/>
          </w:tcPr>
          <w:p w14:paraId="4B76064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1,790</w:t>
            </w:r>
          </w:p>
        </w:tc>
        <w:tc>
          <w:tcPr>
            <w:tcW w:w="0" w:type="auto"/>
            <w:gridSpan w:val="3"/>
            <w:tcBorders>
              <w:top w:val="nil"/>
              <w:left w:val="nil"/>
              <w:bottom w:val="nil"/>
              <w:right w:val="nil"/>
            </w:tcBorders>
            <w:shd w:val="clear" w:color="auto" w:fill="auto"/>
            <w:vAlign w:val="bottom"/>
          </w:tcPr>
          <w:p w14:paraId="4B760644"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6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64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4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649" w14:textId="77777777" w:rsidR="0099058F" w:rsidRDefault="0099058F">
            <w:pPr>
              <w:widowControl/>
              <w:jc w:val="left"/>
              <w:rPr>
                <w:rFonts w:ascii="Times New Roman" w:eastAsia="宋体" w:hAnsi="宋体" w:cs="宋体"/>
                <w:kern w:val="0"/>
                <w:sz w:val="24"/>
              </w:rPr>
            </w:pPr>
          </w:p>
        </w:tc>
      </w:tr>
      <w:tr w:rsidR="0099058F" w14:paraId="4B76065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64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w:t>
            </w:r>
            <w:r>
              <w:rPr>
                <w:rFonts w:ascii="Arial" w:eastAsia="宋体" w:hAnsi="Arial" w:cs="Arial"/>
                <w:color w:val="000000"/>
                <w:kern w:val="0"/>
                <w:sz w:val="20"/>
                <w:szCs w:val="20"/>
                <w:lang w:bidi="ar"/>
              </w:rPr>
              <w:t>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3,653</w:t>
            </w:r>
          </w:p>
        </w:tc>
        <w:tc>
          <w:tcPr>
            <w:tcW w:w="0" w:type="auto"/>
            <w:tcBorders>
              <w:top w:val="nil"/>
              <w:left w:val="nil"/>
              <w:bottom w:val="nil"/>
              <w:right w:val="nil"/>
            </w:tcBorders>
            <w:shd w:val="clear" w:color="auto" w:fill="auto"/>
            <w:vAlign w:val="bottom"/>
          </w:tcPr>
          <w:p w14:paraId="4B7606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auto"/>
            <w:vAlign w:val="bottom"/>
          </w:tcPr>
          <w:p w14:paraId="4B7606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p>
        </w:tc>
        <w:tc>
          <w:tcPr>
            <w:tcW w:w="0" w:type="auto"/>
            <w:tcBorders>
              <w:top w:val="nil"/>
              <w:left w:val="nil"/>
              <w:bottom w:val="nil"/>
              <w:right w:val="nil"/>
            </w:tcBorders>
            <w:shd w:val="clear" w:color="auto" w:fill="auto"/>
            <w:vAlign w:val="bottom"/>
          </w:tcPr>
          <w:p w14:paraId="4B76065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w:t>
            </w:r>
          </w:p>
        </w:tc>
        <w:tc>
          <w:tcPr>
            <w:tcW w:w="0" w:type="auto"/>
            <w:gridSpan w:val="3"/>
            <w:tcBorders>
              <w:top w:val="nil"/>
              <w:left w:val="nil"/>
              <w:bottom w:val="nil"/>
              <w:right w:val="nil"/>
            </w:tcBorders>
            <w:shd w:val="clear" w:color="auto" w:fill="auto"/>
            <w:vAlign w:val="bottom"/>
          </w:tcPr>
          <w:p w14:paraId="4B7606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244</w:t>
            </w:r>
          </w:p>
        </w:tc>
        <w:tc>
          <w:tcPr>
            <w:tcW w:w="0" w:type="auto"/>
            <w:gridSpan w:val="3"/>
            <w:tcBorders>
              <w:top w:val="nil"/>
              <w:left w:val="nil"/>
              <w:bottom w:val="nil"/>
              <w:right w:val="nil"/>
            </w:tcBorders>
            <w:shd w:val="clear" w:color="auto" w:fill="auto"/>
            <w:vAlign w:val="bottom"/>
          </w:tcPr>
          <w:p w14:paraId="4B7606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3"/>
                <w:szCs w:val="13"/>
                <w:lang w:bidi="ar"/>
              </w:rPr>
              <w:t>(8)</w:t>
            </w:r>
          </w:p>
        </w:tc>
      </w:tr>
      <w:tr w:rsidR="0099058F" w14:paraId="4B76066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65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11,785</w:t>
            </w:r>
          </w:p>
        </w:tc>
        <w:tc>
          <w:tcPr>
            <w:tcW w:w="0" w:type="auto"/>
            <w:tcBorders>
              <w:top w:val="nil"/>
              <w:left w:val="nil"/>
              <w:bottom w:val="nil"/>
              <w:right w:val="nil"/>
            </w:tcBorders>
            <w:shd w:val="clear" w:color="auto" w:fill="auto"/>
            <w:vAlign w:val="bottom"/>
          </w:tcPr>
          <w:p w14:paraId="4B76065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p>
        </w:tc>
        <w:tc>
          <w:tcPr>
            <w:tcW w:w="0" w:type="auto"/>
            <w:tcBorders>
              <w:top w:val="nil"/>
              <w:left w:val="nil"/>
              <w:bottom w:val="nil"/>
              <w:right w:val="nil"/>
            </w:tcBorders>
            <w:shd w:val="clear" w:color="auto" w:fill="auto"/>
            <w:vAlign w:val="bottom"/>
          </w:tcPr>
          <w:p w14:paraId="4B76065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1,377</w:t>
            </w:r>
          </w:p>
        </w:tc>
        <w:tc>
          <w:tcPr>
            <w:tcW w:w="0" w:type="auto"/>
            <w:tcBorders>
              <w:top w:val="nil"/>
              <w:left w:val="nil"/>
              <w:bottom w:val="nil"/>
              <w:right w:val="nil"/>
            </w:tcBorders>
            <w:shd w:val="clear" w:color="auto" w:fill="auto"/>
            <w:vAlign w:val="bottom"/>
          </w:tcPr>
          <w:p w14:paraId="4B76065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1,770</w:t>
            </w:r>
          </w:p>
        </w:tc>
        <w:tc>
          <w:tcPr>
            <w:tcW w:w="0" w:type="auto"/>
            <w:gridSpan w:val="3"/>
            <w:tcBorders>
              <w:top w:val="nil"/>
              <w:left w:val="nil"/>
              <w:bottom w:val="nil"/>
              <w:right w:val="nil"/>
            </w:tcBorders>
            <w:shd w:val="clear" w:color="auto" w:fill="auto"/>
            <w:vAlign w:val="bottom"/>
          </w:tcPr>
          <w:p w14:paraId="4B76066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244</w:t>
            </w:r>
          </w:p>
        </w:tc>
        <w:tc>
          <w:tcPr>
            <w:tcW w:w="0" w:type="auto"/>
            <w:gridSpan w:val="3"/>
            <w:tcBorders>
              <w:top w:val="nil"/>
              <w:left w:val="nil"/>
              <w:bottom w:val="nil"/>
              <w:right w:val="nil"/>
            </w:tcBorders>
            <w:shd w:val="clear" w:color="auto" w:fill="auto"/>
            <w:vAlign w:val="bottom"/>
          </w:tcPr>
          <w:p w14:paraId="4B76066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665" w14:textId="77777777" w:rsidR="0099058F" w:rsidRDefault="0099058F">
            <w:pPr>
              <w:widowControl/>
              <w:jc w:val="left"/>
              <w:rPr>
                <w:rFonts w:ascii="Times New Roman" w:eastAsia="宋体" w:hAnsi="宋体" w:cs="宋体"/>
                <w:kern w:val="0"/>
                <w:sz w:val="24"/>
              </w:rPr>
            </w:pPr>
          </w:p>
        </w:tc>
      </w:tr>
      <w:tr w:rsidR="0099058F" w14:paraId="4B76067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66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6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69"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6A"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6B"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6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6D"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6F"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70" w14:textId="77777777" w:rsidR="0099058F" w:rsidRDefault="0099058F">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71"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72" w14:textId="77777777" w:rsidR="0099058F" w:rsidRDefault="0099058F">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73" w14:textId="77777777" w:rsidR="0099058F" w:rsidRDefault="0099058F">
            <w:pPr>
              <w:widowControl/>
              <w:jc w:val="left"/>
              <w:rPr>
                <w:rFonts w:ascii="宋体" w:eastAsia="宋体" w:hAnsi="宋体" w:cs="宋体"/>
                <w:kern w:val="0"/>
                <w:sz w:val="24"/>
              </w:rPr>
            </w:pPr>
          </w:p>
        </w:tc>
      </w:tr>
      <w:tr w:rsidR="0099058F" w14:paraId="4B76068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67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10,400</w:t>
            </w:r>
          </w:p>
        </w:tc>
        <w:tc>
          <w:tcPr>
            <w:tcW w:w="0" w:type="auto"/>
            <w:tcBorders>
              <w:top w:val="nil"/>
              <w:left w:val="nil"/>
              <w:bottom w:val="nil"/>
              <w:right w:val="nil"/>
            </w:tcBorders>
            <w:shd w:val="clear" w:color="auto" w:fill="auto"/>
            <w:vAlign w:val="bottom"/>
          </w:tcPr>
          <w:p w14:paraId="4B76067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w:t>
            </w:r>
          </w:p>
        </w:tc>
        <w:tc>
          <w:tcPr>
            <w:tcW w:w="0" w:type="auto"/>
            <w:tcBorders>
              <w:top w:val="nil"/>
              <w:left w:val="nil"/>
              <w:bottom w:val="nil"/>
              <w:right w:val="nil"/>
            </w:tcBorders>
            <w:shd w:val="clear" w:color="auto" w:fill="auto"/>
            <w:vAlign w:val="bottom"/>
          </w:tcPr>
          <w:p w14:paraId="4B76067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1,243</w:t>
            </w:r>
          </w:p>
        </w:tc>
        <w:tc>
          <w:tcPr>
            <w:tcW w:w="0" w:type="auto"/>
            <w:tcBorders>
              <w:top w:val="nil"/>
              <w:left w:val="nil"/>
              <w:bottom w:val="nil"/>
              <w:right w:val="nil"/>
            </w:tcBorders>
            <w:shd w:val="clear" w:color="auto" w:fill="auto"/>
            <w:vAlign w:val="bottom"/>
          </w:tcPr>
          <w:p w14:paraId="4B76067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w:t>
            </w:r>
          </w:p>
        </w:tc>
        <w:tc>
          <w:tcPr>
            <w:tcW w:w="0" w:type="auto"/>
            <w:gridSpan w:val="3"/>
            <w:tcBorders>
              <w:top w:val="nil"/>
              <w:left w:val="nil"/>
              <w:bottom w:val="nil"/>
              <w:right w:val="nil"/>
            </w:tcBorders>
            <w:shd w:val="clear" w:color="auto" w:fill="auto"/>
            <w:vAlign w:val="bottom"/>
          </w:tcPr>
          <w:p w14:paraId="4B76067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w:t>
            </w:r>
          </w:p>
        </w:tc>
        <w:tc>
          <w:tcPr>
            <w:tcW w:w="0" w:type="auto"/>
            <w:gridSpan w:val="3"/>
            <w:tcBorders>
              <w:top w:val="nil"/>
              <w:left w:val="nil"/>
              <w:bottom w:val="nil"/>
              <w:right w:val="nil"/>
            </w:tcBorders>
            <w:shd w:val="clear" w:color="auto" w:fill="auto"/>
            <w:vAlign w:val="bottom"/>
          </w:tcPr>
          <w:p w14:paraId="4B76067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681" w14:textId="77777777" w:rsidR="0099058F" w:rsidRDefault="0099058F">
            <w:pPr>
              <w:widowControl/>
              <w:jc w:val="left"/>
              <w:rPr>
                <w:rFonts w:ascii="Times New Roman" w:eastAsia="宋体" w:hAnsi="宋体" w:cs="宋体"/>
                <w:kern w:val="0"/>
                <w:sz w:val="24"/>
              </w:rPr>
            </w:pPr>
          </w:p>
        </w:tc>
      </w:tr>
      <w:tr w:rsidR="0099058F" w14:paraId="4B76069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68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3,414</w:t>
            </w:r>
          </w:p>
        </w:tc>
        <w:tc>
          <w:tcPr>
            <w:tcW w:w="0" w:type="auto"/>
            <w:tcBorders>
              <w:top w:val="nil"/>
              <w:left w:val="nil"/>
              <w:bottom w:val="nil"/>
              <w:right w:val="nil"/>
            </w:tcBorders>
            <w:shd w:val="clear" w:color="auto" w:fill="auto"/>
            <w:vAlign w:val="bottom"/>
          </w:tcPr>
          <w:p w14:paraId="4B76068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auto"/>
            <w:vAlign w:val="bottom"/>
          </w:tcPr>
          <w:p w14:paraId="4B76068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w:t>
            </w:r>
          </w:p>
        </w:tc>
        <w:tc>
          <w:tcPr>
            <w:tcW w:w="0" w:type="auto"/>
            <w:tcBorders>
              <w:top w:val="nil"/>
              <w:left w:val="nil"/>
              <w:bottom w:val="nil"/>
              <w:right w:val="nil"/>
            </w:tcBorders>
            <w:shd w:val="clear" w:color="auto" w:fill="auto"/>
            <w:vAlign w:val="bottom"/>
          </w:tcPr>
          <w:p w14:paraId="4B76068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w:t>
            </w:r>
          </w:p>
        </w:tc>
        <w:tc>
          <w:tcPr>
            <w:tcW w:w="0" w:type="auto"/>
            <w:gridSpan w:val="3"/>
            <w:tcBorders>
              <w:top w:val="nil"/>
              <w:left w:val="nil"/>
              <w:bottom w:val="nil"/>
              <w:right w:val="nil"/>
            </w:tcBorders>
            <w:shd w:val="clear" w:color="auto" w:fill="auto"/>
            <w:vAlign w:val="bottom"/>
          </w:tcPr>
          <w:p w14:paraId="4B76068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w:t>
            </w:r>
          </w:p>
        </w:tc>
        <w:tc>
          <w:tcPr>
            <w:tcW w:w="0" w:type="auto"/>
            <w:gridSpan w:val="3"/>
            <w:tcBorders>
              <w:top w:val="nil"/>
              <w:left w:val="nil"/>
              <w:bottom w:val="nil"/>
              <w:right w:val="nil"/>
            </w:tcBorders>
            <w:shd w:val="clear" w:color="auto" w:fill="auto"/>
            <w:vAlign w:val="bottom"/>
          </w:tcPr>
          <w:p w14:paraId="4B7606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3"/>
                <w:szCs w:val="13"/>
                <w:lang w:bidi="ar"/>
              </w:rPr>
              <w:t>(14)</w:t>
            </w:r>
          </w:p>
        </w:tc>
      </w:tr>
      <w:tr w:rsidR="0099058F" w14:paraId="4B76069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69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11,159</w:t>
            </w:r>
          </w:p>
        </w:tc>
        <w:tc>
          <w:tcPr>
            <w:tcW w:w="0" w:type="auto"/>
            <w:tcBorders>
              <w:top w:val="nil"/>
              <w:left w:val="nil"/>
              <w:bottom w:val="nil"/>
              <w:right w:val="nil"/>
            </w:tcBorders>
            <w:shd w:val="clear" w:color="auto" w:fill="auto"/>
            <w:vAlign w:val="bottom"/>
          </w:tcPr>
          <w:p w14:paraId="4B76069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1,573</w:t>
            </w:r>
          </w:p>
        </w:tc>
        <w:tc>
          <w:tcPr>
            <w:tcW w:w="0" w:type="auto"/>
            <w:tcBorders>
              <w:top w:val="nil"/>
              <w:left w:val="nil"/>
              <w:bottom w:val="nil"/>
              <w:right w:val="nil"/>
            </w:tcBorders>
            <w:shd w:val="clear" w:color="auto" w:fill="auto"/>
            <w:vAlign w:val="bottom"/>
          </w:tcPr>
          <w:p w14:paraId="4B76069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1,346</w:t>
            </w:r>
          </w:p>
        </w:tc>
        <w:tc>
          <w:tcPr>
            <w:tcW w:w="0" w:type="auto"/>
            <w:tcBorders>
              <w:top w:val="nil"/>
              <w:left w:val="nil"/>
              <w:bottom w:val="nil"/>
              <w:right w:val="nil"/>
            </w:tcBorders>
            <w:shd w:val="clear" w:color="auto" w:fill="auto"/>
            <w:vAlign w:val="bottom"/>
          </w:tcPr>
          <w:p w14:paraId="4B76069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w:t>
            </w:r>
          </w:p>
        </w:tc>
        <w:tc>
          <w:tcPr>
            <w:tcW w:w="0" w:type="auto"/>
            <w:gridSpan w:val="3"/>
            <w:tcBorders>
              <w:top w:val="nil"/>
              <w:left w:val="nil"/>
              <w:bottom w:val="nil"/>
              <w:right w:val="nil"/>
            </w:tcBorders>
            <w:shd w:val="clear" w:color="auto" w:fill="auto"/>
            <w:vAlign w:val="bottom"/>
          </w:tcPr>
          <w:p w14:paraId="4B76069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w:t>
            </w:r>
          </w:p>
        </w:tc>
        <w:tc>
          <w:tcPr>
            <w:tcW w:w="0" w:type="auto"/>
            <w:gridSpan w:val="3"/>
            <w:tcBorders>
              <w:top w:val="nil"/>
              <w:left w:val="nil"/>
              <w:bottom w:val="nil"/>
              <w:right w:val="nil"/>
            </w:tcBorders>
            <w:shd w:val="clear" w:color="auto" w:fill="auto"/>
            <w:vAlign w:val="bottom"/>
          </w:tcPr>
          <w:p w14:paraId="4B76069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69D" w14:textId="77777777" w:rsidR="0099058F" w:rsidRDefault="0099058F">
            <w:pPr>
              <w:widowControl/>
              <w:jc w:val="left"/>
              <w:rPr>
                <w:rFonts w:ascii="Times New Roman" w:eastAsia="宋体" w:hAnsi="宋体" w:cs="宋体"/>
                <w:kern w:val="0"/>
                <w:sz w:val="24"/>
              </w:rPr>
            </w:pPr>
          </w:p>
        </w:tc>
      </w:tr>
      <w:tr w:rsidR="0099058F" w14:paraId="4B7606A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69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A1"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A3"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6A5"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A7"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06A9"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6AB" w14:textId="77777777" w:rsidR="0099058F" w:rsidRDefault="0099058F">
            <w:pPr>
              <w:widowControl/>
              <w:jc w:val="left"/>
              <w:rPr>
                <w:rFonts w:ascii="Times New Roman" w:eastAsia="宋体" w:hAnsi="宋体" w:cs="宋体"/>
                <w:kern w:val="0"/>
                <w:sz w:val="24"/>
              </w:rPr>
            </w:pPr>
          </w:p>
        </w:tc>
      </w:tr>
      <w:tr w:rsidR="0099058F" w14:paraId="4B7606B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6A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10,000</w:t>
            </w:r>
          </w:p>
        </w:tc>
        <w:tc>
          <w:tcPr>
            <w:tcW w:w="0" w:type="auto"/>
            <w:tcBorders>
              <w:top w:val="nil"/>
              <w:left w:val="nil"/>
              <w:bottom w:val="nil"/>
              <w:right w:val="nil"/>
            </w:tcBorders>
            <w:shd w:val="clear" w:color="auto" w:fill="auto"/>
            <w:vAlign w:val="bottom"/>
          </w:tcPr>
          <w:p w14:paraId="4B7606A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w:t>
            </w:r>
          </w:p>
        </w:tc>
        <w:tc>
          <w:tcPr>
            <w:tcW w:w="0" w:type="auto"/>
            <w:tcBorders>
              <w:top w:val="nil"/>
              <w:left w:val="nil"/>
              <w:bottom w:val="nil"/>
              <w:right w:val="nil"/>
            </w:tcBorders>
            <w:shd w:val="clear" w:color="auto" w:fill="auto"/>
            <w:vAlign w:val="bottom"/>
          </w:tcPr>
          <w:p w14:paraId="4B7606B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1,207</w:t>
            </w:r>
          </w:p>
        </w:tc>
        <w:tc>
          <w:tcPr>
            <w:tcW w:w="0" w:type="auto"/>
            <w:tcBorders>
              <w:top w:val="nil"/>
              <w:left w:val="nil"/>
              <w:bottom w:val="nil"/>
              <w:right w:val="nil"/>
            </w:tcBorders>
            <w:shd w:val="clear" w:color="auto" w:fill="auto"/>
            <w:vAlign w:val="bottom"/>
          </w:tcPr>
          <w:p w14:paraId="4B7606B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w:t>
            </w:r>
          </w:p>
        </w:tc>
        <w:tc>
          <w:tcPr>
            <w:tcW w:w="0" w:type="auto"/>
            <w:gridSpan w:val="3"/>
            <w:tcBorders>
              <w:top w:val="nil"/>
              <w:left w:val="nil"/>
              <w:bottom w:val="nil"/>
              <w:right w:val="nil"/>
            </w:tcBorders>
            <w:shd w:val="clear" w:color="auto" w:fill="auto"/>
            <w:vAlign w:val="bottom"/>
          </w:tcPr>
          <w:p w14:paraId="4B7606B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w:t>
            </w:r>
          </w:p>
        </w:tc>
        <w:tc>
          <w:tcPr>
            <w:tcW w:w="0" w:type="auto"/>
            <w:gridSpan w:val="3"/>
            <w:tcBorders>
              <w:top w:val="nil"/>
              <w:left w:val="nil"/>
              <w:bottom w:val="nil"/>
              <w:right w:val="nil"/>
            </w:tcBorders>
            <w:shd w:val="clear" w:color="auto" w:fill="auto"/>
            <w:vAlign w:val="bottom"/>
          </w:tcPr>
          <w:p w14:paraId="4B7606B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6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6B9" w14:textId="77777777" w:rsidR="0099058F" w:rsidRDefault="0099058F">
            <w:pPr>
              <w:widowControl/>
              <w:jc w:val="left"/>
              <w:rPr>
                <w:rFonts w:ascii="Times New Roman" w:eastAsia="宋体" w:hAnsi="宋体" w:cs="宋体"/>
                <w:kern w:val="0"/>
                <w:sz w:val="24"/>
              </w:rPr>
            </w:pPr>
          </w:p>
        </w:tc>
      </w:tr>
      <w:tr w:rsidR="0099058F" w14:paraId="4B7606C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6B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3,282</w:t>
            </w:r>
          </w:p>
        </w:tc>
        <w:tc>
          <w:tcPr>
            <w:tcW w:w="0" w:type="auto"/>
            <w:tcBorders>
              <w:top w:val="nil"/>
              <w:left w:val="nil"/>
              <w:bottom w:val="nil"/>
              <w:right w:val="nil"/>
            </w:tcBorders>
            <w:shd w:val="clear" w:color="auto" w:fill="auto"/>
            <w:vAlign w:val="bottom"/>
          </w:tcPr>
          <w:p w14:paraId="4B7606B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auto"/>
            <w:vAlign w:val="bottom"/>
          </w:tcPr>
          <w:p w14:paraId="4B7606B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nil"/>
              <w:left w:val="nil"/>
              <w:bottom w:val="nil"/>
              <w:right w:val="nil"/>
            </w:tcBorders>
            <w:shd w:val="clear" w:color="auto" w:fill="auto"/>
            <w:vAlign w:val="bottom"/>
          </w:tcPr>
          <w:p w14:paraId="4B7606C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gridSpan w:val="3"/>
            <w:tcBorders>
              <w:top w:val="nil"/>
              <w:left w:val="nil"/>
              <w:bottom w:val="nil"/>
              <w:right w:val="nil"/>
            </w:tcBorders>
            <w:shd w:val="clear" w:color="auto" w:fill="auto"/>
            <w:vAlign w:val="bottom"/>
          </w:tcPr>
          <w:p w14:paraId="4B7606C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gridSpan w:val="3"/>
            <w:tcBorders>
              <w:top w:val="nil"/>
              <w:left w:val="nil"/>
              <w:bottom w:val="nil"/>
              <w:right w:val="nil"/>
            </w:tcBorders>
            <w:shd w:val="clear" w:color="auto" w:fill="auto"/>
            <w:vAlign w:val="bottom"/>
          </w:tcPr>
          <w:p w14:paraId="4B7606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6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6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6C8" w14:textId="77777777" w:rsidR="0099058F" w:rsidRDefault="0099058F">
            <w:pPr>
              <w:widowControl/>
              <w:jc w:val="right"/>
              <w:rPr>
                <w:rFonts w:ascii="Times New Roman" w:eastAsia="宋体" w:hAnsi="宋体" w:cs="宋体"/>
                <w:kern w:val="0"/>
                <w:sz w:val="24"/>
              </w:rPr>
            </w:pPr>
          </w:p>
        </w:tc>
      </w:tr>
      <w:tr w:rsidR="0099058F" w14:paraId="4B7606D7" w14:textId="77777777">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tcPr>
          <w:p w14:paraId="4B7606C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w:t>
            </w:r>
            <w:r>
              <w:rPr>
                <w:rFonts w:ascii="Arial" w:eastAsia="宋体" w:hAnsi="Arial" w:cs="Arial"/>
                <w:color w:val="000000"/>
                <w:kern w:val="0"/>
                <w:sz w:val="20"/>
                <w:szCs w:val="20"/>
                <w:lang w:bidi="ar"/>
              </w:rPr>
              <w:t>ulative firm orders</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10,764</w:t>
            </w:r>
          </w:p>
        </w:tc>
        <w:tc>
          <w:tcPr>
            <w:tcW w:w="0" w:type="auto"/>
            <w:tcBorders>
              <w:top w:val="nil"/>
              <w:left w:val="nil"/>
              <w:bottom w:val="nil"/>
              <w:right w:val="nil"/>
            </w:tcBorders>
            <w:shd w:val="clear" w:color="auto" w:fill="auto"/>
            <w:vAlign w:val="bottom"/>
          </w:tcPr>
          <w:p w14:paraId="4B7606C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w:t>
            </w:r>
          </w:p>
        </w:tc>
        <w:tc>
          <w:tcPr>
            <w:tcW w:w="0" w:type="auto"/>
            <w:tcBorders>
              <w:top w:val="nil"/>
              <w:left w:val="nil"/>
              <w:bottom w:val="nil"/>
              <w:right w:val="nil"/>
            </w:tcBorders>
            <w:shd w:val="clear" w:color="auto" w:fill="auto"/>
            <w:vAlign w:val="bottom"/>
          </w:tcPr>
          <w:p w14:paraId="4B7606C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1,281</w:t>
            </w:r>
          </w:p>
        </w:tc>
        <w:tc>
          <w:tcPr>
            <w:tcW w:w="0" w:type="auto"/>
            <w:tcBorders>
              <w:top w:val="nil"/>
              <w:left w:val="nil"/>
              <w:bottom w:val="nil"/>
              <w:right w:val="nil"/>
            </w:tcBorders>
            <w:shd w:val="clear" w:color="auto" w:fill="auto"/>
            <w:vAlign w:val="bottom"/>
          </w:tcPr>
          <w:p w14:paraId="4B7606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1,694</w:t>
            </w:r>
          </w:p>
        </w:tc>
        <w:tc>
          <w:tcPr>
            <w:tcW w:w="0" w:type="auto"/>
            <w:gridSpan w:val="3"/>
            <w:tcBorders>
              <w:top w:val="nil"/>
              <w:left w:val="nil"/>
              <w:bottom w:val="nil"/>
              <w:right w:val="nil"/>
            </w:tcBorders>
            <w:shd w:val="clear" w:color="auto" w:fill="auto"/>
            <w:vAlign w:val="bottom"/>
          </w:tcPr>
          <w:p w14:paraId="4B7606D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gridSpan w:val="3"/>
            <w:tcBorders>
              <w:top w:val="nil"/>
              <w:left w:val="nil"/>
              <w:bottom w:val="nil"/>
              <w:right w:val="nil"/>
            </w:tcBorders>
            <w:shd w:val="clear" w:color="auto" w:fill="auto"/>
            <w:vAlign w:val="bottom"/>
          </w:tcPr>
          <w:p w14:paraId="4B7606D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06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1,450</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06D6" w14:textId="77777777" w:rsidR="0099058F" w:rsidRDefault="0099058F">
            <w:pPr>
              <w:widowControl/>
              <w:jc w:val="left"/>
              <w:rPr>
                <w:rFonts w:ascii="Times New Roman" w:eastAsia="宋体" w:hAnsi="宋体" w:cs="宋体"/>
                <w:kern w:val="0"/>
                <w:sz w:val="24"/>
              </w:rPr>
            </w:pPr>
          </w:p>
        </w:tc>
      </w:tr>
    </w:tbl>
    <w:p w14:paraId="4B7606D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16"/>
          <w:szCs w:val="16"/>
          <w:lang w:bidi="ar"/>
        </w:rPr>
        <w:t>†</w:t>
      </w:r>
      <w:r>
        <w:rPr>
          <w:rFonts w:ascii="Arial" w:eastAsia="宋体" w:hAnsi="Arial" w:cs="Arial"/>
          <w:color w:val="000000"/>
          <w:kern w:val="0"/>
          <w:sz w:val="20"/>
          <w:szCs w:val="20"/>
          <w:lang w:bidi="ar"/>
        </w:rPr>
        <w:t xml:space="preserve"> Aircraft ordered by BCC are identified in parentheses.</w:t>
      </w:r>
    </w:p>
    <w:p w14:paraId="4B7606D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4B7606D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Program</w:t>
      </w:r>
      <w:r>
        <w:rPr>
          <w:rFonts w:ascii="Arial" w:eastAsia="宋体" w:hAnsi="Arial" w:cs="Arial"/>
          <w:color w:val="000000"/>
          <w:kern w:val="0"/>
          <w:sz w:val="20"/>
          <w:szCs w:val="20"/>
          <w:lang w:bidi="ar"/>
        </w:rPr>
        <w:t xml:space="preserve"> The accounting quantity for the 737 program increased by 400 units during 2022 due to the program's normal progress of obtaining additional orders and delivering airplanes. </w:t>
      </w:r>
    </w:p>
    <w:p w14:paraId="4B7606D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increased the production rate to 31 per month in 2022, and expect to implement</w:t>
      </w:r>
      <w:r>
        <w:rPr>
          <w:rFonts w:ascii="Arial" w:eastAsia="宋体" w:hAnsi="Arial" w:cs="Arial"/>
          <w:color w:val="000000"/>
          <w:kern w:val="0"/>
          <w:sz w:val="20"/>
          <w:szCs w:val="20"/>
          <w:lang w:bidi="ar"/>
        </w:rPr>
        <w:t xml:space="preserve"> further gradual production rate increases based on market demand and supply chain capacity. We expensed abnormal production costs of $188 million and $1,887 million during the years ended December 31, 2022 and 2021. </w:t>
      </w:r>
    </w:p>
    <w:p w14:paraId="4B7606D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Over 190 countries have approved the r</w:t>
      </w:r>
      <w:r>
        <w:rPr>
          <w:rFonts w:ascii="Arial" w:eastAsia="宋体" w:hAnsi="Arial" w:cs="Arial"/>
          <w:color w:val="000000"/>
          <w:kern w:val="0"/>
          <w:sz w:val="20"/>
          <w:szCs w:val="20"/>
          <w:lang w:bidi="ar"/>
        </w:rPr>
        <w:t>esumption of 737 MAX operations. The first 737 MAX passenger flight in China since 2019 occurred on January 13, 2023. There is uncertainty regarding timing of resumption of deliveries in China, which are still subject to final regulatory approvals. We cont</w:t>
      </w:r>
      <w:r>
        <w:rPr>
          <w:rFonts w:ascii="Arial" w:eastAsia="宋体" w:hAnsi="Arial" w:cs="Arial"/>
          <w:color w:val="000000"/>
          <w:kern w:val="0"/>
          <w:sz w:val="20"/>
          <w:szCs w:val="20"/>
          <w:lang w:bidi="ar"/>
        </w:rPr>
        <w:t>inue to work with a small number of customers who have requested to defer deliveries or to cancel orders for 737 MAX aircraft, and we are remarketing and/or delaying deliveries of certain aircraft included within inventory.</w:t>
      </w:r>
    </w:p>
    <w:p w14:paraId="4B7606D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approximately 250 aircra</w:t>
      </w:r>
      <w:r>
        <w:rPr>
          <w:rFonts w:ascii="Arial" w:eastAsia="宋体" w:hAnsi="Arial" w:cs="Arial"/>
          <w:color w:val="000000"/>
          <w:kern w:val="0"/>
          <w:sz w:val="20"/>
          <w:szCs w:val="20"/>
          <w:lang w:bidi="ar"/>
        </w:rPr>
        <w:t xml:space="preserve">ft in inventory as of December 31, 2022, including approximately 140 aircraft in inventory that are designated for customers in China. We are remarketing some of these aircraft to other customers. We anticipate delivering most of the aircraft in inventory </w:t>
      </w:r>
      <w:r>
        <w:rPr>
          <w:rFonts w:ascii="Arial" w:eastAsia="宋体" w:hAnsi="Arial" w:cs="Arial"/>
          <w:color w:val="000000"/>
          <w:kern w:val="0"/>
          <w:sz w:val="20"/>
          <w:szCs w:val="20"/>
          <w:lang w:bidi="ar"/>
        </w:rPr>
        <w:t>by the end of 2024. In the event that we are unable to resume aircraft deliveries in China or remarket those aircraft and/or ramp up deliveries consistent with our assumptions, our expectation of delivery timing could be impacted.</w:t>
      </w:r>
    </w:p>
    <w:p w14:paraId="4B7606D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31</w:t>
      </w:r>
    </w:p>
    <w:p w14:paraId="4B7606DF" w14:textId="77777777" w:rsidR="0099058F" w:rsidRDefault="00EB2559">
      <w:pPr>
        <w:widowControl/>
        <w:jc w:val="center"/>
      </w:pPr>
      <w:r>
        <w:rPr>
          <w:rFonts w:ascii="宋体" w:eastAsia="宋体" w:hAnsi="宋体" w:cs="宋体"/>
          <w:kern w:val="0"/>
          <w:sz w:val="24"/>
        </w:rPr>
        <w:pict w14:anchorId="4B763C16">
          <v:rect id="_x0000_i1057" style="width:6in;height:1.5pt" o:hralign="center" o:hrstd="t" o:hr="t" fillcolor="#a0a0a0" stroked="f"/>
        </w:pict>
      </w:r>
    </w:p>
    <w:p w14:paraId="4B7606E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6E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737-7 and 737-10 models are currently going through FAA certification. The Consolidated Appropriations Act, 2023 amended Section 116 of the ACSAA, such that applications for original or amended t</w:t>
      </w:r>
      <w:r>
        <w:rPr>
          <w:rFonts w:ascii="Arial" w:eastAsia="宋体" w:hAnsi="Arial" w:cs="Arial"/>
          <w:color w:val="000000"/>
          <w:kern w:val="0"/>
          <w:sz w:val="20"/>
          <w:szCs w:val="20"/>
          <w:lang w:bidi="ar"/>
        </w:rPr>
        <w:t xml:space="preserve">ype certifications that were submitted to the FAA prior to December 27, 2020, including those of the 737-7 and 737-10, are no longer subject to the crew alerting specifications of Section 116. Additionally, beginning one year after the FAA issues the type </w:t>
      </w:r>
      <w:r>
        <w:rPr>
          <w:rFonts w:ascii="Arial" w:eastAsia="宋体" w:hAnsi="Arial" w:cs="Arial"/>
          <w:color w:val="000000"/>
          <w:kern w:val="0"/>
          <w:sz w:val="20"/>
          <w:szCs w:val="20"/>
          <w:lang w:bidi="ar"/>
        </w:rPr>
        <w:t>certificate for the 737-10, any new 737 MAX aircraft must include certain safety enhancements to be issued an original airworthiness certification by the FAA. These enhancements are included in Boeing’s application for the certification for the 737-10, and</w:t>
      </w:r>
      <w:r>
        <w:rPr>
          <w:rFonts w:ascii="Arial" w:eastAsia="宋体" w:hAnsi="Arial" w:cs="Arial"/>
          <w:color w:val="000000"/>
          <w:kern w:val="0"/>
          <w:sz w:val="20"/>
          <w:szCs w:val="20"/>
          <w:lang w:bidi="ar"/>
        </w:rPr>
        <w:t xml:space="preserve"> the sufficiency of these enhancements will be determined by the FAA. Beginning three years after the issuance of a type certificate for the 737-10, all previously delivered 737 MAX aircraft must be retrofitted with these safety enhancements. As the holder</w:t>
      </w:r>
      <w:r>
        <w:rPr>
          <w:rFonts w:ascii="Arial" w:eastAsia="宋体" w:hAnsi="Arial" w:cs="Arial"/>
          <w:color w:val="000000"/>
          <w:kern w:val="0"/>
          <w:sz w:val="20"/>
          <w:szCs w:val="20"/>
          <w:lang w:bidi="ar"/>
        </w:rPr>
        <w:t xml:space="preserve"> of the type certificate, Boeing is required to bear any costs of these safety enhancement retrofits. We have provisioned for the estimated costs associated with the safety enhancements and do not expect those costs to be material.</w:t>
      </w:r>
    </w:p>
    <w:p w14:paraId="4B7606E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following the lea</w:t>
      </w:r>
      <w:r>
        <w:rPr>
          <w:rFonts w:ascii="Arial" w:eastAsia="宋体" w:hAnsi="Arial" w:cs="Arial"/>
          <w:color w:val="000000"/>
          <w:kern w:val="0"/>
          <w:sz w:val="20"/>
          <w:szCs w:val="20"/>
          <w:lang w:bidi="ar"/>
        </w:rPr>
        <w:t>d of the FAA as we work through the certification process, and currently expect the 737-7 to be certified and delivered in 2023, and the 737-10 to begin FAA certification flight testing in 2023 with first delivery in in 2024. At December 31, 2022, we had 2</w:t>
      </w:r>
      <w:r>
        <w:rPr>
          <w:rFonts w:ascii="Arial" w:eastAsia="宋体" w:hAnsi="Arial" w:cs="Arial"/>
          <w:color w:val="000000"/>
          <w:kern w:val="0"/>
          <w:sz w:val="20"/>
          <w:szCs w:val="20"/>
          <w:lang w:bidi="ar"/>
        </w:rPr>
        <w:t xml:space="preserve">7 737-7 and 3 737-10 aircraft in inventory and 236 737-7 and 720 737-10 aircraft in backlog and have delivered a total of 1,033 737 MAX aircraft. If we experience delays in achieving certification and/or incorporating safety enhancements, future revenues, </w:t>
      </w:r>
      <w:r>
        <w:rPr>
          <w:rFonts w:ascii="Arial" w:eastAsia="宋体" w:hAnsi="Arial" w:cs="Arial"/>
          <w:color w:val="000000"/>
          <w:kern w:val="0"/>
          <w:sz w:val="20"/>
          <w:szCs w:val="20"/>
          <w:lang w:bidi="ar"/>
        </w:rPr>
        <w:t xml:space="preserve">cash flows and results of operations could be adversely impacted. </w:t>
      </w:r>
    </w:p>
    <w:p w14:paraId="4B7606E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further discussion of the 737 MAX in Note 7 and Note 13 to our Consolidated Financial Statements</w:t>
      </w:r>
      <w:r>
        <w:rPr>
          <w:rFonts w:ascii="Arial" w:eastAsia="宋体" w:hAnsi="Arial" w:cs="Arial"/>
          <w:i/>
          <w:iCs/>
          <w:color w:val="000000"/>
          <w:kern w:val="0"/>
          <w:sz w:val="20"/>
          <w:szCs w:val="20"/>
          <w:lang w:bidi="ar"/>
        </w:rPr>
        <w:t>.</w:t>
      </w:r>
    </w:p>
    <w:p w14:paraId="4B7606E4"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747 Program</w:t>
      </w:r>
      <w:r>
        <w:rPr>
          <w:rFonts w:ascii="Arial" w:eastAsia="宋体" w:hAnsi="Arial" w:cs="Arial"/>
          <w:color w:val="000000"/>
          <w:kern w:val="0"/>
          <w:sz w:val="20"/>
          <w:szCs w:val="20"/>
          <w:lang w:bidi="ar"/>
        </w:rPr>
        <w:t xml:space="preserve"> We completed production of the 747 in the fourth quarter of 2022 and delivery of the last aircraft is expected to occur in early 2023. Ending production of the 747 did not have a material impact on our financial position, results of operations or cash flo</w:t>
      </w:r>
      <w:r>
        <w:rPr>
          <w:rFonts w:ascii="Arial" w:eastAsia="宋体" w:hAnsi="Arial" w:cs="Arial"/>
          <w:color w:val="000000"/>
          <w:kern w:val="0"/>
          <w:sz w:val="20"/>
          <w:szCs w:val="20"/>
          <w:lang w:bidi="ar"/>
        </w:rPr>
        <w:t>ws.</w:t>
      </w:r>
    </w:p>
    <w:p w14:paraId="4B7606E5"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767 Program</w:t>
      </w:r>
      <w:r>
        <w:rPr>
          <w:rFonts w:ascii="Arial" w:eastAsia="宋体" w:hAnsi="Arial" w:cs="Arial"/>
          <w:color w:val="000000"/>
          <w:kern w:val="0"/>
          <w:sz w:val="20"/>
          <w:szCs w:val="20"/>
          <w:lang w:bidi="ar"/>
        </w:rPr>
        <w:t xml:space="preserve"> The accounting quantity for the 767 program increased by 24 units during 2022 due to the program's normal progress of obtaining additional orders and delivering airplanes. The 767 assembly line includes the commercial program and a derivative to support t</w:t>
      </w:r>
      <w:r>
        <w:rPr>
          <w:rFonts w:ascii="Arial" w:eastAsia="宋体" w:hAnsi="Arial" w:cs="Arial"/>
          <w:color w:val="000000"/>
          <w:kern w:val="0"/>
          <w:sz w:val="20"/>
          <w:szCs w:val="20"/>
          <w:lang w:bidi="ar"/>
        </w:rPr>
        <w:t>he KC-46A Tanker program. The commercial program has near break-even gross margins. We are currently producing at a combined rate of 3 aircraft per month.</w:t>
      </w:r>
    </w:p>
    <w:p w14:paraId="4B7606E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 and 777X Programs</w:t>
      </w:r>
      <w:r>
        <w:rPr>
          <w:rFonts w:ascii="Arial" w:eastAsia="宋体" w:hAnsi="Arial" w:cs="Arial"/>
          <w:color w:val="000000"/>
          <w:kern w:val="0"/>
          <w:sz w:val="20"/>
          <w:szCs w:val="20"/>
          <w:lang w:bidi="ar"/>
        </w:rPr>
        <w:t xml:space="preserve"> The accounting quantity for the 777 program increased by 40 units during 2022 d</w:t>
      </w:r>
      <w:r>
        <w:rPr>
          <w:rFonts w:ascii="Arial" w:eastAsia="宋体" w:hAnsi="Arial" w:cs="Arial"/>
          <w:color w:val="000000"/>
          <w:kern w:val="0"/>
          <w:sz w:val="20"/>
          <w:szCs w:val="20"/>
          <w:lang w:bidi="ar"/>
        </w:rPr>
        <w:t>ue to the program's normal progress of obtaining additional orders and delivering airplanes. We are currently producing at a combined production rate of 3 per month for the 777/777X programs. The accounting quantity for the 777X program increased by 50 uni</w:t>
      </w:r>
      <w:r>
        <w:rPr>
          <w:rFonts w:ascii="Arial" w:eastAsia="宋体" w:hAnsi="Arial" w:cs="Arial"/>
          <w:color w:val="000000"/>
          <w:kern w:val="0"/>
          <w:sz w:val="20"/>
          <w:szCs w:val="20"/>
          <w:lang w:bidi="ar"/>
        </w:rPr>
        <w:t xml:space="preserve">ts during 2022 reflecting the launch of the 777X-8 freighter during the first quarter of 2022. First delivery of the 777X-8 freighter is expected in 2027. </w:t>
      </w:r>
    </w:p>
    <w:p w14:paraId="4B7606E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revised the estimated first delivery date of the 777X-9, previo</w:t>
      </w:r>
      <w:r>
        <w:rPr>
          <w:rFonts w:ascii="Arial" w:eastAsia="宋体" w:hAnsi="Arial" w:cs="Arial"/>
          <w:color w:val="000000"/>
          <w:kern w:val="0"/>
          <w:sz w:val="20"/>
          <w:szCs w:val="20"/>
          <w:lang w:bidi="ar"/>
        </w:rPr>
        <w:t>usly expected in late 2023, and now expect it will occur in 2025, based on an updated assessment of the time required to meet certification requirements. We are working towards Type Inspection Authorization (TIA) which will enable us to begin FAA certifica</w:t>
      </w:r>
      <w:r>
        <w:rPr>
          <w:rFonts w:ascii="Arial" w:eastAsia="宋体" w:hAnsi="Arial" w:cs="Arial"/>
          <w:color w:val="000000"/>
          <w:kern w:val="0"/>
          <w:sz w:val="20"/>
          <w:szCs w:val="20"/>
          <w:lang w:bidi="ar"/>
        </w:rPr>
        <w:t>tion flight testing. The timing of TIA and certification will ultimately be determined by the regulators, and further determinations with respect to anticipated certification requirements could result in additional delays in entry into service and/or addit</w:t>
      </w:r>
      <w:r>
        <w:rPr>
          <w:rFonts w:ascii="Arial" w:eastAsia="宋体" w:hAnsi="Arial" w:cs="Arial"/>
          <w:color w:val="000000"/>
          <w:kern w:val="0"/>
          <w:sz w:val="20"/>
          <w:szCs w:val="20"/>
          <w:lang w:bidi="ar"/>
        </w:rPr>
        <w:t>ional cost increases.</w:t>
      </w:r>
    </w:p>
    <w:p w14:paraId="4B7606E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April 2022, we decided to pause production of the 777X-9 during 2022 and 2023. We implemented the production pause during the second quarter of 2022, and it is expected to result in abnormal production costs of approximately $1.5 b</w:t>
      </w:r>
      <w:r>
        <w:rPr>
          <w:rFonts w:ascii="Arial" w:eastAsia="宋体" w:hAnsi="Arial" w:cs="Arial"/>
          <w:color w:val="000000"/>
          <w:kern w:val="0"/>
          <w:sz w:val="20"/>
          <w:szCs w:val="20"/>
          <w:lang w:bidi="ar"/>
        </w:rPr>
        <w:t>illion that are being expensed as incurred until 777X-9 production resumes. During the year ended December 31, 2022, $0.3 billion of abnormal costs were period expensed.</w:t>
      </w:r>
    </w:p>
    <w:p w14:paraId="4B7606E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32</w:t>
      </w:r>
    </w:p>
    <w:p w14:paraId="4B7606EA" w14:textId="77777777" w:rsidR="0099058F" w:rsidRDefault="00EB2559">
      <w:pPr>
        <w:widowControl/>
        <w:jc w:val="center"/>
      </w:pPr>
      <w:r>
        <w:rPr>
          <w:rFonts w:ascii="宋体" w:eastAsia="宋体" w:hAnsi="宋体" w:cs="宋体"/>
          <w:kern w:val="0"/>
          <w:sz w:val="24"/>
        </w:rPr>
        <w:pict w14:anchorId="4B763C17">
          <v:rect id="_x0000_i1058" style="width:6in;height:1.5pt" o:hralign="center" o:hrstd="t" o:hr="t" fillcolor="#a0a0a0" stroked="f"/>
        </w:pict>
      </w:r>
    </w:p>
    <w:p w14:paraId="4B7606E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6E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777X program had near break-even gross margins at December 31, 2022. The level of profitability on the 777X program will be subject to a number of factors. These factors include continued production disruption due to labor instability and supply chain </w:t>
      </w:r>
      <w:r>
        <w:rPr>
          <w:rFonts w:ascii="Arial" w:eastAsia="宋体" w:hAnsi="Arial" w:cs="Arial"/>
          <w:color w:val="000000"/>
          <w:kern w:val="0"/>
          <w:sz w:val="20"/>
          <w:szCs w:val="20"/>
          <w:lang w:bidi="ar"/>
        </w:rPr>
        <w:t>disruption, customer negotiations, further production rate adjustments for the 777X or other commercial aircraft programs, contraction of the accounting quantity and potential risks associated with the testing program and the timing of aircraft certificati</w:t>
      </w:r>
      <w:r>
        <w:rPr>
          <w:rFonts w:ascii="Arial" w:eastAsia="宋体" w:hAnsi="Arial" w:cs="Arial"/>
          <w:color w:val="000000"/>
          <w:kern w:val="0"/>
          <w:sz w:val="20"/>
          <w:szCs w:val="20"/>
          <w:lang w:bidi="ar"/>
        </w:rPr>
        <w:t>on. One or more of these factors could result in additional reach-forward losses on the 777X program in future periods.</w:t>
      </w:r>
    </w:p>
    <w:p w14:paraId="4B7606E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787 Program</w:t>
      </w:r>
      <w:r>
        <w:rPr>
          <w:rFonts w:ascii="Arial" w:eastAsia="宋体" w:hAnsi="Arial" w:cs="Arial"/>
          <w:color w:val="000000"/>
          <w:kern w:val="0"/>
          <w:sz w:val="20"/>
          <w:szCs w:val="20"/>
          <w:lang w:bidi="ar"/>
        </w:rPr>
        <w:t xml:space="preserve"> During the fourth quarter of 2022, we increased the accounting quantity for the 787 program by 100 units due to the program’</w:t>
      </w:r>
      <w:r>
        <w:rPr>
          <w:rFonts w:ascii="Arial" w:eastAsia="宋体" w:hAnsi="Arial" w:cs="Arial"/>
          <w:color w:val="000000"/>
          <w:kern w:val="0"/>
          <w:sz w:val="20"/>
          <w:szCs w:val="20"/>
          <w:lang w:bidi="ar"/>
        </w:rPr>
        <w:t>s normal progress of obtaining additional orders and delivering aircraft. The increase in the accounting quantity improved the program’s profit margin.</w:t>
      </w:r>
    </w:p>
    <w:p w14:paraId="4B7606E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received FAA authorization to resume delivery on July 28, 2022 and deliveries resumed in August. Duri</w:t>
      </w:r>
      <w:r>
        <w:rPr>
          <w:rFonts w:ascii="Arial" w:eastAsia="宋体" w:hAnsi="Arial" w:cs="Arial"/>
          <w:color w:val="000000"/>
          <w:kern w:val="0"/>
          <w:sz w:val="20"/>
          <w:szCs w:val="20"/>
          <w:lang w:bidi="ar"/>
        </w:rPr>
        <w:t>ng 2022, we delivered 31 aircraft to customers. We continue to conduct inspections and rework on undelivered aircraft. During 2021, we delivered 14 aircraft between March and May 2021 prior to deliveries being paused in May 2021 due to production quality i</w:t>
      </w:r>
      <w:r>
        <w:rPr>
          <w:rFonts w:ascii="Arial" w:eastAsia="宋体" w:hAnsi="Arial" w:cs="Arial"/>
          <w:color w:val="000000"/>
          <w:kern w:val="0"/>
          <w:sz w:val="20"/>
          <w:szCs w:val="20"/>
          <w:lang w:bidi="ar"/>
        </w:rPr>
        <w:t>ssues including in our supply chain. We have implemented changes in the production process designed to ensure that newly-built airplanes meet our specifications and do not require further inspections and rework. At December 31, 2022, and 2021, we had appro</w:t>
      </w:r>
      <w:r>
        <w:rPr>
          <w:rFonts w:ascii="Arial" w:eastAsia="宋体" w:hAnsi="Arial" w:cs="Arial"/>
          <w:color w:val="000000"/>
          <w:kern w:val="0"/>
          <w:sz w:val="20"/>
          <w:szCs w:val="20"/>
          <w:lang w:bidi="ar"/>
        </w:rPr>
        <w:t xml:space="preserve">ximately 100 and 110 aircraft in inventory. Most of the aircraft in inventory at December 31, 2022 are expected to deliver by the end of 2024. </w:t>
      </w:r>
    </w:p>
    <w:p w14:paraId="4B7606E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currently producing at low rates and expect to gradually return to 5 per month in 2023. In the third quar</w:t>
      </w:r>
      <w:r>
        <w:rPr>
          <w:rFonts w:ascii="Arial" w:eastAsia="宋体" w:hAnsi="Arial" w:cs="Arial"/>
          <w:color w:val="000000"/>
          <w:kern w:val="0"/>
          <w:sz w:val="20"/>
          <w:szCs w:val="20"/>
          <w:lang w:bidi="ar"/>
        </w:rPr>
        <w:t>ter of 2021, we determined that production rates below 5 per month represented abnormally low production rates and result in abnormal production costs. We also determined that the inspections and rework costs on inventoried aircraft are excessive and shoul</w:t>
      </w:r>
      <w:r>
        <w:rPr>
          <w:rFonts w:ascii="Arial" w:eastAsia="宋体" w:hAnsi="Arial" w:cs="Arial"/>
          <w:color w:val="000000"/>
          <w:kern w:val="0"/>
          <w:sz w:val="20"/>
          <w:szCs w:val="20"/>
          <w:lang w:bidi="ar"/>
        </w:rPr>
        <w:t>d also be accounted for as abnormal production costs that are required to be expensed as incurred. Cumulative abnormal costs recorded through December 31, 2022 totaled $1.7 billion. During the fourth quarter of 2022 we adjusted the total estimate of abnorm</w:t>
      </w:r>
      <w:r>
        <w:rPr>
          <w:rFonts w:ascii="Arial" w:eastAsia="宋体" w:hAnsi="Arial" w:cs="Arial"/>
          <w:color w:val="000000"/>
          <w:kern w:val="0"/>
          <w:sz w:val="20"/>
          <w:szCs w:val="20"/>
          <w:lang w:bidi="ar"/>
        </w:rPr>
        <w:t>al production costs up to $2.8 billion with most being incurred by the end of 2023. At December 31, 2021, we were expecting to incur approximately $2 billion of abnormal production costs on a cumulative basis. The increase was primarily driven by a decisio</w:t>
      </w:r>
      <w:r>
        <w:rPr>
          <w:rFonts w:ascii="Arial" w:eastAsia="宋体" w:hAnsi="Arial" w:cs="Arial"/>
          <w:color w:val="000000"/>
          <w:kern w:val="0"/>
          <w:sz w:val="20"/>
          <w:szCs w:val="20"/>
          <w:lang w:bidi="ar"/>
        </w:rPr>
        <w:t>n in the fourth quarter of 2022 to slow down near-term production due to supply chain constraints and increased inspection and rework costs. We continue to work with customers and suppliers regarding timing of future deliveries and production rate changes.</w:t>
      </w:r>
      <w:r>
        <w:rPr>
          <w:rFonts w:ascii="Arial" w:eastAsia="宋体" w:hAnsi="Arial" w:cs="Arial"/>
          <w:color w:val="000000"/>
          <w:kern w:val="0"/>
          <w:sz w:val="20"/>
          <w:szCs w:val="20"/>
          <w:lang w:bidi="ar"/>
        </w:rPr>
        <w:t xml:space="preserve"> </w:t>
      </w:r>
    </w:p>
    <w:p w14:paraId="4B7606F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recorded a loss of $3.5 billion on the program primarily due to the additional rework, as well as other actions required to resume 787 deliveries, taking longer than expected. These impacts have resulted in longer th</w:t>
      </w:r>
      <w:r>
        <w:rPr>
          <w:rFonts w:ascii="Arial" w:eastAsia="宋体" w:hAnsi="Arial" w:cs="Arial"/>
          <w:color w:val="000000"/>
          <w:kern w:val="0"/>
          <w:sz w:val="20"/>
          <w:szCs w:val="20"/>
          <w:lang w:bidi="ar"/>
        </w:rPr>
        <w:t xml:space="preserve">an expected delivery delays and associated customer considerations. </w:t>
      </w:r>
    </w:p>
    <w:p w14:paraId="4B7606F1"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Fleet Support</w:t>
      </w:r>
      <w:r>
        <w:rPr>
          <w:rFonts w:ascii="Arial" w:eastAsia="宋体" w:hAnsi="Arial" w:cs="Arial"/>
          <w:color w:val="000000"/>
          <w:kern w:val="0"/>
          <w:sz w:val="20"/>
          <w:szCs w:val="20"/>
          <w:lang w:bidi="ar"/>
        </w:rPr>
        <w:t xml:space="preserve"> We provide the operators of our commercial aircraft with assistance and services to facilitate efficient and safe airplane operation. Collectively known as fleet support ser</w:t>
      </w:r>
      <w:r>
        <w:rPr>
          <w:rFonts w:ascii="Arial" w:eastAsia="宋体" w:hAnsi="Arial" w:cs="Arial"/>
          <w:color w:val="000000"/>
          <w:kern w:val="0"/>
          <w:sz w:val="20"/>
          <w:szCs w:val="20"/>
          <w:lang w:bidi="ar"/>
        </w:rPr>
        <w:t xml:space="preserve">vices, these activities and services begin prior to airplane delivery and continue throughout the operational life of the airplane. They include flight and maintenance training, field service support, engineering services, information services and systems </w:t>
      </w:r>
      <w:r>
        <w:rPr>
          <w:rFonts w:ascii="Arial" w:eastAsia="宋体" w:hAnsi="Arial" w:cs="Arial"/>
          <w:color w:val="000000"/>
          <w:kern w:val="0"/>
          <w:sz w:val="20"/>
          <w:szCs w:val="20"/>
          <w:lang w:bidi="ar"/>
        </w:rPr>
        <w:t>and technical data and documents. The costs for fleet support are expensed as incurred and have historically been approximately 1% of total consolidated costs of products and services.</w:t>
      </w:r>
    </w:p>
    <w:p w14:paraId="4B7606F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33</w:t>
      </w:r>
    </w:p>
    <w:p w14:paraId="4B7606F3" w14:textId="77777777" w:rsidR="0099058F" w:rsidRDefault="00EB2559">
      <w:pPr>
        <w:widowControl/>
        <w:jc w:val="center"/>
      </w:pPr>
      <w:r>
        <w:rPr>
          <w:rFonts w:ascii="宋体" w:eastAsia="宋体" w:hAnsi="宋体" w:cs="宋体"/>
          <w:kern w:val="0"/>
          <w:sz w:val="24"/>
        </w:rPr>
        <w:pict w14:anchorId="4B763C18">
          <v:rect id="_x0000_i1059" style="width:6in;height:1.5pt" o:hralign="center" o:hrstd="t" o:hr="t" fillcolor="#a0a0a0" stroked="f"/>
        </w:pict>
      </w:r>
    </w:p>
    <w:p w14:paraId="4B7606F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w:t>
        </w:r>
        <w:r>
          <w:rPr>
            <w:rStyle w:val="a4"/>
            <w:rFonts w:ascii="Arial" w:eastAsia="宋体" w:hAnsi="Arial" w:cs="Arial"/>
            <w:sz w:val="20"/>
            <w:szCs w:val="20"/>
          </w:rPr>
          <w:t>ontents</w:t>
        </w:r>
      </w:hyperlink>
    </w:p>
    <w:p w14:paraId="4B7606F5" w14:textId="77777777" w:rsidR="0099058F" w:rsidRDefault="00EB2559">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Program Development</w:t>
      </w:r>
      <w:r>
        <w:rPr>
          <w:rFonts w:ascii="Arial" w:eastAsia="宋体" w:hAnsi="Arial" w:cs="Arial"/>
          <w:color w:val="000000"/>
          <w:kern w:val="0"/>
          <w:sz w:val="20"/>
          <w:szCs w:val="20"/>
          <w:lang w:bidi="ar"/>
        </w:rPr>
        <w:t xml:space="preserve"> The following chart summarizes the time horizon between go-ahead and planned initial delivery for major Commercial Airplanes derivatives and programs.</w:t>
      </w:r>
    </w:p>
    <w:tbl>
      <w:tblPr>
        <w:tblW w:w="9150" w:type="dxa"/>
        <w:tblInd w:w="93" w:type="dxa"/>
        <w:tblCellMar>
          <w:top w:w="15" w:type="dxa"/>
          <w:left w:w="15" w:type="dxa"/>
          <w:bottom w:w="15" w:type="dxa"/>
          <w:right w:w="15" w:type="dxa"/>
        </w:tblCellMar>
        <w:tblLook w:val="04A0" w:firstRow="1" w:lastRow="0" w:firstColumn="1" w:lastColumn="0" w:noHBand="0" w:noVBand="1"/>
      </w:tblPr>
      <w:tblGrid>
        <w:gridCol w:w="37"/>
        <w:gridCol w:w="141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36"/>
        <w:gridCol w:w="365"/>
        <w:gridCol w:w="36"/>
        <w:gridCol w:w="160"/>
        <w:gridCol w:w="160"/>
        <w:gridCol w:w="160"/>
        <w:gridCol w:w="160"/>
        <w:gridCol w:w="160"/>
        <w:gridCol w:w="307"/>
      </w:tblGrid>
      <w:tr w:rsidR="0099058F" w14:paraId="4B76072C" w14:textId="77777777">
        <w:tc>
          <w:tcPr>
            <w:tcW w:w="20" w:type="dxa"/>
            <w:tcBorders>
              <w:top w:val="nil"/>
              <w:left w:val="nil"/>
              <w:bottom w:val="nil"/>
              <w:right w:val="nil"/>
            </w:tcBorders>
            <w:shd w:val="clear" w:color="auto" w:fill="auto"/>
            <w:vAlign w:val="bottom"/>
          </w:tcPr>
          <w:p w14:paraId="4B7606F6" w14:textId="77777777" w:rsidR="0099058F" w:rsidRDefault="0099058F">
            <w:pPr>
              <w:widowControl/>
              <w:jc w:val="left"/>
              <w:rPr>
                <w:rFonts w:ascii="Times New Roman" w:eastAsia="宋体" w:hAnsi="宋体" w:cs="宋体"/>
                <w:kern w:val="0"/>
                <w:sz w:val="24"/>
              </w:rPr>
            </w:pPr>
          </w:p>
        </w:tc>
        <w:tc>
          <w:tcPr>
            <w:tcW w:w="1415" w:type="dxa"/>
            <w:tcBorders>
              <w:top w:val="nil"/>
              <w:left w:val="nil"/>
              <w:bottom w:val="single" w:sz="8" w:space="0" w:color="000000"/>
              <w:right w:val="nil"/>
            </w:tcBorders>
            <w:shd w:val="clear" w:color="auto" w:fill="auto"/>
            <w:vAlign w:val="bottom"/>
          </w:tcPr>
          <w:p w14:paraId="4B7606F7"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8"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9"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6FA"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B"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C"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6FD"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E"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6FF"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0"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1"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2"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3"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4"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5"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6"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7"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8"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9"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A"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0B"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C"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0D"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0E"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0F"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0"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11"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12"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3"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14"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15"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6"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17"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18"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9"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1A"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1B"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C"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1D"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1E"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1F"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20"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21"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22"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B760723" w14:textId="77777777" w:rsidR="0099058F" w:rsidRDefault="0099058F">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B760724" w14:textId="77777777" w:rsidR="0099058F" w:rsidRDefault="0099058F">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B760725"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72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2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2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2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2A" w14:textId="77777777" w:rsidR="0099058F" w:rsidRDefault="0099058F">
            <w:pPr>
              <w:widowControl/>
              <w:jc w:val="left"/>
              <w:rPr>
                <w:rFonts w:ascii="Times New Roman" w:eastAsia="宋体" w:hAnsi="宋体" w:cs="宋体"/>
                <w:vanish/>
                <w:kern w:val="0"/>
                <w:sz w:val="24"/>
              </w:rPr>
            </w:pPr>
          </w:p>
        </w:tc>
        <w:tc>
          <w:tcPr>
            <w:tcW w:w="20" w:type="dxa"/>
            <w:tcBorders>
              <w:top w:val="nil"/>
              <w:left w:val="nil"/>
              <w:bottom w:val="nil"/>
              <w:right w:val="nil"/>
            </w:tcBorders>
            <w:shd w:val="clear" w:color="auto" w:fill="auto"/>
            <w:vAlign w:val="bottom"/>
          </w:tcPr>
          <w:p w14:paraId="4B76072B" w14:textId="77777777" w:rsidR="0099058F" w:rsidRDefault="0099058F">
            <w:pPr>
              <w:widowControl/>
              <w:jc w:val="left"/>
              <w:rPr>
                <w:rFonts w:ascii="Times New Roman" w:eastAsia="宋体" w:hAnsi="宋体" w:cs="宋体"/>
                <w:kern w:val="0"/>
                <w:sz w:val="24"/>
              </w:rPr>
            </w:pPr>
          </w:p>
        </w:tc>
      </w:tr>
      <w:tr w:rsidR="0099058F" w14:paraId="4B76073D" w14:textId="77777777">
        <w:trPr>
          <w:trHeight w:val="240"/>
        </w:trPr>
        <w:tc>
          <w:tcPr>
            <w:tcW w:w="0" w:type="auto"/>
            <w:gridSpan w:val="21"/>
            <w:tcBorders>
              <w:top w:val="single" w:sz="8" w:space="0" w:color="000000"/>
              <w:left w:val="single" w:sz="8" w:space="0" w:color="000000"/>
              <w:bottom w:val="nil"/>
              <w:right w:val="nil"/>
            </w:tcBorders>
            <w:shd w:val="clear" w:color="auto" w:fill="auto"/>
            <w:tcMar>
              <w:top w:w="40" w:type="dxa"/>
              <w:left w:w="20" w:type="dxa"/>
              <w:bottom w:w="40" w:type="dxa"/>
              <w:right w:w="20" w:type="dxa"/>
            </w:tcMar>
            <w:vAlign w:val="bottom"/>
          </w:tcPr>
          <w:p w14:paraId="4B76072D"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Go-ahead and Initial Delivery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2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6"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73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3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3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3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3B" w14:textId="77777777" w:rsidR="0099058F" w:rsidRDefault="0099058F">
            <w:pPr>
              <w:widowControl/>
              <w:jc w:val="left"/>
              <w:rPr>
                <w:rFonts w:ascii="Times New Roman" w:eastAsia="宋体" w:hAnsi="宋体" w:cs="宋体"/>
                <w:vanish/>
                <w:kern w:val="0"/>
                <w:sz w:val="24"/>
              </w:rPr>
            </w:pPr>
          </w:p>
        </w:tc>
        <w:tc>
          <w:tcPr>
            <w:tcW w:w="0" w:type="auto"/>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73C" w14:textId="77777777" w:rsidR="0099058F" w:rsidRDefault="0099058F">
            <w:pPr>
              <w:widowControl/>
              <w:jc w:val="left"/>
              <w:rPr>
                <w:rFonts w:ascii="Times New Roman" w:eastAsia="宋体" w:hAnsi="宋体" w:cs="宋体"/>
                <w:kern w:val="0"/>
                <w:sz w:val="24"/>
              </w:rPr>
            </w:pPr>
          </w:p>
        </w:tc>
      </w:tr>
      <w:tr w:rsidR="0099058F" w14:paraId="4B760754" w14:textId="77777777">
        <w:trPr>
          <w:trHeight w:val="1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B76073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4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74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4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5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5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5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753" w14:textId="77777777" w:rsidR="0099058F" w:rsidRDefault="0099058F">
            <w:pPr>
              <w:widowControl/>
              <w:jc w:val="left"/>
              <w:rPr>
                <w:rFonts w:ascii="Times New Roman" w:eastAsia="宋体" w:hAnsi="宋体" w:cs="宋体"/>
                <w:kern w:val="0"/>
                <w:sz w:val="24"/>
              </w:rPr>
            </w:pPr>
          </w:p>
        </w:tc>
      </w:tr>
      <w:tr w:rsidR="0099058F" w14:paraId="4B76076B"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B76075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737-7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7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2011</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6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6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6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6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76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2023</w:t>
            </w:r>
          </w:p>
        </w:tc>
        <w:tc>
          <w:tcPr>
            <w:tcW w:w="0" w:type="auto"/>
            <w:tcBorders>
              <w:top w:val="nil"/>
              <w:left w:val="nil"/>
              <w:bottom w:val="nil"/>
              <w:right w:val="nil"/>
            </w:tcBorders>
            <w:shd w:val="clear" w:color="auto" w:fill="auto"/>
            <w:vAlign w:val="bottom"/>
          </w:tcPr>
          <w:p w14:paraId="4B76076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6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6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6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6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76A" w14:textId="77777777" w:rsidR="0099058F" w:rsidRDefault="0099058F">
            <w:pPr>
              <w:widowControl/>
              <w:jc w:val="left"/>
              <w:rPr>
                <w:rFonts w:ascii="Times New Roman" w:eastAsia="宋体" w:hAnsi="宋体" w:cs="宋体"/>
                <w:kern w:val="0"/>
                <w:sz w:val="24"/>
              </w:rPr>
            </w:pPr>
          </w:p>
        </w:tc>
      </w:tr>
      <w:tr w:rsidR="0099058F" w14:paraId="4B760782"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B76076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6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7B"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77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7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7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7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8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781" w14:textId="77777777" w:rsidR="0099058F" w:rsidRDefault="0099058F">
            <w:pPr>
              <w:widowControl/>
              <w:jc w:val="left"/>
              <w:rPr>
                <w:rFonts w:ascii="Times New Roman" w:eastAsia="宋体" w:hAnsi="宋体" w:cs="宋体"/>
                <w:kern w:val="0"/>
                <w:sz w:val="24"/>
              </w:rPr>
            </w:pPr>
          </w:p>
        </w:tc>
      </w:tr>
      <w:tr w:rsidR="0099058F" w14:paraId="4B760799" w14:textId="77777777">
        <w:trPr>
          <w:hidden/>
        </w:trPr>
        <w:tc>
          <w:tcPr>
            <w:tcW w:w="0" w:type="auto"/>
            <w:gridSpan w:val="3"/>
            <w:tcBorders>
              <w:top w:val="nil"/>
              <w:left w:val="nil"/>
              <w:bottom w:val="nil"/>
              <w:right w:val="nil"/>
            </w:tcBorders>
            <w:shd w:val="clear" w:color="auto" w:fill="auto"/>
            <w:vAlign w:val="bottom"/>
          </w:tcPr>
          <w:p w14:paraId="4B76078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8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98" w14:textId="77777777" w:rsidR="0099058F" w:rsidRDefault="0099058F">
            <w:pPr>
              <w:widowControl/>
              <w:jc w:val="left"/>
              <w:rPr>
                <w:rFonts w:ascii="Times New Roman" w:eastAsia="宋体" w:hAnsi="宋体" w:cs="宋体"/>
                <w:vanish/>
                <w:kern w:val="0"/>
                <w:sz w:val="24"/>
              </w:rPr>
            </w:pPr>
          </w:p>
        </w:tc>
      </w:tr>
      <w:tr w:rsidR="0099058F" w14:paraId="4B7607B0" w14:textId="77777777">
        <w:trPr>
          <w:hidden/>
        </w:trPr>
        <w:tc>
          <w:tcPr>
            <w:tcW w:w="0" w:type="auto"/>
            <w:gridSpan w:val="3"/>
            <w:tcBorders>
              <w:top w:val="nil"/>
              <w:left w:val="nil"/>
              <w:bottom w:val="nil"/>
              <w:right w:val="nil"/>
            </w:tcBorders>
            <w:shd w:val="clear" w:color="auto" w:fill="auto"/>
            <w:vAlign w:val="bottom"/>
          </w:tcPr>
          <w:p w14:paraId="4B76079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9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A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AF" w14:textId="77777777" w:rsidR="0099058F" w:rsidRDefault="0099058F">
            <w:pPr>
              <w:widowControl/>
              <w:jc w:val="left"/>
              <w:rPr>
                <w:rFonts w:ascii="Times New Roman" w:eastAsia="宋体" w:hAnsi="宋体" w:cs="宋体"/>
                <w:vanish/>
                <w:kern w:val="0"/>
                <w:sz w:val="24"/>
              </w:rPr>
            </w:pPr>
          </w:p>
        </w:tc>
      </w:tr>
      <w:tr w:rsidR="0099058F" w14:paraId="4B7607C7" w14:textId="77777777">
        <w:trPr>
          <w:hidden/>
        </w:trPr>
        <w:tc>
          <w:tcPr>
            <w:tcW w:w="0" w:type="auto"/>
            <w:gridSpan w:val="3"/>
            <w:tcBorders>
              <w:top w:val="nil"/>
              <w:left w:val="nil"/>
              <w:bottom w:val="nil"/>
              <w:right w:val="nil"/>
            </w:tcBorders>
            <w:shd w:val="clear" w:color="auto" w:fill="auto"/>
            <w:vAlign w:val="bottom"/>
          </w:tcPr>
          <w:p w14:paraId="4B7607B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B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C6" w14:textId="77777777" w:rsidR="0099058F" w:rsidRDefault="0099058F">
            <w:pPr>
              <w:widowControl/>
              <w:jc w:val="left"/>
              <w:rPr>
                <w:rFonts w:ascii="Times New Roman" w:eastAsia="宋体" w:hAnsi="宋体" w:cs="宋体"/>
                <w:vanish/>
                <w:kern w:val="0"/>
                <w:sz w:val="24"/>
              </w:rPr>
            </w:pPr>
          </w:p>
        </w:tc>
      </w:tr>
      <w:tr w:rsidR="0099058F" w14:paraId="4B7607DE" w14:textId="77777777">
        <w:trPr>
          <w:hidden/>
        </w:trPr>
        <w:tc>
          <w:tcPr>
            <w:tcW w:w="0" w:type="auto"/>
            <w:gridSpan w:val="3"/>
            <w:tcBorders>
              <w:top w:val="nil"/>
              <w:left w:val="nil"/>
              <w:bottom w:val="nil"/>
              <w:right w:val="nil"/>
            </w:tcBorders>
            <w:shd w:val="clear" w:color="auto" w:fill="auto"/>
            <w:vAlign w:val="bottom"/>
          </w:tcPr>
          <w:p w14:paraId="4B7607C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C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7D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DD" w14:textId="77777777" w:rsidR="0099058F" w:rsidRDefault="0099058F">
            <w:pPr>
              <w:widowControl/>
              <w:jc w:val="left"/>
              <w:rPr>
                <w:rFonts w:ascii="Times New Roman" w:eastAsia="宋体" w:hAnsi="宋体" w:cs="宋体"/>
                <w:vanish/>
                <w:kern w:val="0"/>
                <w:sz w:val="24"/>
              </w:rPr>
            </w:pPr>
          </w:p>
        </w:tc>
      </w:tr>
      <w:tr w:rsidR="0099058F" w14:paraId="4B7607F5"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B7607D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737-10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E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7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2017</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7E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7E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F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F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F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7F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40" w:type="dxa"/>
              <w:left w:w="20" w:type="dxa"/>
              <w:bottom w:w="40" w:type="dxa"/>
              <w:right w:w="20" w:type="dxa"/>
            </w:tcMar>
            <w:vAlign w:val="bottom"/>
          </w:tcPr>
          <w:p w14:paraId="4B7607F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2024</w:t>
            </w:r>
          </w:p>
        </w:tc>
      </w:tr>
      <w:tr w:rsidR="0099058F" w14:paraId="4B76080C"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B7607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7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05"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0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0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0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0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0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80B" w14:textId="77777777" w:rsidR="0099058F" w:rsidRDefault="0099058F">
            <w:pPr>
              <w:widowControl/>
              <w:jc w:val="left"/>
              <w:rPr>
                <w:rFonts w:ascii="Times New Roman" w:eastAsia="宋体" w:hAnsi="宋体" w:cs="宋体"/>
                <w:kern w:val="0"/>
                <w:sz w:val="24"/>
              </w:rPr>
            </w:pPr>
          </w:p>
        </w:tc>
      </w:tr>
      <w:tr w:rsidR="0099058F" w14:paraId="4B760823" w14:textId="77777777">
        <w:trPr>
          <w:hidden/>
        </w:trPr>
        <w:tc>
          <w:tcPr>
            <w:tcW w:w="0" w:type="auto"/>
            <w:gridSpan w:val="3"/>
            <w:tcBorders>
              <w:top w:val="nil"/>
              <w:left w:val="nil"/>
              <w:bottom w:val="nil"/>
              <w:right w:val="nil"/>
            </w:tcBorders>
            <w:shd w:val="clear" w:color="auto" w:fill="auto"/>
            <w:vAlign w:val="bottom"/>
          </w:tcPr>
          <w:p w14:paraId="4B76080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0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0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1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1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1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1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2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2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22" w14:textId="77777777" w:rsidR="0099058F" w:rsidRDefault="0099058F">
            <w:pPr>
              <w:widowControl/>
              <w:jc w:val="left"/>
              <w:rPr>
                <w:rFonts w:ascii="Times New Roman" w:eastAsia="宋体" w:hAnsi="宋体" w:cs="宋体"/>
                <w:vanish/>
                <w:kern w:val="0"/>
                <w:sz w:val="24"/>
              </w:rPr>
            </w:pPr>
          </w:p>
        </w:tc>
      </w:tr>
      <w:tr w:rsidR="0099058F" w14:paraId="4B76083A" w14:textId="77777777">
        <w:trPr>
          <w:hidden/>
        </w:trPr>
        <w:tc>
          <w:tcPr>
            <w:tcW w:w="0" w:type="auto"/>
            <w:gridSpan w:val="3"/>
            <w:tcBorders>
              <w:top w:val="nil"/>
              <w:left w:val="nil"/>
              <w:bottom w:val="nil"/>
              <w:right w:val="nil"/>
            </w:tcBorders>
            <w:shd w:val="clear" w:color="auto" w:fill="auto"/>
            <w:vAlign w:val="bottom"/>
          </w:tcPr>
          <w:p w14:paraId="4B76082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3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3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3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39" w14:textId="77777777" w:rsidR="0099058F" w:rsidRDefault="0099058F">
            <w:pPr>
              <w:widowControl/>
              <w:jc w:val="left"/>
              <w:rPr>
                <w:rFonts w:ascii="Times New Roman" w:eastAsia="宋体" w:hAnsi="宋体" w:cs="宋体"/>
                <w:vanish/>
                <w:kern w:val="0"/>
                <w:sz w:val="24"/>
              </w:rPr>
            </w:pPr>
          </w:p>
        </w:tc>
      </w:tr>
      <w:tr w:rsidR="0099058F" w14:paraId="4B760851"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B76083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777X-9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3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8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2013</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4A"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4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4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4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4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4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DDDDDD"/>
            <w:tcMar>
              <w:top w:w="0" w:type="dxa"/>
              <w:left w:w="20" w:type="dxa"/>
              <w:bottom w:w="0" w:type="dxa"/>
              <w:right w:w="20" w:type="dxa"/>
            </w:tcMar>
            <w:vAlign w:val="bottom"/>
          </w:tcPr>
          <w:p w14:paraId="4B76085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2025</w:t>
            </w:r>
          </w:p>
        </w:tc>
      </w:tr>
      <w:tr w:rsidR="0099058F" w14:paraId="4B760868"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B76085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1"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6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6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6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6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6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867" w14:textId="77777777" w:rsidR="0099058F" w:rsidRDefault="0099058F">
            <w:pPr>
              <w:widowControl/>
              <w:jc w:val="left"/>
              <w:rPr>
                <w:rFonts w:ascii="Times New Roman" w:eastAsia="宋体" w:hAnsi="宋体" w:cs="宋体"/>
                <w:kern w:val="0"/>
                <w:sz w:val="24"/>
              </w:rPr>
            </w:pPr>
          </w:p>
        </w:tc>
      </w:tr>
      <w:tr w:rsidR="0099058F" w14:paraId="4B76087F"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B76086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777X-8F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7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7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8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2022</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B76087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7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7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7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7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7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DDDDDD"/>
            <w:tcMar>
              <w:top w:w="0" w:type="dxa"/>
              <w:left w:w="20" w:type="dxa"/>
              <w:bottom w:w="0" w:type="dxa"/>
              <w:right w:w="20" w:type="dxa"/>
            </w:tcMar>
            <w:vAlign w:val="bottom"/>
          </w:tcPr>
          <w:p w14:paraId="4B76087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2027</w:t>
            </w:r>
          </w:p>
        </w:tc>
      </w:tr>
      <w:tr w:rsidR="0099058F" w14:paraId="4B760896" w14:textId="77777777">
        <w:trPr>
          <w:hidden/>
        </w:trPr>
        <w:tc>
          <w:tcPr>
            <w:tcW w:w="0" w:type="auto"/>
            <w:gridSpan w:val="3"/>
            <w:tcBorders>
              <w:top w:val="nil"/>
              <w:left w:val="nil"/>
              <w:bottom w:val="nil"/>
              <w:right w:val="nil"/>
            </w:tcBorders>
            <w:shd w:val="clear" w:color="auto" w:fill="auto"/>
            <w:vAlign w:val="bottom"/>
          </w:tcPr>
          <w:p w14:paraId="4B76088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8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95" w14:textId="77777777" w:rsidR="0099058F" w:rsidRDefault="0099058F">
            <w:pPr>
              <w:widowControl/>
              <w:jc w:val="left"/>
              <w:rPr>
                <w:rFonts w:ascii="Times New Roman" w:eastAsia="宋体" w:hAnsi="宋体" w:cs="宋体"/>
                <w:vanish/>
                <w:kern w:val="0"/>
                <w:sz w:val="24"/>
              </w:rPr>
            </w:pPr>
          </w:p>
        </w:tc>
      </w:tr>
      <w:tr w:rsidR="0099058F" w14:paraId="4B7608AD" w14:textId="77777777">
        <w:trPr>
          <w:hidden/>
        </w:trPr>
        <w:tc>
          <w:tcPr>
            <w:tcW w:w="0" w:type="auto"/>
            <w:gridSpan w:val="3"/>
            <w:tcBorders>
              <w:top w:val="nil"/>
              <w:left w:val="nil"/>
              <w:bottom w:val="nil"/>
              <w:right w:val="nil"/>
            </w:tcBorders>
            <w:shd w:val="clear" w:color="auto" w:fill="auto"/>
            <w:vAlign w:val="bottom"/>
          </w:tcPr>
          <w:p w14:paraId="4B76089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9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8A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AC" w14:textId="77777777" w:rsidR="0099058F" w:rsidRDefault="0099058F">
            <w:pPr>
              <w:widowControl/>
              <w:jc w:val="left"/>
              <w:rPr>
                <w:rFonts w:ascii="Times New Roman" w:eastAsia="宋体" w:hAnsi="宋体" w:cs="宋体"/>
                <w:vanish/>
                <w:kern w:val="0"/>
                <w:sz w:val="24"/>
              </w:rPr>
            </w:pPr>
          </w:p>
        </w:tc>
      </w:tr>
      <w:tr w:rsidR="0099058F" w14:paraId="4B7608C4"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B7608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A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B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B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BF"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C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C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C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4B7608C3" w14:textId="77777777" w:rsidR="0099058F" w:rsidRDefault="0099058F">
            <w:pPr>
              <w:widowControl/>
              <w:jc w:val="left"/>
              <w:rPr>
                <w:rFonts w:ascii="Times New Roman" w:eastAsia="宋体" w:hAnsi="宋体" w:cs="宋体"/>
                <w:kern w:val="0"/>
                <w:sz w:val="24"/>
              </w:rPr>
            </w:pPr>
          </w:p>
        </w:tc>
      </w:tr>
      <w:tr w:rsidR="0099058F" w14:paraId="4B7608DB" w14:textId="77777777">
        <w:trPr>
          <w:trHeight w:val="6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08D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D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D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D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08D9" w14:textId="77777777" w:rsidR="0099058F" w:rsidRDefault="0099058F">
            <w:pPr>
              <w:widowControl/>
              <w:jc w:val="left"/>
              <w:rPr>
                <w:rFonts w:ascii="Times New Roman" w:eastAsia="宋体" w:hAnsi="宋体" w:cs="宋体"/>
                <w:vanish/>
                <w:kern w:val="0"/>
                <w:sz w:val="24"/>
              </w:rPr>
            </w:pPr>
          </w:p>
        </w:tc>
        <w:tc>
          <w:tcPr>
            <w:tcW w:w="0" w:type="auto"/>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08DA" w14:textId="77777777" w:rsidR="0099058F" w:rsidRDefault="0099058F">
            <w:pPr>
              <w:widowControl/>
              <w:jc w:val="left"/>
              <w:rPr>
                <w:rFonts w:ascii="Times New Roman" w:eastAsia="宋体" w:hAnsi="宋体" w:cs="宋体"/>
                <w:kern w:val="0"/>
                <w:sz w:val="24"/>
              </w:rPr>
            </w:pPr>
          </w:p>
        </w:tc>
      </w:tr>
    </w:tbl>
    <w:p w14:paraId="4B7608DC" w14:textId="77777777" w:rsidR="0099058F" w:rsidRDefault="00EB2559">
      <w:pPr>
        <w:widowControl/>
        <w:spacing w:after="180"/>
        <w:jc w:val="left"/>
        <w:rPr>
          <w:rFonts w:ascii="宋体" w:eastAsia="宋体" w:hAnsi="宋体" w:cs="宋体"/>
          <w:kern w:val="0"/>
          <w:sz w:val="24"/>
        </w:rPr>
      </w:pPr>
      <w:r>
        <w:rPr>
          <w:rFonts w:ascii="Arial" w:eastAsia="宋体" w:hAnsi="Arial" w:cs="Arial"/>
          <w:color w:val="000000"/>
          <w:kern w:val="0"/>
          <w:sz w:val="16"/>
          <w:szCs w:val="16"/>
          <w:lang w:bidi="ar"/>
        </w:rPr>
        <w:t>Reflects models in development during 2022</w:t>
      </w:r>
    </w:p>
    <w:p w14:paraId="4B7608D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development schedules shown above are subject to a </w:t>
      </w:r>
      <w:r>
        <w:rPr>
          <w:rFonts w:ascii="Arial" w:eastAsia="宋体" w:hAnsi="Arial" w:cs="Arial"/>
          <w:color w:val="000000"/>
          <w:kern w:val="0"/>
          <w:sz w:val="20"/>
          <w:szCs w:val="20"/>
          <w:lang w:bidi="ar"/>
        </w:rPr>
        <w:t>number of uncertainties, including changes in certification requirements. The timing of certifications will ultimately be determined by the regulators.</w:t>
      </w:r>
    </w:p>
    <w:p w14:paraId="4B7608D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B7608D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and ongoing production of commercial aircraft is extremely com</w:t>
      </w:r>
      <w:r>
        <w:rPr>
          <w:rFonts w:ascii="Arial" w:eastAsia="宋体" w:hAnsi="Arial" w:cs="Arial"/>
          <w:color w:val="000000"/>
          <w:kern w:val="0"/>
          <w:sz w:val="20"/>
          <w:szCs w:val="20"/>
          <w:lang w:bidi="ar"/>
        </w:rPr>
        <w:t>plex, involving extensive coordination and integration with suppliers and highly-skilled labor from employees and other partners. Meeting or exceeding our performance and reliability standards, as well as those of customers and regulators, can be costly an</w:t>
      </w:r>
      <w:r>
        <w:rPr>
          <w:rFonts w:ascii="Arial" w:eastAsia="宋体" w:hAnsi="Arial" w:cs="Arial"/>
          <w:color w:val="000000"/>
          <w:kern w:val="0"/>
          <w:sz w:val="20"/>
          <w:szCs w:val="20"/>
          <w:lang w:bidi="ar"/>
        </w:rPr>
        <w:t>d technologically challenging, such as the 787 production issues and associated rework. In addition, the introduction of new aircraft and derivatives, such as the 777X, 737-7 and 737-10, involves increased risks associated with meeting development, product</w:t>
      </w:r>
      <w:r>
        <w:rPr>
          <w:rFonts w:ascii="Arial" w:eastAsia="宋体" w:hAnsi="Arial" w:cs="Arial"/>
          <w:color w:val="000000"/>
          <w:kern w:val="0"/>
          <w:sz w:val="20"/>
          <w:szCs w:val="20"/>
          <w:lang w:bidi="ar"/>
        </w:rPr>
        <w:t>ion and certification schedules. These challenges include increased global regulatory scrutiny of all development aircraft in the wake of the 737 MAX accidents. As a result, our ability to deliver aircraft on time, satisfy performance and reliability stand</w:t>
      </w:r>
      <w:r>
        <w:rPr>
          <w:rFonts w:ascii="Arial" w:eastAsia="宋体" w:hAnsi="Arial" w:cs="Arial"/>
          <w:color w:val="000000"/>
          <w:kern w:val="0"/>
          <w:sz w:val="20"/>
          <w:szCs w:val="20"/>
          <w:lang w:bidi="ar"/>
        </w:rPr>
        <w:t>ards and achieve or maintain, as applicable, program profitability is subject to significant risks. Factors that could result in lower margins (or a material charge if an airplane program has or is determined to have reach-forward losses) include the follo</w:t>
      </w:r>
      <w:r>
        <w:rPr>
          <w:rFonts w:ascii="Arial" w:eastAsia="宋体" w:hAnsi="Arial" w:cs="Arial"/>
          <w:color w:val="000000"/>
          <w:kern w:val="0"/>
          <w:sz w:val="20"/>
          <w:szCs w:val="20"/>
          <w:lang w:bidi="ar"/>
        </w:rPr>
        <w:t>wing: changes to the program accounting quantity, customer and model mix, production costs and rates, changes to price escalation factors due to changes in the inflation rate or other economic indicators, performance or reliability issues involving complet</w:t>
      </w:r>
      <w:r>
        <w:rPr>
          <w:rFonts w:ascii="Arial" w:eastAsia="宋体" w:hAnsi="Arial" w:cs="Arial"/>
          <w:color w:val="000000"/>
          <w:kern w:val="0"/>
          <w:sz w:val="20"/>
          <w:szCs w:val="20"/>
          <w:lang w:bidi="ar"/>
        </w:rPr>
        <w:t>ed aircraft, capital expenditures and other costs associated with increasing or adding new production capacity, learning curve, additional change incorporation, achieving anticipated cost reductions, the addition of regulatory requirements in connection wi</w:t>
      </w:r>
      <w:r>
        <w:rPr>
          <w:rFonts w:ascii="Arial" w:eastAsia="宋体" w:hAnsi="Arial" w:cs="Arial"/>
          <w:color w:val="000000"/>
          <w:kern w:val="0"/>
          <w:sz w:val="20"/>
          <w:szCs w:val="20"/>
          <w:lang w:bidi="ar"/>
        </w:rPr>
        <w:t>th certification in one or more jurisdictions, flight test and certification schedules, costs, schedule and demand for new airplanes and derivatives and status of customer claims, supplier claims or assertions and other contractual negotiations. While we b</w:t>
      </w:r>
      <w:r>
        <w:rPr>
          <w:rFonts w:ascii="Arial" w:eastAsia="宋体" w:hAnsi="Arial" w:cs="Arial"/>
          <w:color w:val="000000"/>
          <w:kern w:val="0"/>
          <w:sz w:val="20"/>
          <w:szCs w:val="20"/>
          <w:lang w:bidi="ar"/>
        </w:rPr>
        <w:t xml:space="preserve">elieve the cost and revenue estimates incorporated in the consolidated financial statements are appropriate, the technical complexity of our airplane programs creates financial risk as additional completion costs may become necessary or scheduled delivery </w:t>
      </w:r>
      <w:r>
        <w:rPr>
          <w:rFonts w:ascii="Arial" w:eastAsia="宋体" w:hAnsi="Arial" w:cs="Arial"/>
          <w:color w:val="000000"/>
          <w:kern w:val="0"/>
          <w:sz w:val="20"/>
          <w:szCs w:val="20"/>
          <w:lang w:bidi="ar"/>
        </w:rPr>
        <w:t>dates could be extended, which could trigger termination provisions, order cancellations or other financially significant exposure.</w:t>
      </w:r>
    </w:p>
    <w:p w14:paraId="4B7608E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34</w:t>
      </w:r>
    </w:p>
    <w:p w14:paraId="4B7608E1" w14:textId="77777777" w:rsidR="0099058F" w:rsidRDefault="00EB2559">
      <w:pPr>
        <w:widowControl/>
        <w:jc w:val="center"/>
      </w:pPr>
      <w:r>
        <w:rPr>
          <w:rFonts w:ascii="宋体" w:eastAsia="宋体" w:hAnsi="宋体" w:cs="宋体"/>
          <w:kern w:val="0"/>
          <w:sz w:val="24"/>
        </w:rPr>
        <w:pict w14:anchorId="4B763C19">
          <v:rect id="_x0000_i1060" style="width:6in;height:1.5pt" o:hralign="center" o:hrstd="t" o:hr="t" fillcolor="#a0a0a0" stroked="f"/>
        </w:pict>
      </w:r>
    </w:p>
    <w:p w14:paraId="4B7608E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8E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4B7608E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w:t>
      </w:r>
      <w:r>
        <w:rPr>
          <w:rFonts w:ascii="Arial" w:eastAsia="宋体" w:hAnsi="Arial" w:cs="Arial"/>
          <w:b/>
          <w:bCs/>
          <w:color w:val="000000"/>
          <w:kern w:val="0"/>
          <w:sz w:val="20"/>
          <w:szCs w:val="20"/>
          <w:lang w:bidi="ar"/>
        </w:rPr>
        <w:t>ment and Trends</w:t>
      </w:r>
    </w:p>
    <w:p w14:paraId="4B7608E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4B7608E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Appropriations Act, 2023, enacted in December 2022, provided fiscal year 2023 (FY23) appropriations for government departments and agencies, including $817 billion for t</w:t>
      </w:r>
      <w:r>
        <w:rPr>
          <w:rFonts w:ascii="Arial" w:eastAsia="宋体" w:hAnsi="Arial" w:cs="Arial"/>
          <w:color w:val="000000"/>
          <w:kern w:val="0"/>
          <w:sz w:val="20"/>
          <w:szCs w:val="20"/>
          <w:lang w:bidi="ar"/>
        </w:rPr>
        <w:t>he U.S. DoD and $25.4 billion for NASA. The enacted FY23 appropriations included funding for Boeing’s major programs, including the F/A-18 Super Hornet, F-15EX, CH-47 Chinook, AH-64 Apache, V-22 Osprey, KC-46A Tanker, MQ-25, and the Space Launch System. Th</w:t>
      </w:r>
      <w:r>
        <w:rPr>
          <w:rFonts w:ascii="Arial" w:eastAsia="宋体" w:hAnsi="Arial" w:cs="Arial"/>
          <w:color w:val="000000"/>
          <w:kern w:val="0"/>
          <w:sz w:val="20"/>
          <w:szCs w:val="20"/>
          <w:lang w:bidi="ar"/>
        </w:rPr>
        <w:t>e FY23 appropriations support F/A-18 production further into calendar year 2025. The FY23 appropriations did not include funding for additional P-8 aircraft. The P-8 program continues to pursue additional sales opportunities to extend production beyond 202</w:t>
      </w:r>
      <w:r>
        <w:rPr>
          <w:rFonts w:ascii="Arial" w:eastAsia="宋体" w:hAnsi="Arial" w:cs="Arial"/>
          <w:color w:val="000000"/>
          <w:kern w:val="0"/>
          <w:sz w:val="20"/>
          <w:szCs w:val="20"/>
          <w:lang w:bidi="ar"/>
        </w:rPr>
        <w:t>4.</w:t>
      </w:r>
    </w:p>
    <w:p w14:paraId="4B7608E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There is ongoing uncertainty with respect to program-level appropriations for the U.S. DoD, NASA and other government agencies for fiscal year 2024 and beyond. U.S. government discretionary spending, including defense spending, is likely to continue to </w:t>
      </w:r>
      <w:r>
        <w:rPr>
          <w:rFonts w:ascii="Arial" w:eastAsia="宋体" w:hAnsi="Arial" w:cs="Arial"/>
          <w:color w:val="000000"/>
          <w:kern w:val="0"/>
          <w:sz w:val="20"/>
          <w:szCs w:val="20"/>
          <w:lang w:bidi="ar"/>
        </w:rPr>
        <w:t>be subject to pressure. Future budget cuts or investment priority changes, including changes associated with the authorizations and appropriations process, could result in reductions, cancellations and/or delays of existing contracts or programs. Any of th</w:t>
      </w:r>
      <w:r>
        <w:rPr>
          <w:rFonts w:ascii="Arial" w:eastAsia="宋体" w:hAnsi="Arial" w:cs="Arial"/>
          <w:color w:val="000000"/>
          <w:kern w:val="0"/>
          <w:sz w:val="20"/>
          <w:szCs w:val="20"/>
          <w:lang w:bidi="ar"/>
        </w:rPr>
        <w:t>ese impacts could have a material effect on our results of operations, financial position and/or cash flows.</w:t>
      </w:r>
    </w:p>
    <w:p w14:paraId="4B7608E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Non-U.S. Defense Environment Overview </w:t>
      </w:r>
      <w:r>
        <w:rPr>
          <w:rFonts w:ascii="Arial" w:eastAsia="宋体" w:hAnsi="Arial" w:cs="Arial"/>
          <w:color w:val="000000"/>
          <w:kern w:val="0"/>
          <w:sz w:val="20"/>
          <w:szCs w:val="20"/>
          <w:lang w:bidi="ar"/>
        </w:rPr>
        <w:t>The non-U.S. market continues to be driven by complex and evolving security challenges and the need to modern</w:t>
      </w:r>
      <w:r>
        <w:rPr>
          <w:rFonts w:ascii="Arial" w:eastAsia="宋体" w:hAnsi="Arial" w:cs="Arial"/>
          <w:color w:val="000000"/>
          <w:kern w:val="0"/>
          <w:sz w:val="20"/>
          <w:szCs w:val="20"/>
          <w:lang w:bidi="ar"/>
        </w:rPr>
        <w:t>ize aging equipment and inventories. BDS expects that it will continue to have a wide range of opportunities across Asia, Europe and the Middle East given the diverse regional threats. At the end of 2022, 28% of BDS backlog was attributable to non-U.S. cus</w:t>
      </w:r>
      <w:r>
        <w:rPr>
          <w:rFonts w:ascii="Arial" w:eastAsia="宋体" w:hAnsi="Arial" w:cs="Arial"/>
          <w:color w:val="000000"/>
          <w:kern w:val="0"/>
          <w:sz w:val="20"/>
          <w:szCs w:val="20"/>
          <w:lang w:bidi="ar"/>
        </w:rPr>
        <w:t>tomers.</w:t>
      </w:r>
    </w:p>
    <w:p w14:paraId="4B7608E9" w14:textId="77777777" w:rsidR="0099058F" w:rsidRDefault="00EB2559">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9"/>
        <w:gridCol w:w="4993"/>
        <w:gridCol w:w="38"/>
        <w:gridCol w:w="68"/>
        <w:gridCol w:w="763"/>
        <w:gridCol w:w="198"/>
        <w:gridCol w:w="36"/>
        <w:gridCol w:w="36"/>
        <w:gridCol w:w="36"/>
        <w:gridCol w:w="68"/>
        <w:gridCol w:w="731"/>
        <w:gridCol w:w="198"/>
        <w:gridCol w:w="36"/>
        <w:gridCol w:w="36"/>
        <w:gridCol w:w="36"/>
        <w:gridCol w:w="68"/>
        <w:gridCol w:w="731"/>
        <w:gridCol w:w="198"/>
      </w:tblGrid>
      <w:tr w:rsidR="0099058F" w14:paraId="4B7608FC" w14:textId="77777777">
        <w:tc>
          <w:tcPr>
            <w:tcW w:w="50" w:type="pct"/>
            <w:tcBorders>
              <w:top w:val="nil"/>
              <w:left w:val="nil"/>
              <w:bottom w:val="nil"/>
              <w:right w:val="nil"/>
            </w:tcBorders>
            <w:shd w:val="clear" w:color="auto" w:fill="auto"/>
            <w:vAlign w:val="bottom"/>
          </w:tcPr>
          <w:p w14:paraId="4B7608EA" w14:textId="77777777" w:rsidR="0099058F" w:rsidRDefault="0099058F">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B7608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E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8ED"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8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8F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8F3"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8F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8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8F9"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8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8FB" w14:textId="77777777" w:rsidR="0099058F" w:rsidRDefault="0099058F">
            <w:pPr>
              <w:widowControl/>
              <w:jc w:val="left"/>
              <w:rPr>
                <w:rFonts w:ascii="Times New Roman" w:eastAsia="宋体" w:hAnsi="宋体" w:cs="宋体"/>
                <w:kern w:val="0"/>
                <w:sz w:val="24"/>
              </w:rPr>
            </w:pPr>
          </w:p>
        </w:tc>
      </w:tr>
      <w:tr w:rsidR="0099058F" w14:paraId="4B7609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8FD"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8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02" w14:textId="77777777" w:rsidR="0099058F" w:rsidRDefault="0099058F">
            <w:pPr>
              <w:widowControl/>
              <w:jc w:val="left"/>
              <w:rPr>
                <w:rFonts w:ascii="Times New Roman" w:eastAsia="宋体" w:hAnsi="宋体" w:cs="宋体"/>
                <w:kern w:val="0"/>
                <w:sz w:val="24"/>
              </w:rPr>
            </w:pPr>
          </w:p>
        </w:tc>
      </w:tr>
      <w:tr w:rsidR="0099058F" w14:paraId="4B76090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0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0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91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90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$23,162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9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1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91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13" w14:textId="77777777" w:rsidR="0099058F" w:rsidRDefault="0099058F">
            <w:pPr>
              <w:widowControl/>
              <w:jc w:val="left"/>
              <w:rPr>
                <w:rFonts w:ascii="Times New Roman" w:eastAsia="宋体" w:hAnsi="宋体" w:cs="宋体"/>
                <w:kern w:val="0"/>
                <w:sz w:val="24"/>
              </w:rPr>
            </w:pPr>
          </w:p>
        </w:tc>
      </w:tr>
      <w:tr w:rsidR="0099058F" w14:paraId="4B7609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91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of total 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1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1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92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91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2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2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2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27" w14:textId="77777777" w:rsidR="0099058F" w:rsidRDefault="0099058F">
            <w:pPr>
              <w:widowControl/>
              <w:jc w:val="left"/>
              <w:rPr>
                <w:rFonts w:ascii="Times New Roman" w:eastAsia="宋体" w:hAnsi="宋体" w:cs="宋体"/>
                <w:kern w:val="0"/>
                <w:sz w:val="24"/>
              </w:rPr>
            </w:pPr>
          </w:p>
        </w:tc>
      </w:tr>
      <w:tr w:rsidR="0099058F" w14:paraId="4B760932"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tcPr>
          <w:p w14:paraId="4B76092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9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9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92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9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9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92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9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9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939" w14:textId="77777777">
        <w:trPr>
          <w:hidden/>
        </w:trPr>
        <w:tc>
          <w:tcPr>
            <w:tcW w:w="0" w:type="auto"/>
            <w:gridSpan w:val="3"/>
            <w:tcBorders>
              <w:top w:val="nil"/>
              <w:left w:val="nil"/>
              <w:bottom w:val="nil"/>
              <w:right w:val="nil"/>
            </w:tcBorders>
            <w:shd w:val="clear" w:color="auto" w:fill="auto"/>
            <w:vAlign w:val="bottom"/>
          </w:tcPr>
          <w:p w14:paraId="4B76093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8" w14:textId="77777777" w:rsidR="0099058F" w:rsidRDefault="0099058F">
            <w:pPr>
              <w:widowControl/>
              <w:jc w:val="left"/>
              <w:rPr>
                <w:rFonts w:ascii="Times New Roman" w:eastAsia="宋体" w:hAnsi="宋体" w:cs="宋体"/>
                <w:vanish/>
                <w:kern w:val="0"/>
                <w:sz w:val="24"/>
              </w:rPr>
            </w:pPr>
          </w:p>
        </w:tc>
      </w:tr>
      <w:tr w:rsidR="0099058F" w14:paraId="4B760940" w14:textId="77777777">
        <w:trPr>
          <w:hidden/>
        </w:trPr>
        <w:tc>
          <w:tcPr>
            <w:tcW w:w="0" w:type="auto"/>
            <w:gridSpan w:val="3"/>
            <w:tcBorders>
              <w:top w:val="nil"/>
              <w:left w:val="nil"/>
              <w:bottom w:val="nil"/>
              <w:right w:val="nil"/>
            </w:tcBorders>
            <w:shd w:val="clear" w:color="auto" w:fill="auto"/>
            <w:vAlign w:val="bottom"/>
          </w:tcPr>
          <w:p w14:paraId="4B76093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3F" w14:textId="77777777" w:rsidR="0099058F" w:rsidRDefault="0099058F">
            <w:pPr>
              <w:widowControl/>
              <w:jc w:val="left"/>
              <w:rPr>
                <w:rFonts w:ascii="Times New Roman" w:eastAsia="宋体" w:hAnsi="宋体" w:cs="宋体"/>
                <w:vanish/>
                <w:kern w:val="0"/>
                <w:sz w:val="24"/>
              </w:rPr>
            </w:pPr>
          </w:p>
        </w:tc>
      </w:tr>
    </w:tbl>
    <w:p w14:paraId="4B76094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Since our operating cycle is long-term and involves many different types of development and production contracts with varying delivery and milestone </w:t>
      </w:r>
      <w:r>
        <w:rPr>
          <w:rFonts w:ascii="Arial" w:eastAsia="宋体" w:hAnsi="Arial" w:cs="Arial"/>
          <w:color w:val="000000"/>
          <w:kern w:val="0"/>
          <w:sz w:val="20"/>
          <w:szCs w:val="20"/>
          <w:lang w:bidi="ar"/>
        </w:rPr>
        <w:t>schedules, the operating results of a particular period may not be indicative of future operating results. In addition, depending on the customer and their funding sources, our orders might be structured as annual follow-on contracts, or as one large multi</w:t>
      </w:r>
      <w:r>
        <w:rPr>
          <w:rFonts w:ascii="Arial" w:eastAsia="宋体" w:hAnsi="Arial" w:cs="Arial"/>
          <w:color w:val="000000"/>
          <w:kern w:val="0"/>
          <w:sz w:val="20"/>
          <w:szCs w:val="20"/>
          <w:lang w:bidi="ar"/>
        </w:rPr>
        <w:t>-year order or long-term award. As a result, period-to-period comparisons of backlog are not necessarily indicative of future workloads. The following discussions of comparative results among periods should be viewed in this context.</w:t>
      </w:r>
    </w:p>
    <w:p w14:paraId="4B76094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35</w:t>
      </w:r>
    </w:p>
    <w:p w14:paraId="4B760943" w14:textId="77777777" w:rsidR="0099058F" w:rsidRDefault="00EB2559">
      <w:pPr>
        <w:widowControl/>
        <w:jc w:val="center"/>
      </w:pPr>
      <w:r>
        <w:rPr>
          <w:rFonts w:ascii="宋体" w:eastAsia="宋体" w:hAnsi="宋体" w:cs="宋体"/>
          <w:kern w:val="0"/>
          <w:sz w:val="24"/>
        </w:rPr>
        <w:pict w14:anchorId="4B763C1A">
          <v:rect id="_x0000_i1061" style="width:6in;height:1.5pt" o:hralign="center" o:hrstd="t" o:hr="t" fillcolor="#a0a0a0" stroked="f"/>
        </w:pict>
      </w:r>
    </w:p>
    <w:p w14:paraId="4B76094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945" w14:textId="77777777" w:rsidR="0099058F" w:rsidRDefault="00EB2559">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Deliveries of new-build production units, including remanufactures and modifications,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6172"/>
        <w:gridCol w:w="37"/>
        <w:gridCol w:w="64"/>
        <w:gridCol w:w="520"/>
        <w:gridCol w:w="36"/>
        <w:gridCol w:w="36"/>
        <w:gridCol w:w="36"/>
        <w:gridCol w:w="36"/>
        <w:gridCol w:w="64"/>
        <w:gridCol w:w="512"/>
        <w:gridCol w:w="36"/>
        <w:gridCol w:w="36"/>
        <w:gridCol w:w="36"/>
        <w:gridCol w:w="36"/>
        <w:gridCol w:w="64"/>
        <w:gridCol w:w="518"/>
        <w:gridCol w:w="36"/>
      </w:tblGrid>
      <w:tr w:rsidR="0099058F" w14:paraId="4B760958" w14:textId="77777777">
        <w:trPr>
          <w:jc w:val="center"/>
        </w:trPr>
        <w:tc>
          <w:tcPr>
            <w:tcW w:w="50" w:type="pct"/>
            <w:tcBorders>
              <w:top w:val="nil"/>
              <w:left w:val="nil"/>
              <w:bottom w:val="nil"/>
              <w:right w:val="nil"/>
            </w:tcBorders>
            <w:shd w:val="clear" w:color="auto" w:fill="auto"/>
            <w:vAlign w:val="bottom"/>
          </w:tcPr>
          <w:p w14:paraId="4B760946" w14:textId="77777777" w:rsidR="0099058F" w:rsidRDefault="0099058F">
            <w:pPr>
              <w:widowControl/>
              <w:jc w:val="left"/>
              <w:rPr>
                <w:rFonts w:ascii="Times New Roman" w:eastAsia="宋体" w:hAnsi="宋体" w:cs="宋体"/>
                <w:kern w:val="0"/>
                <w:sz w:val="24"/>
              </w:rPr>
            </w:pPr>
          </w:p>
        </w:tc>
        <w:tc>
          <w:tcPr>
            <w:tcW w:w="3711" w:type="pct"/>
            <w:tcBorders>
              <w:top w:val="nil"/>
              <w:left w:val="nil"/>
              <w:bottom w:val="nil"/>
              <w:right w:val="nil"/>
            </w:tcBorders>
            <w:shd w:val="clear" w:color="auto" w:fill="auto"/>
            <w:vAlign w:val="bottom"/>
          </w:tcPr>
          <w:p w14:paraId="4B76094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4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949" w14:textId="77777777" w:rsidR="0099058F" w:rsidRDefault="0099058F">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4B76094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4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4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94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4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94F" w14:textId="77777777" w:rsidR="0099058F" w:rsidRDefault="0099058F">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4B76095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5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5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95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5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955" w14:textId="77777777" w:rsidR="0099058F" w:rsidRDefault="0099058F">
            <w:pPr>
              <w:widowControl/>
              <w:jc w:val="left"/>
              <w:rPr>
                <w:rFonts w:ascii="Times New Roman" w:eastAsia="宋体" w:hAnsi="宋体" w:cs="宋体"/>
                <w:kern w:val="0"/>
                <w:sz w:val="24"/>
              </w:rPr>
            </w:pPr>
          </w:p>
        </w:tc>
        <w:tc>
          <w:tcPr>
            <w:tcW w:w="329" w:type="pct"/>
            <w:tcBorders>
              <w:top w:val="nil"/>
              <w:left w:val="nil"/>
              <w:bottom w:val="nil"/>
              <w:right w:val="nil"/>
            </w:tcBorders>
            <w:shd w:val="clear" w:color="auto" w:fill="auto"/>
            <w:vAlign w:val="bottom"/>
          </w:tcPr>
          <w:p w14:paraId="4B76095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957" w14:textId="77777777" w:rsidR="0099058F" w:rsidRDefault="0099058F">
            <w:pPr>
              <w:widowControl/>
              <w:jc w:val="left"/>
              <w:rPr>
                <w:rFonts w:ascii="Times New Roman" w:eastAsia="宋体" w:hAnsi="宋体" w:cs="宋体"/>
                <w:kern w:val="0"/>
                <w:sz w:val="24"/>
              </w:rPr>
            </w:pPr>
          </w:p>
        </w:tc>
      </w:tr>
      <w:tr w:rsidR="0099058F" w14:paraId="4B76095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5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95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9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969"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tcPr>
          <w:p w14:paraId="4B76096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F/A-18 </w:t>
            </w:r>
            <w:r>
              <w:rPr>
                <w:rFonts w:ascii="Arial" w:eastAsia="宋体" w:hAnsi="Arial" w:cs="Arial"/>
                <w:color w:val="000000"/>
                <w:kern w:val="0"/>
                <w:sz w:val="20"/>
                <w:szCs w:val="20"/>
                <w:lang w:bidi="ar"/>
              </w:rPr>
              <w:t>Models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62"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96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65"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9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9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968" w14:textId="77777777" w:rsidR="0099058F" w:rsidRDefault="0099058F">
            <w:pPr>
              <w:widowControl/>
              <w:jc w:val="right"/>
              <w:rPr>
                <w:rFonts w:ascii="Times New Roman" w:eastAsia="宋体" w:hAnsi="宋体" w:cs="宋体"/>
                <w:kern w:val="0"/>
                <w:sz w:val="24"/>
              </w:rPr>
            </w:pPr>
          </w:p>
        </w:tc>
      </w:tr>
      <w:tr w:rsidR="0099058F" w14:paraId="4B76097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96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6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6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6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7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72" w14:textId="77777777" w:rsidR="0099058F" w:rsidRDefault="0099058F">
            <w:pPr>
              <w:widowControl/>
              <w:jc w:val="right"/>
              <w:rPr>
                <w:rFonts w:ascii="Times New Roman" w:eastAsia="宋体" w:hAnsi="宋体" w:cs="宋体"/>
                <w:kern w:val="0"/>
                <w:sz w:val="24"/>
              </w:rPr>
            </w:pPr>
          </w:p>
        </w:tc>
      </w:tr>
      <w:tr w:rsidR="0099058F" w14:paraId="4B76097A" w14:textId="77777777">
        <w:trPr>
          <w:jc w:val="center"/>
          <w:hidden/>
        </w:trPr>
        <w:tc>
          <w:tcPr>
            <w:tcW w:w="0" w:type="auto"/>
            <w:gridSpan w:val="3"/>
            <w:tcBorders>
              <w:top w:val="nil"/>
              <w:left w:val="nil"/>
              <w:bottom w:val="nil"/>
              <w:right w:val="nil"/>
            </w:tcBorders>
            <w:shd w:val="clear" w:color="auto" w:fill="auto"/>
            <w:vAlign w:val="bottom"/>
          </w:tcPr>
          <w:p w14:paraId="4B76097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7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7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7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7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79" w14:textId="77777777" w:rsidR="0099058F" w:rsidRDefault="0099058F">
            <w:pPr>
              <w:widowControl/>
              <w:jc w:val="left"/>
              <w:rPr>
                <w:rFonts w:ascii="Times New Roman" w:eastAsia="宋体" w:hAnsi="宋体" w:cs="宋体"/>
                <w:vanish/>
                <w:kern w:val="0"/>
                <w:sz w:val="24"/>
              </w:rPr>
            </w:pPr>
          </w:p>
        </w:tc>
      </w:tr>
      <w:tr w:rsidR="0099058F" w14:paraId="4B76098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97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7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7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8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8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83" w14:textId="77777777" w:rsidR="0099058F" w:rsidRDefault="0099058F">
            <w:pPr>
              <w:widowControl/>
              <w:jc w:val="right"/>
              <w:rPr>
                <w:rFonts w:ascii="Times New Roman" w:eastAsia="宋体" w:hAnsi="宋体" w:cs="宋体"/>
                <w:kern w:val="0"/>
                <w:sz w:val="24"/>
              </w:rPr>
            </w:pPr>
          </w:p>
        </w:tc>
      </w:tr>
      <w:tr w:rsidR="0099058F" w14:paraId="4B76098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98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8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8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8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8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8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8D" w14:textId="77777777" w:rsidR="0099058F" w:rsidRDefault="0099058F">
            <w:pPr>
              <w:widowControl/>
              <w:jc w:val="right"/>
              <w:rPr>
                <w:rFonts w:ascii="Times New Roman" w:eastAsia="宋体" w:hAnsi="宋体" w:cs="宋体"/>
                <w:kern w:val="0"/>
                <w:sz w:val="24"/>
              </w:rPr>
            </w:pPr>
          </w:p>
        </w:tc>
      </w:tr>
      <w:tr w:rsidR="0099058F" w14:paraId="4B760998"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98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9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9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9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9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97" w14:textId="77777777" w:rsidR="0099058F" w:rsidRDefault="0099058F">
            <w:pPr>
              <w:widowControl/>
              <w:jc w:val="right"/>
              <w:rPr>
                <w:rFonts w:ascii="Times New Roman" w:eastAsia="宋体" w:hAnsi="宋体" w:cs="宋体"/>
                <w:kern w:val="0"/>
                <w:sz w:val="24"/>
              </w:rPr>
            </w:pPr>
          </w:p>
        </w:tc>
      </w:tr>
      <w:tr w:rsidR="0099058F" w14:paraId="4B7609A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99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9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9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9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A1" w14:textId="77777777" w:rsidR="0099058F" w:rsidRDefault="0099058F">
            <w:pPr>
              <w:widowControl/>
              <w:jc w:val="right"/>
              <w:rPr>
                <w:rFonts w:ascii="Times New Roman" w:eastAsia="宋体" w:hAnsi="宋体" w:cs="宋体"/>
                <w:kern w:val="0"/>
                <w:sz w:val="24"/>
              </w:rPr>
            </w:pPr>
          </w:p>
        </w:tc>
      </w:tr>
      <w:tr w:rsidR="0099058F" w14:paraId="4B7609A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9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MH-139 Grey Wolf</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A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A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A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A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A9" w14:textId="77777777" w:rsidR="0099058F" w:rsidRDefault="0099058F">
            <w:pPr>
              <w:widowControl/>
              <w:jc w:val="left"/>
              <w:rPr>
                <w:rFonts w:ascii="Times New Roman" w:eastAsia="宋体" w:hAnsi="宋体" w:cs="宋体"/>
                <w:kern w:val="0"/>
                <w:sz w:val="24"/>
              </w:rPr>
            </w:pPr>
          </w:p>
        </w:tc>
      </w:tr>
      <w:tr w:rsidR="0099058F" w14:paraId="4B7609B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9A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A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A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B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B3" w14:textId="77777777" w:rsidR="0099058F" w:rsidRDefault="0099058F">
            <w:pPr>
              <w:widowControl/>
              <w:jc w:val="right"/>
              <w:rPr>
                <w:rFonts w:ascii="Times New Roman" w:eastAsia="宋体" w:hAnsi="宋体" w:cs="宋体"/>
                <w:kern w:val="0"/>
                <w:sz w:val="24"/>
              </w:rPr>
            </w:pPr>
          </w:p>
        </w:tc>
      </w:tr>
      <w:tr w:rsidR="0099058F" w14:paraId="4B7609BE"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9B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B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B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B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B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BD" w14:textId="77777777" w:rsidR="0099058F" w:rsidRDefault="0099058F">
            <w:pPr>
              <w:widowControl/>
              <w:jc w:val="right"/>
              <w:rPr>
                <w:rFonts w:ascii="Times New Roman" w:eastAsia="宋体" w:hAnsi="宋体" w:cs="宋体"/>
                <w:kern w:val="0"/>
                <w:sz w:val="24"/>
              </w:rPr>
            </w:pPr>
          </w:p>
        </w:tc>
      </w:tr>
      <w:tr w:rsidR="0099058F" w14:paraId="4B7609C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09B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Satellites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9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9C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9C5" w14:textId="77777777" w:rsidR="0099058F" w:rsidRDefault="0099058F">
            <w:pPr>
              <w:widowControl/>
              <w:jc w:val="left"/>
              <w:rPr>
                <w:rFonts w:ascii="Times New Roman" w:eastAsia="宋体" w:hAnsi="宋体" w:cs="宋体"/>
                <w:kern w:val="0"/>
                <w:sz w:val="24"/>
              </w:rPr>
            </w:pPr>
          </w:p>
        </w:tc>
      </w:tr>
      <w:tr w:rsidR="0099058F" w14:paraId="4B7609CE"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09C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Military Satellites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9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9C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C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9CD" w14:textId="77777777" w:rsidR="0099058F" w:rsidRDefault="0099058F">
            <w:pPr>
              <w:widowControl/>
              <w:jc w:val="left"/>
              <w:rPr>
                <w:rFonts w:ascii="Times New Roman" w:eastAsia="宋体" w:hAnsi="宋体" w:cs="宋体"/>
                <w:kern w:val="0"/>
                <w:sz w:val="24"/>
              </w:rPr>
            </w:pPr>
          </w:p>
        </w:tc>
      </w:tr>
      <w:tr w:rsidR="0099058F" w14:paraId="4B7609D5" w14:textId="77777777">
        <w:trPr>
          <w:jc w:val="center"/>
          <w:hidden/>
        </w:trPr>
        <w:tc>
          <w:tcPr>
            <w:tcW w:w="0" w:type="auto"/>
            <w:gridSpan w:val="3"/>
            <w:tcBorders>
              <w:top w:val="nil"/>
              <w:left w:val="nil"/>
              <w:bottom w:val="nil"/>
              <w:right w:val="nil"/>
            </w:tcBorders>
            <w:shd w:val="clear" w:color="auto" w:fill="auto"/>
            <w:vAlign w:val="bottom"/>
          </w:tcPr>
          <w:p w14:paraId="4B7609C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4" w14:textId="77777777" w:rsidR="0099058F" w:rsidRDefault="0099058F">
            <w:pPr>
              <w:widowControl/>
              <w:jc w:val="left"/>
              <w:rPr>
                <w:rFonts w:ascii="Times New Roman" w:eastAsia="宋体" w:hAnsi="宋体" w:cs="宋体"/>
                <w:vanish/>
                <w:kern w:val="0"/>
                <w:sz w:val="24"/>
              </w:rPr>
            </w:pPr>
          </w:p>
        </w:tc>
      </w:tr>
      <w:tr w:rsidR="0099058F" w14:paraId="4B7609DC" w14:textId="77777777">
        <w:trPr>
          <w:jc w:val="center"/>
          <w:hidden/>
        </w:trPr>
        <w:tc>
          <w:tcPr>
            <w:tcW w:w="0" w:type="auto"/>
            <w:gridSpan w:val="3"/>
            <w:tcBorders>
              <w:top w:val="nil"/>
              <w:left w:val="nil"/>
              <w:bottom w:val="nil"/>
              <w:right w:val="nil"/>
            </w:tcBorders>
            <w:shd w:val="clear" w:color="auto" w:fill="auto"/>
            <w:vAlign w:val="bottom"/>
          </w:tcPr>
          <w:p w14:paraId="4B7609D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9DB" w14:textId="77777777" w:rsidR="0099058F" w:rsidRDefault="0099058F">
            <w:pPr>
              <w:widowControl/>
              <w:jc w:val="left"/>
              <w:rPr>
                <w:rFonts w:ascii="Times New Roman" w:eastAsia="宋体" w:hAnsi="宋体" w:cs="宋体"/>
                <w:vanish/>
                <w:kern w:val="0"/>
                <w:sz w:val="24"/>
              </w:rPr>
            </w:pPr>
          </w:p>
        </w:tc>
      </w:tr>
      <w:tr w:rsidR="0099058F" w14:paraId="4B7609E6"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09D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9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9DF"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9E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9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9E2"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9E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9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9E5" w14:textId="77777777" w:rsidR="0099058F" w:rsidRDefault="0099058F">
            <w:pPr>
              <w:widowControl/>
              <w:jc w:val="right"/>
              <w:rPr>
                <w:rFonts w:ascii="Times New Roman" w:eastAsia="宋体" w:hAnsi="宋体" w:cs="宋体"/>
                <w:kern w:val="0"/>
                <w:sz w:val="24"/>
              </w:rPr>
            </w:pPr>
          </w:p>
        </w:tc>
      </w:tr>
    </w:tbl>
    <w:p w14:paraId="4B7609E7"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B7609E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in 2022 decreased by $3,378 million compared with 2021 </w:t>
      </w:r>
      <w:r>
        <w:rPr>
          <w:rFonts w:ascii="Arial" w:eastAsia="宋体" w:hAnsi="Arial" w:cs="Arial"/>
          <w:color w:val="000000"/>
          <w:kern w:val="0"/>
          <w:sz w:val="20"/>
          <w:szCs w:val="20"/>
          <w:lang w:bidi="ar"/>
        </w:rPr>
        <w:t xml:space="preserve">primarily due to charges on development programs. Unfavorable performance across other defense programs and lower P-8 and weapons volume also contributed to the decrease in revenue. Cumulative contract catch-up adjustments in 2022 were $1,858 million more </w:t>
      </w:r>
      <w:r>
        <w:rPr>
          <w:rFonts w:ascii="Arial" w:eastAsia="宋体" w:hAnsi="Arial" w:cs="Arial"/>
          <w:color w:val="000000"/>
          <w:kern w:val="0"/>
          <w:sz w:val="20"/>
          <w:szCs w:val="20"/>
          <w:lang w:bidi="ar"/>
        </w:rPr>
        <w:t>unfavorable than the prior year largely due to charges on development programs.</w:t>
      </w:r>
    </w:p>
    <w:p w14:paraId="4B7609E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in 2021 increased by $283 million compared with 2020 primarily due to higher revenue on the KC-46A Tanker program due to new orders for 27 aircraft received during</w:t>
      </w:r>
      <w:r>
        <w:rPr>
          <w:rFonts w:ascii="Arial" w:eastAsia="宋体" w:hAnsi="Arial" w:cs="Arial"/>
          <w:color w:val="000000"/>
          <w:kern w:val="0"/>
          <w:sz w:val="20"/>
          <w:szCs w:val="20"/>
          <w:lang w:bidi="ar"/>
        </w:rPr>
        <w:t xml:space="preserve"> the first quarter of 2021 and lower charges in 2021. This was partially offset by lower revenues on rotorcraft programs, Commercial Crew and VC-25B. Cumulative contract catch-up adjustments in 2021 were $56 million less unfavorable than the prior year, la</w:t>
      </w:r>
      <w:r>
        <w:rPr>
          <w:rFonts w:ascii="Arial" w:eastAsia="宋体" w:hAnsi="Arial" w:cs="Arial"/>
          <w:color w:val="000000"/>
          <w:kern w:val="0"/>
          <w:sz w:val="20"/>
          <w:szCs w:val="20"/>
          <w:lang w:bidi="ar"/>
        </w:rPr>
        <w:t>rgely due to the lower charges described below.</w:t>
      </w:r>
    </w:p>
    <w:p w14:paraId="4B7609EA"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(Loss)/earnings From Operations </w:t>
      </w:r>
    </w:p>
    <w:p w14:paraId="4B7609E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loss from operations in 2022 of $3,544 million decreased by $5,088 million compared with earnings from operations of $1,544 million in 2021 primarily due to unfavorable im</w:t>
      </w:r>
      <w:r>
        <w:rPr>
          <w:rFonts w:ascii="Arial" w:eastAsia="宋体" w:hAnsi="Arial" w:cs="Arial"/>
          <w:color w:val="000000"/>
          <w:kern w:val="0"/>
          <w:sz w:val="20"/>
          <w:szCs w:val="20"/>
          <w:lang w:bidi="ar"/>
        </w:rPr>
        <w:t>pacts of cumulative contract catch-up adjustments ($4,284 million more unfavorable in 2022 than 2021). Volume and mix and higher research and development also contributed to the year over year earnings decline. Charges of fixed price development programs i</w:t>
      </w:r>
      <w:r>
        <w:rPr>
          <w:rFonts w:ascii="Arial" w:eastAsia="宋体" w:hAnsi="Arial" w:cs="Arial"/>
          <w:color w:val="000000"/>
          <w:kern w:val="0"/>
          <w:sz w:val="20"/>
          <w:szCs w:val="20"/>
          <w:lang w:bidi="ar"/>
        </w:rPr>
        <w:t>n 2022 included VC-25B ($1,452 million), KC-46A Tanker ($1,374 million), MQ-25 ($579 million), T-7A Red Hawk Production Options ($552 million), T-7A Red Hawk Engineering, Manufacturing and Development (EMD) ($203 million), and Commercial Crew ($288 million</w:t>
      </w:r>
      <w:r>
        <w:rPr>
          <w:rFonts w:ascii="Arial" w:eastAsia="宋体" w:hAnsi="Arial" w:cs="Arial"/>
          <w:color w:val="000000"/>
          <w:kern w:val="0"/>
          <w:sz w:val="20"/>
          <w:szCs w:val="20"/>
          <w:lang w:bidi="ar"/>
        </w:rPr>
        <w:t>). These were partially offset by charges on the KC-46A Tanker ($402 million), VC-25B ($318 million), and Commercial Crew ($214 million) recognized in 2021. The net unfavorable cumulative contract catch-up adjustments represent losses incurred on these dev</w:t>
      </w:r>
      <w:r>
        <w:rPr>
          <w:rFonts w:ascii="Arial" w:eastAsia="宋体" w:hAnsi="Arial" w:cs="Arial"/>
          <w:color w:val="000000"/>
          <w:kern w:val="0"/>
          <w:sz w:val="20"/>
          <w:szCs w:val="20"/>
          <w:lang w:bidi="ar"/>
        </w:rPr>
        <w:t xml:space="preserve">elopment and other programs. See further discussion of fixed-price contracts in Note 13 to our Consolidated Financial Statements. </w:t>
      </w:r>
    </w:p>
    <w:p w14:paraId="4B7609E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in 2021 of $1,544 million increased by $5 million compared with earnings from operations of $1,5</w:t>
      </w:r>
      <w:r>
        <w:rPr>
          <w:rFonts w:ascii="Arial" w:eastAsia="宋体" w:hAnsi="Arial" w:cs="Arial"/>
          <w:color w:val="000000"/>
          <w:kern w:val="0"/>
          <w:sz w:val="20"/>
          <w:szCs w:val="20"/>
          <w:lang w:bidi="ar"/>
        </w:rPr>
        <w:t>39 million in 2020 primarily due to less unfavorable impacts from cumulative contract catch-up adjustments, which improved $219 million from the prior year, largely due to lower KC-46A Tanker charges in 2021 compared to 2020 and other charges on developmen</w:t>
      </w:r>
      <w:r>
        <w:rPr>
          <w:rFonts w:ascii="Arial" w:eastAsia="宋体" w:hAnsi="Arial" w:cs="Arial"/>
          <w:color w:val="000000"/>
          <w:kern w:val="0"/>
          <w:sz w:val="20"/>
          <w:szCs w:val="20"/>
          <w:lang w:bidi="ar"/>
        </w:rPr>
        <w:t>t programs. The $219 million change in cumulative contract catch-up adjustments was offset primarily by lower volume and mix on rotorcraft programs and lower equity earnings for United Launch Alliance (ULA). During 2020, BDS recorded charges on KC-46A Tank</w:t>
      </w:r>
      <w:r>
        <w:rPr>
          <w:rFonts w:ascii="Arial" w:eastAsia="宋体" w:hAnsi="Arial" w:cs="Arial"/>
          <w:color w:val="000000"/>
          <w:kern w:val="0"/>
          <w:sz w:val="20"/>
          <w:szCs w:val="20"/>
          <w:lang w:bidi="ar"/>
        </w:rPr>
        <w:t>er ($1,320 million) and VC-25B ($168 million).</w:t>
      </w:r>
    </w:p>
    <w:p w14:paraId="4B7609E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36</w:t>
      </w:r>
    </w:p>
    <w:p w14:paraId="4B7609EE" w14:textId="77777777" w:rsidR="0099058F" w:rsidRDefault="00EB2559">
      <w:pPr>
        <w:widowControl/>
        <w:jc w:val="center"/>
      </w:pPr>
      <w:r>
        <w:rPr>
          <w:rFonts w:ascii="宋体" w:eastAsia="宋体" w:hAnsi="宋体" w:cs="宋体"/>
          <w:kern w:val="0"/>
          <w:sz w:val="24"/>
        </w:rPr>
        <w:pict w14:anchorId="4B763C1B">
          <v:rect id="_x0000_i1062" style="width:6in;height:1.5pt" o:hralign="center" o:hrstd="t" o:hr="t" fillcolor="#a0a0a0" stroked="f"/>
        </w:pict>
      </w:r>
    </w:p>
    <w:p w14:paraId="4B7609E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9F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(loss)/earnings from operations includes our share of income from equity method investments of $13 million, $53 million and</w:t>
      </w:r>
      <w:r>
        <w:rPr>
          <w:rFonts w:ascii="Arial" w:eastAsia="宋体" w:hAnsi="Arial" w:cs="Arial"/>
          <w:color w:val="000000"/>
          <w:kern w:val="0"/>
          <w:sz w:val="20"/>
          <w:szCs w:val="20"/>
          <w:lang w:bidi="ar"/>
        </w:rPr>
        <w:t xml:space="preserve"> $141 million primarily from our ULA and non-U.S. joint ventures in 2022, 2021 and 2020, respectively. Earnings from our ULA joint venture increased in 2022, partially offset by losses on other operating investments.</w:t>
      </w:r>
    </w:p>
    <w:p w14:paraId="4B7609F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B7609F2"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Total backlog of $54,373 millio</w:t>
      </w:r>
      <w:r>
        <w:rPr>
          <w:rFonts w:ascii="Arial" w:eastAsia="宋体" w:hAnsi="Arial" w:cs="Arial"/>
          <w:color w:val="000000"/>
          <w:kern w:val="0"/>
          <w:sz w:val="20"/>
          <w:szCs w:val="20"/>
          <w:lang w:bidi="ar"/>
        </w:rPr>
        <w:t>n at December 31, 2022 was $5,455 million lower than December 31, 2021 due to the timing of awards and revenue recognized on contracts awarded in prior years.</w:t>
      </w:r>
    </w:p>
    <w:p w14:paraId="4B7609F3"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B7609F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BDS business includes a variety of development programs which have </w:t>
      </w:r>
      <w:r>
        <w:rPr>
          <w:rFonts w:ascii="Arial" w:eastAsia="宋体" w:hAnsi="Arial" w:cs="Arial"/>
          <w:color w:val="000000"/>
          <w:kern w:val="0"/>
          <w:sz w:val="20"/>
          <w:szCs w:val="20"/>
          <w:lang w:bidi="ar"/>
        </w:rPr>
        <w:t>complex design and technical challenges. Some of these programs have cost-type contracting arrangements. In these cases, the associated financial risks are primarily in reduced fees, lower profit rates or program cancellation if cost, schedule or technical</w:t>
      </w:r>
      <w:r>
        <w:rPr>
          <w:rFonts w:ascii="Arial" w:eastAsia="宋体" w:hAnsi="Arial" w:cs="Arial"/>
          <w:color w:val="000000"/>
          <w:kern w:val="0"/>
          <w:sz w:val="20"/>
          <w:szCs w:val="20"/>
          <w:lang w:bidi="ar"/>
        </w:rPr>
        <w:t xml:space="preserve"> performance issues arise. Examples of these programs include Ground-based Midcourse Defense, Proprietary and Space Launch System programs.</w:t>
      </w:r>
    </w:p>
    <w:p w14:paraId="4B7609F5"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Some of our development programs are contracted on a fixed-price basis. Examples of significant </w:t>
      </w:r>
      <w:r>
        <w:rPr>
          <w:rFonts w:ascii="Arial" w:eastAsia="宋体" w:hAnsi="Arial" w:cs="Arial"/>
          <w:color w:val="000000"/>
          <w:kern w:val="0"/>
          <w:sz w:val="20"/>
          <w:szCs w:val="20"/>
          <w:lang w:bidi="ar"/>
        </w:rPr>
        <w:t xml:space="preserve">fixed-price development programs include Commercial Crew, KC-46A Tanker, MQ-25, T-7A Red Hawk, VC-25B, and commercial and military satellites. A number of our ongoing fixed-price development programs have reach-forward losses. New programs could also have </w:t>
      </w:r>
      <w:r>
        <w:rPr>
          <w:rFonts w:ascii="Arial" w:eastAsia="宋体" w:hAnsi="Arial" w:cs="Arial"/>
          <w:color w:val="000000"/>
          <w:kern w:val="0"/>
          <w:sz w:val="20"/>
          <w:szCs w:val="20"/>
          <w:lang w:bidi="ar"/>
        </w:rPr>
        <w:t>risk for reach-forward loss upon contract award and during the period of contract performance. Many development programs have highly complex designs. As technical or quality issues arise during development, we may experience schedule delays and cost impact</w:t>
      </w:r>
      <w:r>
        <w:rPr>
          <w:rFonts w:ascii="Arial" w:eastAsia="宋体" w:hAnsi="Arial" w:cs="Arial"/>
          <w:color w:val="000000"/>
          <w:kern w:val="0"/>
          <w:sz w:val="20"/>
          <w:szCs w:val="20"/>
          <w:lang w:bidi="ar"/>
        </w:rPr>
        <w:t>s, which could increase our estimated cost to perform the work or reduce our estimated price, either of which could result in a material charge or otherwise adversely affect our financial condition. These programs are ongoing, and while we believe the cost</w:t>
      </w:r>
      <w:r>
        <w:rPr>
          <w:rFonts w:ascii="Arial" w:eastAsia="宋体" w:hAnsi="Arial" w:cs="Arial"/>
          <w:color w:val="000000"/>
          <w:kern w:val="0"/>
          <w:sz w:val="20"/>
          <w:szCs w:val="20"/>
          <w:lang w:bidi="ar"/>
        </w:rPr>
        <w:t xml:space="preserve"> and fee estimates incorporated in the financial statements are appropriate, the technical complexity of these programs creates financial risk as additional completion costs may become necessary or scheduled delivery dates could be extended, which could tr</w:t>
      </w:r>
      <w:r>
        <w:rPr>
          <w:rFonts w:ascii="Arial" w:eastAsia="宋体" w:hAnsi="Arial" w:cs="Arial"/>
          <w:color w:val="000000"/>
          <w:kern w:val="0"/>
          <w:sz w:val="20"/>
          <w:szCs w:val="20"/>
          <w:lang w:bidi="ar"/>
        </w:rPr>
        <w:t>igger termination provisions or other financially significant exposure. Risk remains that we may be required to record additional reach-forward losses in future periods.</w:t>
      </w:r>
    </w:p>
    <w:p w14:paraId="4B7609F6"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4B7609F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B7609F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aerospace markets we serve include</w:t>
      </w:r>
      <w:r>
        <w:rPr>
          <w:rFonts w:ascii="Arial" w:eastAsia="宋体" w:hAnsi="Arial" w:cs="Arial"/>
          <w:color w:val="000000"/>
          <w:kern w:val="0"/>
          <w:sz w:val="20"/>
          <w:szCs w:val="20"/>
          <w:lang w:bidi="ar"/>
        </w:rPr>
        <w:t xml:space="preserve"> parts distribution, logistics and other inventory services; maintenance, engineering and upgrades; training and professional services; and data analytics and digital services. During 2022, commercial services volume at BGS recovered to pre-pandemic levels</w:t>
      </w:r>
      <w:r>
        <w:rPr>
          <w:rFonts w:ascii="Arial" w:eastAsia="宋体" w:hAnsi="Arial" w:cs="Arial"/>
          <w:color w:val="000000"/>
          <w:kern w:val="0"/>
          <w:sz w:val="20"/>
          <w:szCs w:val="20"/>
          <w:lang w:bidi="ar"/>
        </w:rPr>
        <w:t>. We expect BGS commercial revenues to remain strong in future quarters as the commercial airline industry continues to recover.</w:t>
      </w:r>
    </w:p>
    <w:p w14:paraId="4B7609F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Over the long-term, as the size of the worldwide commercial airline fleet continues to grow, so does demand for aftermarket ser</w:t>
      </w:r>
      <w:r>
        <w:rPr>
          <w:rFonts w:ascii="Arial" w:eastAsia="宋体" w:hAnsi="Arial" w:cs="Arial"/>
          <w:color w:val="000000"/>
          <w:kern w:val="0"/>
          <w:sz w:val="20"/>
          <w:szCs w:val="20"/>
          <w:lang w:bidi="ar"/>
        </w:rPr>
        <w:t>vices designed to increase efficiency and extend the economic lives of aircraft. Airlines are using data analytics to plan flight operations and predictive maintenance to improve their productivity and efficiency. Airlines continue to look for opportunitie</w:t>
      </w:r>
      <w:r>
        <w:rPr>
          <w:rFonts w:ascii="Arial" w:eastAsia="宋体" w:hAnsi="Arial" w:cs="Arial"/>
          <w:color w:val="000000"/>
          <w:kern w:val="0"/>
          <w:sz w:val="20"/>
          <w:szCs w:val="20"/>
          <w:lang w:bidi="ar"/>
        </w:rPr>
        <w:t>s to reduce the size and cost of their spare parts inventory, frequently outsourcing spares management to third parties.</w:t>
      </w:r>
    </w:p>
    <w:p w14:paraId="4B7609F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demand outlook for our government services business has remained stable in 2022. Government services market segments are growing on</w:t>
      </w:r>
      <w:r>
        <w:rPr>
          <w:rFonts w:ascii="Arial" w:eastAsia="宋体" w:hAnsi="Arial" w:cs="Arial"/>
          <w:color w:val="000000"/>
          <w:kern w:val="0"/>
          <w:sz w:val="20"/>
          <w:szCs w:val="20"/>
          <w:lang w:bidi="ar"/>
        </w:rPr>
        <w:t xml:space="preserve"> pace with related fleets, but vary based on the utilization and age of the aircraft. The U.S. government services market is the single largest individual market, comprising over 50 percent of the government services markets served. Over the next decade, w</w:t>
      </w:r>
      <w:r>
        <w:rPr>
          <w:rFonts w:ascii="Arial" w:eastAsia="宋体" w:hAnsi="Arial" w:cs="Arial"/>
          <w:color w:val="000000"/>
          <w:kern w:val="0"/>
          <w:sz w:val="20"/>
          <w:szCs w:val="20"/>
          <w:lang w:bidi="ar"/>
        </w:rPr>
        <w:t xml:space="preserve">e </w:t>
      </w:r>
    </w:p>
    <w:p w14:paraId="4B7609F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37</w:t>
      </w:r>
    </w:p>
    <w:p w14:paraId="4B7609FC" w14:textId="77777777" w:rsidR="0099058F" w:rsidRDefault="00EB2559">
      <w:pPr>
        <w:widowControl/>
        <w:jc w:val="center"/>
      </w:pPr>
      <w:r>
        <w:rPr>
          <w:rFonts w:ascii="宋体" w:eastAsia="宋体" w:hAnsi="宋体" w:cs="宋体"/>
          <w:kern w:val="0"/>
          <w:sz w:val="24"/>
        </w:rPr>
        <w:pict w14:anchorId="4B763C1C">
          <v:rect id="_x0000_i1063" style="width:6in;height:1.5pt" o:hralign="center" o:hrstd="t" o:hr="t" fillcolor="#a0a0a0" stroked="f"/>
        </w:pict>
      </w:r>
    </w:p>
    <w:p w14:paraId="4B7609F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9F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expect U.S. growth to remain flat and non-U.S. fleets, led by Middle East and Asia Pacific customers, to add rotorcraft and commercial derivative aircraft at faster rates.</w:t>
      </w:r>
      <w:r>
        <w:rPr>
          <w:rFonts w:ascii="Arial" w:eastAsia="宋体" w:hAnsi="Arial" w:cs="Arial"/>
          <w:color w:val="000000"/>
          <w:kern w:val="0"/>
          <w:sz w:val="20"/>
          <w:szCs w:val="20"/>
          <w:lang w:bidi="ar"/>
        </w:rPr>
        <w:t xml:space="preserve"> We expect less than 20 percent of the worldwide fleet of military aircraft to be retired and replaced over the next ten years, driving increased demand for services to maintain aging aircraft and enhance aircraft capability.</w:t>
      </w:r>
    </w:p>
    <w:p w14:paraId="4B7609F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major customer, the </w:t>
      </w:r>
      <w:r>
        <w:rPr>
          <w:rFonts w:ascii="Arial" w:eastAsia="宋体" w:hAnsi="Arial" w:cs="Arial"/>
          <w:color w:val="000000"/>
          <w:kern w:val="0"/>
          <w:sz w:val="20"/>
          <w:szCs w:val="20"/>
          <w:lang w:bidi="ar"/>
        </w:rPr>
        <w:t>U.S. government, remains subject to the spending limits and uncertainty described on page 35, which could restrict the execution of certain program activities and delay new programs or competitions.</w:t>
      </w:r>
    </w:p>
    <w:p w14:paraId="4B760A0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Industry Competitiveness </w:t>
      </w:r>
      <w:r>
        <w:rPr>
          <w:rFonts w:ascii="Arial" w:eastAsia="宋体" w:hAnsi="Arial" w:cs="Arial"/>
          <w:color w:val="000000"/>
          <w:kern w:val="0"/>
          <w:sz w:val="20"/>
          <w:szCs w:val="20"/>
          <w:lang w:bidi="ar"/>
        </w:rPr>
        <w:t>Aviation services is a competiti</w:t>
      </w:r>
      <w:r>
        <w:rPr>
          <w:rFonts w:ascii="Arial" w:eastAsia="宋体" w:hAnsi="Arial" w:cs="Arial"/>
          <w:color w:val="000000"/>
          <w:kern w:val="0"/>
          <w:sz w:val="20"/>
          <w:szCs w:val="20"/>
          <w:lang w:bidi="ar"/>
        </w:rPr>
        <w:t>ve market with many domestic and international competitors. This market environment has resulted in intense pressures on pricing, and we expect these pressures to continue or intensify in the coming years. Continued access to global markets remains vital t</w:t>
      </w:r>
      <w:r>
        <w:rPr>
          <w:rFonts w:ascii="Arial" w:eastAsia="宋体" w:hAnsi="Arial" w:cs="Arial"/>
          <w:color w:val="000000"/>
          <w:kern w:val="0"/>
          <w:sz w:val="20"/>
          <w:szCs w:val="20"/>
          <w:lang w:bidi="ar"/>
        </w:rPr>
        <w:t>o our ability to fully realize our sales growth potential and long-term investment returns.</w:t>
      </w:r>
    </w:p>
    <w:p w14:paraId="4B760A01" w14:textId="77777777" w:rsidR="0099058F" w:rsidRDefault="00EB2559">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4994"/>
        <w:gridCol w:w="37"/>
        <w:gridCol w:w="68"/>
        <w:gridCol w:w="764"/>
        <w:gridCol w:w="198"/>
        <w:gridCol w:w="36"/>
        <w:gridCol w:w="36"/>
        <w:gridCol w:w="36"/>
        <w:gridCol w:w="68"/>
        <w:gridCol w:w="731"/>
        <w:gridCol w:w="198"/>
        <w:gridCol w:w="36"/>
        <w:gridCol w:w="36"/>
        <w:gridCol w:w="36"/>
        <w:gridCol w:w="68"/>
        <w:gridCol w:w="731"/>
        <w:gridCol w:w="198"/>
      </w:tblGrid>
      <w:tr w:rsidR="0099058F" w14:paraId="4B760A14" w14:textId="77777777">
        <w:tc>
          <w:tcPr>
            <w:tcW w:w="50" w:type="pct"/>
            <w:tcBorders>
              <w:top w:val="nil"/>
              <w:left w:val="nil"/>
              <w:bottom w:val="nil"/>
              <w:right w:val="nil"/>
            </w:tcBorders>
            <w:shd w:val="clear" w:color="auto" w:fill="auto"/>
            <w:vAlign w:val="bottom"/>
          </w:tcPr>
          <w:p w14:paraId="4B760A02" w14:textId="77777777" w:rsidR="0099058F" w:rsidRDefault="0099058F">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B760A0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05"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A0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A0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0B"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A0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0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A0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1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11"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0A1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13" w14:textId="77777777" w:rsidR="0099058F" w:rsidRDefault="0099058F">
            <w:pPr>
              <w:widowControl/>
              <w:jc w:val="left"/>
              <w:rPr>
                <w:rFonts w:ascii="Times New Roman" w:eastAsia="宋体" w:hAnsi="宋体" w:cs="宋体"/>
                <w:kern w:val="0"/>
                <w:sz w:val="24"/>
              </w:rPr>
            </w:pPr>
          </w:p>
        </w:tc>
      </w:tr>
      <w:tr w:rsidR="0099058F" w14:paraId="4B760A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15"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A" w14:textId="77777777" w:rsidR="0099058F" w:rsidRDefault="0099058F">
            <w:pPr>
              <w:widowControl/>
              <w:jc w:val="left"/>
              <w:rPr>
                <w:rFonts w:ascii="Times New Roman" w:eastAsia="宋体" w:hAnsi="宋体" w:cs="宋体"/>
                <w:kern w:val="0"/>
                <w:sz w:val="24"/>
              </w:rPr>
            </w:pPr>
          </w:p>
        </w:tc>
      </w:tr>
      <w:tr w:rsidR="0099058F" w14:paraId="4B760A2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1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2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A2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A2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$17,611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2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2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2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2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2B" w14:textId="77777777" w:rsidR="0099058F" w:rsidRDefault="0099058F">
            <w:pPr>
              <w:widowControl/>
              <w:jc w:val="left"/>
              <w:rPr>
                <w:rFonts w:ascii="Times New Roman" w:eastAsia="宋体" w:hAnsi="宋体" w:cs="宋体"/>
                <w:kern w:val="0"/>
                <w:sz w:val="24"/>
              </w:rPr>
            </w:pPr>
          </w:p>
        </w:tc>
      </w:tr>
      <w:tr w:rsidR="0099058F" w14:paraId="4B760A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A2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 of </w:t>
            </w:r>
            <w:r>
              <w:rPr>
                <w:rFonts w:ascii="Arial" w:eastAsia="宋体" w:hAnsi="Arial" w:cs="Arial"/>
                <w:color w:val="000000"/>
                <w:kern w:val="0"/>
                <w:sz w:val="20"/>
                <w:szCs w:val="20"/>
                <w:lang w:bidi="ar"/>
              </w:rPr>
              <w:t>total 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3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3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A4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A3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A3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3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A3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3F" w14:textId="77777777" w:rsidR="0099058F" w:rsidRDefault="0099058F">
            <w:pPr>
              <w:widowControl/>
              <w:jc w:val="left"/>
              <w:rPr>
                <w:rFonts w:ascii="Times New Roman" w:eastAsia="宋体" w:hAnsi="宋体" w:cs="宋体"/>
                <w:kern w:val="0"/>
                <w:sz w:val="24"/>
              </w:rPr>
            </w:pPr>
          </w:p>
        </w:tc>
      </w:tr>
      <w:tr w:rsidR="0099058F" w14:paraId="4B760A4A"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tcPr>
          <w:p w14:paraId="4B760A4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A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A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A4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A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A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0A4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0A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0A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A51" w14:textId="77777777">
        <w:trPr>
          <w:hidden/>
        </w:trPr>
        <w:tc>
          <w:tcPr>
            <w:tcW w:w="0" w:type="auto"/>
            <w:gridSpan w:val="3"/>
            <w:tcBorders>
              <w:top w:val="nil"/>
              <w:left w:val="nil"/>
              <w:bottom w:val="nil"/>
              <w:right w:val="nil"/>
            </w:tcBorders>
            <w:shd w:val="clear" w:color="auto" w:fill="auto"/>
            <w:vAlign w:val="bottom"/>
          </w:tcPr>
          <w:p w14:paraId="4B760A4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0" w14:textId="77777777" w:rsidR="0099058F" w:rsidRDefault="0099058F">
            <w:pPr>
              <w:widowControl/>
              <w:jc w:val="left"/>
              <w:rPr>
                <w:rFonts w:ascii="Times New Roman" w:eastAsia="宋体" w:hAnsi="宋体" w:cs="宋体"/>
                <w:vanish/>
                <w:kern w:val="0"/>
                <w:sz w:val="24"/>
              </w:rPr>
            </w:pPr>
          </w:p>
        </w:tc>
      </w:tr>
      <w:tr w:rsidR="0099058F" w14:paraId="4B760A58" w14:textId="77777777">
        <w:trPr>
          <w:hidden/>
        </w:trPr>
        <w:tc>
          <w:tcPr>
            <w:tcW w:w="0" w:type="auto"/>
            <w:gridSpan w:val="3"/>
            <w:tcBorders>
              <w:top w:val="nil"/>
              <w:left w:val="nil"/>
              <w:bottom w:val="nil"/>
              <w:right w:val="nil"/>
            </w:tcBorders>
            <w:shd w:val="clear" w:color="auto" w:fill="auto"/>
            <w:vAlign w:val="bottom"/>
          </w:tcPr>
          <w:p w14:paraId="4B760A5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A57" w14:textId="77777777" w:rsidR="0099058F" w:rsidRDefault="0099058F">
            <w:pPr>
              <w:widowControl/>
              <w:jc w:val="left"/>
              <w:rPr>
                <w:rFonts w:ascii="Times New Roman" w:eastAsia="宋体" w:hAnsi="宋体" w:cs="宋体"/>
                <w:vanish/>
                <w:kern w:val="0"/>
                <w:sz w:val="24"/>
              </w:rPr>
            </w:pPr>
          </w:p>
        </w:tc>
      </w:tr>
    </w:tbl>
    <w:p w14:paraId="4B760A5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B760A5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in 2022 increased by $1,283 million compared with 2021 primarily due to </w:t>
      </w:r>
      <w:r>
        <w:rPr>
          <w:rFonts w:ascii="Arial" w:eastAsia="宋体" w:hAnsi="Arial" w:cs="Arial"/>
          <w:color w:val="000000"/>
          <w:kern w:val="0"/>
          <w:sz w:val="20"/>
          <w:szCs w:val="20"/>
          <w:lang w:bidi="ar"/>
        </w:rPr>
        <w:t>higher commercial services volume, partially offset by lower government services volume and performance. The decrease in government services volume is partly driven by the discontinuation of an engine distribution agreement in the second quarter of 2022. T</w:t>
      </w:r>
      <w:r>
        <w:rPr>
          <w:rFonts w:ascii="Arial" w:eastAsia="宋体" w:hAnsi="Arial" w:cs="Arial"/>
          <w:color w:val="000000"/>
          <w:kern w:val="0"/>
          <w:sz w:val="20"/>
          <w:szCs w:val="20"/>
          <w:lang w:bidi="ar"/>
        </w:rPr>
        <w:t>he net favorable impact of cumulative contract catch-up adjustments in 2022 was $137 million lower than the prior year.</w:t>
      </w:r>
    </w:p>
    <w:p w14:paraId="4B760A5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in 2021 increased by $785 million compared with 2020 due to higher commercial and government services volume. The net </w:t>
      </w:r>
      <w:r>
        <w:rPr>
          <w:rFonts w:ascii="Arial" w:eastAsia="宋体" w:hAnsi="Arial" w:cs="Arial"/>
          <w:color w:val="000000"/>
          <w:kern w:val="0"/>
          <w:sz w:val="20"/>
          <w:szCs w:val="20"/>
          <w:lang w:bidi="ar"/>
        </w:rPr>
        <w:t>favorable impact of cumulative contract catch-up adjustments in 2021 was $37 million lower than the prior year</w:t>
      </w: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xml:space="preserve"> </w:t>
      </w:r>
    </w:p>
    <w:p w14:paraId="4B760A5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Earnings From Operations </w:t>
      </w:r>
    </w:p>
    <w:p w14:paraId="4B760A5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in 2022 increased by $710 million compared with 2021, primarily due to higher commercial</w:t>
      </w:r>
      <w:r>
        <w:rPr>
          <w:rFonts w:ascii="Arial" w:eastAsia="宋体" w:hAnsi="Arial" w:cs="Arial"/>
          <w:color w:val="000000"/>
          <w:kern w:val="0"/>
          <w:sz w:val="20"/>
          <w:szCs w:val="20"/>
          <w:lang w:bidi="ar"/>
        </w:rPr>
        <w:t xml:space="preserve"> services volume and favorable mix, partially offset by lower government services performance. The net unfavorable impact of cumulative contract catch-up adjustments in 2022 was $148 million worse than the net favorable impact in the prior year.</w:t>
      </w:r>
    </w:p>
    <w:p w14:paraId="4B760A5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w:t>
      </w:r>
      <w:r>
        <w:rPr>
          <w:rFonts w:ascii="Arial" w:eastAsia="宋体" w:hAnsi="Arial" w:cs="Arial"/>
          <w:color w:val="000000"/>
          <w:kern w:val="0"/>
          <w:sz w:val="20"/>
          <w:szCs w:val="20"/>
          <w:lang w:bidi="ar"/>
        </w:rPr>
        <w:t>gs from operations in 2021 increased by $1,567 million compared with 2020, primarily due to charges incurred in 2020 driven by impacts of the COVID-19 pandemic as well as higher commercial services volume in 2021, partially offset by an inventory write-dow</w:t>
      </w:r>
      <w:r>
        <w:rPr>
          <w:rFonts w:ascii="Arial" w:eastAsia="宋体" w:hAnsi="Arial" w:cs="Arial"/>
          <w:color w:val="000000"/>
          <w:kern w:val="0"/>
          <w:sz w:val="20"/>
          <w:szCs w:val="20"/>
          <w:lang w:bidi="ar"/>
        </w:rPr>
        <w:t xml:space="preserve">n of $220 million recognized in the fourth quarter of 2021 driven by revised cost estimates on certain customer contracts. Charges in 2020 included $531 million of inventory write-downs, $178 million of related impairments of distribution rights primarily </w:t>
      </w:r>
      <w:r>
        <w:rPr>
          <w:rFonts w:ascii="Arial" w:eastAsia="宋体" w:hAnsi="Arial" w:cs="Arial"/>
          <w:color w:val="000000"/>
          <w:kern w:val="0"/>
          <w:sz w:val="20"/>
          <w:szCs w:val="20"/>
          <w:lang w:bidi="ar"/>
        </w:rPr>
        <w:t>driven by airlines’ decisions to retire certain aircraft, $398 million for higher expected credit losses primarily driven by customer liquidity issues, $115 million of contract termination and facility impairment charges, and $72 million of severance costs</w:t>
      </w:r>
      <w:r>
        <w:rPr>
          <w:rFonts w:ascii="Arial" w:eastAsia="宋体" w:hAnsi="Arial" w:cs="Arial"/>
          <w:color w:val="000000"/>
          <w:kern w:val="0"/>
          <w:sz w:val="20"/>
          <w:szCs w:val="20"/>
          <w:lang w:bidi="ar"/>
        </w:rPr>
        <w:t>. The net favorable impact of cumulative contract catch-up adjustments in 2021 was $98 million lower than the prior year</w:t>
      </w:r>
      <w:r>
        <w:rPr>
          <w:rFonts w:ascii="Arial" w:eastAsia="宋体" w:hAnsi="Arial" w:cs="Arial"/>
          <w:b/>
          <w:bCs/>
          <w:color w:val="000000"/>
          <w:kern w:val="0"/>
          <w:sz w:val="20"/>
          <w:szCs w:val="20"/>
          <w:lang w:bidi="ar"/>
        </w:rPr>
        <w:t>.</w:t>
      </w:r>
    </w:p>
    <w:p w14:paraId="4B760A5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38</w:t>
      </w:r>
    </w:p>
    <w:p w14:paraId="4B760A60" w14:textId="77777777" w:rsidR="0099058F" w:rsidRDefault="00EB2559">
      <w:pPr>
        <w:widowControl/>
        <w:jc w:val="center"/>
      </w:pPr>
      <w:r>
        <w:rPr>
          <w:rFonts w:ascii="宋体" w:eastAsia="宋体" w:hAnsi="宋体" w:cs="宋体"/>
          <w:kern w:val="0"/>
          <w:sz w:val="24"/>
        </w:rPr>
        <w:pict w14:anchorId="4B763C1D">
          <v:rect id="_x0000_i1064" style="width:6in;height:1.5pt" o:hralign="center" o:hrstd="t" o:hr="t" fillcolor="#a0a0a0" stroked="f"/>
        </w:pict>
      </w:r>
    </w:p>
    <w:p w14:paraId="4B760A6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A6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B760A63"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BGS total backlog of $19,338 million at Dece</w:t>
      </w:r>
      <w:r>
        <w:rPr>
          <w:rFonts w:ascii="Arial" w:eastAsia="宋体" w:hAnsi="Arial" w:cs="Arial"/>
          <w:color w:val="000000"/>
          <w:kern w:val="0"/>
          <w:sz w:val="20"/>
          <w:szCs w:val="20"/>
          <w:lang w:bidi="ar"/>
        </w:rPr>
        <w:t>mber 31, 2022 decreased by 6% from $20,496 million at December 31, 2021, primarily due to revenue recognized on contracts awarded in prior years.</w:t>
      </w:r>
    </w:p>
    <w:p w14:paraId="4B760A64"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4B760A6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B760A6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gross customer financing and investment </w:t>
      </w:r>
      <w:r>
        <w:rPr>
          <w:rFonts w:ascii="Arial" w:eastAsia="宋体" w:hAnsi="Arial" w:cs="Arial"/>
          <w:color w:val="000000"/>
          <w:kern w:val="0"/>
          <w:sz w:val="20"/>
          <w:szCs w:val="20"/>
          <w:lang w:bidi="ar"/>
        </w:rPr>
        <w:t>portfolio at December 31, 2022 totaled $1,549 million. A substantial portion of BCC’s portfolio is composed of customers that have less than investment-grade credit. BCC’s portfolio is also concentrated by varying degrees across Boeing aircraft product typ</w:t>
      </w:r>
      <w:r>
        <w:rPr>
          <w:rFonts w:ascii="Arial" w:eastAsia="宋体" w:hAnsi="Arial" w:cs="Arial"/>
          <w:color w:val="000000"/>
          <w:kern w:val="0"/>
          <w:sz w:val="20"/>
          <w:szCs w:val="20"/>
          <w:lang w:bidi="ar"/>
        </w:rPr>
        <w:t>es, most notably 717 and 747-8 aircraft.</w:t>
      </w:r>
    </w:p>
    <w:p w14:paraId="4B760A6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provided customer financing of $96 million during 2022 and none during 2021. While we may be required to fund a number of new aircraft deliveries in 2023 and/or provide refinancing for existing bridge debt, we e</w:t>
      </w:r>
      <w:r>
        <w:rPr>
          <w:rFonts w:ascii="Arial" w:eastAsia="宋体" w:hAnsi="Arial" w:cs="Arial"/>
          <w:color w:val="000000"/>
          <w:kern w:val="0"/>
          <w:sz w:val="20"/>
          <w:szCs w:val="20"/>
          <w:lang w:bidi="ar"/>
        </w:rPr>
        <w:t>xpect alternative financing will be available at reasonable prices from broad and globally diverse sources.</w:t>
      </w:r>
    </w:p>
    <w:p w14:paraId="4B760A6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Aircraft values and lease rates are impacted by the number and type of aircraft that are currently out of service. Approximately 4,950 western-built</w:t>
      </w:r>
      <w:r>
        <w:rPr>
          <w:rFonts w:ascii="Arial" w:eastAsia="宋体" w:hAnsi="Arial" w:cs="Arial"/>
          <w:color w:val="000000"/>
          <w:kern w:val="0"/>
          <w:sz w:val="20"/>
          <w:szCs w:val="20"/>
          <w:lang w:bidi="ar"/>
        </w:rPr>
        <w:t xml:space="preserve"> commercial jet aircraft (18.3% of current world fleet) were parked at the end of 2022, including both in-production and out-of-production aircraft types. Of these parked aircraft, a larger portion are expected to be retired compared to the pre-COVID-19 pe</w:t>
      </w:r>
      <w:r>
        <w:rPr>
          <w:rFonts w:ascii="Arial" w:eastAsia="宋体" w:hAnsi="Arial" w:cs="Arial"/>
          <w:color w:val="000000"/>
          <w:kern w:val="0"/>
          <w:sz w:val="20"/>
          <w:szCs w:val="20"/>
          <w:lang w:bidi="ar"/>
        </w:rPr>
        <w:t>riod, which directly impacts the Company in terms of number of new aircraft deliveries and financing opportunities, the ability of existing customers to meet current payment obligations and the value of aircraft in its portfolio. We continue to work closel</w:t>
      </w:r>
      <w:r>
        <w:rPr>
          <w:rFonts w:ascii="Arial" w:eastAsia="宋体" w:hAnsi="Arial" w:cs="Arial"/>
          <w:color w:val="000000"/>
          <w:kern w:val="0"/>
          <w:sz w:val="20"/>
          <w:szCs w:val="20"/>
          <w:lang w:bidi="ar"/>
        </w:rPr>
        <w:t>y with our customers to mitigate the risk. At the end of 2021 and 2020, 20.5% and 29.4% of the western-built commercial jet aircraft were parked. Aircraft valuations could decline if significant numbers of additional aircraft, particularly types with relat</w:t>
      </w:r>
      <w:r>
        <w:rPr>
          <w:rFonts w:ascii="Arial" w:eastAsia="宋体" w:hAnsi="Arial" w:cs="Arial"/>
          <w:color w:val="000000"/>
          <w:kern w:val="0"/>
          <w:sz w:val="20"/>
          <w:szCs w:val="20"/>
          <w:lang w:bidi="ar"/>
        </w:rPr>
        <w:t>ively few operators, are placed out of service. See Overview to Management’s Discussion and Analysis of Financial Condition and Results of Operations for a discussion of the airline industry environment.</w:t>
      </w:r>
    </w:p>
    <w:p w14:paraId="4B760A69" w14:textId="77777777" w:rsidR="0099058F" w:rsidRDefault="00EB2559">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5816"/>
        <w:gridCol w:w="37"/>
        <w:gridCol w:w="61"/>
        <w:gridCol w:w="505"/>
        <w:gridCol w:w="198"/>
        <w:gridCol w:w="36"/>
        <w:gridCol w:w="36"/>
        <w:gridCol w:w="36"/>
        <w:gridCol w:w="61"/>
        <w:gridCol w:w="460"/>
        <w:gridCol w:w="198"/>
        <w:gridCol w:w="36"/>
        <w:gridCol w:w="36"/>
        <w:gridCol w:w="36"/>
        <w:gridCol w:w="61"/>
        <w:gridCol w:w="460"/>
        <w:gridCol w:w="198"/>
      </w:tblGrid>
      <w:tr w:rsidR="0099058F" w14:paraId="4B760A7C" w14:textId="77777777">
        <w:tc>
          <w:tcPr>
            <w:tcW w:w="50" w:type="pct"/>
            <w:tcBorders>
              <w:top w:val="nil"/>
              <w:left w:val="nil"/>
              <w:bottom w:val="nil"/>
              <w:right w:val="nil"/>
            </w:tcBorders>
            <w:shd w:val="clear" w:color="auto" w:fill="auto"/>
            <w:vAlign w:val="bottom"/>
          </w:tcPr>
          <w:p w14:paraId="4B760A6A" w14:textId="77777777" w:rsidR="0099058F" w:rsidRDefault="0099058F">
            <w:pPr>
              <w:widowControl/>
              <w:jc w:val="left"/>
              <w:rPr>
                <w:rFonts w:ascii="Times New Roman" w:eastAsia="宋体" w:hAnsi="宋体" w:cs="宋体"/>
                <w:kern w:val="0"/>
                <w:sz w:val="24"/>
              </w:rPr>
            </w:pPr>
          </w:p>
        </w:tc>
        <w:tc>
          <w:tcPr>
            <w:tcW w:w="3559" w:type="pct"/>
            <w:tcBorders>
              <w:top w:val="nil"/>
              <w:left w:val="nil"/>
              <w:bottom w:val="nil"/>
              <w:right w:val="nil"/>
            </w:tcBorders>
            <w:shd w:val="clear" w:color="auto" w:fill="auto"/>
            <w:vAlign w:val="bottom"/>
          </w:tcPr>
          <w:p w14:paraId="4B760A6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6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6D"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0A6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6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A7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73"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0A7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A7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79"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0A7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7B" w14:textId="77777777" w:rsidR="0099058F" w:rsidRDefault="0099058F">
            <w:pPr>
              <w:widowControl/>
              <w:jc w:val="left"/>
              <w:rPr>
                <w:rFonts w:ascii="Times New Roman" w:eastAsia="宋体" w:hAnsi="宋体" w:cs="宋体"/>
                <w:kern w:val="0"/>
                <w:sz w:val="24"/>
              </w:rPr>
            </w:pPr>
          </w:p>
        </w:tc>
      </w:tr>
      <w:tr w:rsidR="0099058F" w14:paraId="4B760A8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7D"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7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7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82" w14:textId="77777777" w:rsidR="0099058F" w:rsidRDefault="0099058F">
            <w:pPr>
              <w:widowControl/>
              <w:jc w:val="left"/>
              <w:rPr>
                <w:rFonts w:ascii="Times New Roman" w:eastAsia="宋体" w:hAnsi="宋体" w:cs="宋体"/>
                <w:kern w:val="0"/>
                <w:sz w:val="24"/>
              </w:rPr>
            </w:pPr>
          </w:p>
        </w:tc>
      </w:tr>
      <w:tr w:rsidR="0099058F" w14:paraId="4B760A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8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A9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A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8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8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9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9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93" w14:textId="77777777" w:rsidR="0099058F" w:rsidRDefault="0099058F">
            <w:pPr>
              <w:widowControl/>
              <w:jc w:val="left"/>
              <w:rPr>
                <w:rFonts w:ascii="Times New Roman" w:eastAsia="宋体" w:hAnsi="宋体" w:cs="宋体"/>
                <w:kern w:val="0"/>
                <w:sz w:val="24"/>
              </w:rPr>
            </w:pPr>
          </w:p>
        </w:tc>
      </w:tr>
      <w:tr w:rsidR="0099058F" w14:paraId="4B760A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A9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9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9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9D" w14:textId="77777777" w:rsidR="0099058F" w:rsidRDefault="0099058F">
            <w:pPr>
              <w:widowControl/>
              <w:jc w:val="left"/>
              <w:rPr>
                <w:rFonts w:ascii="Times New Roman" w:eastAsia="宋体" w:hAnsi="宋体" w:cs="宋体"/>
                <w:kern w:val="0"/>
                <w:sz w:val="24"/>
              </w:rPr>
            </w:pPr>
          </w:p>
        </w:tc>
      </w:tr>
      <w:tr w:rsidR="0099058F" w14:paraId="4B760AA8"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B760A9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A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A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AA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A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A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AA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A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A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0AA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B760AA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 segment revenues consist principally of lease </w:t>
      </w:r>
      <w:r>
        <w:rPr>
          <w:rFonts w:ascii="Arial" w:eastAsia="宋体" w:hAnsi="Arial" w:cs="Arial"/>
          <w:color w:val="000000"/>
          <w:kern w:val="0"/>
          <w:sz w:val="20"/>
          <w:szCs w:val="20"/>
          <w:lang w:bidi="ar"/>
        </w:rPr>
        <w:t>income from equipment under operating lease, interest income from financing receivables and notes, and other income. BCC’s revenues in 2022 decreased by $73 million compared with 2021 primarily due to lower gains on re-lease of assets.</w:t>
      </w:r>
    </w:p>
    <w:p w14:paraId="4B760AA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w:t>
      </w:r>
      <w:r>
        <w:rPr>
          <w:rFonts w:ascii="Arial" w:eastAsia="宋体" w:hAnsi="Arial" w:cs="Arial"/>
          <w:b/>
          <w:bCs/>
          <w:color w:val="000000"/>
          <w:kern w:val="0"/>
          <w:sz w:val="20"/>
          <w:szCs w:val="20"/>
          <w:lang w:bidi="ar"/>
        </w:rPr>
        <w:t xml:space="preserve">ions </w:t>
      </w:r>
    </w:p>
    <w:p w14:paraId="4B760AA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earnings from operations is presented net of interest expense, provision for (recovery of) losses, asset impairment expense, depreciation on leased equipment and other operating expenses. In 2022, earnings from operations decreased by $77 milli</w:t>
      </w:r>
      <w:r>
        <w:rPr>
          <w:rFonts w:ascii="Arial" w:eastAsia="宋体" w:hAnsi="Arial" w:cs="Arial"/>
          <w:color w:val="000000"/>
          <w:kern w:val="0"/>
          <w:sz w:val="20"/>
          <w:szCs w:val="20"/>
          <w:lang w:bidi="ar"/>
        </w:rPr>
        <w:t>on compared with 2021, primarily due to an increase in the allowance for losses on receivables as a result of the war in Ukraine and lower revenues. Earnings from operations in 2021 increased by $43 million compared with 2020 primarily due to higher revenu</w:t>
      </w:r>
      <w:r>
        <w:rPr>
          <w:rFonts w:ascii="Arial" w:eastAsia="宋体" w:hAnsi="Arial" w:cs="Arial"/>
          <w:color w:val="000000"/>
          <w:kern w:val="0"/>
          <w:sz w:val="20"/>
          <w:szCs w:val="20"/>
          <w:lang w:bidi="ar"/>
        </w:rPr>
        <w:t xml:space="preserve">es, lower provision for losses, and lower interest and asset impairment expenses. </w:t>
      </w:r>
    </w:p>
    <w:p w14:paraId="4B760AA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39</w:t>
      </w:r>
    </w:p>
    <w:p w14:paraId="4B760AAE" w14:textId="77777777" w:rsidR="0099058F" w:rsidRDefault="00EB2559">
      <w:pPr>
        <w:widowControl/>
        <w:jc w:val="center"/>
      </w:pPr>
      <w:r>
        <w:rPr>
          <w:rFonts w:ascii="宋体" w:eastAsia="宋体" w:hAnsi="宋体" w:cs="宋体"/>
          <w:kern w:val="0"/>
          <w:sz w:val="24"/>
        </w:rPr>
        <w:pict w14:anchorId="4B763C1E">
          <v:rect id="_x0000_i1065" style="width:6in;height:1.5pt" o:hralign="center" o:hrstd="t" o:hr="t" fillcolor="#a0a0a0" stroked="f"/>
        </w:pict>
      </w:r>
    </w:p>
    <w:p w14:paraId="4B760AA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AB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4B760AB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 as of Decem</w:t>
      </w:r>
      <w:r>
        <w:rPr>
          <w:rFonts w:ascii="Arial" w:eastAsia="宋体" w:hAnsi="Arial" w:cs="Arial"/>
          <w:color w:val="000000"/>
          <w:kern w:val="0"/>
          <w:sz w:val="20"/>
          <w:szCs w:val="20"/>
          <w:lang w:bidi="ar"/>
        </w:rPr>
        <w:t>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9"/>
        <w:gridCol w:w="69"/>
        <w:gridCol w:w="794"/>
        <w:gridCol w:w="36"/>
        <w:gridCol w:w="36"/>
        <w:gridCol w:w="36"/>
        <w:gridCol w:w="36"/>
        <w:gridCol w:w="67"/>
        <w:gridCol w:w="790"/>
        <w:gridCol w:w="36"/>
      </w:tblGrid>
      <w:tr w:rsidR="0099058F" w14:paraId="4B760ABE" w14:textId="77777777">
        <w:tc>
          <w:tcPr>
            <w:tcW w:w="50" w:type="pct"/>
            <w:tcBorders>
              <w:top w:val="nil"/>
              <w:left w:val="nil"/>
              <w:bottom w:val="nil"/>
              <w:right w:val="nil"/>
            </w:tcBorders>
            <w:shd w:val="clear" w:color="auto" w:fill="auto"/>
            <w:vAlign w:val="bottom"/>
          </w:tcPr>
          <w:p w14:paraId="4B760AB2"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0A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B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B5"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A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B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B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A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B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ABB"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A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ABD" w14:textId="77777777" w:rsidR="0099058F" w:rsidRDefault="0099058F">
            <w:pPr>
              <w:widowControl/>
              <w:jc w:val="left"/>
              <w:rPr>
                <w:rFonts w:ascii="Times New Roman" w:eastAsia="宋体" w:hAnsi="宋体" w:cs="宋体"/>
                <w:kern w:val="0"/>
                <w:sz w:val="24"/>
              </w:rPr>
            </w:pPr>
          </w:p>
        </w:tc>
      </w:tr>
      <w:tr w:rsidR="0099058F" w14:paraId="4B760A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BF"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A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A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0AC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AC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C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AC9" w14:textId="77777777" w:rsidR="0099058F" w:rsidRDefault="0099058F">
            <w:pPr>
              <w:widowControl/>
              <w:jc w:val="left"/>
              <w:rPr>
                <w:rFonts w:ascii="Times New Roman" w:eastAsia="宋体" w:hAnsi="宋体" w:cs="宋体"/>
                <w:kern w:val="0"/>
                <w:sz w:val="24"/>
              </w:rPr>
            </w:pPr>
          </w:p>
        </w:tc>
      </w:tr>
      <w:tr w:rsidR="0099058F" w14:paraId="4B760A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AC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C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C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D0" w14:textId="77777777" w:rsidR="0099058F" w:rsidRDefault="0099058F">
            <w:pPr>
              <w:widowControl/>
              <w:jc w:val="left"/>
              <w:rPr>
                <w:rFonts w:ascii="Times New Roman" w:eastAsia="宋体" w:hAnsi="宋体" w:cs="宋体"/>
                <w:kern w:val="0"/>
                <w:sz w:val="24"/>
              </w:rPr>
            </w:pPr>
          </w:p>
        </w:tc>
      </w:tr>
      <w:tr w:rsidR="0099058F" w14:paraId="4B760AD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AD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AD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AD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A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AD7" w14:textId="77777777" w:rsidR="0099058F" w:rsidRDefault="0099058F">
            <w:pPr>
              <w:widowControl/>
              <w:jc w:val="left"/>
              <w:rPr>
                <w:rFonts w:ascii="Times New Roman" w:eastAsia="宋体" w:hAnsi="宋体" w:cs="宋体"/>
                <w:kern w:val="0"/>
                <w:sz w:val="24"/>
              </w:rPr>
            </w:pPr>
          </w:p>
        </w:tc>
      </w:tr>
      <w:tr w:rsidR="0099058F" w14:paraId="4B760ADD"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AD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AD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AD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ADC" w14:textId="77777777" w:rsidR="0099058F" w:rsidRDefault="0099058F">
            <w:pPr>
              <w:widowControl/>
              <w:jc w:val="left"/>
              <w:rPr>
                <w:rFonts w:ascii="Times New Roman" w:eastAsia="宋体" w:hAnsi="宋体" w:cs="宋体"/>
                <w:kern w:val="0"/>
                <w:sz w:val="24"/>
              </w:rPr>
            </w:pPr>
          </w:p>
        </w:tc>
      </w:tr>
      <w:tr w:rsidR="0099058F" w14:paraId="4B760AE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AD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w:t>
            </w:r>
            <w:r>
              <w:rPr>
                <w:rFonts w:ascii="Arial" w:eastAsia="宋体" w:hAnsi="Arial" w:cs="Arial"/>
                <w:color w:val="000000"/>
                <w:kern w:val="0"/>
                <w:sz w:val="20"/>
                <w:szCs w:val="20"/>
                <w:lang w:bidi="ar"/>
              </w:rPr>
              <w:t>liabilities, primarily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A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E3" w14:textId="77777777" w:rsidR="0099058F" w:rsidRDefault="0099058F">
            <w:pPr>
              <w:widowControl/>
              <w:jc w:val="left"/>
              <w:rPr>
                <w:rFonts w:ascii="Times New Roman" w:eastAsia="宋体" w:hAnsi="宋体" w:cs="宋体"/>
                <w:kern w:val="0"/>
                <w:sz w:val="24"/>
              </w:rPr>
            </w:pPr>
          </w:p>
        </w:tc>
      </w:tr>
      <w:tr w:rsidR="0099058F" w14:paraId="4B760A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AE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 including intercompany loans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E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AE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A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AEA" w14:textId="77777777" w:rsidR="0099058F" w:rsidRDefault="0099058F">
            <w:pPr>
              <w:widowControl/>
              <w:jc w:val="right"/>
              <w:rPr>
                <w:rFonts w:ascii="Times New Roman" w:eastAsia="宋体" w:hAnsi="宋体" w:cs="宋体"/>
                <w:kern w:val="0"/>
                <w:sz w:val="24"/>
              </w:rPr>
            </w:pPr>
          </w:p>
        </w:tc>
      </w:tr>
      <w:tr w:rsidR="0099058F" w14:paraId="4B760A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AE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E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AE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A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AF1" w14:textId="77777777" w:rsidR="0099058F" w:rsidRDefault="0099058F">
            <w:pPr>
              <w:widowControl/>
              <w:jc w:val="right"/>
              <w:rPr>
                <w:rFonts w:ascii="Times New Roman" w:eastAsia="宋体" w:hAnsi="宋体" w:cs="宋体"/>
                <w:kern w:val="0"/>
                <w:sz w:val="24"/>
              </w:rPr>
            </w:pPr>
          </w:p>
        </w:tc>
      </w:tr>
      <w:tr w:rsidR="0099058F" w14:paraId="4B760AF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0AF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A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AF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AF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A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AF8" w14:textId="77777777" w:rsidR="0099058F" w:rsidRDefault="0099058F">
            <w:pPr>
              <w:widowControl/>
              <w:jc w:val="left"/>
              <w:rPr>
                <w:rFonts w:ascii="Times New Roman" w:eastAsia="宋体" w:hAnsi="宋体" w:cs="宋体"/>
                <w:kern w:val="0"/>
                <w:sz w:val="24"/>
              </w:rPr>
            </w:pPr>
          </w:p>
        </w:tc>
      </w:tr>
      <w:tr w:rsidR="0099058F" w14:paraId="4B760AFE"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0AF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0AF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0AF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0AFD" w14:textId="77777777" w:rsidR="0099058F" w:rsidRDefault="0099058F">
            <w:pPr>
              <w:widowControl/>
              <w:jc w:val="left"/>
              <w:rPr>
                <w:rFonts w:ascii="Times New Roman" w:eastAsia="宋体" w:hAnsi="宋体" w:cs="宋体"/>
                <w:kern w:val="0"/>
                <w:sz w:val="24"/>
              </w:rPr>
            </w:pPr>
          </w:p>
        </w:tc>
      </w:tr>
      <w:tr w:rsidR="0099058F" w14:paraId="4B760B0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0AF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0B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4.9-to-1</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B0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0B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4.9-to-1</w:t>
            </w:r>
          </w:p>
        </w:tc>
      </w:tr>
    </w:tbl>
    <w:p w14:paraId="4B760B0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financing and </w:t>
      </w:r>
      <w:r>
        <w:rPr>
          <w:rFonts w:ascii="Arial" w:eastAsia="宋体" w:hAnsi="Arial" w:cs="Arial"/>
          <w:color w:val="000000"/>
          <w:kern w:val="0"/>
          <w:sz w:val="20"/>
          <w:szCs w:val="20"/>
          <w:lang w:bidi="ar"/>
        </w:rPr>
        <w:t>investment portfolio at December 31, 2022 decreased $226 million from December 31, 2021, primarily due to portfolio run-off, partially offset by new volume.</w:t>
      </w:r>
    </w:p>
    <w:p w14:paraId="4B760B0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intercompany transactions, reflected in Unallocated items, eliminations and</w:t>
      </w:r>
      <w:r>
        <w:rPr>
          <w:rFonts w:ascii="Arial" w:eastAsia="宋体" w:hAnsi="Arial" w:cs="Arial"/>
          <w:color w:val="000000"/>
          <w:kern w:val="0"/>
          <w:sz w:val="20"/>
          <w:szCs w:val="20"/>
          <w:lang w:bidi="ar"/>
        </w:rPr>
        <w:t xml:space="preserve"> other, in the form of intercompany guarantees and other subsidies that mitigate the effects of certain credit quality or asset impairment issues on the BCC segment.</w:t>
      </w:r>
    </w:p>
    <w:p w14:paraId="4B760B06"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4B760B07"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5344"/>
        <w:gridCol w:w="39"/>
        <w:gridCol w:w="74"/>
        <w:gridCol w:w="779"/>
        <w:gridCol w:w="36"/>
        <w:gridCol w:w="36"/>
        <w:gridCol w:w="36"/>
        <w:gridCol w:w="36"/>
        <w:gridCol w:w="71"/>
        <w:gridCol w:w="774"/>
        <w:gridCol w:w="36"/>
        <w:gridCol w:w="36"/>
        <w:gridCol w:w="36"/>
        <w:gridCol w:w="36"/>
        <w:gridCol w:w="81"/>
        <w:gridCol w:w="796"/>
        <w:gridCol w:w="36"/>
      </w:tblGrid>
      <w:tr w:rsidR="0099058F" w14:paraId="4B760B1A" w14:textId="77777777">
        <w:tc>
          <w:tcPr>
            <w:tcW w:w="50" w:type="pct"/>
            <w:tcBorders>
              <w:top w:val="nil"/>
              <w:left w:val="nil"/>
              <w:bottom w:val="nil"/>
              <w:right w:val="nil"/>
            </w:tcBorders>
            <w:shd w:val="clear" w:color="auto" w:fill="auto"/>
            <w:vAlign w:val="bottom"/>
          </w:tcPr>
          <w:p w14:paraId="4B760B08" w14:textId="77777777" w:rsidR="0099058F" w:rsidRDefault="0099058F">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B760B0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0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0B"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B0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0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0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B0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1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11"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B1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1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1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B1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1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17"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B1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19" w14:textId="77777777" w:rsidR="0099058F" w:rsidRDefault="0099058F">
            <w:pPr>
              <w:widowControl/>
              <w:jc w:val="left"/>
              <w:rPr>
                <w:rFonts w:ascii="Times New Roman" w:eastAsia="宋体" w:hAnsi="宋体" w:cs="宋体"/>
                <w:kern w:val="0"/>
                <w:sz w:val="24"/>
              </w:rPr>
            </w:pPr>
          </w:p>
        </w:tc>
      </w:tr>
      <w:tr w:rsidR="0099058F" w14:paraId="4B760B2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1B" w14:textId="77777777" w:rsidR="0099058F" w:rsidRDefault="00EB2559">
            <w:pPr>
              <w:widowControl/>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1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1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1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20" w14:textId="77777777" w:rsidR="0099058F" w:rsidRDefault="0099058F">
            <w:pPr>
              <w:widowControl/>
              <w:jc w:val="left"/>
              <w:rPr>
                <w:rFonts w:ascii="Times New Roman" w:eastAsia="宋体" w:hAnsi="宋体" w:cs="宋体"/>
                <w:kern w:val="0"/>
                <w:sz w:val="24"/>
              </w:rPr>
            </w:pPr>
          </w:p>
        </w:tc>
      </w:tr>
      <w:tr w:rsidR="0099058F" w14:paraId="4B760B2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2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B3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B2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2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B2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2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B2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31" w14:textId="77777777" w:rsidR="0099058F" w:rsidRDefault="0099058F">
            <w:pPr>
              <w:widowControl/>
              <w:jc w:val="left"/>
              <w:rPr>
                <w:rFonts w:ascii="Times New Roman" w:eastAsia="宋体" w:hAnsi="宋体" w:cs="宋体"/>
                <w:kern w:val="0"/>
                <w:sz w:val="24"/>
              </w:rPr>
            </w:pPr>
          </w:p>
        </w:tc>
      </w:tr>
      <w:tr w:rsidR="0099058F" w14:paraId="4B760B3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0B3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3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3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3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3B" w14:textId="77777777" w:rsidR="0099058F" w:rsidRDefault="0099058F">
            <w:pPr>
              <w:widowControl/>
              <w:jc w:val="right"/>
              <w:rPr>
                <w:rFonts w:ascii="Times New Roman" w:eastAsia="宋体" w:hAnsi="宋体" w:cs="宋体"/>
                <w:kern w:val="0"/>
                <w:sz w:val="24"/>
              </w:rPr>
            </w:pPr>
          </w:p>
        </w:tc>
      </w:tr>
      <w:tr w:rsidR="0099058F" w14:paraId="4B760B4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0B3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assets and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3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4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4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4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45" w14:textId="77777777" w:rsidR="0099058F" w:rsidRDefault="0099058F">
            <w:pPr>
              <w:widowControl/>
              <w:jc w:val="right"/>
              <w:rPr>
                <w:rFonts w:ascii="Times New Roman" w:eastAsia="宋体" w:hAnsi="宋体" w:cs="宋体"/>
                <w:kern w:val="0"/>
                <w:sz w:val="24"/>
              </w:rPr>
            </w:pPr>
          </w:p>
        </w:tc>
      </w:tr>
      <w:tr w:rsidR="0099058F" w14:paraId="4B760B50"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tcPr>
          <w:p w14:paraId="4B760B4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Net cash provided/(used) by operating </w:t>
            </w:r>
            <w:r>
              <w:rPr>
                <w:rFonts w:ascii="Arial" w:eastAsia="宋体" w:hAnsi="Arial" w:cs="Arial"/>
                <w:color w:val="000000"/>
                <w:kern w:val="0"/>
                <w:sz w:val="20"/>
                <w:szCs w:val="20"/>
                <w:lang w:bidi="ar"/>
              </w:rPr>
              <w:t>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49"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B4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4C"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B4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4F" w14:textId="77777777" w:rsidR="0099058F" w:rsidRDefault="0099058F">
            <w:pPr>
              <w:widowControl/>
              <w:jc w:val="right"/>
              <w:rPr>
                <w:rFonts w:ascii="Times New Roman" w:eastAsia="宋体" w:hAnsi="宋体" w:cs="宋体"/>
                <w:kern w:val="0"/>
                <w:sz w:val="24"/>
              </w:rPr>
            </w:pPr>
          </w:p>
        </w:tc>
      </w:tr>
      <w:tr w:rsidR="0099058F" w14:paraId="4B760B5A"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4B760B5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cash provided/(used)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5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5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5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59" w14:textId="77777777" w:rsidR="0099058F" w:rsidRDefault="0099058F">
            <w:pPr>
              <w:widowControl/>
              <w:jc w:val="right"/>
              <w:rPr>
                <w:rFonts w:ascii="Times New Roman" w:eastAsia="宋体" w:hAnsi="宋体" w:cs="宋体"/>
                <w:kern w:val="0"/>
                <w:sz w:val="24"/>
              </w:rPr>
            </w:pPr>
          </w:p>
        </w:tc>
      </w:tr>
      <w:tr w:rsidR="0099058F" w14:paraId="4B760B64"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B760B5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cash (used)/provided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5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5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6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6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63" w14:textId="77777777" w:rsidR="0099058F" w:rsidRDefault="0099058F">
            <w:pPr>
              <w:widowControl/>
              <w:jc w:val="right"/>
              <w:rPr>
                <w:rFonts w:ascii="Times New Roman" w:eastAsia="宋体" w:hAnsi="宋体" w:cs="宋体"/>
                <w:kern w:val="0"/>
                <w:sz w:val="24"/>
              </w:rPr>
            </w:pPr>
          </w:p>
        </w:tc>
      </w:tr>
      <w:tr w:rsidR="0099058F" w14:paraId="4B760B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B6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Effect of exchange rate changes on cash and cash </w:t>
            </w:r>
            <w:r>
              <w:rPr>
                <w:rFonts w:ascii="Arial" w:eastAsia="宋体" w:hAnsi="Arial" w:cs="Arial"/>
                <w:color w:val="000000"/>
                <w:kern w:val="0"/>
                <w:sz w:val="20"/>
                <w:szCs w:val="20"/>
                <w:lang w:bidi="ar"/>
              </w:rPr>
              <w:t>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6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6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6D" w14:textId="77777777" w:rsidR="0099058F" w:rsidRDefault="0099058F">
            <w:pPr>
              <w:widowControl/>
              <w:jc w:val="left"/>
              <w:rPr>
                <w:rFonts w:ascii="Times New Roman" w:eastAsia="宋体" w:hAnsi="宋体" w:cs="宋体"/>
                <w:kern w:val="0"/>
                <w:sz w:val="24"/>
              </w:rPr>
            </w:pPr>
          </w:p>
        </w:tc>
      </w:tr>
      <w:tr w:rsidR="0099058F" w14:paraId="4B760B7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B6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increase/(decrease)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7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B7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7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B7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B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B77" w14:textId="77777777" w:rsidR="0099058F" w:rsidRDefault="0099058F">
            <w:pPr>
              <w:widowControl/>
              <w:jc w:val="right"/>
              <w:rPr>
                <w:rFonts w:ascii="Times New Roman" w:eastAsia="宋体" w:hAnsi="宋体" w:cs="宋体"/>
                <w:kern w:val="0"/>
                <w:sz w:val="24"/>
              </w:rPr>
            </w:pPr>
          </w:p>
        </w:tc>
      </w:tr>
      <w:tr w:rsidR="0099058F" w14:paraId="4B760B8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B7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7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7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7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7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81" w14:textId="77777777" w:rsidR="0099058F" w:rsidRDefault="0099058F">
            <w:pPr>
              <w:widowControl/>
              <w:jc w:val="right"/>
              <w:rPr>
                <w:rFonts w:ascii="Times New Roman" w:eastAsia="宋体" w:hAnsi="宋体" w:cs="宋体"/>
                <w:kern w:val="0"/>
                <w:sz w:val="24"/>
              </w:rPr>
            </w:pPr>
          </w:p>
        </w:tc>
      </w:tr>
      <w:tr w:rsidR="0099058F" w14:paraId="4B760B8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0B8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Cash &amp; cash </w:t>
            </w:r>
            <w:r>
              <w:rPr>
                <w:rFonts w:ascii="Arial" w:eastAsia="宋体" w:hAnsi="Arial" w:cs="Arial"/>
                <w:color w:val="000000"/>
                <w:kern w:val="0"/>
                <w:sz w:val="20"/>
                <w:szCs w:val="20"/>
                <w:lang w:bidi="ar"/>
              </w:rPr>
              <w:t>equivalents, including restricted, at end of year</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B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$14,647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B8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B8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B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B8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0B8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0B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0B8B" w14:textId="77777777" w:rsidR="0099058F" w:rsidRDefault="0099058F">
            <w:pPr>
              <w:widowControl/>
              <w:jc w:val="left"/>
              <w:rPr>
                <w:rFonts w:ascii="Times New Roman" w:eastAsia="宋体" w:hAnsi="宋体" w:cs="宋体"/>
                <w:kern w:val="0"/>
                <w:sz w:val="24"/>
              </w:rPr>
            </w:pPr>
          </w:p>
        </w:tc>
      </w:tr>
    </w:tbl>
    <w:p w14:paraId="4B760B8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provided by operating activities was $3.5 billion during 2022, compared with net cash used by operating activities of $3.4 billion during 2021. The $6.9 billion improvement in cash provided by operating activities in 2022 is primarily driven by i</w:t>
      </w:r>
      <w:r>
        <w:rPr>
          <w:rFonts w:ascii="Arial" w:eastAsia="宋体" w:hAnsi="Arial" w:cs="Arial"/>
          <w:color w:val="000000"/>
          <w:kern w:val="0"/>
          <w:sz w:val="20"/>
          <w:szCs w:val="20"/>
          <w:lang w:bidi="ar"/>
        </w:rPr>
        <w:t>mproved changes in assets and liabilities of $11.1 billion, partially offset by lower non-cash items of $3.4 billion and higher net loss of $0.8 billion. Changes in assets and liabilities for 2022 improved by $11.1 billion compared with 2021 primarily driv</w:t>
      </w:r>
      <w:r>
        <w:rPr>
          <w:rFonts w:ascii="Arial" w:eastAsia="宋体" w:hAnsi="Arial" w:cs="Arial"/>
          <w:color w:val="000000"/>
          <w:kern w:val="0"/>
          <w:sz w:val="20"/>
          <w:szCs w:val="20"/>
          <w:lang w:bidi="ar"/>
        </w:rPr>
        <w:t>en by favorable changes in Accrued liabilities ($6.6 billion), Accounts payable ($4.6 billion) and Inventories ($1.5 billion), partially offset by a decrease in Advances and progress billings ($2.4 billion) in 2022. The increase in Accrued liabilities is p</w:t>
      </w:r>
      <w:r>
        <w:rPr>
          <w:rFonts w:ascii="Arial" w:eastAsia="宋体" w:hAnsi="Arial" w:cs="Arial"/>
          <w:color w:val="000000"/>
          <w:kern w:val="0"/>
          <w:sz w:val="20"/>
          <w:szCs w:val="20"/>
          <w:lang w:bidi="ar"/>
        </w:rPr>
        <w:t xml:space="preserve">rimarily driven by the accrued losses on BDS fixed-price development programs, lower payments to 737 MAX customers in 2022, and a $0.7 billion </w:t>
      </w:r>
    </w:p>
    <w:p w14:paraId="4B760B8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40</w:t>
      </w:r>
    </w:p>
    <w:p w14:paraId="4B760B8F" w14:textId="77777777" w:rsidR="0099058F" w:rsidRDefault="00EB2559">
      <w:pPr>
        <w:widowControl/>
        <w:jc w:val="center"/>
      </w:pPr>
      <w:r>
        <w:rPr>
          <w:rFonts w:ascii="宋体" w:eastAsia="宋体" w:hAnsi="宋体" w:cs="宋体"/>
          <w:kern w:val="0"/>
          <w:sz w:val="24"/>
        </w:rPr>
        <w:pict w14:anchorId="4B763C1F">
          <v:rect id="_x0000_i1066" style="width:6in;height:1.5pt" o:hralign="center" o:hrstd="t" o:hr="t" fillcolor="#a0a0a0" stroked="f"/>
        </w:pict>
      </w:r>
    </w:p>
    <w:p w14:paraId="4B760B9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B9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payment in 2021 consistent wit</w:t>
      </w:r>
      <w:r>
        <w:rPr>
          <w:rFonts w:ascii="Arial" w:eastAsia="宋体" w:hAnsi="Arial" w:cs="Arial"/>
          <w:color w:val="000000"/>
          <w:kern w:val="0"/>
          <w:sz w:val="20"/>
          <w:szCs w:val="20"/>
          <w:lang w:bidi="ar"/>
        </w:rPr>
        <w:t>h the terms of the Deferred Prosecution Agreement between Boeing and the U.S. Department of Justice. Concessions paid to 737 MAX customers totaled $1.0 billion and $2.5 billion during 2022 and 2021. Growth in Accounts Payable in 2022 is a source of cash wh</w:t>
      </w:r>
      <w:r>
        <w:rPr>
          <w:rFonts w:ascii="Arial" w:eastAsia="宋体" w:hAnsi="Arial" w:cs="Arial"/>
          <w:color w:val="000000"/>
          <w:kern w:val="0"/>
          <w:sz w:val="20"/>
          <w:szCs w:val="20"/>
          <w:lang w:bidi="ar"/>
        </w:rPr>
        <w:t>ile reductions in Accounts Payable in 2021 were a use of cash generally reflecting increases in production rates. Inventory improvements were driven by higher 737 MAX deliveries and resumption of 787 deliveries in 2022. Additionally, in 2022 and 2021 we re</w:t>
      </w:r>
      <w:r>
        <w:rPr>
          <w:rFonts w:ascii="Arial" w:eastAsia="宋体" w:hAnsi="Arial" w:cs="Arial"/>
          <w:color w:val="000000"/>
          <w:kern w:val="0"/>
          <w:sz w:val="20"/>
          <w:szCs w:val="20"/>
          <w:lang w:bidi="ar"/>
        </w:rPr>
        <w:t xml:space="preserve">ceived income tax refunds of $1.5 billion and $1.7 billion. Cash provided by Advances and progress billings was $0.1 billion in 2022, as compared with $2.5 billion of cash provided in 2021. The $3.4 billion reduction in non-cash items in 2022 is primarily </w:t>
      </w:r>
      <w:r>
        <w:rPr>
          <w:rFonts w:ascii="Arial" w:eastAsia="宋体" w:hAnsi="Arial" w:cs="Arial"/>
          <w:color w:val="000000"/>
          <w:kern w:val="0"/>
          <w:sz w:val="20"/>
          <w:szCs w:val="20"/>
          <w:lang w:bidi="ar"/>
        </w:rPr>
        <w:t>driven by the $3.5 billion reach-forward loss on the 787 program that was recorded in 2021. Net loss for 2022 was $5.1 billion compared with net loss of $4.3 billion in 2021. The $0.8 billion year-over-year increase in the net loss is primarily driven by t</w:t>
      </w:r>
      <w:r>
        <w:rPr>
          <w:rFonts w:ascii="Arial" w:eastAsia="宋体" w:hAnsi="Arial" w:cs="Arial"/>
          <w:color w:val="000000"/>
          <w:kern w:val="0"/>
          <w:sz w:val="20"/>
          <w:szCs w:val="20"/>
          <w:lang w:bidi="ar"/>
        </w:rPr>
        <w:t xml:space="preserve">he absence of an income tax benefit in 2022. </w:t>
      </w:r>
    </w:p>
    <w:p w14:paraId="4B760B9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reduction in cash used by operating activities in 2021 compared with 2020 is primarily driven by lower net loss and improved changes in assets and liabilities. Non-cash items in 2021 include the $3.5 billio</w:t>
      </w:r>
      <w:r>
        <w:rPr>
          <w:rFonts w:ascii="Arial" w:eastAsia="宋体" w:hAnsi="Arial" w:cs="Arial"/>
          <w:color w:val="000000"/>
          <w:kern w:val="0"/>
          <w:sz w:val="20"/>
          <w:szCs w:val="20"/>
          <w:lang w:bidi="ar"/>
        </w:rPr>
        <w:t>n reach-forward loss on the 787 program which was recorded as a reduction to inventory, as well as $1.2 billion of treasury shares issued to fund Company contributions to the 401(k) plan and $0.8 billion of share-based plans expense reflecting a one-time s</w:t>
      </w:r>
      <w:r>
        <w:rPr>
          <w:rFonts w:ascii="Arial" w:eastAsia="宋体" w:hAnsi="Arial" w:cs="Arial"/>
          <w:color w:val="000000"/>
          <w:kern w:val="0"/>
          <w:sz w:val="20"/>
          <w:szCs w:val="20"/>
          <w:lang w:bidi="ar"/>
        </w:rPr>
        <w:t>tock grant to most employees in lieu of 2021 salary increases.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The changes in assets and liabilities reflect the significant increase in commercial aircraft inventory in 2020 driven by lower deliveries due to the COVID-19 pandemic and the 737 MAX grounding</w:t>
      </w:r>
      <w:r>
        <w:rPr>
          <w:rFonts w:ascii="Arial" w:eastAsia="宋体" w:hAnsi="Arial" w:cs="Arial"/>
          <w:color w:val="000000"/>
          <w:kern w:val="0"/>
          <w:sz w:val="20"/>
          <w:szCs w:val="20"/>
          <w:lang w:bidi="ar"/>
        </w:rPr>
        <w:t>. In 2021, inventory growth slowed as the continued buildup of 787 aircraft caused by production issues and 777X inventory growth was partially offset by a decrease in 737 MAX inventory following the resumption of deliveries. Compensation payments to 737 M</w:t>
      </w:r>
      <w:r>
        <w:rPr>
          <w:rFonts w:ascii="Arial" w:eastAsia="宋体" w:hAnsi="Arial" w:cs="Arial"/>
          <w:color w:val="000000"/>
          <w:kern w:val="0"/>
          <w:sz w:val="20"/>
          <w:szCs w:val="20"/>
          <w:lang w:bidi="ar"/>
        </w:rPr>
        <w:t>AX customers totaled $2.5 billion in 2021 and $2.2 billion in 2020. In the first quarter of 2021, we paid $0.7 billion consistent with the terms of the Deferred Prosecution Agreement between Boeing and the U.S. Department of Justice. Additionally, in 2021,</w:t>
      </w:r>
      <w:r>
        <w:rPr>
          <w:rFonts w:ascii="Arial" w:eastAsia="宋体" w:hAnsi="Arial" w:cs="Arial"/>
          <w:color w:val="000000"/>
          <w:kern w:val="0"/>
          <w:sz w:val="20"/>
          <w:szCs w:val="20"/>
          <w:lang w:bidi="ar"/>
        </w:rPr>
        <w:t xml:space="preserve"> we received income tax refunds of $1.7 billion. Cash provided by Advances and progress billings was $2.5 billion in 2021, as compared with Cash used by Advances and progress billings of $1.1 billion in 2020. </w:t>
      </w:r>
    </w:p>
    <w:p w14:paraId="4B760B9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2022 and 2021, Accounts payabl</w:t>
      </w:r>
      <w:r>
        <w:rPr>
          <w:rFonts w:ascii="Arial" w:eastAsia="宋体" w:hAnsi="Arial" w:cs="Arial"/>
          <w:color w:val="000000"/>
          <w:kern w:val="0"/>
          <w:sz w:val="20"/>
          <w:szCs w:val="20"/>
          <w:lang w:bidi="ar"/>
        </w:rPr>
        <w:t>e included $2.5 billion and $2.3 billion payable to suppliers who have elected to participate in supply chain financing programs. Payables to suppliers who elected to participate in supply chain financing programs increased by $0.2 billion in 2022 and decl</w:t>
      </w:r>
      <w:r>
        <w:rPr>
          <w:rFonts w:ascii="Arial" w:eastAsia="宋体" w:hAnsi="Arial" w:cs="Arial"/>
          <w:color w:val="000000"/>
          <w:kern w:val="0"/>
          <w:sz w:val="20"/>
          <w:szCs w:val="20"/>
          <w:lang w:bidi="ar"/>
        </w:rPr>
        <w:t xml:space="preserve">ined by $1.5 billion and $1.9 billion in 2021 and 2020. Supply chain financing is not material to our overall liquidity. The declines in 2021 and 2020 were primarily due to reductions in commercial purchases from suppliers. </w:t>
      </w:r>
    </w:p>
    <w:p w14:paraId="4B760B9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during 2022 was $4.4 billion, compared with cash provided by investing activities of $9.3 billion during 2021 and cash used by investing activities of $18.4 billion during 2020. The decrease in cash inflows in 2022 co</w:t>
      </w:r>
      <w:r>
        <w:rPr>
          <w:rFonts w:ascii="Arial" w:eastAsia="宋体" w:hAnsi="Arial" w:cs="Arial"/>
          <w:color w:val="000000"/>
          <w:kern w:val="0"/>
          <w:sz w:val="20"/>
          <w:szCs w:val="20"/>
          <w:lang w:bidi="ar"/>
        </w:rPr>
        <w:t>mpared to 2021 is primarily due to $5.6 billion of net proceeds from investments compared to $9.8 billion in 2021. The increase in cash inflows in 2021 compared to 2020 is primarily due to $27.1 billion of higher net proceeds from investments. Capital expe</w:t>
      </w:r>
      <w:r>
        <w:rPr>
          <w:rFonts w:ascii="Arial" w:eastAsia="宋体" w:hAnsi="Arial" w:cs="Arial"/>
          <w:color w:val="000000"/>
          <w:kern w:val="0"/>
          <w:sz w:val="20"/>
          <w:szCs w:val="20"/>
          <w:lang w:bidi="ar"/>
        </w:rPr>
        <w:t>nditures totaled $1.2 billion in 2022, compared with $1.0 billion in 2021 and $1.3 billion in 2020. We expect capital expenditures in 2023 to be higher than in 2022.</w:t>
      </w:r>
    </w:p>
    <w:p w14:paraId="4B760B9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$1.3 billion during 2022, compa</w:t>
      </w:r>
      <w:r>
        <w:rPr>
          <w:rFonts w:ascii="Arial" w:eastAsia="宋体" w:hAnsi="Arial" w:cs="Arial"/>
          <w:color w:val="000000"/>
          <w:kern w:val="0"/>
          <w:sz w:val="20"/>
          <w:szCs w:val="20"/>
          <w:lang w:bidi="ar"/>
        </w:rPr>
        <w:t>red with $5.6 billion during 2021 and cash provided of $35.0 billion in 2020. The decrease of $4.3 billion compared with 2021 primarily reflects higher net debt repayments in 2021. During 2021, debt repayments net of new borrowings were $5.6 billion, prima</w:t>
      </w:r>
      <w:r>
        <w:rPr>
          <w:rFonts w:ascii="Arial" w:eastAsia="宋体" w:hAnsi="Arial" w:cs="Arial"/>
          <w:color w:val="000000"/>
          <w:kern w:val="0"/>
          <w:sz w:val="20"/>
          <w:szCs w:val="20"/>
          <w:lang w:bidi="ar"/>
        </w:rPr>
        <w:t>rily due to $13.8 billion of repayments of our two-year delayed draw term loan credit agreement, partially offset by $9.8 billion of fixed rate senior notes issued in the first quarter of 2021. During the year ended December 31, 2020, new borrowings net of</w:t>
      </w:r>
      <w:r>
        <w:rPr>
          <w:rFonts w:ascii="Arial" w:eastAsia="宋体" w:hAnsi="Arial" w:cs="Arial"/>
          <w:color w:val="000000"/>
          <w:kern w:val="0"/>
          <w:sz w:val="20"/>
          <w:szCs w:val="20"/>
          <w:lang w:bidi="ar"/>
        </w:rPr>
        <w:t xml:space="preserve"> repayments were $36.3 billion, primarily due to $29.9 billion of fixed rate senior notes issued in 2020 and $13.8 billion of new borrowings under a two-year delayed draw term loan agreement entered into in the first quarter of 2020. </w:t>
      </w:r>
    </w:p>
    <w:p w14:paraId="4B760B9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41</w:t>
      </w:r>
    </w:p>
    <w:p w14:paraId="4B760B97" w14:textId="77777777" w:rsidR="0099058F" w:rsidRDefault="00EB2559">
      <w:pPr>
        <w:widowControl/>
        <w:jc w:val="center"/>
      </w:pPr>
      <w:r>
        <w:rPr>
          <w:rFonts w:ascii="宋体" w:eastAsia="宋体" w:hAnsi="宋体" w:cs="宋体"/>
          <w:kern w:val="0"/>
          <w:sz w:val="24"/>
        </w:rPr>
        <w:pict w14:anchorId="4B763C20">
          <v:rect id="_x0000_i1067" style="width:6in;height:1.5pt" o:hralign="center" o:hrstd="t" o:hr="t" fillcolor="#a0a0a0" stroked="f"/>
        </w:pict>
      </w:r>
    </w:p>
    <w:p w14:paraId="4B760B9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B9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2022 and 2021 debt balances totaled $57.0 billion and $58.1 billion, of which $5.2 billion and $1.3 billion were classified as short-term. This included $1.4 billion and $1.5 bill</w:t>
      </w:r>
      <w:r>
        <w:rPr>
          <w:rFonts w:ascii="Arial" w:eastAsia="宋体" w:hAnsi="Arial" w:cs="Arial"/>
          <w:color w:val="000000"/>
          <w:kern w:val="0"/>
          <w:sz w:val="20"/>
          <w:szCs w:val="20"/>
          <w:lang w:bidi="ar"/>
        </w:rPr>
        <w:t>ion of debt attributable to BCC at December 31, 2022 and 2021, of which $0.2 billion and $0.3 billion were classified as short-term.</w:t>
      </w:r>
    </w:p>
    <w:p w14:paraId="4B760B9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years ended December 31, 2022, 2021 and 2020, we did not repurchase any shares through our open market share rep</w:t>
      </w:r>
      <w:r>
        <w:rPr>
          <w:rFonts w:ascii="Arial" w:eastAsia="宋体" w:hAnsi="Arial" w:cs="Arial"/>
          <w:color w:val="000000"/>
          <w:kern w:val="0"/>
          <w:sz w:val="20"/>
          <w:szCs w:val="20"/>
          <w:lang w:bidi="ar"/>
        </w:rPr>
        <w:t>urchase program. Share repurchases under this program have been suspended since April 2019. In March 2020, the Board of Directors terminated its prior authorization to repurchase shares of the Company's outstanding common stock in the open market. We had 0</w:t>
      </w:r>
      <w:r>
        <w:rPr>
          <w:rFonts w:ascii="Arial" w:eastAsia="宋体" w:hAnsi="Arial" w:cs="Arial"/>
          <w:color w:val="000000"/>
          <w:kern w:val="0"/>
          <w:sz w:val="20"/>
          <w:szCs w:val="20"/>
          <w:lang w:bidi="ar"/>
        </w:rPr>
        <w:t>.2 million, 0.3 million and 0.6 million shares transferred to us from employee tax withholdings in 2022, 2021 and 2020, respectively. In March 2020, we announced the suspension of our dividend until further notice. As a result, we did not pay any dividends</w:t>
      </w:r>
      <w:r>
        <w:rPr>
          <w:rFonts w:ascii="Arial" w:eastAsia="宋体" w:hAnsi="Arial" w:cs="Arial"/>
          <w:color w:val="000000"/>
          <w:kern w:val="0"/>
          <w:sz w:val="20"/>
          <w:szCs w:val="20"/>
          <w:lang w:bidi="ar"/>
        </w:rPr>
        <w:t xml:space="preserve"> in 2022 and 2021 compared with $1.2 billion paid in 2020. </w:t>
      </w:r>
    </w:p>
    <w:p w14:paraId="4B760B9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42</w:t>
      </w:r>
    </w:p>
    <w:p w14:paraId="4B760B9C" w14:textId="77777777" w:rsidR="0099058F" w:rsidRDefault="00EB2559">
      <w:pPr>
        <w:widowControl/>
        <w:jc w:val="center"/>
      </w:pPr>
      <w:r>
        <w:rPr>
          <w:rFonts w:ascii="宋体" w:eastAsia="宋体" w:hAnsi="宋体" w:cs="宋体"/>
          <w:kern w:val="0"/>
          <w:sz w:val="24"/>
        </w:rPr>
        <w:pict w14:anchorId="4B763C21">
          <v:rect id="_x0000_i1068" style="width:6in;height:1.5pt" o:hralign="center" o:hrstd="t" o:hr="t" fillcolor="#a0a0a0" stroked="f"/>
        </w:pict>
      </w:r>
    </w:p>
    <w:p w14:paraId="4B760B9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B9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p>
    <w:p w14:paraId="4B760B9F"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certain cash requirements for known contractual and other obligat</w:t>
      </w:r>
      <w:r>
        <w:rPr>
          <w:rFonts w:ascii="Arial" w:eastAsia="宋体" w:hAnsi="Arial" w:cs="Arial"/>
          <w:color w:val="000000"/>
          <w:kern w:val="0"/>
          <w:sz w:val="20"/>
          <w:szCs w:val="20"/>
          <w:lang w:bidi="ar"/>
        </w:rPr>
        <w:t>ions as of December 31, 2022, and the estimated timing thereof. See Note 12 for future operating lease payments.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43"/>
        <w:gridCol w:w="38"/>
        <w:gridCol w:w="65"/>
        <w:gridCol w:w="794"/>
        <w:gridCol w:w="36"/>
        <w:gridCol w:w="36"/>
        <w:gridCol w:w="36"/>
        <w:gridCol w:w="36"/>
        <w:gridCol w:w="78"/>
        <w:gridCol w:w="882"/>
        <w:gridCol w:w="36"/>
        <w:gridCol w:w="36"/>
        <w:gridCol w:w="36"/>
        <w:gridCol w:w="36"/>
        <w:gridCol w:w="74"/>
        <w:gridCol w:w="777"/>
        <w:gridCol w:w="36"/>
      </w:tblGrid>
      <w:tr w:rsidR="0099058F" w14:paraId="4B760BB2" w14:textId="77777777">
        <w:tc>
          <w:tcPr>
            <w:tcW w:w="50" w:type="pct"/>
            <w:tcBorders>
              <w:top w:val="nil"/>
              <w:left w:val="nil"/>
              <w:bottom w:val="nil"/>
              <w:right w:val="nil"/>
            </w:tcBorders>
            <w:shd w:val="clear" w:color="auto" w:fill="auto"/>
            <w:vAlign w:val="bottom"/>
          </w:tcPr>
          <w:p w14:paraId="4B760BA0" w14:textId="77777777" w:rsidR="0099058F" w:rsidRDefault="0099058F">
            <w:pPr>
              <w:widowControl/>
              <w:jc w:val="left"/>
              <w:rPr>
                <w:rFonts w:ascii="Times New Roman" w:eastAsia="宋体" w:hAnsi="宋体" w:cs="宋体"/>
                <w:kern w:val="0"/>
                <w:sz w:val="24"/>
              </w:rPr>
            </w:pPr>
          </w:p>
        </w:tc>
        <w:tc>
          <w:tcPr>
            <w:tcW w:w="3155" w:type="pct"/>
            <w:tcBorders>
              <w:top w:val="nil"/>
              <w:left w:val="nil"/>
              <w:bottom w:val="nil"/>
              <w:right w:val="nil"/>
            </w:tcBorders>
            <w:shd w:val="clear" w:color="auto" w:fill="auto"/>
            <w:vAlign w:val="bottom"/>
          </w:tcPr>
          <w:p w14:paraId="4B760BA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A3"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BA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BA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A9"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0BA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BA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A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BAF"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B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BB1" w14:textId="77777777" w:rsidR="0099058F" w:rsidRDefault="0099058F">
            <w:pPr>
              <w:widowControl/>
              <w:jc w:val="left"/>
              <w:rPr>
                <w:rFonts w:ascii="Times New Roman" w:eastAsia="宋体" w:hAnsi="宋体" w:cs="宋体"/>
                <w:kern w:val="0"/>
                <w:sz w:val="24"/>
              </w:rPr>
            </w:pPr>
          </w:p>
        </w:tc>
      </w:tr>
      <w:tr w:rsidR="0099058F" w14:paraId="4B760B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B3"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B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B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B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Long-term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BB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BB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99058F" w14:paraId="4B760BC0" w14:textId="77777777">
        <w:trPr>
          <w:hidden/>
        </w:trPr>
        <w:tc>
          <w:tcPr>
            <w:tcW w:w="0" w:type="auto"/>
            <w:gridSpan w:val="3"/>
            <w:tcBorders>
              <w:top w:val="nil"/>
              <w:left w:val="nil"/>
              <w:bottom w:val="nil"/>
              <w:right w:val="nil"/>
            </w:tcBorders>
            <w:shd w:val="clear" w:color="auto" w:fill="auto"/>
            <w:vAlign w:val="bottom"/>
          </w:tcPr>
          <w:p w14:paraId="4B760BB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B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B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BF" w14:textId="77777777" w:rsidR="0099058F" w:rsidRDefault="0099058F">
            <w:pPr>
              <w:widowControl/>
              <w:jc w:val="left"/>
              <w:rPr>
                <w:rFonts w:ascii="Times New Roman" w:eastAsia="宋体" w:hAnsi="宋体" w:cs="宋体"/>
                <w:vanish/>
                <w:kern w:val="0"/>
                <w:sz w:val="24"/>
              </w:rPr>
            </w:pPr>
          </w:p>
        </w:tc>
      </w:tr>
      <w:tr w:rsidR="0099058F" w14:paraId="4B760BC7" w14:textId="77777777">
        <w:trPr>
          <w:hidden/>
        </w:trPr>
        <w:tc>
          <w:tcPr>
            <w:tcW w:w="0" w:type="auto"/>
            <w:gridSpan w:val="3"/>
            <w:tcBorders>
              <w:top w:val="nil"/>
              <w:left w:val="nil"/>
              <w:bottom w:val="nil"/>
              <w:right w:val="nil"/>
            </w:tcBorders>
            <w:shd w:val="clear" w:color="auto" w:fill="auto"/>
            <w:vAlign w:val="bottom"/>
          </w:tcPr>
          <w:p w14:paraId="4B760BC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C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C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C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C6" w14:textId="77777777" w:rsidR="0099058F" w:rsidRDefault="0099058F">
            <w:pPr>
              <w:widowControl/>
              <w:jc w:val="left"/>
              <w:rPr>
                <w:rFonts w:ascii="Times New Roman" w:eastAsia="宋体" w:hAnsi="宋体" w:cs="宋体"/>
                <w:vanish/>
                <w:kern w:val="0"/>
                <w:sz w:val="24"/>
              </w:rPr>
            </w:pPr>
          </w:p>
        </w:tc>
      </w:tr>
      <w:tr w:rsidR="0099058F" w14:paraId="4B760BD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BC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debt (including current portion)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$5,197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BC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$52,338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BC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B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$57,535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BD0" w14:textId="77777777" w:rsidR="0099058F" w:rsidRDefault="0099058F">
            <w:pPr>
              <w:widowControl/>
              <w:jc w:val="left"/>
              <w:rPr>
                <w:rFonts w:ascii="Times New Roman" w:eastAsia="宋体" w:hAnsi="宋体" w:cs="宋体"/>
                <w:kern w:val="0"/>
                <w:sz w:val="24"/>
              </w:rPr>
            </w:pPr>
          </w:p>
        </w:tc>
      </w:tr>
      <w:tr w:rsidR="0099058F" w14:paraId="4B760B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BD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on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D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D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D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33,663 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DA" w14:textId="77777777" w:rsidR="0099058F" w:rsidRDefault="0099058F">
            <w:pPr>
              <w:widowControl/>
              <w:jc w:val="right"/>
              <w:rPr>
                <w:rFonts w:ascii="Times New Roman" w:eastAsia="宋体" w:hAnsi="宋体" w:cs="宋体"/>
                <w:kern w:val="0"/>
                <w:sz w:val="24"/>
              </w:rPr>
            </w:pPr>
          </w:p>
        </w:tc>
      </w:tr>
      <w:tr w:rsidR="0099058F" w14:paraId="4B760BE5"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B760BDC"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D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B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B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BE4" w14:textId="77777777" w:rsidR="0099058F" w:rsidRDefault="0099058F">
            <w:pPr>
              <w:widowControl/>
              <w:jc w:val="right"/>
              <w:rPr>
                <w:rFonts w:ascii="Times New Roman" w:eastAsia="宋体" w:hAnsi="宋体" w:cs="宋体"/>
                <w:kern w:val="0"/>
                <w:sz w:val="24"/>
              </w:rPr>
            </w:pPr>
          </w:p>
        </w:tc>
      </w:tr>
      <w:tr w:rsidR="0099058F" w14:paraId="4B760BEC" w14:textId="77777777">
        <w:trPr>
          <w:hidden/>
        </w:trPr>
        <w:tc>
          <w:tcPr>
            <w:tcW w:w="0" w:type="auto"/>
            <w:gridSpan w:val="3"/>
            <w:tcBorders>
              <w:top w:val="nil"/>
              <w:left w:val="nil"/>
              <w:bottom w:val="nil"/>
              <w:right w:val="nil"/>
            </w:tcBorders>
            <w:shd w:val="clear" w:color="auto" w:fill="auto"/>
            <w:vAlign w:val="bottom"/>
          </w:tcPr>
          <w:p w14:paraId="4B760BE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E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E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E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E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BEB" w14:textId="77777777" w:rsidR="0099058F" w:rsidRDefault="0099058F">
            <w:pPr>
              <w:widowControl/>
              <w:jc w:val="left"/>
              <w:rPr>
                <w:rFonts w:ascii="Times New Roman" w:eastAsia="宋体" w:hAnsi="宋体" w:cs="宋体"/>
                <w:vanish/>
                <w:kern w:val="0"/>
                <w:sz w:val="24"/>
              </w:rPr>
            </w:pPr>
          </w:p>
        </w:tc>
      </w:tr>
      <w:tr w:rsidR="0099058F" w14:paraId="4B760BF6"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B760BED"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Purchase obligations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E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E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F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F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BF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B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121,540 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BF5" w14:textId="77777777" w:rsidR="0099058F" w:rsidRDefault="0099058F">
            <w:pPr>
              <w:widowControl/>
              <w:jc w:val="right"/>
              <w:rPr>
                <w:rFonts w:ascii="Times New Roman" w:eastAsia="宋体" w:hAnsi="宋体" w:cs="宋体"/>
                <w:kern w:val="0"/>
                <w:sz w:val="24"/>
              </w:rPr>
            </w:pPr>
          </w:p>
        </w:tc>
      </w:tr>
      <w:tr w:rsidR="0099058F" w14:paraId="4B760C00"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60BF7"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737 MAX customer concessions and consideration</w:t>
            </w:r>
            <w:r>
              <w:rPr>
                <w:rFonts w:ascii="Arial" w:eastAsia="宋体" w:hAnsi="Arial" w:cs="Arial"/>
                <w:color w:val="000000"/>
                <w:kern w:val="0"/>
                <w:sz w:val="13"/>
                <w:szCs w:val="13"/>
                <w:lang w:bidi="ar"/>
              </w:rPr>
              <w:t>(1)</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0B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0BF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0BF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0B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0BF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0B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0B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0BFF" w14:textId="77777777" w:rsidR="0099058F" w:rsidRDefault="0099058F">
            <w:pPr>
              <w:widowControl/>
              <w:jc w:val="right"/>
              <w:rPr>
                <w:rFonts w:ascii="Times New Roman" w:eastAsia="宋体" w:hAnsi="宋体" w:cs="宋体"/>
                <w:kern w:val="0"/>
                <w:sz w:val="24"/>
              </w:rPr>
            </w:pPr>
          </w:p>
        </w:tc>
      </w:tr>
    </w:tbl>
    <w:p w14:paraId="4B760C01" w14:textId="77777777" w:rsidR="0099058F" w:rsidRDefault="00EB2559">
      <w:pPr>
        <w:widowControl/>
        <w:spacing w:after="180"/>
        <w:ind w:left="270" w:hanging="27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For further discussion, see Note 13 to our Consolidated Financial Statements.</w:t>
      </w:r>
    </w:p>
    <w:p w14:paraId="4B760C0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expect to be able to fund our cash requirements through cash and short-term investments and cash provided by operations, as well as continued access to capital markets. At December 31, 2022, we had $14.6 billion of cash, $2.6 billion of short-term inves</w:t>
      </w:r>
      <w:r>
        <w:rPr>
          <w:rFonts w:ascii="Arial" w:eastAsia="宋体" w:hAnsi="Arial" w:cs="Arial"/>
          <w:color w:val="000000"/>
          <w:kern w:val="0"/>
          <w:sz w:val="20"/>
          <w:szCs w:val="20"/>
          <w:lang w:bidi="ar"/>
        </w:rPr>
        <w:t>tments, and $12.0 billion of unused borrowing capacity on revolving credit line agreements. In the third quarter of 2022, we entered into a $5.8 billion 364-day revolving credit agreement expiring in August 2023, a $3 billion three-year revolving credit ag</w:t>
      </w:r>
      <w:r>
        <w:rPr>
          <w:rFonts w:ascii="Arial" w:eastAsia="宋体" w:hAnsi="Arial" w:cs="Arial"/>
          <w:color w:val="000000"/>
          <w:kern w:val="0"/>
          <w:sz w:val="20"/>
          <w:szCs w:val="20"/>
          <w:lang w:bidi="ar"/>
        </w:rPr>
        <w:t>reement expiring in August 2025, and amended our $3.2 billion five-year revolving credit agreement, which expires in October 2024, primarily to incorporate a LIBOR successor rate. The 364-day credit facility has a one-year term out option which allows us t</w:t>
      </w:r>
      <w:r>
        <w:rPr>
          <w:rFonts w:ascii="Arial" w:eastAsia="宋体" w:hAnsi="Arial" w:cs="Arial"/>
          <w:color w:val="000000"/>
          <w:kern w:val="0"/>
          <w:sz w:val="20"/>
          <w:szCs w:val="20"/>
          <w:lang w:bidi="ar"/>
        </w:rPr>
        <w:t xml:space="preserve">o extend the maturity of any borrowings one year beyond the aforementioned expiration date. We anticipate that these credit lines will remain undrawn and primarily serve as back-up liquidity to support our general corporate borrowing needs. </w:t>
      </w:r>
    </w:p>
    <w:p w14:paraId="4B760C0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w:t>
      </w:r>
      <w:r>
        <w:rPr>
          <w:rFonts w:ascii="Arial" w:eastAsia="宋体" w:hAnsi="Arial" w:cs="Arial"/>
          <w:color w:val="000000"/>
          <w:kern w:val="0"/>
          <w:sz w:val="20"/>
          <w:szCs w:val="20"/>
          <w:lang w:bidi="ar"/>
        </w:rPr>
        <w:t>increased debt balance resulted in downgrades to our credit ratings in 2020, and our ratings remained unchanged in 2022 and 2021. We expect to be able to access capital markets when we require additional funding in order to pay off existing debt, address f</w:t>
      </w:r>
      <w:r>
        <w:rPr>
          <w:rFonts w:ascii="Arial" w:eastAsia="宋体" w:hAnsi="Arial" w:cs="Arial"/>
          <w:color w:val="000000"/>
          <w:kern w:val="0"/>
          <w:sz w:val="20"/>
          <w:szCs w:val="20"/>
          <w:lang w:bidi="ar"/>
        </w:rPr>
        <w:t>urther impacts to our business related to market developments, fund outstanding financing commitments or meet other business requirements. A number of factors could cause us to incur increased borrowing costs and to have greater difficulty accessing public</w:t>
      </w:r>
      <w:r>
        <w:rPr>
          <w:rFonts w:ascii="Arial" w:eastAsia="宋体" w:hAnsi="Arial" w:cs="Arial"/>
          <w:color w:val="000000"/>
          <w:kern w:val="0"/>
          <w:sz w:val="20"/>
          <w:szCs w:val="20"/>
          <w:lang w:bidi="ar"/>
        </w:rPr>
        <w:t xml:space="preserve"> and private markets for debt. These factors include disruptions or declines in the global capital markets and/or a decline in our financial performance, outlook or credit ratings, and/or associated changes in demand for our products and services. These ri</w:t>
      </w:r>
      <w:r>
        <w:rPr>
          <w:rFonts w:ascii="Arial" w:eastAsia="宋体" w:hAnsi="Arial" w:cs="Arial"/>
          <w:color w:val="000000"/>
          <w:kern w:val="0"/>
          <w:sz w:val="20"/>
          <w:szCs w:val="20"/>
          <w:lang w:bidi="ar"/>
        </w:rPr>
        <w:t>sks will be particularly acute if we are subject to further credit rating downgrades. The occurrence of any or all of these events may adversely affect our ability to fund our operations and financing or contractual commitments.</w:t>
      </w:r>
    </w:p>
    <w:p w14:paraId="4B760C0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future borrowings may a</w:t>
      </w:r>
      <w:r>
        <w:rPr>
          <w:rFonts w:ascii="Arial" w:eastAsia="宋体" w:hAnsi="Arial" w:cs="Arial"/>
          <w:color w:val="000000"/>
          <w:kern w:val="0"/>
          <w:sz w:val="20"/>
          <w:szCs w:val="20"/>
          <w:lang w:bidi="ar"/>
        </w:rPr>
        <w:t>ffect our credit ratings and are subject to various debt covenants. At December 31, 2022, we were in compliance with the covenants for our debt and credit facilities. The most restrictive covenants include a limitation on mortgage debt and sale and leaseba</w:t>
      </w:r>
      <w:r>
        <w:rPr>
          <w:rFonts w:ascii="Arial" w:eastAsia="宋体" w:hAnsi="Arial" w:cs="Arial"/>
          <w:color w:val="000000"/>
          <w:kern w:val="0"/>
          <w:sz w:val="20"/>
          <w:szCs w:val="20"/>
          <w:lang w:bidi="ar"/>
        </w:rPr>
        <w:t>ck transactions as a percentage of consolidated net tangible assets (as defined in the credit agreements) and a limitation on consolidated debt as a percentage of total capital (as defined in the credit agreements). When considering debt covenants, we cont</w:t>
      </w:r>
      <w:r>
        <w:rPr>
          <w:rFonts w:ascii="Arial" w:eastAsia="宋体" w:hAnsi="Arial" w:cs="Arial"/>
          <w:color w:val="000000"/>
          <w:kern w:val="0"/>
          <w:sz w:val="20"/>
          <w:szCs w:val="20"/>
          <w:lang w:bidi="ar"/>
        </w:rPr>
        <w:t>inue to have substantial borrowing capacity.</w:t>
      </w:r>
    </w:p>
    <w:p w14:paraId="4B760C05"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43</w:t>
      </w:r>
    </w:p>
    <w:p w14:paraId="4B760C06" w14:textId="77777777" w:rsidR="0099058F" w:rsidRDefault="00EB2559">
      <w:pPr>
        <w:widowControl/>
        <w:jc w:val="center"/>
      </w:pPr>
      <w:r>
        <w:rPr>
          <w:rFonts w:ascii="宋体" w:eastAsia="宋体" w:hAnsi="宋体" w:cs="宋体"/>
          <w:kern w:val="0"/>
          <w:sz w:val="24"/>
        </w:rPr>
        <w:pict w14:anchorId="4B763C22">
          <v:rect id="_x0000_i1069" style="width:6in;height:1.5pt" o:hralign="center" o:hrstd="t" o:hr="t" fillcolor="#a0a0a0" stroked="f"/>
        </w:pict>
      </w:r>
    </w:p>
    <w:p w14:paraId="4B760C07"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C0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Benefits</w:t>
      </w:r>
      <w:r>
        <w:rPr>
          <w:rFonts w:ascii="Arial" w:eastAsia="宋体" w:hAnsi="Arial" w:cs="Arial"/>
          <w:color w:val="000000"/>
          <w:kern w:val="0"/>
          <w:sz w:val="20"/>
          <w:szCs w:val="20"/>
          <w:lang w:bidi="ar"/>
        </w:rPr>
        <w:t xml:space="preserve"> Pension cash requirements are based on an estimate of our minimum funding requirements,</w:t>
      </w:r>
      <w:r>
        <w:rPr>
          <w:rFonts w:ascii="Arial" w:eastAsia="宋体" w:hAnsi="Arial" w:cs="Arial"/>
          <w:color w:val="000000"/>
          <w:kern w:val="0"/>
          <w:sz w:val="20"/>
          <w:szCs w:val="20"/>
          <w:lang w:bidi="ar"/>
        </w:rPr>
        <w:t xml:space="preserve"> pursuant to Employee Retirement Income Security Act (ERISA) regulations, although we may make additional discretionary contributions. Estimates of other postretirement benefits are based on both our estimated future benefit payments and the estimated cont</w:t>
      </w:r>
      <w:r>
        <w:rPr>
          <w:rFonts w:ascii="Arial" w:eastAsia="宋体" w:hAnsi="Arial" w:cs="Arial"/>
          <w:color w:val="000000"/>
          <w:kern w:val="0"/>
          <w:sz w:val="20"/>
          <w:szCs w:val="20"/>
          <w:lang w:bidi="ar"/>
        </w:rPr>
        <w:t>ributions to plans that are funded through trusts.</w:t>
      </w:r>
    </w:p>
    <w:p w14:paraId="4B760C0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2022 and 2021, our pension plans were $5.3 billion and $7.8 billion underfunded as measured under Generally Accepted Accounting Principles in the United States of America (GAAP). On an ERIS</w:t>
      </w:r>
      <w:r>
        <w:rPr>
          <w:rFonts w:ascii="Arial" w:eastAsia="宋体" w:hAnsi="Arial" w:cs="Arial"/>
          <w:color w:val="000000"/>
          <w:kern w:val="0"/>
          <w:sz w:val="20"/>
          <w:szCs w:val="20"/>
          <w:lang w:bidi="ar"/>
        </w:rPr>
        <w:t>A basis our plans are more than 100% funded at December 31, 2022. We do not expect to make significant contributions to our pension plans in 2023. We may be required to make higher contributions to our pension plans in future years.</w:t>
      </w:r>
    </w:p>
    <w:p w14:paraId="4B760C0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fourth quarter o</w:t>
      </w:r>
      <w:r>
        <w:rPr>
          <w:rFonts w:ascii="Arial" w:eastAsia="宋体" w:hAnsi="Arial" w:cs="Arial"/>
          <w:color w:val="000000"/>
          <w:kern w:val="0"/>
          <w:sz w:val="20"/>
          <w:szCs w:val="20"/>
          <w:lang w:bidi="ar"/>
        </w:rPr>
        <w:t>f 2020, we contributed $3 billion of our common stock to our pension fund. In the fourth quarter of 2020, we also began using our common stock in lieu of cash to fund Company contributions to our 401(k) plans for the foreseeable future. Under this approach</w:t>
      </w:r>
      <w:r>
        <w:rPr>
          <w:rFonts w:ascii="Arial" w:eastAsia="宋体" w:hAnsi="Arial" w:cs="Arial"/>
          <w:color w:val="000000"/>
          <w:kern w:val="0"/>
          <w:sz w:val="20"/>
          <w:szCs w:val="20"/>
          <w:lang w:bidi="ar"/>
        </w:rPr>
        <w:t>, common stock is contributed to our 401(k) plans following each pay period. This further enables the Company to conserve cash. We have retained an independent fiduciary to manage and liquidate stock contributed to these plans at its discretion.</w:t>
      </w:r>
    </w:p>
    <w:p w14:paraId="4B760C0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Purchase O</w:t>
      </w:r>
      <w:r>
        <w:rPr>
          <w:rFonts w:ascii="Arial" w:eastAsia="宋体" w:hAnsi="Arial" w:cs="Arial"/>
          <w:b/>
          <w:bCs/>
          <w:color w:val="000000"/>
          <w:kern w:val="0"/>
          <w:sz w:val="20"/>
          <w:szCs w:val="20"/>
          <w:lang w:bidi="ar"/>
        </w:rPr>
        <w:t>bligations</w:t>
      </w:r>
      <w:r>
        <w:rPr>
          <w:rFonts w:ascii="Arial" w:eastAsia="宋体" w:hAnsi="Arial" w:cs="Arial"/>
          <w:color w:val="000000"/>
          <w:kern w:val="0"/>
          <w:sz w:val="20"/>
          <w:szCs w:val="20"/>
          <w:lang w:bidi="ar"/>
        </w:rPr>
        <w:t xml:space="preserve"> Purchase obligations represent contractual agreements to purchase goods or services that are legally binding; specify a fixed, minimum or range of quantities; specify a fixed, minimum, variable or indexed price provision; and specify approximate</w:t>
      </w:r>
      <w:r>
        <w:rPr>
          <w:rFonts w:ascii="Arial" w:eastAsia="宋体" w:hAnsi="Arial" w:cs="Arial"/>
          <w:color w:val="000000"/>
          <w:kern w:val="0"/>
          <w:sz w:val="20"/>
          <w:szCs w:val="20"/>
          <w:lang w:bidi="ar"/>
        </w:rPr>
        <w:t xml:space="preserve"> timing of the transaction. Purchase obligations include amounts recorded as well as amounts that are not recorded on the Consolidated Statements of Financial Position.</w:t>
      </w:r>
    </w:p>
    <w:p w14:paraId="4B760C0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Purchase obligations not recorded on the Consolidated Statements of Financial Position </w:t>
      </w:r>
      <w:r>
        <w:rPr>
          <w:rFonts w:ascii="Arial" w:eastAsia="宋体" w:hAnsi="Arial" w:cs="Arial"/>
          <w:color w:val="000000"/>
          <w:kern w:val="0"/>
          <w:sz w:val="20"/>
          <w:szCs w:val="20"/>
          <w:lang w:bidi="ar"/>
        </w:rPr>
        <w:t xml:space="preserve">include agreements for inventory procurement, tooling costs, electricity and natural gas contracts, property, plant and equipment, customer financing equipment and other miscellaneous production related obligations. The most significant obligation relates </w:t>
      </w:r>
      <w:r>
        <w:rPr>
          <w:rFonts w:ascii="Arial" w:eastAsia="宋体" w:hAnsi="Arial" w:cs="Arial"/>
          <w:color w:val="000000"/>
          <w:kern w:val="0"/>
          <w:sz w:val="20"/>
          <w:szCs w:val="20"/>
          <w:lang w:bidi="ar"/>
        </w:rPr>
        <w:t>to inventory procurement contracts. We have entered into certain significant inventory procurement contracts that specify determinable prices and quantities, and long-term delivery timeframes. In addition, we purchase raw materials on behalf of our supplie</w:t>
      </w:r>
      <w:r>
        <w:rPr>
          <w:rFonts w:ascii="Arial" w:eastAsia="宋体" w:hAnsi="Arial" w:cs="Arial"/>
          <w:color w:val="000000"/>
          <w:kern w:val="0"/>
          <w:sz w:val="20"/>
          <w:szCs w:val="20"/>
          <w:lang w:bidi="ar"/>
        </w:rPr>
        <w:t>rs. These agreements require suppliers and vendors to be prepared to build and deliver items in sufficient time to meet our production schedules. The need for such arrangements with suppliers and vendors arises from the extended production planning horizon</w:t>
      </w:r>
      <w:r>
        <w:rPr>
          <w:rFonts w:ascii="Arial" w:eastAsia="宋体" w:hAnsi="Arial" w:cs="Arial"/>
          <w:color w:val="000000"/>
          <w:kern w:val="0"/>
          <w:sz w:val="20"/>
          <w:szCs w:val="20"/>
          <w:lang w:bidi="ar"/>
        </w:rPr>
        <w:t xml:space="preserve"> for many of our products. A significant portion of these inventory commitments is supported by firm contracts with customers and/or has historically resulted in settlement through reimbursement from customers for penalty payments to the supplier should th</w:t>
      </w:r>
      <w:r>
        <w:rPr>
          <w:rFonts w:ascii="Arial" w:eastAsia="宋体" w:hAnsi="Arial" w:cs="Arial"/>
          <w:color w:val="000000"/>
          <w:kern w:val="0"/>
          <w:sz w:val="20"/>
          <w:szCs w:val="20"/>
          <w:lang w:bidi="ar"/>
        </w:rPr>
        <w:t>e customer not take delivery. These amounts are also included in our forecasts of costs for program and contract accounting. Some inventory procurement contracts may include escalation adjustments. In these limited cases, we have included our best estimate</w:t>
      </w:r>
      <w:r>
        <w:rPr>
          <w:rFonts w:ascii="Arial" w:eastAsia="宋体" w:hAnsi="Arial" w:cs="Arial"/>
          <w:color w:val="000000"/>
          <w:kern w:val="0"/>
          <w:sz w:val="20"/>
          <w:szCs w:val="20"/>
          <w:lang w:bidi="ar"/>
        </w:rPr>
        <w:t xml:space="preserve"> of the effect of the escalation adjustment in the amounts disclosed in the table above.</w:t>
      </w:r>
    </w:p>
    <w:p w14:paraId="4B760C0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Purchase obligations recorded on the Consolidated Statements of Financial Position primarily include accounts payable and certain other current and long-term liabiliti</w:t>
      </w:r>
      <w:r>
        <w:rPr>
          <w:rFonts w:ascii="Arial" w:eastAsia="宋体" w:hAnsi="Arial" w:cs="Arial"/>
          <w:color w:val="000000"/>
          <w:kern w:val="0"/>
          <w:sz w:val="20"/>
          <w:szCs w:val="20"/>
          <w:lang w:bidi="ar"/>
        </w:rPr>
        <w:t>es including accrued compensation.</w:t>
      </w:r>
    </w:p>
    <w:p w14:paraId="4B760C0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various industrial participation agreements with certain customers outside of the U.S. to facilitate economic flow back and/or technology or skills transfer to their businesses or government agencies </w:t>
      </w:r>
      <w:r>
        <w:rPr>
          <w:rFonts w:ascii="Arial" w:eastAsia="宋体" w:hAnsi="Arial" w:cs="Arial"/>
          <w:color w:val="000000"/>
          <w:kern w:val="0"/>
          <w:sz w:val="20"/>
          <w:szCs w:val="20"/>
          <w:lang w:bidi="ar"/>
        </w:rPr>
        <w:t xml:space="preserve">as the result of their procurement of goods and/or services from us. These commitments may be satisfied by our local operations there, placement of direct work or vendor orders for supplies, opportunities to bid on supply contracts, transfer of technology </w:t>
      </w:r>
      <w:r>
        <w:rPr>
          <w:rFonts w:ascii="Arial" w:eastAsia="宋体" w:hAnsi="Arial" w:cs="Arial"/>
          <w:color w:val="000000"/>
          <w:kern w:val="0"/>
          <w:sz w:val="20"/>
          <w:szCs w:val="20"/>
          <w:lang w:bidi="ar"/>
        </w:rPr>
        <w:t>or other forms of assistance. However, in certain cases, our commitments may be satisfied through other parties (such as our vendors) who purchase supplies from our non-U.S. customers. In certain cases, penalties could be imposed if we do not meet our indu</w:t>
      </w:r>
      <w:r>
        <w:rPr>
          <w:rFonts w:ascii="Arial" w:eastAsia="宋体" w:hAnsi="Arial" w:cs="Arial"/>
          <w:color w:val="000000"/>
          <w:kern w:val="0"/>
          <w:sz w:val="20"/>
          <w:szCs w:val="20"/>
          <w:lang w:bidi="ar"/>
        </w:rPr>
        <w:t xml:space="preserve">strial participation commitments. During 2022, we incurred no such penalties. As of December 31, 2022, we had outstanding industrial participation agreements </w:t>
      </w:r>
    </w:p>
    <w:p w14:paraId="4B760C0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44</w:t>
      </w:r>
    </w:p>
    <w:p w14:paraId="4B760C10" w14:textId="77777777" w:rsidR="0099058F" w:rsidRDefault="00EB2559">
      <w:pPr>
        <w:widowControl/>
        <w:jc w:val="center"/>
      </w:pPr>
      <w:r>
        <w:rPr>
          <w:rFonts w:ascii="宋体" w:eastAsia="宋体" w:hAnsi="宋体" w:cs="宋体"/>
          <w:kern w:val="0"/>
          <w:sz w:val="24"/>
        </w:rPr>
        <w:pict w14:anchorId="4B763C23">
          <v:rect id="_x0000_i1070" style="width:6in;height:1.5pt" o:hralign="center" o:hrstd="t" o:hr="t" fillcolor="#a0a0a0" stroked="f"/>
        </w:pict>
      </w:r>
    </w:p>
    <w:p w14:paraId="4B760C1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C1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totaling $24.8 billion that extend through 2034. Purchase order commitments associated with industrial participation agreements are included in purchase obligations. To be eligibl</w:t>
      </w:r>
      <w:r>
        <w:rPr>
          <w:rFonts w:ascii="Arial" w:eastAsia="宋体" w:hAnsi="Arial" w:cs="Arial"/>
          <w:color w:val="000000"/>
          <w:kern w:val="0"/>
          <w:sz w:val="20"/>
          <w:szCs w:val="20"/>
          <w:lang w:bidi="ar"/>
        </w:rPr>
        <w:t>e for such a purchase order commitment from us, a non-U.S. supplier must have sufficient capability to meet our requirements and must be competitive in cost, quality and schedule.</w:t>
      </w:r>
    </w:p>
    <w:p w14:paraId="4B760C13" w14:textId="77777777" w:rsidR="0099058F" w:rsidRDefault="00EB2559">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r>
        <w:rPr>
          <w:rFonts w:ascii="Arial" w:eastAsia="宋体" w:hAnsi="Arial" w:cs="Arial"/>
          <w:color w:val="000000"/>
          <w:kern w:val="0"/>
          <w:sz w:val="20"/>
          <w:szCs w:val="20"/>
          <w:lang w:bidi="ar"/>
        </w:rPr>
        <w:t xml:space="preserve"> We are a party to certain off-balance sheet a</w:t>
      </w:r>
      <w:r>
        <w:rPr>
          <w:rFonts w:ascii="Arial" w:eastAsia="宋体" w:hAnsi="Arial" w:cs="Arial"/>
          <w:color w:val="000000"/>
          <w:kern w:val="0"/>
          <w:sz w:val="20"/>
          <w:szCs w:val="20"/>
          <w:lang w:bidi="ar"/>
        </w:rPr>
        <w:t>rrangements including certain guarantees. For discussion of these arrangements, see Note 14 to our Consolidated Financial Statements.</w:t>
      </w:r>
    </w:p>
    <w:p w14:paraId="4B760C14"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Commercial Commitments</w:t>
      </w:r>
    </w:p>
    <w:p w14:paraId="4B760C1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our commercial commitments outstanding as of December 31, 2022.</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2964"/>
        <w:gridCol w:w="37"/>
        <w:gridCol w:w="115"/>
        <w:gridCol w:w="1804"/>
        <w:gridCol w:w="36"/>
        <w:gridCol w:w="36"/>
        <w:gridCol w:w="36"/>
        <w:gridCol w:w="36"/>
        <w:gridCol w:w="76"/>
        <w:gridCol w:w="613"/>
        <w:gridCol w:w="36"/>
        <w:gridCol w:w="36"/>
        <w:gridCol w:w="36"/>
        <w:gridCol w:w="36"/>
        <w:gridCol w:w="76"/>
        <w:gridCol w:w="612"/>
        <w:gridCol w:w="36"/>
        <w:gridCol w:w="36"/>
        <w:gridCol w:w="36"/>
        <w:gridCol w:w="36"/>
        <w:gridCol w:w="76"/>
        <w:gridCol w:w="612"/>
        <w:gridCol w:w="36"/>
        <w:gridCol w:w="36"/>
        <w:gridCol w:w="36"/>
        <w:gridCol w:w="36"/>
        <w:gridCol w:w="76"/>
        <w:gridCol w:w="612"/>
        <w:gridCol w:w="36"/>
      </w:tblGrid>
      <w:tr w:rsidR="0099058F" w14:paraId="4B760C34" w14:textId="77777777">
        <w:tc>
          <w:tcPr>
            <w:tcW w:w="50" w:type="pct"/>
            <w:tcBorders>
              <w:top w:val="nil"/>
              <w:left w:val="nil"/>
              <w:bottom w:val="nil"/>
              <w:right w:val="nil"/>
            </w:tcBorders>
            <w:shd w:val="clear" w:color="auto" w:fill="auto"/>
            <w:vAlign w:val="bottom"/>
          </w:tcPr>
          <w:p w14:paraId="4B760C16" w14:textId="77777777" w:rsidR="0099058F" w:rsidRDefault="0099058F">
            <w:pPr>
              <w:widowControl/>
              <w:jc w:val="left"/>
              <w:rPr>
                <w:rFonts w:ascii="Times New Roman" w:eastAsia="宋体" w:hAnsi="宋体" w:cs="宋体"/>
                <w:kern w:val="0"/>
                <w:sz w:val="24"/>
              </w:rPr>
            </w:pPr>
          </w:p>
        </w:tc>
        <w:tc>
          <w:tcPr>
            <w:tcW w:w="2105" w:type="pct"/>
            <w:tcBorders>
              <w:top w:val="nil"/>
              <w:left w:val="nil"/>
              <w:bottom w:val="nil"/>
              <w:right w:val="nil"/>
            </w:tcBorders>
            <w:shd w:val="clear" w:color="auto" w:fill="auto"/>
            <w:vAlign w:val="bottom"/>
          </w:tcPr>
          <w:p w14:paraId="4B760C1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1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19" w14:textId="77777777" w:rsidR="0099058F" w:rsidRDefault="0099058F">
            <w:pPr>
              <w:widowControl/>
              <w:jc w:val="left"/>
              <w:rPr>
                <w:rFonts w:ascii="Times New Roman" w:eastAsia="宋体" w:hAnsi="宋体" w:cs="宋体"/>
                <w:kern w:val="0"/>
                <w:sz w:val="24"/>
              </w:rPr>
            </w:pPr>
          </w:p>
        </w:tc>
        <w:tc>
          <w:tcPr>
            <w:tcW w:w="787" w:type="pct"/>
            <w:tcBorders>
              <w:top w:val="nil"/>
              <w:left w:val="nil"/>
              <w:bottom w:val="nil"/>
              <w:right w:val="nil"/>
            </w:tcBorders>
            <w:shd w:val="clear" w:color="auto" w:fill="auto"/>
            <w:vAlign w:val="bottom"/>
          </w:tcPr>
          <w:p w14:paraId="4B760C1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1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1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1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1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1F"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0C2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25"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0C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2B"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0C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2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3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31"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0C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33" w14:textId="77777777" w:rsidR="0099058F" w:rsidRDefault="0099058F">
            <w:pPr>
              <w:widowControl/>
              <w:jc w:val="left"/>
              <w:rPr>
                <w:rFonts w:ascii="Times New Roman" w:eastAsia="宋体" w:hAnsi="宋体" w:cs="宋体"/>
                <w:kern w:val="0"/>
                <w:sz w:val="24"/>
              </w:rPr>
            </w:pPr>
          </w:p>
        </w:tc>
      </w:tr>
      <w:tr w:rsidR="0099058F" w14:paraId="4B760C3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5"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Amounts</w:t>
            </w:r>
            <w:r>
              <w:rPr>
                <w:rFonts w:ascii="Arial" w:eastAsia="宋体" w:hAnsi="Arial" w:cs="Arial"/>
                <w:color w:val="000000"/>
                <w:kern w:val="0"/>
                <w:sz w:val="20"/>
                <w:szCs w:val="20"/>
                <w:lang w:bidi="ar"/>
              </w:rPr>
              <w:br/>
              <w:t>Committed/Maximum</w:t>
            </w:r>
            <w:r>
              <w:rPr>
                <w:rFonts w:ascii="Arial" w:eastAsia="宋体" w:hAnsi="Arial" w:cs="Arial"/>
                <w:color w:val="000000"/>
                <w:kern w:val="0"/>
                <w:sz w:val="20"/>
                <w:szCs w:val="20"/>
                <w:lang w:bidi="ar"/>
              </w:rPr>
              <w:br/>
              <w:t>Amount of 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Less than</w:t>
            </w:r>
            <w:r>
              <w:rPr>
                <w:rFonts w:ascii="Arial" w:eastAsia="宋体" w:hAnsi="Arial" w:cs="Arial"/>
                <w:color w:val="000000"/>
                <w:kern w:val="0"/>
                <w:sz w:val="20"/>
                <w:szCs w:val="20"/>
                <w:lang w:bidi="ar"/>
              </w:rPr>
              <w:br/>
              <w:t>1 year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r>
              <w:rPr>
                <w:rFonts w:ascii="Arial" w:eastAsia="宋体" w:hAnsi="Arial" w:cs="Arial"/>
                <w:color w:val="000000"/>
                <w:kern w:val="0"/>
                <w:sz w:val="20"/>
                <w:szCs w:val="20"/>
                <w:lang w:bidi="ar"/>
              </w:rPr>
              <w:br/>
              <w:t>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3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r>
              <w:rPr>
                <w:rFonts w:ascii="Arial" w:eastAsia="宋体" w:hAnsi="Arial" w:cs="Arial"/>
                <w:color w:val="000000"/>
                <w:kern w:val="0"/>
                <w:sz w:val="20"/>
                <w:szCs w:val="20"/>
                <w:lang w:bidi="ar"/>
              </w:rPr>
              <w:br/>
              <w:t>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After 5</w:t>
            </w:r>
            <w:r>
              <w:rPr>
                <w:rFonts w:ascii="Arial" w:eastAsia="宋体" w:hAnsi="Arial" w:cs="Arial"/>
                <w:color w:val="000000"/>
                <w:kern w:val="0"/>
                <w:sz w:val="20"/>
                <w:szCs w:val="20"/>
                <w:lang w:bidi="ar"/>
              </w:rPr>
              <w:br/>
              <w:t>years</w:t>
            </w:r>
          </w:p>
        </w:tc>
      </w:tr>
      <w:tr w:rsidR="0099058F" w14:paraId="4B760C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C4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Standby letters of credit and </w:t>
            </w:r>
            <w:r>
              <w:rPr>
                <w:rFonts w:ascii="Arial" w:eastAsia="宋体" w:hAnsi="Arial" w:cs="Arial"/>
                <w:color w:val="000000"/>
                <w:kern w:val="0"/>
                <w:sz w:val="20"/>
                <w:szCs w:val="20"/>
                <w:lang w:bidi="ar"/>
              </w:rPr>
              <w:t>surety bonds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4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4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4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4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4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4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4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4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4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4E" w14:textId="77777777" w:rsidR="0099058F" w:rsidRDefault="0099058F">
            <w:pPr>
              <w:widowControl/>
              <w:jc w:val="left"/>
              <w:rPr>
                <w:rFonts w:ascii="Times New Roman" w:eastAsia="宋体" w:hAnsi="宋体" w:cs="宋体"/>
                <w:kern w:val="0"/>
                <w:sz w:val="24"/>
              </w:rPr>
            </w:pPr>
          </w:p>
        </w:tc>
      </w:tr>
      <w:tr w:rsidR="0099058F" w14:paraId="4B760C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C5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aircraft financing commitments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5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5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5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5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5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5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5E" w14:textId="77777777" w:rsidR="0099058F" w:rsidRDefault="0099058F">
            <w:pPr>
              <w:widowControl/>
              <w:jc w:val="right"/>
              <w:rPr>
                <w:rFonts w:ascii="Times New Roman" w:eastAsia="宋体" w:hAnsi="宋体" w:cs="宋体"/>
                <w:kern w:val="0"/>
                <w:sz w:val="24"/>
              </w:rPr>
            </w:pPr>
          </w:p>
        </w:tc>
      </w:tr>
      <w:tr w:rsidR="0099058F" w14:paraId="4B760C6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0C6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commercial commitments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C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6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C6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C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6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C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C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6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C6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C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$4,085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6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0C6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0C6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6E" w14:textId="77777777" w:rsidR="0099058F" w:rsidRDefault="0099058F">
            <w:pPr>
              <w:widowControl/>
              <w:jc w:val="left"/>
              <w:rPr>
                <w:rFonts w:ascii="Times New Roman" w:eastAsia="宋体" w:hAnsi="宋体" w:cs="宋体"/>
                <w:kern w:val="0"/>
                <w:sz w:val="24"/>
              </w:rPr>
            </w:pPr>
          </w:p>
        </w:tc>
      </w:tr>
    </w:tbl>
    <w:p w14:paraId="4B760C70"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financing commitments include commitments to provide financing related to aircraft on order, under option for deliveries or propose</w:t>
      </w:r>
      <w:r>
        <w:rPr>
          <w:rFonts w:ascii="Arial" w:eastAsia="宋体" w:hAnsi="Arial" w:cs="Arial"/>
          <w:color w:val="000000"/>
          <w:kern w:val="0"/>
          <w:sz w:val="20"/>
          <w:szCs w:val="20"/>
          <w:lang w:bidi="ar"/>
        </w:rPr>
        <w:t xml:space="preserve">d as part of sales campaigns or refinancing with respect to delivered aircraft, based on estimated earliest potential funding dates. Customer financing commitments totaled $16.1 billion and $12.9 billion at December 31, 2022 and 2021. The increase relates </w:t>
      </w:r>
      <w:r>
        <w:rPr>
          <w:rFonts w:ascii="Arial" w:eastAsia="宋体" w:hAnsi="Arial" w:cs="Arial"/>
          <w:color w:val="000000"/>
          <w:kern w:val="0"/>
          <w:sz w:val="20"/>
          <w:szCs w:val="20"/>
          <w:lang w:bidi="ar"/>
        </w:rPr>
        <w:t xml:space="preserve">to new financing commitments. We anticipate that we will not be required to fund a significant portion of our financing commitments as we continue to work with third party financiers to provide alternative financing to customers. Historically, we have not </w:t>
      </w:r>
      <w:r>
        <w:rPr>
          <w:rFonts w:ascii="Arial" w:eastAsia="宋体" w:hAnsi="Arial" w:cs="Arial"/>
          <w:color w:val="000000"/>
          <w:kern w:val="0"/>
          <w:sz w:val="20"/>
          <w:szCs w:val="20"/>
          <w:lang w:bidi="ar"/>
        </w:rPr>
        <w:t>been required to fund significant amounts of outstanding commitments. However, there can be no assurances that we will not be required to fund greater amounts than historically required. See Note 13 to our Consolidated Financial Statements.</w:t>
      </w:r>
    </w:p>
    <w:p w14:paraId="4B760C71"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w:t>
      </w:r>
      <w:r>
        <w:rPr>
          <w:rFonts w:ascii="Arial" w:eastAsia="宋体" w:hAnsi="Arial" w:cs="Arial"/>
          <w:b/>
          <w:bCs/>
          <w:color w:val="000000"/>
          <w:kern w:val="0"/>
          <w:sz w:val="20"/>
          <w:szCs w:val="20"/>
          <w:lang w:bidi="ar"/>
        </w:rPr>
        <w:t>gations</w:t>
      </w:r>
    </w:p>
    <w:p w14:paraId="4B760C7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 which include the following:</w:t>
      </w:r>
    </w:p>
    <w:p w14:paraId="4B760C7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discussed in Note 21 t</w:t>
      </w:r>
      <w:r>
        <w:rPr>
          <w:rFonts w:ascii="Arial" w:eastAsia="宋体" w:hAnsi="Arial" w:cs="Arial"/>
          <w:color w:val="000000"/>
          <w:kern w:val="0"/>
          <w:sz w:val="20"/>
          <w:szCs w:val="20"/>
          <w:lang w:bidi="ar"/>
        </w:rPr>
        <w:t>o our Consolidated Financial Statements.</w:t>
      </w:r>
    </w:p>
    <w:p w14:paraId="4B760C74" w14:textId="77777777" w:rsidR="0099058F" w:rsidRDefault="00EB2559">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$752 million at December 31, 2022. For additional information, see Note 13 to our Consolid</w:t>
      </w:r>
      <w:r>
        <w:rPr>
          <w:rFonts w:ascii="Arial" w:eastAsia="宋体" w:hAnsi="Arial" w:cs="Arial"/>
          <w:color w:val="000000"/>
          <w:kern w:val="0"/>
          <w:sz w:val="20"/>
          <w:szCs w:val="20"/>
          <w:lang w:bidi="ar"/>
        </w:rPr>
        <w:t>ated Financial Statements.</w:t>
      </w:r>
    </w:p>
    <w:p w14:paraId="4B760C75"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4B760C7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Loss, Core Operating Margin and Core Loss Per Share</w:t>
      </w:r>
    </w:p>
    <w:p w14:paraId="4B760C7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Consolidated Financial Statements are prepared in accordance with GAAP which we supplement with certain non-GAAP financial information. Thes</w:t>
      </w:r>
      <w:r>
        <w:rPr>
          <w:rFonts w:ascii="Arial" w:eastAsia="宋体" w:hAnsi="Arial" w:cs="Arial"/>
          <w:color w:val="000000"/>
          <w:kern w:val="0"/>
          <w:sz w:val="20"/>
          <w:szCs w:val="20"/>
          <w:lang w:bidi="ar"/>
        </w:rPr>
        <w:t>e non-GAAP measures should not be considered in isolation or as a substitute for the related GAAP measures, and other companies may define such measures differently. We encourage investors to review our financial statements and publicly-filed reports in th</w:t>
      </w:r>
      <w:r>
        <w:rPr>
          <w:rFonts w:ascii="Arial" w:eastAsia="宋体" w:hAnsi="Arial" w:cs="Arial"/>
          <w:color w:val="000000"/>
          <w:kern w:val="0"/>
          <w:sz w:val="20"/>
          <w:szCs w:val="20"/>
          <w:lang w:bidi="ar"/>
        </w:rPr>
        <w:t>eir entirety and not to rely on any single financial measure. Core operating earnings, core operating margin and core earnings per share exclude the FAS/CAS service cost adjustment. The FAS/</w:t>
      </w:r>
    </w:p>
    <w:p w14:paraId="4B760C7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45</w:t>
      </w:r>
    </w:p>
    <w:p w14:paraId="4B760C79" w14:textId="77777777" w:rsidR="0099058F" w:rsidRDefault="00EB2559">
      <w:pPr>
        <w:widowControl/>
        <w:jc w:val="center"/>
      </w:pPr>
      <w:r>
        <w:rPr>
          <w:rFonts w:ascii="宋体" w:eastAsia="宋体" w:hAnsi="宋体" w:cs="宋体"/>
          <w:kern w:val="0"/>
          <w:sz w:val="24"/>
        </w:rPr>
        <w:pict w14:anchorId="4B763C24">
          <v:rect id="_x0000_i1071" style="width:6in;height:1.5pt" o:hralign="center" o:hrstd="t" o:hr="t" fillcolor="#a0a0a0" stroked="f"/>
        </w:pict>
      </w:r>
    </w:p>
    <w:p w14:paraId="4B760C7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C7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CAS service cost adjustment represents the difference between the Financial Accounting Standards (FAS) pension and postretirement service costs calculated under GAAP and costs allocated to the business segments. Core earnings per share</w:t>
      </w:r>
      <w:r>
        <w:rPr>
          <w:rFonts w:ascii="Arial" w:eastAsia="宋体" w:hAnsi="Arial" w:cs="Arial"/>
          <w:color w:val="000000"/>
          <w:kern w:val="0"/>
          <w:sz w:val="20"/>
          <w:szCs w:val="20"/>
          <w:lang w:bidi="ar"/>
        </w:rPr>
        <w:t xml:space="preserve"> excludes both the FAS/CAS service cost adjustment and non-operating pension and postretirement expenses. Non-operating pension and postretirement expenses represent the components of net periodic benefit costs other than service cost. Pension costs, compr</w:t>
      </w:r>
      <w:r>
        <w:rPr>
          <w:rFonts w:ascii="Arial" w:eastAsia="宋体" w:hAnsi="Arial" w:cs="Arial"/>
          <w:color w:val="000000"/>
          <w:kern w:val="0"/>
          <w:sz w:val="20"/>
          <w:szCs w:val="20"/>
          <w:lang w:bidi="ar"/>
        </w:rPr>
        <w:t>ising service and prior service costs computed in accordance with GAAP are allocated to BCA and certain BGS businesses supporting commercial customers. Pension costs allocated to BDS and BGS businesses supporting government customers are computed in accord</w:t>
      </w:r>
      <w:r>
        <w:rPr>
          <w:rFonts w:ascii="Arial" w:eastAsia="宋体" w:hAnsi="Arial" w:cs="Arial"/>
          <w:color w:val="000000"/>
          <w:kern w:val="0"/>
          <w:sz w:val="20"/>
          <w:szCs w:val="20"/>
          <w:lang w:bidi="ar"/>
        </w:rPr>
        <w:t xml:space="preserve">ance with U.S. Government Cost Accounting Standards (CAS), which employ different actuarial assumptions and accounting conventions than GAAP. CAS costs are allocable to government contracts. Other postretirement benefit costs are allocated to all business </w:t>
      </w:r>
      <w:r>
        <w:rPr>
          <w:rFonts w:ascii="Arial" w:eastAsia="宋体" w:hAnsi="Arial" w:cs="Arial"/>
          <w:color w:val="000000"/>
          <w:kern w:val="0"/>
          <w:sz w:val="20"/>
          <w:szCs w:val="20"/>
          <w:lang w:bidi="ar"/>
        </w:rPr>
        <w:t>segments based on CAS, which is generally based on benefits paid.</w:t>
      </w:r>
    </w:p>
    <w:p w14:paraId="4B760C7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FAS/CAS service cost adjustments recognized in Loss from operations were benefits of $849 million in 2022, $882 million in 2021 and $1,024 million in 2020. The lower benefits in </w:t>
      </w:r>
      <w:r>
        <w:rPr>
          <w:rFonts w:ascii="Arial" w:eastAsia="宋体" w:hAnsi="Arial" w:cs="Arial"/>
          <w:color w:val="000000"/>
          <w:kern w:val="0"/>
          <w:sz w:val="20"/>
          <w:szCs w:val="20"/>
          <w:lang w:bidi="ar"/>
        </w:rPr>
        <w:t>2022 and 2021 were primarily due to reductions in allocated pension cost year over year. The non-operating pension expense included in Other income, net was a benefit of $881 million in 2022, $528 million in 2021 and $340 million in 2020. The higher benefi</w:t>
      </w:r>
      <w:r>
        <w:rPr>
          <w:rFonts w:ascii="Arial" w:eastAsia="宋体" w:hAnsi="Arial" w:cs="Arial"/>
          <w:color w:val="000000"/>
          <w:kern w:val="0"/>
          <w:sz w:val="20"/>
          <w:szCs w:val="20"/>
          <w:lang w:bidi="ar"/>
        </w:rPr>
        <w:t>ts in 2022 were primarily due to lower amortization of net actuarial losses and a settlement loss that was recorded in 2021. For further discussion of pension and other postretirement costs, see the Management’s Discussion and Analysis on page 24 of this F</w:t>
      </w:r>
      <w:r>
        <w:rPr>
          <w:rFonts w:ascii="Arial" w:eastAsia="宋体" w:hAnsi="Arial" w:cs="Arial"/>
          <w:color w:val="000000"/>
          <w:kern w:val="0"/>
          <w:sz w:val="20"/>
          <w:szCs w:val="20"/>
          <w:lang w:bidi="ar"/>
        </w:rPr>
        <w:t xml:space="preserve">orm 10-K and see Note 22 to our Consolidated Financial Statements. </w:t>
      </w:r>
    </w:p>
    <w:p w14:paraId="4B760C7D"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Management uses core operating earnings, core operating margin and core earnings per share for purposes of evaluating and forecasting underlying business performance. Management believes t</w:t>
      </w:r>
      <w:r>
        <w:rPr>
          <w:rFonts w:ascii="Arial" w:eastAsia="宋体" w:hAnsi="Arial" w:cs="Arial"/>
          <w:color w:val="000000"/>
          <w:kern w:val="0"/>
          <w:sz w:val="20"/>
          <w:szCs w:val="20"/>
          <w:lang w:bidi="ar"/>
        </w:rPr>
        <w:t>hese core earnings measures provide investors additional insights into operational performance as unallocated pension and other postretirement benefit cost primarily represent costs driven by market factors and costs not allocable to U.S. government contra</w:t>
      </w:r>
      <w:r>
        <w:rPr>
          <w:rFonts w:ascii="Arial" w:eastAsia="宋体" w:hAnsi="Arial" w:cs="Arial"/>
          <w:color w:val="000000"/>
          <w:kern w:val="0"/>
          <w:sz w:val="20"/>
          <w:szCs w:val="20"/>
          <w:lang w:bidi="ar"/>
        </w:rPr>
        <w:t>cts.</w:t>
      </w:r>
    </w:p>
    <w:p w14:paraId="4B760C7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46</w:t>
      </w:r>
    </w:p>
    <w:p w14:paraId="4B760C7F" w14:textId="77777777" w:rsidR="0099058F" w:rsidRDefault="00EB2559">
      <w:pPr>
        <w:widowControl/>
        <w:jc w:val="center"/>
      </w:pPr>
      <w:r>
        <w:rPr>
          <w:rFonts w:ascii="宋体" w:eastAsia="宋体" w:hAnsi="宋体" w:cs="宋体"/>
          <w:kern w:val="0"/>
          <w:sz w:val="24"/>
        </w:rPr>
        <w:pict w14:anchorId="4B763C25">
          <v:rect id="_x0000_i1072" style="width:6in;height:1.5pt" o:hralign="center" o:hrstd="t" o:hr="t" fillcolor="#a0a0a0" stroked="f"/>
        </w:pict>
      </w:r>
    </w:p>
    <w:p w14:paraId="4B760C8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C8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Non-GAAP Measures to GAAP Measures</w:t>
      </w:r>
    </w:p>
    <w:p w14:paraId="4B760C82"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table below reconciles the non-GAAP financial measures of core operating loss, core operating margins and </w:t>
      </w:r>
      <w:r>
        <w:rPr>
          <w:rFonts w:ascii="Arial" w:eastAsia="宋体" w:hAnsi="Arial" w:cs="Arial"/>
          <w:color w:val="000000"/>
          <w:kern w:val="0"/>
          <w:sz w:val="20"/>
          <w:szCs w:val="20"/>
          <w:lang w:bidi="ar"/>
        </w:rPr>
        <w:t>core loss per share with the most directly comparable GAAP financial measures of loss from operations, operating margins and diluted 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7"/>
        <w:gridCol w:w="37"/>
        <w:gridCol w:w="66"/>
        <w:gridCol w:w="800"/>
        <w:gridCol w:w="198"/>
        <w:gridCol w:w="36"/>
        <w:gridCol w:w="36"/>
        <w:gridCol w:w="36"/>
        <w:gridCol w:w="66"/>
        <w:gridCol w:w="745"/>
        <w:gridCol w:w="198"/>
        <w:gridCol w:w="36"/>
        <w:gridCol w:w="36"/>
        <w:gridCol w:w="36"/>
        <w:gridCol w:w="72"/>
        <w:gridCol w:w="805"/>
        <w:gridCol w:w="198"/>
      </w:tblGrid>
      <w:tr w:rsidR="0099058F" w14:paraId="4B760C95" w14:textId="77777777">
        <w:tc>
          <w:tcPr>
            <w:tcW w:w="50" w:type="pct"/>
            <w:tcBorders>
              <w:top w:val="nil"/>
              <w:left w:val="nil"/>
              <w:bottom w:val="nil"/>
              <w:right w:val="nil"/>
            </w:tcBorders>
            <w:shd w:val="clear" w:color="auto" w:fill="auto"/>
            <w:vAlign w:val="bottom"/>
          </w:tcPr>
          <w:p w14:paraId="4B760C83" w14:textId="77777777" w:rsidR="0099058F" w:rsidRDefault="0099058F">
            <w:pPr>
              <w:widowControl/>
              <w:jc w:val="left"/>
              <w:rPr>
                <w:rFonts w:ascii="Times New Roman" w:eastAsia="宋体" w:hAnsi="宋体" w:cs="宋体"/>
                <w:kern w:val="0"/>
                <w:sz w:val="24"/>
              </w:rPr>
            </w:pPr>
          </w:p>
        </w:tc>
        <w:tc>
          <w:tcPr>
            <w:tcW w:w="3003" w:type="pct"/>
            <w:tcBorders>
              <w:top w:val="nil"/>
              <w:left w:val="nil"/>
              <w:bottom w:val="nil"/>
              <w:right w:val="nil"/>
            </w:tcBorders>
            <w:shd w:val="clear" w:color="auto" w:fill="auto"/>
            <w:vAlign w:val="bottom"/>
          </w:tcPr>
          <w:p w14:paraId="4B760C8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86" w14:textId="77777777" w:rsidR="0099058F" w:rsidRDefault="0099058F">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vAlign w:val="bottom"/>
          </w:tcPr>
          <w:p w14:paraId="4B760C8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8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8C" w14:textId="77777777" w:rsidR="0099058F" w:rsidRDefault="0099058F">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vAlign w:val="bottom"/>
          </w:tcPr>
          <w:p w14:paraId="4B760C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8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C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9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C92" w14:textId="77777777" w:rsidR="0099058F" w:rsidRDefault="0099058F">
            <w:pPr>
              <w:widowControl/>
              <w:jc w:val="left"/>
              <w:rPr>
                <w:rFonts w:ascii="Times New Roman" w:eastAsia="宋体" w:hAnsi="宋体" w:cs="宋体"/>
                <w:kern w:val="0"/>
                <w:sz w:val="24"/>
              </w:rPr>
            </w:pPr>
          </w:p>
        </w:tc>
        <w:tc>
          <w:tcPr>
            <w:tcW w:w="565" w:type="pct"/>
            <w:tcBorders>
              <w:top w:val="nil"/>
              <w:left w:val="nil"/>
              <w:bottom w:val="nil"/>
              <w:right w:val="nil"/>
            </w:tcBorders>
            <w:shd w:val="clear" w:color="auto" w:fill="auto"/>
            <w:vAlign w:val="bottom"/>
          </w:tcPr>
          <w:p w14:paraId="4B760C9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C94" w14:textId="77777777" w:rsidR="0099058F" w:rsidRDefault="0099058F">
            <w:pPr>
              <w:widowControl/>
              <w:jc w:val="left"/>
              <w:rPr>
                <w:rFonts w:ascii="Times New Roman" w:eastAsia="宋体" w:hAnsi="宋体" w:cs="宋体"/>
                <w:kern w:val="0"/>
                <w:sz w:val="24"/>
              </w:rPr>
            </w:pPr>
          </w:p>
        </w:tc>
      </w:tr>
      <w:tr w:rsidR="0099058F" w14:paraId="4B760C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96"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B760C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9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99" w14:textId="77777777" w:rsidR="0099058F" w:rsidRDefault="0099058F">
            <w:pPr>
              <w:widowControl/>
              <w:jc w:val="left"/>
              <w:rPr>
                <w:rFonts w:ascii="Times New Roman" w:eastAsia="宋体" w:hAnsi="宋体" w:cs="宋体"/>
                <w:kern w:val="0"/>
                <w:sz w:val="24"/>
              </w:rPr>
            </w:pPr>
          </w:p>
        </w:tc>
      </w:tr>
      <w:tr w:rsidR="0099058F" w14:paraId="4B760C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9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9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C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C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CA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CA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A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A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A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AA" w14:textId="77777777" w:rsidR="0099058F" w:rsidRDefault="0099058F">
            <w:pPr>
              <w:widowControl/>
              <w:jc w:val="left"/>
              <w:rPr>
                <w:rFonts w:ascii="Times New Roman" w:eastAsia="宋体" w:hAnsi="宋体" w:cs="宋体"/>
                <w:kern w:val="0"/>
                <w:sz w:val="24"/>
              </w:rPr>
            </w:pPr>
          </w:p>
        </w:tc>
      </w:tr>
      <w:tr w:rsidR="0099058F" w14:paraId="4B760C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CA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A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B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B4" w14:textId="77777777" w:rsidR="0099058F" w:rsidRDefault="0099058F">
            <w:pPr>
              <w:widowControl/>
              <w:jc w:val="left"/>
              <w:rPr>
                <w:rFonts w:ascii="Times New Roman" w:eastAsia="宋体" w:hAnsi="宋体" w:cs="宋体"/>
                <w:kern w:val="0"/>
                <w:sz w:val="24"/>
              </w:rPr>
            </w:pPr>
          </w:p>
        </w:tc>
      </w:tr>
      <w:tr w:rsidR="0099058F" w14:paraId="4B760C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CB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CB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CB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CC6"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C5" w14:textId="77777777" w:rsidR="0099058F" w:rsidRDefault="0099058F">
            <w:pPr>
              <w:widowControl/>
              <w:jc w:val="left"/>
              <w:rPr>
                <w:rFonts w:ascii="Times New Roman" w:eastAsia="宋体" w:hAnsi="宋体" w:cs="宋体"/>
                <w:kern w:val="0"/>
                <w:sz w:val="24"/>
              </w:rPr>
            </w:pPr>
          </w:p>
        </w:tc>
      </w:tr>
      <w:tr w:rsidR="0099058F" w14:paraId="4B760C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CC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C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CC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C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C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CCF" w14:textId="77777777" w:rsidR="0099058F" w:rsidRDefault="0099058F">
            <w:pPr>
              <w:widowControl/>
              <w:jc w:val="left"/>
              <w:rPr>
                <w:rFonts w:ascii="Times New Roman" w:eastAsia="宋体" w:hAnsi="宋体" w:cs="宋体"/>
                <w:kern w:val="0"/>
                <w:sz w:val="24"/>
              </w:rPr>
            </w:pPr>
          </w:p>
        </w:tc>
      </w:tr>
      <w:tr w:rsidR="0099058F" w14:paraId="4B760C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CD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D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C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C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CD9" w14:textId="77777777" w:rsidR="0099058F" w:rsidRDefault="0099058F">
            <w:pPr>
              <w:widowControl/>
              <w:jc w:val="left"/>
              <w:rPr>
                <w:rFonts w:ascii="Times New Roman" w:eastAsia="宋体" w:hAnsi="宋体" w:cs="宋体"/>
                <w:kern w:val="0"/>
                <w:sz w:val="24"/>
              </w:rPr>
            </w:pPr>
          </w:p>
        </w:tc>
      </w:tr>
      <w:tr w:rsidR="0099058F" w14:paraId="4B760CE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CD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D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D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E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CE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C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CE3" w14:textId="77777777" w:rsidR="0099058F" w:rsidRDefault="0099058F">
            <w:pPr>
              <w:widowControl/>
              <w:jc w:val="left"/>
              <w:rPr>
                <w:rFonts w:ascii="Times New Roman" w:eastAsia="宋体" w:hAnsi="宋体" w:cs="宋体"/>
                <w:kern w:val="0"/>
                <w:sz w:val="24"/>
              </w:rPr>
            </w:pPr>
          </w:p>
        </w:tc>
      </w:tr>
      <w:tr w:rsidR="0099058F" w14:paraId="4B760CE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0CE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C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CE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CE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C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CE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CE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C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CED" w14:textId="77777777" w:rsidR="0099058F" w:rsidRDefault="0099058F">
            <w:pPr>
              <w:widowControl/>
              <w:jc w:val="left"/>
              <w:rPr>
                <w:rFonts w:ascii="Times New Roman" w:eastAsia="宋体" w:hAnsi="宋体" w:cs="宋体"/>
                <w:kern w:val="0"/>
                <w:sz w:val="24"/>
              </w:rPr>
            </w:pPr>
          </w:p>
        </w:tc>
      </w:tr>
      <w:tr w:rsidR="0099058F" w14:paraId="4B760CF8"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4B760CE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B760C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CF2"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B760C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0CF5"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B760C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C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0CFF"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D"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CFE" w14:textId="77777777" w:rsidR="0099058F" w:rsidRDefault="0099058F">
            <w:pPr>
              <w:widowControl/>
              <w:jc w:val="left"/>
              <w:rPr>
                <w:rFonts w:ascii="Times New Roman" w:eastAsia="宋体" w:hAnsi="宋体" w:cs="宋体"/>
                <w:kern w:val="0"/>
                <w:sz w:val="24"/>
              </w:rPr>
            </w:pPr>
          </w:p>
        </w:tc>
      </w:tr>
      <w:tr w:rsidR="0099058F" w14:paraId="4B760D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D0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0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08" w14:textId="77777777" w:rsidR="0099058F" w:rsidRDefault="0099058F">
            <w:pPr>
              <w:widowControl/>
              <w:jc w:val="left"/>
              <w:rPr>
                <w:rFonts w:ascii="Times New Roman" w:eastAsia="宋体" w:hAnsi="宋体" w:cs="宋体"/>
                <w:kern w:val="0"/>
                <w:sz w:val="24"/>
              </w:rPr>
            </w:pPr>
          </w:p>
        </w:tc>
      </w:tr>
      <w:tr w:rsidR="0099058F" w14:paraId="4B760D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D0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0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12" w14:textId="77777777" w:rsidR="0099058F" w:rsidRDefault="0099058F">
            <w:pPr>
              <w:widowControl/>
              <w:jc w:val="left"/>
              <w:rPr>
                <w:rFonts w:ascii="Times New Roman" w:eastAsia="宋体" w:hAnsi="宋体" w:cs="宋体"/>
                <w:kern w:val="0"/>
                <w:sz w:val="24"/>
              </w:rPr>
            </w:pPr>
          </w:p>
        </w:tc>
      </w:tr>
      <w:tr w:rsidR="0099058F" w14:paraId="4B760D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D1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w:t>
            </w:r>
            <w:r>
              <w:rPr>
                <w:rFonts w:ascii="Arial" w:eastAsia="宋体" w:hAnsi="Arial" w:cs="Arial"/>
                <w:color w:val="000000"/>
                <w:kern w:val="0"/>
                <w:sz w:val="20"/>
                <w:szCs w:val="20"/>
                <w:lang w:bidi="ar"/>
              </w:rPr>
              <w:t>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1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1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1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1C" w14:textId="77777777" w:rsidR="0099058F" w:rsidRDefault="0099058F">
            <w:pPr>
              <w:widowControl/>
              <w:jc w:val="left"/>
              <w:rPr>
                <w:rFonts w:ascii="Times New Roman" w:eastAsia="宋体" w:hAnsi="宋体" w:cs="宋体"/>
                <w:kern w:val="0"/>
                <w:sz w:val="24"/>
              </w:rPr>
            </w:pPr>
          </w:p>
        </w:tc>
      </w:tr>
      <w:tr w:rsidR="0099058F" w14:paraId="4B760D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D1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2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2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2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2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26" w14:textId="77777777" w:rsidR="0099058F" w:rsidRDefault="0099058F">
            <w:pPr>
              <w:widowControl/>
              <w:jc w:val="left"/>
              <w:rPr>
                <w:rFonts w:ascii="Times New Roman" w:eastAsia="宋体" w:hAnsi="宋体" w:cs="宋体"/>
                <w:kern w:val="0"/>
                <w:sz w:val="24"/>
              </w:rPr>
            </w:pPr>
          </w:p>
        </w:tc>
      </w:tr>
      <w:tr w:rsidR="0099058F" w14:paraId="4B760D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D2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postretirement expense</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2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2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2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2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D2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D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D30" w14:textId="77777777" w:rsidR="0099058F" w:rsidRDefault="0099058F">
            <w:pPr>
              <w:widowControl/>
              <w:jc w:val="left"/>
              <w:rPr>
                <w:rFonts w:ascii="Times New Roman" w:eastAsia="宋体" w:hAnsi="宋体" w:cs="宋体"/>
                <w:kern w:val="0"/>
                <w:sz w:val="24"/>
              </w:rPr>
            </w:pPr>
          </w:p>
        </w:tc>
      </w:tr>
      <w:tr w:rsidR="0099058F" w14:paraId="4B760D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D3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3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D3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D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D3A" w14:textId="77777777" w:rsidR="0099058F" w:rsidRDefault="0099058F">
            <w:pPr>
              <w:widowControl/>
              <w:jc w:val="left"/>
              <w:rPr>
                <w:rFonts w:ascii="Times New Roman" w:eastAsia="宋体" w:hAnsi="宋体" w:cs="宋体"/>
                <w:kern w:val="0"/>
                <w:sz w:val="24"/>
              </w:rPr>
            </w:pPr>
          </w:p>
        </w:tc>
      </w:tr>
      <w:tr w:rsidR="0099058F" w14:paraId="4B760D4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D3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D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D3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D3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D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D4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D4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D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0D44" w14:textId="77777777" w:rsidR="0099058F" w:rsidRDefault="0099058F">
            <w:pPr>
              <w:widowControl/>
              <w:jc w:val="left"/>
              <w:rPr>
                <w:rFonts w:ascii="Times New Roman" w:eastAsia="宋体" w:hAnsi="宋体" w:cs="宋体"/>
                <w:kern w:val="0"/>
                <w:sz w:val="24"/>
              </w:rPr>
            </w:pPr>
          </w:p>
        </w:tc>
      </w:tr>
      <w:tr w:rsidR="0099058F" w14:paraId="4B760D4C" w14:textId="77777777">
        <w:trPr>
          <w:trHeight w:val="1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8"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D4B" w14:textId="77777777" w:rsidR="0099058F" w:rsidRDefault="0099058F">
            <w:pPr>
              <w:widowControl/>
              <w:jc w:val="left"/>
              <w:rPr>
                <w:rFonts w:ascii="Times New Roman" w:eastAsia="宋体" w:hAnsi="宋体" w:cs="宋体"/>
                <w:kern w:val="0"/>
                <w:sz w:val="24"/>
              </w:rPr>
            </w:pPr>
          </w:p>
        </w:tc>
      </w:tr>
      <w:tr w:rsidR="0099058F" w14:paraId="4B760D5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0D4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D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595.2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D4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D5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D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D5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D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D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D55" w14:textId="77777777" w:rsidR="0099058F" w:rsidRDefault="0099058F">
            <w:pPr>
              <w:widowControl/>
              <w:jc w:val="right"/>
              <w:rPr>
                <w:rFonts w:ascii="Times New Roman" w:eastAsia="宋体" w:hAnsi="宋体" w:cs="宋体"/>
                <w:kern w:val="0"/>
                <w:sz w:val="24"/>
              </w:rPr>
            </w:pPr>
          </w:p>
        </w:tc>
      </w:tr>
    </w:tbl>
    <w:p w14:paraId="4B760D57"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FAS/CAS service cost adjustment represents the difference between the FAS pension and postretirement service costs </w:t>
      </w:r>
      <w:r>
        <w:rPr>
          <w:rFonts w:ascii="Arial" w:eastAsia="宋体" w:hAnsi="Arial" w:cs="Arial"/>
          <w:color w:val="000000"/>
          <w:kern w:val="0"/>
          <w:sz w:val="20"/>
          <w:szCs w:val="20"/>
          <w:lang w:bidi="ar"/>
        </w:rPr>
        <w:t>calculated under GAAP and costs allocated to the business segments. This adjustment is excluded from Core operating loss (non-GAAP).</w:t>
      </w:r>
    </w:p>
    <w:p w14:paraId="4B760D58"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 and are excluded from Core loss per share (non-GAAP).</w:t>
      </w:r>
    </w:p>
    <w:p w14:paraId="4B760D59" w14:textId="77777777" w:rsidR="0099058F" w:rsidRDefault="00EB255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The income tax impact is calculated using the U.S. corporate statutory tax rate.</w:t>
      </w:r>
    </w:p>
    <w:p w14:paraId="4B760D5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47</w:t>
      </w:r>
    </w:p>
    <w:p w14:paraId="4B760D5B" w14:textId="77777777" w:rsidR="0099058F" w:rsidRDefault="00EB2559">
      <w:pPr>
        <w:widowControl/>
        <w:jc w:val="center"/>
      </w:pPr>
      <w:r>
        <w:rPr>
          <w:rFonts w:ascii="宋体" w:eastAsia="宋体" w:hAnsi="宋体" w:cs="宋体"/>
          <w:kern w:val="0"/>
          <w:sz w:val="24"/>
        </w:rPr>
        <w:pict w14:anchorId="4B763C26">
          <v:rect id="_x0000_i1073" style="width:6in;height:1.5pt" o:hralign="center" o:hrstd="t" o:hr="t" fillcolor="#a0a0a0" stroked="f"/>
        </w:pict>
      </w:r>
    </w:p>
    <w:p w14:paraId="4B760D5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5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Critical Accounting Policies &amp; Estimates </w:t>
      </w:r>
    </w:p>
    <w:p w14:paraId="4B760D5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for Long-term Contracts</w:t>
      </w:r>
    </w:p>
    <w:p w14:paraId="4B760D5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Substantially all contracts at BDS and certain contracts at BGS are long-term contracts. Our long-term contracts typically represent a single </w:t>
      </w:r>
      <w:r>
        <w:rPr>
          <w:rFonts w:ascii="Arial" w:eastAsia="宋体" w:hAnsi="Arial" w:cs="Arial"/>
          <w:color w:val="000000"/>
          <w:kern w:val="0"/>
          <w:sz w:val="20"/>
          <w:szCs w:val="20"/>
          <w:lang w:bidi="ar"/>
        </w:rPr>
        <w:t>distinct performance obligation due to the highly interdependent and interrelated nature of the underlying goods and/or services and the significant service of integration that we provide.</w:t>
      </w:r>
    </w:p>
    <w:p w14:paraId="4B760D6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Accounting for long-term contracts involves a judgmental process of</w:t>
      </w:r>
      <w:r>
        <w:rPr>
          <w:rFonts w:ascii="Arial" w:eastAsia="宋体" w:hAnsi="Arial" w:cs="Arial"/>
          <w:color w:val="000000"/>
          <w:kern w:val="0"/>
          <w:sz w:val="20"/>
          <w:szCs w:val="20"/>
          <w:lang w:bidi="ar"/>
        </w:rPr>
        <w:t xml:space="preserve"> estimating the total sales, costs, and profit for each performance obligation. Cost of sales is recognized as incurred, and revenue is determined by adding a proportionate amount of the estimated profit to the amount reported as cost of sales.</w:t>
      </w:r>
    </w:p>
    <w:p w14:paraId="4B760D6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Due to the </w:t>
      </w:r>
      <w:r>
        <w:rPr>
          <w:rFonts w:ascii="Arial" w:eastAsia="宋体" w:hAnsi="Arial" w:cs="Arial"/>
          <w:color w:val="000000"/>
          <w:kern w:val="0"/>
          <w:sz w:val="20"/>
          <w:szCs w:val="20"/>
          <w:lang w:bidi="ar"/>
        </w:rPr>
        <w:t>size, duration and nature of many of our long-term contracts, the estimation of total sales and costs through completion is complicated and subject to many variables. Total sales estimates are based on negotiated contract prices and quantities, modified by</w:t>
      </w:r>
      <w:r>
        <w:rPr>
          <w:rFonts w:ascii="Arial" w:eastAsia="宋体" w:hAnsi="Arial" w:cs="Arial"/>
          <w:color w:val="000000"/>
          <w:kern w:val="0"/>
          <w:sz w:val="20"/>
          <w:szCs w:val="20"/>
          <w:lang w:bidi="ar"/>
        </w:rPr>
        <w:t xml:space="preserve"> our assumptions regarding contract options, change orders, incentive and award provisions associated with technical performance, and price adjustment clauses (such as inflation or index-based clauses). The majority of these long-term contracts are with th</w:t>
      </w:r>
      <w:r>
        <w:rPr>
          <w:rFonts w:ascii="Arial" w:eastAsia="宋体" w:hAnsi="Arial" w:cs="Arial"/>
          <w:color w:val="000000"/>
          <w:kern w:val="0"/>
          <w:sz w:val="20"/>
          <w:szCs w:val="20"/>
          <w:lang w:bidi="ar"/>
        </w:rPr>
        <w:t>e U.S. government where the price is generally based on estimated cost to produce the product or service plus profit. Federal Acquisition Regulations provide guidance on the types of cost that will be reimbursed in establishing contract price. Total cost e</w:t>
      </w:r>
      <w:r>
        <w:rPr>
          <w:rFonts w:ascii="Arial" w:eastAsia="宋体" w:hAnsi="Arial" w:cs="Arial"/>
          <w:color w:val="000000"/>
          <w:kern w:val="0"/>
          <w:sz w:val="20"/>
          <w:szCs w:val="20"/>
          <w:lang w:bidi="ar"/>
        </w:rPr>
        <w:t>stimates are largely based on negotiated or estimated purchase contract terms, historical performance trends, business base and other economic projections. Factors that influence these estimates include inflationary trends, technical and schedule risk, int</w:t>
      </w:r>
      <w:r>
        <w:rPr>
          <w:rFonts w:ascii="Arial" w:eastAsia="宋体" w:hAnsi="Arial" w:cs="Arial"/>
          <w:color w:val="000000"/>
          <w:kern w:val="0"/>
          <w:sz w:val="20"/>
          <w:szCs w:val="20"/>
          <w:lang w:bidi="ar"/>
        </w:rPr>
        <w:t>ernal and subcontractor performance trends, business volume assumptions, asset utilization, anticipated labor agreements, and lingering impacts of COVID-19.</w:t>
      </w:r>
    </w:p>
    <w:p w14:paraId="4B760D6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 and cost estimates for all significant long-term contract performance obligations are revie</w:t>
      </w:r>
      <w:r>
        <w:rPr>
          <w:rFonts w:ascii="Arial" w:eastAsia="宋体" w:hAnsi="Arial" w:cs="Arial"/>
          <w:color w:val="000000"/>
          <w:kern w:val="0"/>
          <w:sz w:val="20"/>
          <w:szCs w:val="20"/>
          <w:lang w:bidi="ar"/>
        </w:rPr>
        <w:t>wed and reassessed quarterly. Changes in these estimates could result in recognition of cumulative catch-up adjustments to the performance obligation’s inception to date revenues, cost of sales and profit in the period in which such changes are made. Chang</w:t>
      </w:r>
      <w:r>
        <w:rPr>
          <w:rFonts w:ascii="Arial" w:eastAsia="宋体" w:hAnsi="Arial" w:cs="Arial"/>
          <w:color w:val="000000"/>
          <w:kern w:val="0"/>
          <w:sz w:val="20"/>
          <w:szCs w:val="20"/>
          <w:lang w:bidi="ar"/>
        </w:rPr>
        <w:t>es in revenue and cost estimates could also result in a reach-forward loss or an adjustment to a reach-forward loss which would be recorded immediately in earnings. Net cumulative catch-up adjustments for changes in estimated revenues and costs at completi</w:t>
      </w:r>
      <w:r>
        <w:rPr>
          <w:rFonts w:ascii="Arial" w:eastAsia="宋体" w:hAnsi="Arial" w:cs="Arial"/>
          <w:color w:val="000000"/>
          <w:kern w:val="0"/>
          <w:sz w:val="20"/>
          <w:szCs w:val="20"/>
          <w:lang w:bidi="ar"/>
        </w:rPr>
        <w:t>on across all long-term contracts, including the impact of increases in estimated losses on unexercised options, increased Loss from operations by $5,253 million, $880 million and $942 million in 2022, 2021 and 2020, respectively. The cumulative catch-up a</w:t>
      </w:r>
      <w:r>
        <w:rPr>
          <w:rFonts w:ascii="Arial" w:eastAsia="宋体" w:hAnsi="Arial" w:cs="Arial"/>
          <w:color w:val="000000"/>
          <w:kern w:val="0"/>
          <w:sz w:val="20"/>
          <w:szCs w:val="20"/>
          <w:lang w:bidi="ar"/>
        </w:rPr>
        <w:t>djustments in 2022 were primarily due to losses recognized on the VC-25B, KC-46A Tanker, MQ-25, Commercial Crew and T-7A Red Hawk programs. These are all fixed-price development programs, and there is ongoing risk that similar losses may have to be recogni</w:t>
      </w:r>
      <w:r>
        <w:rPr>
          <w:rFonts w:ascii="Arial" w:eastAsia="宋体" w:hAnsi="Arial" w:cs="Arial"/>
          <w:color w:val="000000"/>
          <w:kern w:val="0"/>
          <w:sz w:val="20"/>
          <w:szCs w:val="20"/>
          <w:lang w:bidi="ar"/>
        </w:rPr>
        <w:t>zed in future periods on these and/or other programs.</w:t>
      </w:r>
    </w:p>
    <w:p w14:paraId="4B760D6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Due to the significance of judgment in the estimation process described above, it is likely that materially different earnings could be recorded if we used different assumptions or if the underlying cir</w:t>
      </w:r>
      <w:r>
        <w:rPr>
          <w:rFonts w:ascii="Arial" w:eastAsia="宋体" w:hAnsi="Arial" w:cs="Arial"/>
          <w:color w:val="000000"/>
          <w:kern w:val="0"/>
          <w:sz w:val="20"/>
          <w:szCs w:val="20"/>
          <w:lang w:bidi="ar"/>
        </w:rPr>
        <w:t>cumstances were to change. Changes in underlying assumptions/estimates, internal and supplier performance, inflationary trends, or other circumstances may adversely or positively affect financial performance in future periods. If the combined gross margins</w:t>
      </w:r>
      <w:r>
        <w:rPr>
          <w:rFonts w:ascii="Arial" w:eastAsia="宋体" w:hAnsi="Arial" w:cs="Arial"/>
          <w:color w:val="000000"/>
          <w:kern w:val="0"/>
          <w:sz w:val="20"/>
          <w:szCs w:val="20"/>
          <w:lang w:bidi="ar"/>
        </w:rPr>
        <w:t xml:space="preserve"> for our profitable long-term contracts had been estimated to be higher or lower by 1% during 2022, it would have increased or decreased pre-tax income for the year by approximately $300 million.</w:t>
      </w:r>
    </w:p>
    <w:p w14:paraId="4B760D6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Accounting</w:t>
      </w:r>
    </w:p>
    <w:p w14:paraId="4B760D6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Program accounting requires the demonstra</w:t>
      </w:r>
      <w:r>
        <w:rPr>
          <w:rFonts w:ascii="Arial" w:eastAsia="宋体" w:hAnsi="Arial" w:cs="Arial"/>
          <w:color w:val="000000"/>
          <w:kern w:val="0"/>
          <w:sz w:val="20"/>
          <w:szCs w:val="20"/>
          <w:lang w:bidi="ar"/>
        </w:rPr>
        <w:t>ted ability to reliably estimate revenues, costs and gross profit margin for the defined program accounting quantity. A program consists of the estimated number of units (accounting quantity) of a product to be produced in a continuing, long-term productio</w:t>
      </w:r>
      <w:r>
        <w:rPr>
          <w:rFonts w:ascii="Arial" w:eastAsia="宋体" w:hAnsi="Arial" w:cs="Arial"/>
          <w:color w:val="000000"/>
          <w:kern w:val="0"/>
          <w:sz w:val="20"/>
          <w:szCs w:val="20"/>
          <w:lang w:bidi="ar"/>
        </w:rPr>
        <w:t xml:space="preserve">n effort for </w:t>
      </w:r>
    </w:p>
    <w:p w14:paraId="4B760D6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48</w:t>
      </w:r>
    </w:p>
    <w:p w14:paraId="4B760D67" w14:textId="77777777" w:rsidR="0099058F" w:rsidRDefault="00EB2559">
      <w:pPr>
        <w:widowControl/>
        <w:jc w:val="center"/>
      </w:pPr>
      <w:r>
        <w:rPr>
          <w:rFonts w:ascii="宋体" w:eastAsia="宋体" w:hAnsi="宋体" w:cs="宋体"/>
          <w:kern w:val="0"/>
          <w:sz w:val="24"/>
        </w:rPr>
        <w:pict w14:anchorId="4B763C27">
          <v:rect id="_x0000_i1074" style="width:6in;height:1.5pt" o:hralign="center" o:hrstd="t" o:hr="t" fillcolor="#a0a0a0" stroked="f"/>
        </w:pict>
      </w:r>
    </w:p>
    <w:p w14:paraId="4B760D6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6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delivery under existing and anticipated contracts. The determination of the accounting quantity is limited by the ability to make reasonably </w:t>
      </w:r>
      <w:r>
        <w:rPr>
          <w:rFonts w:ascii="Arial" w:eastAsia="宋体" w:hAnsi="Arial" w:cs="Arial"/>
          <w:color w:val="000000"/>
          <w:kern w:val="0"/>
          <w:sz w:val="20"/>
          <w:szCs w:val="20"/>
          <w:lang w:bidi="ar"/>
        </w:rPr>
        <w:t>dependable estimates.</w:t>
      </w:r>
    </w:p>
    <w:p w14:paraId="4B760D6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Factors that must be estimated include program accounting quantity, sales price, labor and employee benefit costs, material costs, procured part costs, major component costs, overhead costs, program tooling and other non-recurring cos</w:t>
      </w:r>
      <w:r>
        <w:rPr>
          <w:rFonts w:ascii="Arial" w:eastAsia="宋体" w:hAnsi="Arial" w:cs="Arial"/>
          <w:color w:val="000000"/>
          <w:kern w:val="0"/>
          <w:sz w:val="20"/>
          <w:szCs w:val="20"/>
          <w:lang w:bidi="ar"/>
        </w:rPr>
        <w:t>ts, and warranty costs. Estimation of the accounting quantity for each program takes into account several factors that are indicative of the demand for the particular program, such as firm orders, letters of intent from prospective customers and market stu</w:t>
      </w:r>
      <w:r>
        <w:rPr>
          <w:rFonts w:ascii="Arial" w:eastAsia="宋体" w:hAnsi="Arial" w:cs="Arial"/>
          <w:color w:val="000000"/>
          <w:kern w:val="0"/>
          <w:sz w:val="20"/>
          <w:szCs w:val="20"/>
          <w:lang w:bidi="ar"/>
        </w:rPr>
        <w:t>dies. Total estimated program sales are determined by estimating the model mix and sales price for all unsold units within the accounting quantity, added together with the sales prices for all undelivered units under contract. The sales prices for all unde</w:t>
      </w:r>
      <w:r>
        <w:rPr>
          <w:rFonts w:ascii="Arial" w:eastAsia="宋体" w:hAnsi="Arial" w:cs="Arial"/>
          <w:color w:val="000000"/>
          <w:kern w:val="0"/>
          <w:sz w:val="20"/>
          <w:szCs w:val="20"/>
          <w:lang w:bidi="ar"/>
        </w:rPr>
        <w:t>livered units within the accounting quantity include an escalation adjustment for inflation that is updated quarterly. Cost estimates are based largely on negotiated and anticipated contracts with suppliers, historical performance trends, and business base</w:t>
      </w:r>
      <w:r>
        <w:rPr>
          <w:rFonts w:ascii="Arial" w:eastAsia="宋体" w:hAnsi="Arial" w:cs="Arial"/>
          <w:color w:val="000000"/>
          <w:kern w:val="0"/>
          <w:sz w:val="20"/>
          <w:szCs w:val="20"/>
          <w:lang w:bidi="ar"/>
        </w:rPr>
        <w:t xml:space="preserve"> and other economic projections. Factors that influence these estimates include production rates, internal and subcontractor performance trends, learning curve, change incorporation, regulatory requirements in connection with certification, flight test and</w:t>
      </w:r>
      <w:r>
        <w:rPr>
          <w:rFonts w:ascii="Arial" w:eastAsia="宋体" w:hAnsi="Arial" w:cs="Arial"/>
          <w:color w:val="000000"/>
          <w:kern w:val="0"/>
          <w:sz w:val="20"/>
          <w:szCs w:val="20"/>
          <w:lang w:bidi="ar"/>
        </w:rPr>
        <w:t xml:space="preserve"> certification schedules, performance or reliability issues involving completed aircraft, customer and/or supplier claims or assertions, asset utilization, anticipated labor agreements, inflationary or deflationary trends, and lingering impacts of COVID-19</w:t>
      </w:r>
      <w:r>
        <w:rPr>
          <w:rFonts w:ascii="Arial" w:eastAsia="宋体" w:hAnsi="Arial" w:cs="Arial"/>
          <w:color w:val="000000"/>
          <w:kern w:val="0"/>
          <w:sz w:val="20"/>
          <w:szCs w:val="20"/>
          <w:lang w:bidi="ar"/>
        </w:rPr>
        <w:t>.</w:t>
      </w:r>
    </w:p>
    <w:p w14:paraId="4B760D6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To ensure reliability in our estimates, we employ a rigorous estimating process that is reviewed and updated on a quarterly basis. This includes reassessing the accounting quantity. Changes in estimates of program gross profit margins are normally recogn</w:t>
      </w:r>
      <w:r>
        <w:rPr>
          <w:rFonts w:ascii="Arial" w:eastAsia="宋体" w:hAnsi="Arial" w:cs="Arial"/>
          <w:color w:val="000000"/>
          <w:kern w:val="0"/>
          <w:sz w:val="20"/>
          <w:szCs w:val="20"/>
          <w:lang w:bidi="ar"/>
        </w:rPr>
        <w:t>ized on a prospective basis; however, when estimated costs to complete a program plus costs already included in inventory exceed estimated revenues from the program, a loss is recorded in the current period. Reductions to the estimated loss are included in</w:t>
      </w:r>
      <w:r>
        <w:rPr>
          <w:rFonts w:ascii="Arial" w:eastAsia="宋体" w:hAnsi="Arial" w:cs="Arial"/>
          <w:color w:val="000000"/>
          <w:kern w:val="0"/>
          <w:sz w:val="20"/>
          <w:szCs w:val="20"/>
          <w:lang w:bidi="ar"/>
        </w:rPr>
        <w:t xml:space="preserve"> the gross profit margin for undelivered units in the accounting quantity whereas increases to the estimated loss are recorded as an earnings charge in the period in which the loss is determined.</w:t>
      </w:r>
    </w:p>
    <w:p w14:paraId="4B760D6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767, 777X, and 787 programs had near break-even or singl</w:t>
      </w:r>
      <w:r>
        <w:rPr>
          <w:rFonts w:ascii="Arial" w:eastAsia="宋体" w:hAnsi="Arial" w:cs="Arial"/>
          <w:color w:val="000000"/>
          <w:kern w:val="0"/>
          <w:sz w:val="20"/>
          <w:szCs w:val="20"/>
          <w:lang w:bidi="ar"/>
        </w:rPr>
        <w:t>e digit margins at December 31, 2022. Adverse changes to the revenue and/or cost estimates for these programs could result in earnings charges in future periods.</w:t>
      </w:r>
    </w:p>
    <w:p w14:paraId="4B760D6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777X Program</w:t>
      </w:r>
      <w:r>
        <w:rPr>
          <w:rFonts w:ascii="Arial" w:eastAsia="宋体" w:hAnsi="Arial" w:cs="Arial"/>
          <w:color w:val="000000"/>
          <w:kern w:val="0"/>
          <w:sz w:val="20"/>
          <w:szCs w:val="20"/>
          <w:lang w:bidi="ar"/>
        </w:rPr>
        <w:t xml:space="preserve"> The 777X program had near break-even gross margins at December 31, 2022. The leve</w:t>
      </w:r>
      <w:r>
        <w:rPr>
          <w:rFonts w:ascii="Arial" w:eastAsia="宋体" w:hAnsi="Arial" w:cs="Arial"/>
          <w:color w:val="000000"/>
          <w:kern w:val="0"/>
          <w:sz w:val="20"/>
          <w:szCs w:val="20"/>
          <w:lang w:bidi="ar"/>
        </w:rPr>
        <w:t>l of profitability on the 777X program will be subject to a number of factors. These factors include continued production disruption due to labor instability and supply chain disruption, customer negotiations, further production rate adjustments for the 77</w:t>
      </w:r>
      <w:r>
        <w:rPr>
          <w:rFonts w:ascii="Arial" w:eastAsia="宋体" w:hAnsi="Arial" w:cs="Arial"/>
          <w:color w:val="000000"/>
          <w:kern w:val="0"/>
          <w:sz w:val="20"/>
          <w:szCs w:val="20"/>
          <w:lang w:bidi="ar"/>
        </w:rPr>
        <w:t xml:space="preserve">7X or other commercial aircraft programs, contraction of the accounting quantity and potential risks associated with the testing program and the timing of aircraft certification. One or more of these factors could result in additional reach-forward losses </w:t>
      </w:r>
      <w:r>
        <w:rPr>
          <w:rFonts w:ascii="Arial" w:eastAsia="宋体" w:hAnsi="Arial" w:cs="Arial"/>
          <w:color w:val="000000"/>
          <w:kern w:val="0"/>
          <w:sz w:val="20"/>
          <w:szCs w:val="20"/>
          <w:lang w:bidi="ar"/>
        </w:rPr>
        <w:t>on the 777X program in future periods, which may be material.</w:t>
      </w:r>
    </w:p>
    <w:p w14:paraId="4B760D6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787 Program</w:t>
      </w:r>
      <w:r>
        <w:rPr>
          <w:rFonts w:ascii="Arial" w:eastAsia="宋体" w:hAnsi="Arial" w:cs="Arial"/>
          <w:color w:val="000000"/>
          <w:kern w:val="0"/>
          <w:sz w:val="20"/>
          <w:szCs w:val="20"/>
          <w:lang w:bidi="ar"/>
        </w:rPr>
        <w:t xml:space="preserve"> During the fourth quarter of 2021, we recorded a loss of $3.5 billion on the 787 program primarily due to rework driving longer delivery delays than were previously expected and associated customer considerations. During the fourth quarter of 2022, we inc</w:t>
      </w:r>
      <w:r>
        <w:rPr>
          <w:rFonts w:ascii="Arial" w:eastAsia="宋体" w:hAnsi="Arial" w:cs="Arial"/>
          <w:color w:val="000000"/>
          <w:kern w:val="0"/>
          <w:sz w:val="20"/>
          <w:szCs w:val="20"/>
          <w:lang w:bidi="ar"/>
        </w:rPr>
        <w:t>reased the 787 program accounting quantity by 100 units due to the program’s normal progress of obtaining additional orders and delivering aircraft. The increase in the accounting quantity improved the program’s profit margin.</w:t>
      </w:r>
    </w:p>
    <w:p w14:paraId="4B760D6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program revenue and cost </w:t>
      </w:r>
      <w:r>
        <w:rPr>
          <w:rFonts w:ascii="Arial" w:eastAsia="宋体" w:hAnsi="Arial" w:cs="Arial"/>
          <w:color w:val="000000"/>
          <w:kern w:val="0"/>
          <w:sz w:val="20"/>
          <w:szCs w:val="20"/>
          <w:lang w:bidi="ar"/>
        </w:rPr>
        <w:t>assumptions reflect our current best estimate. However, if we are required to reduce the accounting quantity and/or production rates, experience further delivery delays, incur additional customer considerations, or experience other factors that result in l</w:t>
      </w:r>
      <w:r>
        <w:rPr>
          <w:rFonts w:ascii="Arial" w:eastAsia="宋体" w:hAnsi="Arial" w:cs="Arial"/>
          <w:color w:val="000000"/>
          <w:kern w:val="0"/>
          <w:sz w:val="20"/>
          <w:szCs w:val="20"/>
          <w:lang w:bidi="ar"/>
        </w:rPr>
        <w:t>ower margins, the 787 program could record additional losses in future periods, which may be material.</w:t>
      </w:r>
    </w:p>
    <w:p w14:paraId="4B760D7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49</w:t>
      </w:r>
    </w:p>
    <w:p w14:paraId="4B760D71" w14:textId="77777777" w:rsidR="0099058F" w:rsidRDefault="00EB2559">
      <w:pPr>
        <w:widowControl/>
        <w:jc w:val="center"/>
      </w:pPr>
      <w:r>
        <w:rPr>
          <w:rFonts w:ascii="宋体" w:eastAsia="宋体" w:hAnsi="宋体" w:cs="宋体"/>
          <w:kern w:val="0"/>
          <w:sz w:val="24"/>
        </w:rPr>
        <w:pict w14:anchorId="4B763C28">
          <v:rect id="_x0000_i1075" style="width:6in;height:1.5pt" o:hralign="center" o:hrstd="t" o:hr="t" fillcolor="#a0a0a0" stroked="f"/>
        </w:pict>
      </w:r>
    </w:p>
    <w:p w14:paraId="4B760D7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7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Plans</w:t>
      </w:r>
    </w:p>
    <w:p w14:paraId="4B760D7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Many of our employees have earned benefits under defined </w:t>
      </w:r>
      <w:r>
        <w:rPr>
          <w:rFonts w:ascii="Arial" w:eastAsia="宋体" w:hAnsi="Arial" w:cs="Arial"/>
          <w:color w:val="000000"/>
          <w:kern w:val="0"/>
          <w:sz w:val="20"/>
          <w:szCs w:val="20"/>
          <w:lang w:bidi="ar"/>
        </w:rPr>
        <w:t>benefit pension plans. The majority of employees that had participated in defined benefit pension plans have transitioned to a company-funded defined contribution retirement savings plan. Accounting rules require an annual measurement of our projected obli</w:t>
      </w:r>
      <w:r>
        <w:rPr>
          <w:rFonts w:ascii="Arial" w:eastAsia="宋体" w:hAnsi="Arial" w:cs="Arial"/>
          <w:color w:val="000000"/>
          <w:kern w:val="0"/>
          <w:sz w:val="20"/>
          <w:szCs w:val="20"/>
          <w:lang w:bidi="ar"/>
        </w:rPr>
        <w:t xml:space="preserve">gation and plan assets. These measurements are based upon several assumptions, including the discount rate and the expected long-term rate of asset return. Future changes in assumptions or differences between actual and expected outcomes can significantly </w:t>
      </w:r>
      <w:r>
        <w:rPr>
          <w:rFonts w:ascii="Arial" w:eastAsia="宋体" w:hAnsi="Arial" w:cs="Arial"/>
          <w:color w:val="000000"/>
          <w:kern w:val="0"/>
          <w:sz w:val="20"/>
          <w:szCs w:val="20"/>
          <w:lang w:bidi="ar"/>
        </w:rPr>
        <w:t>affect our future annual expense, projected benefit obligation and Shareholders’ equity.</w:t>
      </w:r>
    </w:p>
    <w:p w14:paraId="4B760D7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projected benefit obligation is sensitive to discount rates. The projected benefit obligation would decrease by $1,270 million or increase by $1,415 million if the</w:t>
      </w:r>
      <w:r>
        <w:rPr>
          <w:rFonts w:ascii="Arial" w:eastAsia="宋体" w:hAnsi="Arial" w:cs="Arial"/>
          <w:color w:val="000000"/>
          <w:kern w:val="0"/>
          <w:sz w:val="20"/>
          <w:szCs w:val="20"/>
          <w:lang w:bidi="ar"/>
        </w:rPr>
        <w:t xml:space="preserve"> discount rate increased or decreased by 25 basis points. A 25 basis point change in the discount rate would not have a significant impact on pension cost. However, net periodic pension cost is sensitive to changes in the expected long-term rate of asset r</w:t>
      </w:r>
      <w:r>
        <w:rPr>
          <w:rFonts w:ascii="Arial" w:eastAsia="宋体" w:hAnsi="Arial" w:cs="Arial"/>
          <w:color w:val="000000"/>
          <w:kern w:val="0"/>
          <w:sz w:val="20"/>
          <w:szCs w:val="20"/>
          <w:lang w:bidi="ar"/>
        </w:rPr>
        <w:t>eturn. A decrease or increase of 25 basis points in the expected long-term rate of asset return would have increased or decreased 2022 net periodic pension cost by $158 million. See Note 16 of the Notes to our Consolidated Financial Statements, which inclu</w:t>
      </w:r>
      <w:r>
        <w:rPr>
          <w:rFonts w:ascii="Arial" w:eastAsia="宋体" w:hAnsi="Arial" w:cs="Arial"/>
          <w:color w:val="000000"/>
          <w:kern w:val="0"/>
          <w:sz w:val="20"/>
          <w:szCs w:val="20"/>
          <w:lang w:bidi="ar"/>
        </w:rPr>
        <w:t>des the discount rate and expected long-term rate of asset return assumptions for the last three years.</w:t>
      </w:r>
    </w:p>
    <w:p w14:paraId="4B760D7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Deferred Income Taxes – Valuation Allowance</w:t>
      </w:r>
    </w:p>
    <w:p w14:paraId="4B760D7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 had deferred income tax assets of $12,301 million at December 31, 2022 that can be used in </w:t>
      </w:r>
      <w:r>
        <w:rPr>
          <w:rFonts w:ascii="Arial" w:eastAsia="宋体" w:hAnsi="Arial" w:cs="Arial"/>
          <w:color w:val="000000"/>
          <w:kern w:val="0"/>
          <w:sz w:val="20"/>
          <w:szCs w:val="20"/>
          <w:lang w:bidi="ar"/>
        </w:rPr>
        <w:t>future years to offset taxable income and reduce income taxes payable. The Company had deferred income tax liabilities of $9,306 million at December 31, 2022 that will partially offset deferred income tax assets and result in higher taxable income in futur</w:t>
      </w:r>
      <w:r>
        <w:rPr>
          <w:rFonts w:ascii="Arial" w:eastAsia="宋体" w:hAnsi="Arial" w:cs="Arial"/>
          <w:color w:val="000000"/>
          <w:kern w:val="0"/>
          <w:sz w:val="20"/>
          <w:szCs w:val="20"/>
          <w:lang w:bidi="ar"/>
        </w:rPr>
        <w:t>e years and increase income taxes payable. Tax law determines whether future reversals of temporary differences will result in taxable and deductible amounts that offset each other in future years. The particular years in which temporary differences result</w:t>
      </w:r>
      <w:r>
        <w:rPr>
          <w:rFonts w:ascii="Arial" w:eastAsia="宋体" w:hAnsi="Arial" w:cs="Arial"/>
          <w:color w:val="000000"/>
          <w:kern w:val="0"/>
          <w:sz w:val="20"/>
          <w:szCs w:val="20"/>
          <w:lang w:bidi="ar"/>
        </w:rPr>
        <w:t xml:space="preserve"> in taxable or deductible amounts generally are determined by the timing of the recovery of the related asset or settlement of the related liability.</w:t>
      </w:r>
    </w:p>
    <w:p w14:paraId="4B760D7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a quarterly basis, we assess the likelihood that we will be able to recover our deferred tax assets aga</w:t>
      </w:r>
      <w:r>
        <w:rPr>
          <w:rFonts w:ascii="Arial" w:eastAsia="宋体" w:hAnsi="Arial" w:cs="Arial"/>
          <w:color w:val="000000"/>
          <w:kern w:val="0"/>
          <w:sz w:val="20"/>
          <w:szCs w:val="20"/>
          <w:lang w:bidi="ar"/>
        </w:rPr>
        <w:t>inst future sources of taxable income and reduce the carrying amounts of deferred tax assets by recording a valuation allowance if, based on the available evidence, it is more likely than not (defined as a likelihood of more than 50%) that all or a portion</w:t>
      </w:r>
      <w:r>
        <w:rPr>
          <w:rFonts w:ascii="Arial" w:eastAsia="宋体" w:hAnsi="Arial" w:cs="Arial"/>
          <w:color w:val="000000"/>
          <w:kern w:val="0"/>
          <w:sz w:val="20"/>
          <w:szCs w:val="20"/>
          <w:lang w:bidi="ar"/>
        </w:rPr>
        <w:t xml:space="preserve"> of such assets will not be realized.</w:t>
      </w:r>
    </w:p>
    <w:p w14:paraId="4B760D7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assessment takes into account both positive and negative evidence. A recent history of financial reporting losses is heavily weighted as a source of objectively verifiable negative evidence. Due to our recent hist</w:t>
      </w:r>
      <w:r>
        <w:rPr>
          <w:rFonts w:ascii="Arial" w:eastAsia="宋体" w:hAnsi="Arial" w:cs="Arial"/>
          <w:color w:val="000000"/>
          <w:kern w:val="0"/>
          <w:sz w:val="20"/>
          <w:szCs w:val="20"/>
          <w:lang w:bidi="ar"/>
        </w:rPr>
        <w:t xml:space="preserve">ory of losses, we determined we could not include future projected earnings in our analysis. Rather, we use systematic and logical methods to estimate when deferred tax liabilities will reverse and generate taxable income and when deferred tax assets will </w:t>
      </w:r>
      <w:r>
        <w:rPr>
          <w:rFonts w:ascii="Arial" w:eastAsia="宋体" w:hAnsi="Arial" w:cs="Arial"/>
          <w:color w:val="000000"/>
          <w:kern w:val="0"/>
          <w:sz w:val="20"/>
          <w:szCs w:val="20"/>
          <w:lang w:bidi="ar"/>
        </w:rPr>
        <w:t>reverse and generate tax deductions. The selection of methodologies and assessment of when temporary differences will result in taxable or deductible amounts involves significant management judgment and is inherently complex and subjective. We believe that</w:t>
      </w:r>
      <w:r>
        <w:rPr>
          <w:rFonts w:ascii="Arial" w:eastAsia="宋体" w:hAnsi="Arial" w:cs="Arial"/>
          <w:color w:val="000000"/>
          <w:kern w:val="0"/>
          <w:sz w:val="20"/>
          <w:szCs w:val="20"/>
          <w:lang w:bidi="ar"/>
        </w:rPr>
        <w:t xml:space="preserve"> the methodologies we use are reasonable and can be replicated on a consistent basis in future periods.</w:t>
      </w:r>
    </w:p>
    <w:p w14:paraId="4B760D7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Deferred tax liabilities represent the assumed source of future taxable income and the majority are assumed to generate taxable amounts during the next </w:t>
      </w:r>
      <w:r>
        <w:rPr>
          <w:rFonts w:ascii="Arial" w:eastAsia="宋体" w:hAnsi="Arial" w:cs="Arial"/>
          <w:color w:val="000000"/>
          <w:kern w:val="0"/>
          <w:sz w:val="20"/>
          <w:szCs w:val="20"/>
          <w:lang w:bidi="ar"/>
        </w:rPr>
        <w:t>five years.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Deferred tax assets include amounts related to pension and other postretirement benefits that are assumed to generate significant deductible amounts beyond five years.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The Company’s valuation allowance of $3,162 million at December 31, 2022 pri</w:t>
      </w:r>
      <w:r>
        <w:rPr>
          <w:rFonts w:ascii="Arial" w:eastAsia="宋体" w:hAnsi="Arial" w:cs="Arial"/>
          <w:color w:val="000000"/>
          <w:kern w:val="0"/>
          <w:sz w:val="20"/>
          <w:szCs w:val="20"/>
          <w:lang w:bidi="ar"/>
        </w:rPr>
        <w:t>marily relates to pension and other postretirement benefit obligation deferred tax assets, tax credits and other carryforwards that are assumed to reverse beyond the period in which reversals of deferred tax liabilities are assumed to occur.</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During 2022, t</w:t>
      </w:r>
      <w:r>
        <w:rPr>
          <w:rFonts w:ascii="Arial" w:eastAsia="宋体" w:hAnsi="Arial" w:cs="Arial"/>
          <w:color w:val="000000"/>
          <w:kern w:val="0"/>
          <w:sz w:val="20"/>
          <w:szCs w:val="20"/>
          <w:lang w:bidi="ar"/>
        </w:rPr>
        <w:t xml:space="preserve">he Company increased the valuation allowance by $739 million primarily due to tax credits and other carryforwards generated in 2022 that </w:t>
      </w:r>
    </w:p>
    <w:p w14:paraId="4B760D7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50</w:t>
      </w:r>
    </w:p>
    <w:p w14:paraId="4B760D7C" w14:textId="77777777" w:rsidR="0099058F" w:rsidRDefault="00EB2559">
      <w:pPr>
        <w:widowControl/>
        <w:jc w:val="center"/>
      </w:pPr>
      <w:r>
        <w:rPr>
          <w:rFonts w:ascii="宋体" w:eastAsia="宋体" w:hAnsi="宋体" w:cs="宋体"/>
          <w:kern w:val="0"/>
          <w:sz w:val="24"/>
        </w:rPr>
        <w:pict w14:anchorId="4B763C29">
          <v:rect id="_x0000_i1076" style="width:6in;height:1.5pt" o:hralign="center" o:hrstd="t" o:hr="t" fillcolor="#a0a0a0" stroked="f"/>
        </w:pict>
      </w:r>
    </w:p>
    <w:p w14:paraId="4B760D7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7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cannot be realized in 2022, </w:t>
      </w:r>
      <w:r>
        <w:rPr>
          <w:rFonts w:ascii="Arial" w:eastAsia="宋体" w:hAnsi="Arial" w:cs="Arial"/>
          <w:color w:val="000000"/>
          <w:kern w:val="0"/>
          <w:sz w:val="20"/>
          <w:szCs w:val="20"/>
          <w:lang w:bidi="ar"/>
        </w:rPr>
        <w:t>partially offset by favorable pension remeasurement. Until the Company generates sustained levels of profitability, additional valuation allowances may have to be recorded with corresponding adverse impacts on earnings and/or other comprehensive income.</w:t>
      </w:r>
    </w:p>
    <w:p w14:paraId="4B760D7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Fo</w:t>
      </w:r>
      <w:r>
        <w:rPr>
          <w:rFonts w:ascii="Arial" w:eastAsia="宋体" w:hAnsi="Arial" w:cs="Arial"/>
          <w:color w:val="000000"/>
          <w:kern w:val="0"/>
          <w:sz w:val="20"/>
          <w:szCs w:val="20"/>
          <w:lang w:bidi="ar"/>
        </w:rPr>
        <w:t>r additional information regarding income taxes, see Note 4 of the Notes to the Consolidated Financial Statements.</w:t>
      </w:r>
    </w:p>
    <w:p w14:paraId="4B760D80"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7A. Quantitative and Qualitative Disclosures About Market Risk</w:t>
      </w:r>
    </w:p>
    <w:p w14:paraId="4B760D8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Interest Rate Risk</w:t>
      </w:r>
    </w:p>
    <w:p w14:paraId="4B760D8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w:t>
      </w:r>
      <w:r>
        <w:rPr>
          <w:rFonts w:ascii="Arial" w:eastAsia="宋体" w:hAnsi="Arial" w:cs="Arial"/>
          <w:color w:val="000000"/>
          <w:kern w:val="0"/>
          <w:sz w:val="20"/>
          <w:szCs w:val="20"/>
          <w:lang w:bidi="ar"/>
        </w:rPr>
        <w:t>rest rate risk, principally fixed- and floating-rate debt obligations, and customer financing assets and liabilities. The investors in our fixed-rate debt obligations do not generally have the right to demand we pay off these obligations prior to maturity.</w:t>
      </w:r>
      <w:r>
        <w:rPr>
          <w:rFonts w:ascii="Arial" w:eastAsia="宋体" w:hAnsi="Arial" w:cs="Arial"/>
          <w:color w:val="000000"/>
          <w:kern w:val="0"/>
          <w:sz w:val="20"/>
          <w:szCs w:val="20"/>
          <w:lang w:bidi="ar"/>
        </w:rPr>
        <w:t xml:space="preserve"> Therefore, exposure to interest rate risk is not believed to be material for our fixed-rate debt. As of December 31, 2022, we do not have any significant floating-rate debt obligations. Historically, we have not experienced material gains or losses on our</w:t>
      </w:r>
      <w:r>
        <w:rPr>
          <w:rFonts w:ascii="Arial" w:eastAsia="宋体" w:hAnsi="Arial" w:cs="Arial"/>
          <w:color w:val="000000"/>
          <w:kern w:val="0"/>
          <w:sz w:val="20"/>
          <w:szCs w:val="20"/>
          <w:lang w:bidi="ar"/>
        </w:rPr>
        <w:t xml:space="preserve"> customer financing assets and liabilities due to interest rate changes.</w:t>
      </w:r>
    </w:p>
    <w:p w14:paraId="4B760D83"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Foreign Currency Exchange Rate Risk</w:t>
      </w:r>
    </w:p>
    <w:p w14:paraId="4B760D8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 to foreign currency exchange rate risk relating to receipts from customers and payments to suppliers in foreign currencies. We use f</w:t>
      </w:r>
      <w:r>
        <w:rPr>
          <w:rFonts w:ascii="Arial" w:eastAsia="宋体" w:hAnsi="Arial" w:cs="Arial"/>
          <w:color w:val="000000"/>
          <w:kern w:val="0"/>
          <w:sz w:val="20"/>
          <w:szCs w:val="20"/>
          <w:lang w:bidi="ar"/>
        </w:rPr>
        <w:t>oreign currency forward contracts to hedge the price risk associated with firmly committed and forecasted foreign denominated payments and receipts related to our ongoing business. Foreign currency forward contracts are sensitive to changes in foreign curr</w:t>
      </w:r>
      <w:r>
        <w:rPr>
          <w:rFonts w:ascii="Arial" w:eastAsia="宋体" w:hAnsi="Arial" w:cs="Arial"/>
          <w:color w:val="000000"/>
          <w:kern w:val="0"/>
          <w:sz w:val="20"/>
          <w:szCs w:val="20"/>
          <w:lang w:bidi="ar"/>
        </w:rPr>
        <w:t>ency exchange rates. At December 31, 2022, a 10% increase or decrease in the exchange rate in our portfolio of foreign currency contracts would have increased or decreased our unrealized losses by $232 million. Consistent with the use of these contracts to</w:t>
      </w:r>
      <w:r>
        <w:rPr>
          <w:rFonts w:ascii="Arial" w:eastAsia="宋体" w:hAnsi="Arial" w:cs="Arial"/>
          <w:color w:val="000000"/>
          <w:kern w:val="0"/>
          <w:sz w:val="20"/>
          <w:szCs w:val="20"/>
          <w:lang w:bidi="ar"/>
        </w:rPr>
        <w:t xml:space="preserve"> neutralize the effect of exchange rate fluctuations, such unrealized losses or gains would be offset by corresponding gains or losses, respectively, in the remeasurement of the underlying transactions being hedged. When taken together, these forward curre</w:t>
      </w:r>
      <w:r>
        <w:rPr>
          <w:rFonts w:ascii="Arial" w:eastAsia="宋体" w:hAnsi="Arial" w:cs="Arial"/>
          <w:color w:val="000000"/>
          <w:kern w:val="0"/>
          <w:sz w:val="20"/>
          <w:szCs w:val="20"/>
          <w:lang w:bidi="ar"/>
        </w:rPr>
        <w:t>ncy contracts and the offsetting underlying commitments do not create material market risk.</w:t>
      </w:r>
    </w:p>
    <w:p w14:paraId="4B760D85"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Commodity Price Risk</w:t>
      </w:r>
    </w:p>
    <w:p w14:paraId="4B760D8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subject to commodity price risk relating to commodity purchase contracts for items used in production that are subject to changes in </w:t>
      </w:r>
      <w:r>
        <w:rPr>
          <w:rFonts w:ascii="Arial" w:eastAsia="宋体" w:hAnsi="Arial" w:cs="Arial"/>
          <w:color w:val="000000"/>
          <w:kern w:val="0"/>
          <w:sz w:val="20"/>
          <w:szCs w:val="20"/>
          <w:lang w:bidi="ar"/>
        </w:rPr>
        <w:t>the market price. We use commodity swaps and commodity purchase contracts to hedge against these potentially unfavorable price changes. Our commodity purchase contracts and derivatives are both sensitive to changes in the market price. At December 31, 2022</w:t>
      </w:r>
      <w:r>
        <w:rPr>
          <w:rFonts w:ascii="Arial" w:eastAsia="宋体" w:hAnsi="Arial" w:cs="Arial"/>
          <w:color w:val="000000"/>
          <w:kern w:val="0"/>
          <w:sz w:val="20"/>
          <w:szCs w:val="20"/>
          <w:lang w:bidi="ar"/>
        </w:rPr>
        <w:t>, a 10% increase or decrease in the market price in our commodity derivatives would have increased or decreased our unrealized losses by $70 million. Consistent with the use of these contracts to neutralize the effect of market price fluctuations, such unr</w:t>
      </w:r>
      <w:r>
        <w:rPr>
          <w:rFonts w:ascii="Arial" w:eastAsia="宋体" w:hAnsi="Arial" w:cs="Arial"/>
          <w:color w:val="000000"/>
          <w:kern w:val="0"/>
          <w:sz w:val="20"/>
          <w:szCs w:val="20"/>
          <w:lang w:bidi="ar"/>
        </w:rPr>
        <w:t>ealized losses or gains would be offset by corresponding gains or losses, respectively, in the remeasurement of the underlying transactions being hedged. When taken together, these commodity purchase contracts and the offsetting swaps do not create materia</w:t>
      </w:r>
      <w:r>
        <w:rPr>
          <w:rFonts w:ascii="Arial" w:eastAsia="宋体" w:hAnsi="Arial" w:cs="Arial"/>
          <w:color w:val="000000"/>
          <w:kern w:val="0"/>
          <w:sz w:val="20"/>
          <w:szCs w:val="20"/>
          <w:lang w:bidi="ar"/>
        </w:rPr>
        <w:t>l market risk.</w:t>
      </w:r>
    </w:p>
    <w:p w14:paraId="4B760D87"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51</w:t>
      </w:r>
    </w:p>
    <w:p w14:paraId="4B760D88" w14:textId="77777777" w:rsidR="0099058F" w:rsidRDefault="00EB2559">
      <w:pPr>
        <w:widowControl/>
        <w:jc w:val="center"/>
      </w:pPr>
      <w:r>
        <w:rPr>
          <w:rFonts w:ascii="宋体" w:eastAsia="宋体" w:hAnsi="宋体" w:cs="宋体"/>
          <w:kern w:val="0"/>
          <w:sz w:val="24"/>
        </w:rPr>
        <w:pict w14:anchorId="4B763C2A">
          <v:rect id="_x0000_i1077" style="width:6in;height:1.5pt" o:hralign="center" o:hrstd="t" o:hr="t" fillcolor="#a0a0a0" stroked="f"/>
        </w:pict>
      </w:r>
    </w:p>
    <w:p w14:paraId="4B760D89"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8A" w14:textId="77777777" w:rsidR="0099058F" w:rsidRDefault="00EB2559">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Item 8. Financial Statements and Supplementary Data</w:t>
      </w:r>
    </w:p>
    <w:p w14:paraId="4B760D8B" w14:textId="77777777" w:rsidR="0099058F" w:rsidRDefault="00EB2559">
      <w:pPr>
        <w:widowControl/>
        <w:spacing w:before="180" w:after="180"/>
        <w:jc w:val="center"/>
        <w:rPr>
          <w:rFonts w:ascii="宋体" w:eastAsia="宋体" w:hAnsi="宋体" w:cs="宋体"/>
          <w:kern w:val="0"/>
          <w:sz w:val="24"/>
        </w:rPr>
      </w:pPr>
      <w:r>
        <w:rPr>
          <w:rFonts w:ascii="Arial" w:eastAsia="宋体" w:hAnsi="Arial" w:cs="Arial"/>
          <w:b/>
          <w:bCs/>
          <w:color w:val="000000"/>
          <w:kern w:val="0"/>
          <w:sz w:val="20"/>
          <w:szCs w:val="20"/>
          <w:lang w:bidi="ar"/>
        </w:rPr>
        <w:t>Index to the Consolidated Financial Statements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508"/>
        <w:gridCol w:w="37"/>
        <w:gridCol w:w="69"/>
        <w:gridCol w:w="617"/>
        <w:gridCol w:w="36"/>
      </w:tblGrid>
      <w:tr w:rsidR="0099058F" w14:paraId="4B760D92" w14:textId="77777777">
        <w:tc>
          <w:tcPr>
            <w:tcW w:w="50" w:type="pct"/>
            <w:tcBorders>
              <w:top w:val="nil"/>
              <w:left w:val="nil"/>
              <w:bottom w:val="nil"/>
              <w:right w:val="nil"/>
            </w:tcBorders>
            <w:shd w:val="clear" w:color="auto" w:fill="auto"/>
            <w:vAlign w:val="bottom"/>
          </w:tcPr>
          <w:p w14:paraId="4B760D8C" w14:textId="77777777" w:rsidR="0099058F" w:rsidRDefault="0099058F">
            <w:pPr>
              <w:widowControl/>
              <w:jc w:val="left"/>
              <w:rPr>
                <w:rFonts w:ascii="Times New Roman" w:eastAsia="宋体" w:hAnsi="宋体" w:cs="宋体"/>
                <w:kern w:val="0"/>
                <w:sz w:val="24"/>
              </w:rPr>
            </w:pPr>
          </w:p>
        </w:tc>
        <w:tc>
          <w:tcPr>
            <w:tcW w:w="4511" w:type="pct"/>
            <w:tcBorders>
              <w:top w:val="nil"/>
              <w:left w:val="nil"/>
              <w:bottom w:val="nil"/>
              <w:right w:val="nil"/>
            </w:tcBorders>
            <w:shd w:val="clear" w:color="auto" w:fill="auto"/>
            <w:vAlign w:val="bottom"/>
          </w:tcPr>
          <w:p w14:paraId="4B760D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8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D8F" w14:textId="77777777" w:rsidR="0099058F" w:rsidRDefault="0099058F">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B760D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91" w14:textId="77777777" w:rsidR="0099058F" w:rsidRDefault="0099058F">
            <w:pPr>
              <w:widowControl/>
              <w:jc w:val="left"/>
              <w:rPr>
                <w:rFonts w:ascii="Times New Roman" w:eastAsia="宋体" w:hAnsi="宋体" w:cs="宋体"/>
                <w:kern w:val="0"/>
                <w:sz w:val="24"/>
              </w:rPr>
            </w:pPr>
          </w:p>
        </w:tc>
      </w:tr>
      <w:tr w:rsidR="0099058F" w14:paraId="4B760D9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D9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D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Page</w:t>
            </w:r>
          </w:p>
        </w:tc>
      </w:tr>
      <w:tr w:rsidR="0099058F" w14:paraId="4B760D9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6" w14:textId="77777777" w:rsidR="0099058F" w:rsidRDefault="00EB2559">
            <w:pPr>
              <w:widowControl/>
              <w:jc w:val="left"/>
              <w:textAlignment w:val="center"/>
              <w:rPr>
                <w:rFonts w:ascii="宋体" w:eastAsia="宋体" w:hAnsi="宋体" w:cs="宋体"/>
                <w:kern w:val="0"/>
                <w:sz w:val="24"/>
              </w:rPr>
            </w:pPr>
            <w:hyperlink w:anchor="idab206f38af44c3b82edc252bb6a3941_190" w:history="1">
              <w:r>
                <w:rPr>
                  <w:rStyle w:val="a4"/>
                  <w:rFonts w:ascii="Arial" w:eastAsia="宋体" w:hAnsi="Arial" w:cs="Arial"/>
                  <w:kern w:val="0"/>
                  <w:sz w:val="20"/>
                  <w:szCs w:val="20"/>
                </w:rPr>
                <w:t>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7" w14:textId="77777777" w:rsidR="0099058F" w:rsidRDefault="00EB2559">
            <w:pPr>
              <w:widowControl/>
              <w:jc w:val="right"/>
              <w:textAlignment w:val="center"/>
              <w:rPr>
                <w:rFonts w:ascii="宋体" w:eastAsia="宋体" w:hAnsi="宋体" w:cs="宋体"/>
                <w:kern w:val="0"/>
                <w:sz w:val="24"/>
              </w:rPr>
            </w:pPr>
            <w:hyperlink w:anchor="idab206f38af44c3b82edc252bb6a3941_190" w:history="1">
              <w:r>
                <w:rPr>
                  <w:rStyle w:val="a4"/>
                  <w:rFonts w:ascii="Arial" w:eastAsia="宋体" w:hAnsi="Arial" w:cs="Arial"/>
                  <w:kern w:val="0"/>
                  <w:sz w:val="20"/>
                  <w:szCs w:val="20"/>
                </w:rPr>
                <w:t>53</w:t>
              </w:r>
            </w:hyperlink>
          </w:p>
        </w:tc>
      </w:tr>
      <w:tr w:rsidR="0099058F" w14:paraId="4B760D9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9" w14:textId="77777777" w:rsidR="0099058F" w:rsidRDefault="00EB2559">
            <w:pPr>
              <w:widowControl/>
              <w:jc w:val="left"/>
              <w:textAlignment w:val="center"/>
              <w:rPr>
                <w:rFonts w:ascii="宋体" w:eastAsia="宋体" w:hAnsi="宋体" w:cs="宋体"/>
                <w:kern w:val="0"/>
                <w:sz w:val="24"/>
              </w:rPr>
            </w:pPr>
            <w:hyperlink w:anchor="idab206f38af44c3b82edc252bb6a3941_193" w:history="1">
              <w:r>
                <w:rPr>
                  <w:rStyle w:val="a4"/>
                  <w:rFonts w:ascii="Arial" w:eastAsia="宋体" w:hAnsi="Arial" w:cs="Arial"/>
                  <w:kern w:val="0"/>
                  <w:sz w:val="20"/>
                  <w:szCs w:val="20"/>
                </w:rPr>
                <w:t>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A" w14:textId="77777777" w:rsidR="0099058F" w:rsidRDefault="00EB2559">
            <w:pPr>
              <w:widowControl/>
              <w:jc w:val="right"/>
              <w:textAlignment w:val="center"/>
              <w:rPr>
                <w:rFonts w:ascii="宋体" w:eastAsia="宋体" w:hAnsi="宋体" w:cs="宋体"/>
                <w:kern w:val="0"/>
                <w:sz w:val="24"/>
              </w:rPr>
            </w:pPr>
            <w:hyperlink w:anchor="idab206f38af44c3b82edc252bb6a3941_193" w:history="1">
              <w:r>
                <w:rPr>
                  <w:rStyle w:val="a4"/>
                  <w:rFonts w:ascii="Arial" w:eastAsia="宋体" w:hAnsi="Arial" w:cs="Arial"/>
                  <w:kern w:val="0"/>
                  <w:sz w:val="20"/>
                  <w:szCs w:val="20"/>
                </w:rPr>
                <w:t>54</w:t>
              </w:r>
            </w:hyperlink>
          </w:p>
        </w:tc>
      </w:tr>
      <w:tr w:rsidR="0099058F" w14:paraId="4B760D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C" w14:textId="77777777" w:rsidR="0099058F" w:rsidRDefault="00EB2559">
            <w:pPr>
              <w:widowControl/>
              <w:jc w:val="left"/>
              <w:textAlignment w:val="center"/>
              <w:rPr>
                <w:rFonts w:ascii="宋体" w:eastAsia="宋体" w:hAnsi="宋体" w:cs="宋体"/>
                <w:kern w:val="0"/>
                <w:sz w:val="24"/>
              </w:rPr>
            </w:pPr>
            <w:hyperlink w:anchor="idab206f38af44c3b82edc252bb6a3941_196" w:history="1">
              <w:r>
                <w:rPr>
                  <w:rStyle w:val="a4"/>
                  <w:rFonts w:ascii="Arial" w:eastAsia="宋体" w:hAnsi="Arial" w:cs="Arial"/>
                  <w:kern w:val="0"/>
                  <w:sz w:val="20"/>
                  <w:szCs w:val="20"/>
                </w:rPr>
                <w:t xml:space="preserve">Consolidated Statements of </w:t>
              </w:r>
              <w:r>
                <w:rPr>
                  <w:rStyle w:val="a4"/>
                  <w:rFonts w:ascii="Arial" w:eastAsia="宋体" w:hAnsi="Arial" w:cs="Arial"/>
                  <w:kern w:val="0"/>
                  <w:sz w:val="20"/>
                  <w:szCs w:val="20"/>
                </w:rPr>
                <w:t>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D" w14:textId="77777777" w:rsidR="0099058F" w:rsidRDefault="00EB2559">
            <w:pPr>
              <w:widowControl/>
              <w:jc w:val="right"/>
              <w:textAlignment w:val="center"/>
              <w:rPr>
                <w:rFonts w:ascii="宋体" w:eastAsia="宋体" w:hAnsi="宋体" w:cs="宋体"/>
                <w:kern w:val="0"/>
                <w:sz w:val="24"/>
              </w:rPr>
            </w:pPr>
            <w:hyperlink w:anchor="idab206f38af44c3b82edc252bb6a3941_196" w:history="1">
              <w:r>
                <w:rPr>
                  <w:rStyle w:val="a4"/>
                  <w:rFonts w:ascii="Arial" w:eastAsia="宋体" w:hAnsi="Arial" w:cs="Arial"/>
                  <w:kern w:val="0"/>
                  <w:sz w:val="20"/>
                  <w:szCs w:val="20"/>
                </w:rPr>
                <w:t>55</w:t>
              </w:r>
            </w:hyperlink>
          </w:p>
        </w:tc>
      </w:tr>
      <w:tr w:rsidR="0099058F" w14:paraId="4B760D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9F" w14:textId="77777777" w:rsidR="0099058F" w:rsidRDefault="00EB2559">
            <w:pPr>
              <w:widowControl/>
              <w:jc w:val="left"/>
              <w:textAlignment w:val="center"/>
              <w:rPr>
                <w:rFonts w:ascii="宋体" w:eastAsia="宋体" w:hAnsi="宋体" w:cs="宋体"/>
                <w:kern w:val="0"/>
                <w:sz w:val="24"/>
              </w:rPr>
            </w:pPr>
            <w:hyperlink w:anchor="idab206f38af44c3b82edc252bb6a3941_199" w:history="1">
              <w:r>
                <w:rPr>
                  <w:rStyle w:val="a4"/>
                  <w:rFonts w:ascii="Arial" w:eastAsia="宋体" w:hAnsi="Arial" w:cs="Arial"/>
                  <w:kern w:val="0"/>
                  <w:sz w:val="20"/>
                  <w:szCs w:val="20"/>
                </w:rPr>
                <w:t>Consolidated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0" w14:textId="77777777" w:rsidR="0099058F" w:rsidRDefault="00EB2559">
            <w:pPr>
              <w:widowControl/>
              <w:jc w:val="right"/>
              <w:textAlignment w:val="center"/>
              <w:rPr>
                <w:rFonts w:ascii="宋体" w:eastAsia="宋体" w:hAnsi="宋体" w:cs="宋体"/>
                <w:kern w:val="0"/>
                <w:sz w:val="24"/>
              </w:rPr>
            </w:pPr>
            <w:hyperlink w:anchor="idab206f38af44c3b82edc252bb6a3941_199" w:history="1">
              <w:r>
                <w:rPr>
                  <w:rStyle w:val="a4"/>
                  <w:rFonts w:ascii="Arial" w:eastAsia="宋体" w:hAnsi="Arial" w:cs="Arial"/>
                  <w:kern w:val="0"/>
                  <w:sz w:val="20"/>
                  <w:szCs w:val="20"/>
                </w:rPr>
                <w:t>56</w:t>
              </w:r>
            </w:hyperlink>
          </w:p>
        </w:tc>
      </w:tr>
      <w:tr w:rsidR="0099058F" w14:paraId="4B760DA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2" w14:textId="77777777" w:rsidR="0099058F" w:rsidRDefault="00EB2559">
            <w:pPr>
              <w:widowControl/>
              <w:jc w:val="left"/>
              <w:textAlignment w:val="center"/>
              <w:rPr>
                <w:rFonts w:ascii="宋体" w:eastAsia="宋体" w:hAnsi="宋体" w:cs="宋体"/>
                <w:kern w:val="0"/>
                <w:sz w:val="24"/>
              </w:rPr>
            </w:pPr>
            <w:hyperlink w:anchor="idab206f38af44c3b82edc252bb6a3941_202" w:history="1">
              <w:r>
                <w:rPr>
                  <w:rStyle w:val="a4"/>
                  <w:rFonts w:ascii="Arial" w:eastAsia="宋体" w:hAnsi="Arial" w:cs="Arial"/>
                  <w:kern w:val="0"/>
                  <w:sz w:val="20"/>
                  <w:szCs w:val="20"/>
                </w:rPr>
                <w:t>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3" w14:textId="77777777" w:rsidR="0099058F" w:rsidRDefault="00EB2559">
            <w:pPr>
              <w:widowControl/>
              <w:jc w:val="right"/>
              <w:textAlignment w:val="center"/>
              <w:rPr>
                <w:rFonts w:ascii="宋体" w:eastAsia="宋体" w:hAnsi="宋体" w:cs="宋体"/>
                <w:kern w:val="0"/>
                <w:sz w:val="24"/>
              </w:rPr>
            </w:pPr>
            <w:hyperlink w:anchor="idab206f38af44c3b82edc252bb6a3941_202" w:history="1">
              <w:r>
                <w:rPr>
                  <w:rStyle w:val="a4"/>
                  <w:rFonts w:ascii="Arial" w:eastAsia="宋体" w:hAnsi="Arial" w:cs="Arial"/>
                  <w:kern w:val="0"/>
                  <w:sz w:val="20"/>
                  <w:szCs w:val="20"/>
                </w:rPr>
                <w:t>57</w:t>
              </w:r>
            </w:hyperlink>
          </w:p>
        </w:tc>
      </w:tr>
      <w:tr w:rsidR="0099058F" w14:paraId="4B760DA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5" w14:textId="77777777" w:rsidR="0099058F" w:rsidRDefault="00EB2559">
            <w:pPr>
              <w:widowControl/>
              <w:jc w:val="left"/>
              <w:textAlignment w:val="center"/>
              <w:rPr>
                <w:rFonts w:ascii="宋体" w:eastAsia="宋体" w:hAnsi="宋体" w:cs="宋体"/>
                <w:kern w:val="0"/>
                <w:sz w:val="24"/>
              </w:rPr>
            </w:pPr>
            <w:hyperlink w:anchor="idab206f38af44c3b82edc252bb6a3941_205" w:history="1">
              <w:r>
                <w:rPr>
                  <w:rStyle w:val="a4"/>
                  <w:rFonts w:ascii="Arial" w:eastAsia="宋体" w:hAnsi="Arial" w:cs="Arial"/>
                  <w:kern w:val="0"/>
                  <w:sz w:val="20"/>
                  <w:szCs w:val="20"/>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6" w14:textId="77777777" w:rsidR="0099058F" w:rsidRDefault="00EB2559">
            <w:pPr>
              <w:widowControl/>
              <w:jc w:val="right"/>
              <w:textAlignment w:val="center"/>
              <w:rPr>
                <w:rFonts w:ascii="宋体" w:eastAsia="宋体" w:hAnsi="宋体" w:cs="宋体"/>
                <w:kern w:val="0"/>
                <w:sz w:val="24"/>
              </w:rPr>
            </w:pPr>
            <w:hyperlink w:anchor="idab206f38af44c3b82edc252bb6a3941_205" w:history="1">
              <w:r>
                <w:rPr>
                  <w:rStyle w:val="a4"/>
                  <w:rFonts w:ascii="Arial" w:eastAsia="宋体" w:hAnsi="Arial" w:cs="Arial"/>
                  <w:kern w:val="0"/>
                  <w:sz w:val="20"/>
                  <w:szCs w:val="20"/>
                </w:rPr>
                <w:t>58</w:t>
              </w:r>
            </w:hyperlink>
          </w:p>
        </w:tc>
      </w:tr>
      <w:tr w:rsidR="0099058F" w14:paraId="4B760DA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8" w14:textId="77777777" w:rsidR="0099058F" w:rsidRDefault="00EB2559">
            <w:pPr>
              <w:widowControl/>
              <w:jc w:val="left"/>
              <w:textAlignment w:val="center"/>
              <w:rPr>
                <w:rFonts w:ascii="宋体" w:eastAsia="宋体" w:hAnsi="宋体" w:cs="宋体"/>
                <w:kern w:val="0"/>
                <w:sz w:val="24"/>
              </w:rPr>
            </w:pPr>
            <w:hyperlink w:anchor="idab206f38af44c3b82edc252bb6a3941_211" w:history="1">
              <w:r>
                <w:rPr>
                  <w:rStyle w:val="a4"/>
                  <w:rFonts w:ascii="Arial" w:eastAsia="宋体" w:hAnsi="Arial" w:cs="Arial"/>
                  <w:kern w:val="0"/>
                  <w:sz w:val="20"/>
                  <w:szCs w:val="20"/>
                </w:rPr>
                <w:t>Note 1 - Summary of Significant Accounting Policies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9" w14:textId="77777777" w:rsidR="0099058F" w:rsidRDefault="00EB2559">
            <w:pPr>
              <w:widowControl/>
              <w:jc w:val="right"/>
              <w:textAlignment w:val="center"/>
              <w:rPr>
                <w:rFonts w:ascii="宋体" w:eastAsia="宋体" w:hAnsi="宋体" w:cs="宋体"/>
                <w:kern w:val="0"/>
                <w:sz w:val="24"/>
              </w:rPr>
            </w:pPr>
            <w:hyperlink w:anchor="idab206f38af44c3b82edc252bb6a3941_211" w:history="1">
              <w:r>
                <w:rPr>
                  <w:rStyle w:val="a4"/>
                  <w:rFonts w:ascii="Arial" w:eastAsia="宋体" w:hAnsi="Arial" w:cs="Arial"/>
                  <w:kern w:val="0"/>
                  <w:sz w:val="20"/>
                  <w:szCs w:val="20"/>
                </w:rPr>
                <w:t>59</w:t>
              </w:r>
            </w:hyperlink>
          </w:p>
        </w:tc>
      </w:tr>
      <w:tr w:rsidR="0099058F" w14:paraId="4B760D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B" w14:textId="77777777" w:rsidR="0099058F" w:rsidRDefault="00EB2559">
            <w:pPr>
              <w:widowControl/>
              <w:jc w:val="left"/>
              <w:textAlignment w:val="center"/>
              <w:rPr>
                <w:rFonts w:ascii="宋体" w:eastAsia="宋体" w:hAnsi="宋体" w:cs="宋体"/>
                <w:kern w:val="0"/>
                <w:sz w:val="24"/>
              </w:rPr>
            </w:pPr>
            <w:hyperlink w:anchor="idab206f38af44c3b82edc252bb6a3941_223" w:history="1">
              <w:r>
                <w:rPr>
                  <w:rStyle w:val="a4"/>
                  <w:rFonts w:ascii="Arial" w:eastAsia="宋体" w:hAnsi="Arial" w:cs="Arial"/>
                  <w:kern w:val="0"/>
                  <w:sz w:val="20"/>
                  <w:szCs w:val="20"/>
                </w:rPr>
                <w:t>Note 2 - Goodwill and Acquired Intangibles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C" w14:textId="77777777" w:rsidR="0099058F" w:rsidRDefault="00EB2559">
            <w:pPr>
              <w:widowControl/>
              <w:jc w:val="right"/>
              <w:textAlignment w:val="center"/>
              <w:rPr>
                <w:rFonts w:ascii="宋体" w:eastAsia="宋体" w:hAnsi="宋体" w:cs="宋体"/>
                <w:kern w:val="0"/>
                <w:sz w:val="24"/>
              </w:rPr>
            </w:pPr>
            <w:hyperlink w:anchor="idab206f38af44c3b82edc252bb6a3941_223" w:history="1">
              <w:r>
                <w:rPr>
                  <w:rStyle w:val="a4"/>
                  <w:rFonts w:ascii="Arial" w:eastAsia="宋体" w:hAnsi="Arial" w:cs="Arial"/>
                  <w:kern w:val="0"/>
                  <w:sz w:val="20"/>
                  <w:szCs w:val="20"/>
                </w:rPr>
                <w:t>70</w:t>
              </w:r>
            </w:hyperlink>
          </w:p>
        </w:tc>
      </w:tr>
      <w:tr w:rsidR="0099058F" w14:paraId="4B760DB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E" w14:textId="77777777" w:rsidR="0099058F" w:rsidRDefault="00EB2559">
            <w:pPr>
              <w:widowControl/>
              <w:jc w:val="left"/>
              <w:textAlignment w:val="center"/>
              <w:rPr>
                <w:rFonts w:ascii="宋体" w:eastAsia="宋体" w:hAnsi="宋体" w:cs="宋体"/>
                <w:kern w:val="0"/>
                <w:sz w:val="24"/>
              </w:rPr>
            </w:pPr>
            <w:hyperlink w:anchor="idab206f38af44c3b82edc252bb6a3941_226" w:history="1">
              <w:r>
                <w:rPr>
                  <w:rStyle w:val="a4"/>
                  <w:rFonts w:ascii="Arial" w:eastAsia="宋体" w:hAnsi="Arial" w:cs="Arial"/>
                  <w:kern w:val="0"/>
                  <w:sz w:val="20"/>
                  <w:szCs w:val="20"/>
                </w:rPr>
                <w:t>Note 3 -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AF" w14:textId="77777777" w:rsidR="0099058F" w:rsidRDefault="00EB2559">
            <w:pPr>
              <w:widowControl/>
              <w:jc w:val="right"/>
              <w:textAlignment w:val="center"/>
              <w:rPr>
                <w:rFonts w:ascii="宋体" w:eastAsia="宋体" w:hAnsi="宋体" w:cs="宋体"/>
                <w:kern w:val="0"/>
                <w:sz w:val="24"/>
              </w:rPr>
            </w:pPr>
            <w:hyperlink w:anchor="idab206f38af44c3b82edc252bb6a3941_226" w:history="1">
              <w:r>
                <w:rPr>
                  <w:rStyle w:val="a4"/>
                  <w:rFonts w:ascii="Arial" w:eastAsia="宋体" w:hAnsi="Arial" w:cs="Arial"/>
                  <w:kern w:val="0"/>
                  <w:sz w:val="20"/>
                  <w:szCs w:val="20"/>
                </w:rPr>
                <w:t>70</w:t>
              </w:r>
            </w:hyperlink>
          </w:p>
        </w:tc>
      </w:tr>
      <w:tr w:rsidR="0099058F" w14:paraId="4B760D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1" w14:textId="77777777" w:rsidR="0099058F" w:rsidRDefault="00EB2559">
            <w:pPr>
              <w:widowControl/>
              <w:jc w:val="left"/>
              <w:textAlignment w:val="center"/>
              <w:rPr>
                <w:rFonts w:ascii="宋体" w:eastAsia="宋体" w:hAnsi="宋体" w:cs="宋体"/>
                <w:kern w:val="0"/>
                <w:sz w:val="24"/>
              </w:rPr>
            </w:pPr>
            <w:hyperlink w:anchor="idab206f38af44c3b82edc252bb6a3941_229" w:history="1">
              <w:r>
                <w:rPr>
                  <w:rStyle w:val="a4"/>
                  <w:rFonts w:ascii="Arial" w:eastAsia="宋体" w:hAnsi="Arial" w:cs="Arial"/>
                  <w:kern w:val="0"/>
                  <w:sz w:val="20"/>
                  <w:szCs w:val="20"/>
                </w:rPr>
                <w:t>Note 4 -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2" w14:textId="77777777" w:rsidR="0099058F" w:rsidRDefault="00EB2559">
            <w:pPr>
              <w:widowControl/>
              <w:jc w:val="right"/>
              <w:textAlignment w:val="center"/>
              <w:rPr>
                <w:rFonts w:ascii="宋体" w:eastAsia="宋体" w:hAnsi="宋体" w:cs="宋体"/>
                <w:kern w:val="0"/>
                <w:sz w:val="24"/>
              </w:rPr>
            </w:pPr>
            <w:hyperlink w:anchor="idab206f38af44c3b82edc252bb6a3941_229" w:history="1">
              <w:r>
                <w:rPr>
                  <w:rStyle w:val="a4"/>
                  <w:rFonts w:ascii="Arial" w:eastAsia="宋体" w:hAnsi="Arial" w:cs="Arial"/>
                  <w:kern w:val="0"/>
                  <w:sz w:val="20"/>
                  <w:szCs w:val="20"/>
                </w:rPr>
                <w:t>72</w:t>
              </w:r>
            </w:hyperlink>
          </w:p>
        </w:tc>
      </w:tr>
      <w:tr w:rsidR="0099058F" w14:paraId="4B760DB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4" w14:textId="77777777" w:rsidR="0099058F" w:rsidRDefault="00EB2559">
            <w:pPr>
              <w:widowControl/>
              <w:jc w:val="left"/>
              <w:textAlignment w:val="center"/>
              <w:rPr>
                <w:rFonts w:ascii="宋体" w:eastAsia="宋体" w:hAnsi="宋体" w:cs="宋体"/>
                <w:kern w:val="0"/>
                <w:sz w:val="24"/>
              </w:rPr>
            </w:pPr>
            <w:hyperlink w:anchor="idab206f38af44c3b82edc252bb6a3941_232" w:history="1">
              <w:r>
                <w:rPr>
                  <w:rStyle w:val="a4"/>
                  <w:rFonts w:ascii="Arial" w:eastAsia="宋体" w:hAnsi="Arial" w:cs="Arial"/>
                  <w:kern w:val="0"/>
                  <w:sz w:val="20"/>
                  <w:szCs w:val="20"/>
                </w:rPr>
                <w:t>Note 5 - Accounts Receivable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5" w14:textId="77777777" w:rsidR="0099058F" w:rsidRDefault="00EB2559">
            <w:pPr>
              <w:widowControl/>
              <w:jc w:val="right"/>
              <w:textAlignment w:val="center"/>
              <w:rPr>
                <w:rFonts w:ascii="宋体" w:eastAsia="宋体" w:hAnsi="宋体" w:cs="宋体"/>
                <w:kern w:val="0"/>
                <w:sz w:val="24"/>
              </w:rPr>
            </w:pPr>
            <w:hyperlink w:anchor="idab206f38af44c3b82edc252bb6a3941_232" w:history="1">
              <w:r>
                <w:rPr>
                  <w:rStyle w:val="a4"/>
                  <w:rFonts w:ascii="Arial" w:eastAsia="宋体" w:hAnsi="Arial" w:cs="Arial"/>
                  <w:kern w:val="0"/>
                  <w:sz w:val="20"/>
                  <w:szCs w:val="20"/>
                </w:rPr>
                <w:t>75</w:t>
              </w:r>
            </w:hyperlink>
          </w:p>
        </w:tc>
      </w:tr>
      <w:tr w:rsidR="0099058F" w14:paraId="4B760D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7" w14:textId="77777777" w:rsidR="0099058F" w:rsidRDefault="00EB2559">
            <w:pPr>
              <w:widowControl/>
              <w:jc w:val="left"/>
              <w:textAlignment w:val="center"/>
              <w:rPr>
                <w:rFonts w:ascii="宋体" w:eastAsia="宋体" w:hAnsi="宋体" w:cs="宋体"/>
                <w:kern w:val="0"/>
                <w:sz w:val="24"/>
              </w:rPr>
            </w:pPr>
            <w:hyperlink w:anchor="idab206f38af44c3b82edc252bb6a3941_235" w:history="1">
              <w:r>
                <w:rPr>
                  <w:rStyle w:val="a4"/>
                  <w:rFonts w:ascii="Arial" w:eastAsia="宋体" w:hAnsi="Arial" w:cs="Arial"/>
                  <w:kern w:val="0"/>
                  <w:sz w:val="20"/>
                  <w:szCs w:val="20"/>
                </w:rPr>
                <w:t>Note</w:t>
              </w:r>
              <w:r>
                <w:rPr>
                  <w:rStyle w:val="a4"/>
                  <w:rFonts w:ascii="Arial" w:eastAsia="宋体" w:hAnsi="Arial" w:cs="Arial"/>
                  <w:kern w:val="0"/>
                  <w:sz w:val="20"/>
                  <w:szCs w:val="20"/>
                </w:rPr>
                <w:t xml:space="preserve"> 6 -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8" w14:textId="77777777" w:rsidR="0099058F" w:rsidRDefault="00EB2559">
            <w:pPr>
              <w:widowControl/>
              <w:jc w:val="right"/>
              <w:textAlignment w:val="center"/>
              <w:rPr>
                <w:rFonts w:ascii="宋体" w:eastAsia="宋体" w:hAnsi="宋体" w:cs="宋体"/>
                <w:kern w:val="0"/>
                <w:sz w:val="24"/>
              </w:rPr>
            </w:pPr>
            <w:hyperlink w:anchor="idab206f38af44c3b82edc252bb6a3941_235" w:history="1">
              <w:r>
                <w:rPr>
                  <w:rStyle w:val="a4"/>
                  <w:rFonts w:ascii="Arial" w:eastAsia="宋体" w:hAnsi="Arial" w:cs="Arial"/>
                  <w:kern w:val="0"/>
                  <w:sz w:val="20"/>
                  <w:szCs w:val="20"/>
                </w:rPr>
                <w:t>76</w:t>
              </w:r>
            </w:hyperlink>
          </w:p>
        </w:tc>
      </w:tr>
      <w:tr w:rsidR="0099058F" w14:paraId="4B760DB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A" w14:textId="77777777" w:rsidR="0099058F" w:rsidRDefault="00EB2559">
            <w:pPr>
              <w:widowControl/>
              <w:jc w:val="left"/>
              <w:textAlignment w:val="center"/>
              <w:rPr>
                <w:rFonts w:ascii="宋体" w:eastAsia="宋体" w:hAnsi="宋体" w:cs="宋体"/>
                <w:kern w:val="0"/>
                <w:sz w:val="24"/>
              </w:rPr>
            </w:pPr>
            <w:hyperlink w:anchor="idab206f38af44c3b82edc252bb6a3941_238" w:history="1">
              <w:r>
                <w:rPr>
                  <w:rStyle w:val="a4"/>
                  <w:rFonts w:ascii="Arial" w:eastAsia="宋体" w:hAnsi="Arial" w:cs="Arial"/>
                  <w:kern w:val="0"/>
                  <w:sz w:val="20"/>
                  <w:szCs w:val="20"/>
                </w:rPr>
                <w:t>Note 7 -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B" w14:textId="77777777" w:rsidR="0099058F" w:rsidRDefault="00EB2559">
            <w:pPr>
              <w:widowControl/>
              <w:jc w:val="right"/>
              <w:textAlignment w:val="center"/>
              <w:rPr>
                <w:rFonts w:ascii="宋体" w:eastAsia="宋体" w:hAnsi="宋体" w:cs="宋体"/>
                <w:kern w:val="0"/>
                <w:sz w:val="24"/>
              </w:rPr>
            </w:pPr>
            <w:hyperlink w:anchor="idab206f38af44c3b82edc252bb6a3941_238" w:history="1">
              <w:r>
                <w:rPr>
                  <w:rStyle w:val="a4"/>
                  <w:rFonts w:ascii="Arial" w:eastAsia="宋体" w:hAnsi="Arial" w:cs="Arial"/>
                  <w:kern w:val="0"/>
                  <w:sz w:val="20"/>
                  <w:szCs w:val="20"/>
                </w:rPr>
                <w:t>76</w:t>
              </w:r>
            </w:hyperlink>
          </w:p>
        </w:tc>
      </w:tr>
      <w:tr w:rsidR="0099058F" w14:paraId="4B760DB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D" w14:textId="77777777" w:rsidR="0099058F" w:rsidRDefault="00EB2559">
            <w:pPr>
              <w:widowControl/>
              <w:jc w:val="left"/>
              <w:textAlignment w:val="center"/>
              <w:rPr>
                <w:rFonts w:ascii="宋体" w:eastAsia="宋体" w:hAnsi="宋体" w:cs="宋体"/>
                <w:kern w:val="0"/>
                <w:sz w:val="24"/>
              </w:rPr>
            </w:pPr>
            <w:hyperlink w:anchor="idab206f38af44c3b82edc252bb6a3941_241" w:history="1">
              <w:r>
                <w:rPr>
                  <w:rStyle w:val="a4"/>
                  <w:rFonts w:ascii="Arial" w:eastAsia="宋体" w:hAnsi="Arial" w:cs="Arial"/>
                  <w:kern w:val="0"/>
                  <w:sz w:val="20"/>
                  <w:szCs w:val="20"/>
                </w:rPr>
                <w:t>Note 8 -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BE" w14:textId="77777777" w:rsidR="0099058F" w:rsidRDefault="00EB2559">
            <w:pPr>
              <w:widowControl/>
              <w:jc w:val="right"/>
              <w:textAlignment w:val="center"/>
              <w:rPr>
                <w:rFonts w:ascii="宋体" w:eastAsia="宋体" w:hAnsi="宋体" w:cs="宋体"/>
                <w:kern w:val="0"/>
                <w:sz w:val="24"/>
              </w:rPr>
            </w:pPr>
            <w:hyperlink w:anchor="idab206f38af44c3b82edc252bb6a3941_241" w:history="1">
              <w:r>
                <w:rPr>
                  <w:rStyle w:val="a4"/>
                  <w:rFonts w:ascii="Arial" w:eastAsia="宋体" w:hAnsi="Arial" w:cs="Arial"/>
                  <w:kern w:val="0"/>
                  <w:sz w:val="20"/>
                  <w:szCs w:val="20"/>
                </w:rPr>
                <w:t>77</w:t>
              </w:r>
            </w:hyperlink>
          </w:p>
        </w:tc>
      </w:tr>
      <w:tr w:rsidR="0099058F" w14:paraId="4B760DC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0" w14:textId="77777777" w:rsidR="0099058F" w:rsidRDefault="00EB2559">
            <w:pPr>
              <w:widowControl/>
              <w:jc w:val="left"/>
              <w:textAlignment w:val="center"/>
              <w:rPr>
                <w:rFonts w:ascii="宋体" w:eastAsia="宋体" w:hAnsi="宋体" w:cs="宋体"/>
                <w:kern w:val="0"/>
                <w:sz w:val="24"/>
              </w:rPr>
            </w:pPr>
            <w:hyperlink w:anchor="idab206f38af44c3b82edc252bb6a3941_244" w:history="1">
              <w:r>
                <w:rPr>
                  <w:rStyle w:val="a4"/>
                  <w:rFonts w:ascii="Arial" w:eastAsia="宋体" w:hAnsi="Arial" w:cs="Arial"/>
                  <w:kern w:val="0"/>
                  <w:sz w:val="20"/>
                  <w:szCs w:val="20"/>
                </w:rPr>
                <w:t>Note 9 -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1" w14:textId="77777777" w:rsidR="0099058F" w:rsidRDefault="00EB2559">
            <w:pPr>
              <w:widowControl/>
              <w:jc w:val="right"/>
              <w:textAlignment w:val="center"/>
              <w:rPr>
                <w:rFonts w:ascii="宋体" w:eastAsia="宋体" w:hAnsi="宋体" w:cs="宋体"/>
                <w:kern w:val="0"/>
                <w:sz w:val="24"/>
              </w:rPr>
            </w:pPr>
            <w:hyperlink w:anchor="idab206f38af44c3b82edc252bb6a3941_244" w:history="1">
              <w:r>
                <w:rPr>
                  <w:rStyle w:val="a4"/>
                  <w:rFonts w:ascii="Arial" w:eastAsia="宋体" w:hAnsi="Arial" w:cs="Arial"/>
                  <w:kern w:val="0"/>
                  <w:sz w:val="20"/>
                  <w:szCs w:val="20"/>
                </w:rPr>
                <w:t>78</w:t>
              </w:r>
            </w:hyperlink>
          </w:p>
        </w:tc>
      </w:tr>
      <w:tr w:rsidR="0099058F" w14:paraId="4B760DC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3" w14:textId="77777777" w:rsidR="0099058F" w:rsidRDefault="00EB2559">
            <w:pPr>
              <w:widowControl/>
              <w:jc w:val="left"/>
              <w:textAlignment w:val="center"/>
              <w:rPr>
                <w:rFonts w:ascii="宋体" w:eastAsia="宋体" w:hAnsi="宋体" w:cs="宋体"/>
                <w:kern w:val="0"/>
                <w:sz w:val="24"/>
              </w:rPr>
            </w:pPr>
            <w:hyperlink w:anchor="idab206f38af44c3b82edc252bb6a3941_247" w:history="1">
              <w:r>
                <w:rPr>
                  <w:rStyle w:val="a4"/>
                  <w:rFonts w:ascii="Arial" w:eastAsia="宋体" w:hAnsi="Arial" w:cs="Arial"/>
                  <w:kern w:val="0"/>
                  <w:sz w:val="20"/>
                  <w:szCs w:val="20"/>
                </w:rPr>
                <w:t>Note 10 - Property, Plant and Equipment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4" w14:textId="77777777" w:rsidR="0099058F" w:rsidRDefault="00EB2559">
            <w:pPr>
              <w:widowControl/>
              <w:jc w:val="right"/>
              <w:textAlignment w:val="center"/>
              <w:rPr>
                <w:rFonts w:ascii="宋体" w:eastAsia="宋体" w:hAnsi="宋体" w:cs="宋体"/>
                <w:kern w:val="0"/>
                <w:sz w:val="24"/>
              </w:rPr>
            </w:pPr>
            <w:hyperlink w:anchor="idab206f38af44c3b82edc252bb6a3941_247" w:history="1">
              <w:r>
                <w:rPr>
                  <w:rStyle w:val="a4"/>
                  <w:rFonts w:ascii="Arial" w:eastAsia="宋体" w:hAnsi="Arial" w:cs="Arial"/>
                  <w:kern w:val="0"/>
                  <w:sz w:val="20"/>
                  <w:szCs w:val="20"/>
                </w:rPr>
                <w:t>80</w:t>
              </w:r>
            </w:hyperlink>
          </w:p>
        </w:tc>
      </w:tr>
      <w:tr w:rsidR="0099058F" w14:paraId="4B760D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6" w14:textId="77777777" w:rsidR="0099058F" w:rsidRDefault="00EB2559">
            <w:pPr>
              <w:widowControl/>
              <w:jc w:val="left"/>
              <w:textAlignment w:val="center"/>
              <w:rPr>
                <w:rFonts w:ascii="宋体" w:eastAsia="宋体" w:hAnsi="宋体" w:cs="宋体"/>
                <w:kern w:val="0"/>
                <w:sz w:val="24"/>
              </w:rPr>
            </w:pPr>
            <w:hyperlink w:anchor="idab206f38af44c3b82edc252bb6a3941_250" w:history="1">
              <w:r>
                <w:rPr>
                  <w:rStyle w:val="a4"/>
                  <w:rFonts w:ascii="Arial" w:eastAsia="宋体" w:hAnsi="Arial" w:cs="Arial"/>
                  <w:kern w:val="0"/>
                  <w:sz w:val="20"/>
                  <w:szCs w:val="20"/>
                </w:rPr>
                <w:t>Note 11 -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7" w14:textId="77777777" w:rsidR="0099058F" w:rsidRDefault="00EB2559">
            <w:pPr>
              <w:widowControl/>
              <w:jc w:val="right"/>
              <w:textAlignment w:val="center"/>
              <w:rPr>
                <w:rFonts w:ascii="宋体" w:eastAsia="宋体" w:hAnsi="宋体" w:cs="宋体"/>
                <w:kern w:val="0"/>
                <w:sz w:val="24"/>
              </w:rPr>
            </w:pPr>
            <w:hyperlink w:anchor="idab206f38af44c3b82edc252bb6a3941_250" w:history="1">
              <w:r>
                <w:rPr>
                  <w:rStyle w:val="a4"/>
                  <w:rFonts w:ascii="Arial" w:eastAsia="宋体" w:hAnsi="Arial" w:cs="Arial"/>
                  <w:kern w:val="0"/>
                  <w:sz w:val="20"/>
                  <w:szCs w:val="20"/>
                </w:rPr>
                <w:t>81</w:t>
              </w:r>
            </w:hyperlink>
          </w:p>
        </w:tc>
      </w:tr>
      <w:tr w:rsidR="0099058F" w14:paraId="4B760DC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9" w14:textId="77777777" w:rsidR="0099058F" w:rsidRDefault="00EB2559">
            <w:pPr>
              <w:widowControl/>
              <w:jc w:val="left"/>
              <w:textAlignment w:val="center"/>
              <w:rPr>
                <w:rFonts w:ascii="宋体" w:eastAsia="宋体" w:hAnsi="宋体" w:cs="宋体"/>
                <w:kern w:val="0"/>
                <w:sz w:val="24"/>
              </w:rPr>
            </w:pPr>
            <w:hyperlink w:anchor="idab206f38af44c3b82edc252bb6a3941_256" w:history="1">
              <w:r>
                <w:rPr>
                  <w:rStyle w:val="a4"/>
                  <w:rFonts w:ascii="Arial" w:eastAsia="宋体" w:hAnsi="Arial" w:cs="Arial"/>
                  <w:kern w:val="0"/>
                  <w:sz w:val="20"/>
                  <w:szCs w:val="20"/>
                </w:rPr>
                <w:t>Note 12 - Leases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A" w14:textId="77777777" w:rsidR="0099058F" w:rsidRDefault="00EB2559">
            <w:pPr>
              <w:widowControl/>
              <w:jc w:val="right"/>
              <w:textAlignment w:val="center"/>
              <w:rPr>
                <w:rFonts w:ascii="宋体" w:eastAsia="宋体" w:hAnsi="宋体" w:cs="宋体"/>
                <w:kern w:val="0"/>
                <w:sz w:val="24"/>
              </w:rPr>
            </w:pPr>
            <w:hyperlink w:anchor="idab206f38af44c3b82edc252bb6a3941_256" w:history="1">
              <w:r>
                <w:rPr>
                  <w:rStyle w:val="a4"/>
                  <w:rFonts w:ascii="Arial" w:eastAsia="宋体" w:hAnsi="Arial" w:cs="Arial"/>
                  <w:kern w:val="0"/>
                  <w:sz w:val="20"/>
                  <w:szCs w:val="20"/>
                </w:rPr>
                <w:t>81</w:t>
              </w:r>
            </w:hyperlink>
          </w:p>
        </w:tc>
      </w:tr>
      <w:tr w:rsidR="0099058F" w14:paraId="4B760DC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C" w14:textId="77777777" w:rsidR="0099058F" w:rsidRDefault="00EB2559">
            <w:pPr>
              <w:widowControl/>
              <w:jc w:val="left"/>
              <w:textAlignment w:val="center"/>
              <w:rPr>
                <w:rFonts w:ascii="宋体" w:eastAsia="宋体" w:hAnsi="宋体" w:cs="宋体"/>
                <w:kern w:val="0"/>
                <w:sz w:val="24"/>
              </w:rPr>
            </w:pPr>
            <w:hyperlink w:anchor="idab206f38af44c3b82edc252bb6a3941_259" w:history="1">
              <w:r>
                <w:rPr>
                  <w:rStyle w:val="a4"/>
                  <w:rFonts w:ascii="Arial" w:eastAsia="宋体" w:hAnsi="Arial" w:cs="Arial"/>
                  <w:kern w:val="0"/>
                  <w:sz w:val="20"/>
                  <w:szCs w:val="20"/>
                </w:rPr>
                <w:t>Note</w:t>
              </w:r>
              <w:r>
                <w:rPr>
                  <w:rStyle w:val="a4"/>
                  <w:rFonts w:ascii="Arial" w:eastAsia="宋体" w:hAnsi="Arial" w:cs="Arial"/>
                  <w:kern w:val="0"/>
                  <w:sz w:val="20"/>
                  <w:szCs w:val="20"/>
                </w:rPr>
                <w:t xml:space="preserve"> 13 - Liabilities,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D" w14:textId="77777777" w:rsidR="0099058F" w:rsidRDefault="00EB2559">
            <w:pPr>
              <w:widowControl/>
              <w:jc w:val="right"/>
              <w:textAlignment w:val="center"/>
              <w:rPr>
                <w:rFonts w:ascii="宋体" w:eastAsia="宋体" w:hAnsi="宋体" w:cs="宋体"/>
                <w:kern w:val="0"/>
                <w:sz w:val="24"/>
              </w:rPr>
            </w:pPr>
            <w:hyperlink w:anchor="idab206f38af44c3b82edc252bb6a3941_259" w:history="1">
              <w:r>
                <w:rPr>
                  <w:rStyle w:val="a4"/>
                  <w:rFonts w:ascii="Arial" w:eastAsia="宋体" w:hAnsi="Arial" w:cs="Arial"/>
                  <w:kern w:val="0"/>
                  <w:sz w:val="20"/>
                  <w:szCs w:val="20"/>
                </w:rPr>
                <w:t>83</w:t>
              </w:r>
            </w:hyperlink>
          </w:p>
        </w:tc>
      </w:tr>
      <w:tr w:rsidR="0099058F" w14:paraId="4B760DD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CF" w14:textId="77777777" w:rsidR="0099058F" w:rsidRDefault="00EB2559">
            <w:pPr>
              <w:widowControl/>
              <w:jc w:val="left"/>
              <w:textAlignment w:val="center"/>
              <w:rPr>
                <w:rFonts w:ascii="宋体" w:eastAsia="宋体" w:hAnsi="宋体" w:cs="宋体"/>
                <w:kern w:val="0"/>
                <w:sz w:val="24"/>
              </w:rPr>
            </w:pPr>
            <w:hyperlink w:anchor="idab206f38af44c3b82edc252bb6a3941_274" w:history="1">
              <w:r>
                <w:rPr>
                  <w:rStyle w:val="a4"/>
                  <w:rFonts w:ascii="Arial" w:eastAsia="宋体" w:hAnsi="Arial" w:cs="Arial"/>
                  <w:kern w:val="0"/>
                  <w:sz w:val="20"/>
                  <w:szCs w:val="20"/>
                </w:rPr>
                <w:t>Note 14 -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0" w14:textId="77777777" w:rsidR="0099058F" w:rsidRDefault="00EB2559">
            <w:pPr>
              <w:widowControl/>
              <w:jc w:val="right"/>
              <w:textAlignment w:val="center"/>
              <w:rPr>
                <w:rFonts w:ascii="宋体" w:eastAsia="宋体" w:hAnsi="宋体" w:cs="宋体"/>
                <w:kern w:val="0"/>
                <w:sz w:val="24"/>
              </w:rPr>
            </w:pPr>
            <w:hyperlink w:anchor="idab206f38af44c3b82edc252bb6a3941_274" w:history="1">
              <w:r>
                <w:rPr>
                  <w:rStyle w:val="a4"/>
                  <w:rFonts w:ascii="Arial" w:eastAsia="宋体" w:hAnsi="Arial" w:cs="Arial"/>
                  <w:kern w:val="0"/>
                  <w:sz w:val="20"/>
                  <w:szCs w:val="20"/>
                </w:rPr>
                <w:t>88</w:t>
              </w:r>
            </w:hyperlink>
          </w:p>
        </w:tc>
      </w:tr>
      <w:tr w:rsidR="0099058F" w14:paraId="4B760DD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2" w14:textId="77777777" w:rsidR="0099058F" w:rsidRDefault="00EB2559">
            <w:pPr>
              <w:widowControl/>
              <w:jc w:val="left"/>
              <w:textAlignment w:val="center"/>
              <w:rPr>
                <w:rFonts w:ascii="宋体" w:eastAsia="宋体" w:hAnsi="宋体" w:cs="宋体"/>
                <w:kern w:val="0"/>
                <w:sz w:val="24"/>
              </w:rPr>
            </w:pPr>
            <w:hyperlink w:anchor="idab206f38af44c3b82edc252bb6a3941_277" w:history="1">
              <w:r>
                <w:rPr>
                  <w:rStyle w:val="a4"/>
                  <w:rFonts w:ascii="Arial" w:eastAsia="宋体" w:hAnsi="Arial" w:cs="Arial"/>
                  <w:kern w:val="0"/>
                  <w:sz w:val="20"/>
                  <w:szCs w:val="20"/>
                </w:rPr>
                <w:t>Note 15 -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3" w14:textId="77777777" w:rsidR="0099058F" w:rsidRDefault="00EB2559">
            <w:pPr>
              <w:widowControl/>
              <w:jc w:val="right"/>
              <w:textAlignment w:val="center"/>
              <w:rPr>
                <w:rFonts w:ascii="宋体" w:eastAsia="宋体" w:hAnsi="宋体" w:cs="宋体"/>
                <w:kern w:val="0"/>
                <w:sz w:val="24"/>
              </w:rPr>
            </w:pPr>
            <w:hyperlink w:anchor="idab206f38af44c3b82edc252bb6a3941_277" w:history="1">
              <w:r>
                <w:rPr>
                  <w:rStyle w:val="a4"/>
                  <w:rFonts w:ascii="Arial" w:eastAsia="宋体" w:hAnsi="Arial" w:cs="Arial"/>
                  <w:kern w:val="0"/>
                  <w:sz w:val="20"/>
                  <w:szCs w:val="20"/>
                </w:rPr>
                <w:t>89</w:t>
              </w:r>
            </w:hyperlink>
          </w:p>
        </w:tc>
      </w:tr>
      <w:tr w:rsidR="0099058F" w14:paraId="4B760DD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5" w14:textId="77777777" w:rsidR="0099058F" w:rsidRDefault="00EB2559">
            <w:pPr>
              <w:widowControl/>
              <w:jc w:val="left"/>
              <w:textAlignment w:val="center"/>
              <w:rPr>
                <w:rFonts w:ascii="宋体" w:eastAsia="宋体" w:hAnsi="宋体" w:cs="宋体"/>
                <w:kern w:val="0"/>
                <w:sz w:val="24"/>
              </w:rPr>
            </w:pPr>
            <w:hyperlink w:anchor="idab206f38af44c3b82edc252bb6a3941_280" w:history="1">
              <w:r>
                <w:rPr>
                  <w:rStyle w:val="a4"/>
                  <w:rFonts w:ascii="Arial" w:eastAsia="宋体" w:hAnsi="Arial" w:cs="Arial"/>
                  <w:kern w:val="0"/>
                  <w:sz w:val="20"/>
                  <w:szCs w:val="20"/>
                </w:rPr>
                <w:t>Note 16 -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6" w14:textId="77777777" w:rsidR="0099058F" w:rsidRDefault="00EB2559">
            <w:pPr>
              <w:widowControl/>
              <w:jc w:val="right"/>
              <w:textAlignment w:val="center"/>
              <w:rPr>
                <w:rFonts w:ascii="宋体" w:eastAsia="宋体" w:hAnsi="宋体" w:cs="宋体"/>
                <w:kern w:val="0"/>
                <w:sz w:val="24"/>
              </w:rPr>
            </w:pPr>
            <w:hyperlink w:anchor="idab206f38af44c3b82edc252bb6a3941_280" w:history="1">
              <w:r>
                <w:rPr>
                  <w:rStyle w:val="a4"/>
                  <w:rFonts w:ascii="Arial" w:eastAsia="宋体" w:hAnsi="Arial" w:cs="Arial"/>
                  <w:kern w:val="0"/>
                  <w:sz w:val="20"/>
                  <w:szCs w:val="20"/>
                </w:rPr>
                <w:t>90</w:t>
              </w:r>
            </w:hyperlink>
          </w:p>
        </w:tc>
      </w:tr>
      <w:tr w:rsidR="0099058F" w14:paraId="4B760DD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8" w14:textId="77777777" w:rsidR="0099058F" w:rsidRDefault="00EB2559">
            <w:pPr>
              <w:widowControl/>
              <w:jc w:val="left"/>
              <w:textAlignment w:val="center"/>
              <w:rPr>
                <w:rFonts w:ascii="宋体" w:eastAsia="宋体" w:hAnsi="宋体" w:cs="宋体"/>
                <w:kern w:val="0"/>
                <w:sz w:val="24"/>
              </w:rPr>
            </w:pPr>
            <w:hyperlink w:anchor="idab206f38af44c3b82edc252bb6a3941_283" w:history="1">
              <w:r>
                <w:rPr>
                  <w:rStyle w:val="a4"/>
                  <w:rFonts w:ascii="Arial" w:eastAsia="宋体" w:hAnsi="Arial" w:cs="Arial"/>
                  <w:kern w:val="0"/>
                  <w:sz w:val="20"/>
                  <w:szCs w:val="20"/>
                </w:rPr>
                <w:t>Note 17 - Share-Based Compensation and Other Compensation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9" w14:textId="77777777" w:rsidR="0099058F" w:rsidRDefault="00EB2559">
            <w:pPr>
              <w:widowControl/>
              <w:jc w:val="right"/>
              <w:textAlignment w:val="center"/>
              <w:rPr>
                <w:rFonts w:ascii="宋体" w:eastAsia="宋体" w:hAnsi="宋体" w:cs="宋体"/>
                <w:kern w:val="0"/>
                <w:sz w:val="24"/>
              </w:rPr>
            </w:pPr>
            <w:hyperlink w:anchor="idab206f38af44c3b82edc252bb6a3941_283" w:history="1">
              <w:r>
                <w:rPr>
                  <w:rStyle w:val="a4"/>
                  <w:rFonts w:ascii="Arial" w:eastAsia="宋体" w:hAnsi="Arial" w:cs="Arial"/>
                  <w:kern w:val="0"/>
                  <w:sz w:val="20"/>
                  <w:szCs w:val="20"/>
                </w:rPr>
                <w:t>99</w:t>
              </w:r>
            </w:hyperlink>
          </w:p>
        </w:tc>
      </w:tr>
      <w:tr w:rsidR="0099058F" w14:paraId="4B760D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B" w14:textId="77777777" w:rsidR="0099058F" w:rsidRDefault="00EB2559">
            <w:pPr>
              <w:widowControl/>
              <w:jc w:val="left"/>
              <w:textAlignment w:val="center"/>
              <w:rPr>
                <w:rFonts w:ascii="宋体" w:eastAsia="宋体" w:hAnsi="宋体" w:cs="宋体"/>
                <w:kern w:val="0"/>
                <w:sz w:val="24"/>
              </w:rPr>
            </w:pPr>
            <w:hyperlink w:anchor="idab206f38af44c3b82edc252bb6a3941_286" w:history="1">
              <w:r>
                <w:rPr>
                  <w:rStyle w:val="a4"/>
                  <w:rFonts w:ascii="Arial" w:eastAsia="宋体" w:hAnsi="Arial" w:cs="Arial"/>
                  <w:kern w:val="0"/>
                  <w:sz w:val="20"/>
                  <w:szCs w:val="20"/>
                </w:rPr>
                <w:t>Note 18 -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C" w14:textId="77777777" w:rsidR="0099058F" w:rsidRDefault="00EB2559">
            <w:pPr>
              <w:widowControl/>
              <w:jc w:val="right"/>
              <w:textAlignment w:val="center"/>
              <w:rPr>
                <w:rFonts w:ascii="宋体" w:eastAsia="宋体" w:hAnsi="宋体" w:cs="宋体"/>
                <w:kern w:val="0"/>
                <w:sz w:val="24"/>
              </w:rPr>
            </w:pPr>
            <w:hyperlink w:anchor="idab206f38af44c3b82edc252bb6a3941_286" w:history="1">
              <w:r>
                <w:rPr>
                  <w:rStyle w:val="a4"/>
                  <w:rFonts w:ascii="Arial" w:eastAsia="宋体" w:hAnsi="Arial" w:cs="Arial"/>
                  <w:kern w:val="0"/>
                  <w:sz w:val="20"/>
                  <w:szCs w:val="20"/>
                </w:rPr>
                <w:t>103</w:t>
              </w:r>
            </w:hyperlink>
          </w:p>
        </w:tc>
      </w:tr>
      <w:tr w:rsidR="0099058F" w14:paraId="4B760DE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E" w14:textId="77777777" w:rsidR="0099058F" w:rsidRDefault="00EB2559">
            <w:pPr>
              <w:widowControl/>
              <w:jc w:val="left"/>
              <w:textAlignment w:val="center"/>
              <w:rPr>
                <w:rFonts w:ascii="宋体" w:eastAsia="宋体" w:hAnsi="宋体" w:cs="宋体"/>
                <w:kern w:val="0"/>
                <w:sz w:val="24"/>
              </w:rPr>
            </w:pPr>
            <w:hyperlink w:anchor="idab206f38af44c3b82edc252bb6a3941_289" w:history="1">
              <w:r>
                <w:rPr>
                  <w:rStyle w:val="a4"/>
                  <w:rFonts w:ascii="Arial" w:eastAsia="宋体" w:hAnsi="Arial" w:cs="Arial"/>
                  <w:kern w:val="0"/>
                  <w:sz w:val="20"/>
                  <w:szCs w:val="20"/>
                </w:rPr>
                <w:t>Note 19 -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DF" w14:textId="77777777" w:rsidR="0099058F" w:rsidRDefault="00EB2559">
            <w:pPr>
              <w:widowControl/>
              <w:jc w:val="right"/>
              <w:textAlignment w:val="center"/>
              <w:rPr>
                <w:rFonts w:ascii="宋体" w:eastAsia="宋体" w:hAnsi="宋体" w:cs="宋体"/>
                <w:kern w:val="0"/>
                <w:sz w:val="24"/>
              </w:rPr>
            </w:pPr>
            <w:hyperlink w:anchor="idab206f38af44c3b82edc252bb6a3941_289" w:history="1">
              <w:r>
                <w:rPr>
                  <w:rStyle w:val="a4"/>
                  <w:rFonts w:ascii="Arial" w:eastAsia="宋体" w:hAnsi="Arial" w:cs="Arial"/>
                  <w:kern w:val="0"/>
                  <w:sz w:val="20"/>
                  <w:szCs w:val="20"/>
                </w:rPr>
                <w:t>104</w:t>
              </w:r>
            </w:hyperlink>
          </w:p>
        </w:tc>
      </w:tr>
      <w:tr w:rsidR="0099058F" w14:paraId="4B760DE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1" w14:textId="77777777" w:rsidR="0099058F" w:rsidRDefault="00EB2559">
            <w:pPr>
              <w:widowControl/>
              <w:jc w:val="left"/>
              <w:textAlignment w:val="center"/>
              <w:rPr>
                <w:rFonts w:ascii="宋体" w:eastAsia="宋体" w:hAnsi="宋体" w:cs="宋体"/>
                <w:kern w:val="0"/>
                <w:sz w:val="24"/>
              </w:rPr>
            </w:pPr>
            <w:hyperlink w:anchor="idab206f38af44c3b82edc252bb6a3941_292" w:history="1">
              <w:r>
                <w:rPr>
                  <w:rStyle w:val="a4"/>
                  <w:rFonts w:ascii="Arial" w:eastAsia="宋体" w:hAnsi="Arial" w:cs="Arial"/>
                  <w:kern w:val="0"/>
                  <w:sz w:val="20"/>
                  <w:szCs w:val="20"/>
                </w:rPr>
                <w:t>Note 20 -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2" w14:textId="77777777" w:rsidR="0099058F" w:rsidRDefault="00EB2559">
            <w:pPr>
              <w:widowControl/>
              <w:jc w:val="right"/>
              <w:textAlignment w:val="center"/>
              <w:rPr>
                <w:rFonts w:ascii="宋体" w:eastAsia="宋体" w:hAnsi="宋体" w:cs="宋体"/>
                <w:kern w:val="0"/>
                <w:sz w:val="24"/>
              </w:rPr>
            </w:pPr>
            <w:hyperlink w:anchor="idab206f38af44c3b82edc252bb6a3941_292" w:history="1">
              <w:r>
                <w:rPr>
                  <w:rStyle w:val="a4"/>
                  <w:rFonts w:ascii="Arial" w:eastAsia="宋体" w:hAnsi="Arial" w:cs="Arial"/>
                  <w:kern w:val="0"/>
                  <w:sz w:val="20"/>
                  <w:szCs w:val="20"/>
                </w:rPr>
                <w:t>106</w:t>
              </w:r>
            </w:hyperlink>
          </w:p>
        </w:tc>
      </w:tr>
      <w:tr w:rsidR="0099058F" w14:paraId="4B760DE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4" w14:textId="77777777" w:rsidR="0099058F" w:rsidRDefault="00EB2559">
            <w:pPr>
              <w:widowControl/>
              <w:jc w:val="left"/>
              <w:textAlignment w:val="center"/>
              <w:rPr>
                <w:rFonts w:ascii="宋体" w:eastAsia="宋体" w:hAnsi="宋体" w:cs="宋体"/>
                <w:kern w:val="0"/>
                <w:sz w:val="24"/>
              </w:rPr>
            </w:pPr>
            <w:hyperlink w:anchor="idab206f38af44c3b82edc252bb6a3941_295" w:history="1">
              <w:r>
                <w:rPr>
                  <w:rStyle w:val="a4"/>
                  <w:rFonts w:ascii="Arial" w:eastAsia="宋体" w:hAnsi="Arial" w:cs="Arial"/>
                  <w:kern w:val="0"/>
                  <w:sz w:val="20"/>
                  <w:szCs w:val="20"/>
                </w:rPr>
                <w:t>Note 21 -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5" w14:textId="77777777" w:rsidR="0099058F" w:rsidRDefault="00EB2559">
            <w:pPr>
              <w:widowControl/>
              <w:jc w:val="right"/>
              <w:textAlignment w:val="center"/>
              <w:rPr>
                <w:rFonts w:ascii="宋体" w:eastAsia="宋体" w:hAnsi="宋体" w:cs="宋体"/>
                <w:kern w:val="0"/>
                <w:sz w:val="24"/>
              </w:rPr>
            </w:pPr>
            <w:hyperlink w:anchor="idab206f38af44c3b82edc252bb6a3941_295" w:history="1">
              <w:r>
                <w:rPr>
                  <w:rStyle w:val="a4"/>
                  <w:rFonts w:ascii="Arial" w:eastAsia="宋体" w:hAnsi="Arial" w:cs="Arial"/>
                  <w:kern w:val="0"/>
                  <w:sz w:val="20"/>
                  <w:szCs w:val="20"/>
                </w:rPr>
                <w:t>108</w:t>
              </w:r>
            </w:hyperlink>
          </w:p>
        </w:tc>
      </w:tr>
      <w:tr w:rsidR="0099058F" w14:paraId="4B760D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7" w14:textId="77777777" w:rsidR="0099058F" w:rsidRDefault="00EB2559">
            <w:pPr>
              <w:widowControl/>
              <w:jc w:val="left"/>
              <w:textAlignment w:val="center"/>
              <w:rPr>
                <w:rFonts w:ascii="宋体" w:eastAsia="宋体" w:hAnsi="宋体" w:cs="宋体"/>
                <w:kern w:val="0"/>
                <w:sz w:val="24"/>
              </w:rPr>
            </w:pPr>
            <w:hyperlink w:anchor="idab206f38af44c3b82edc252bb6a3941_298" w:history="1">
              <w:r>
                <w:rPr>
                  <w:rStyle w:val="a4"/>
                  <w:rFonts w:ascii="Arial" w:eastAsia="宋体" w:hAnsi="Arial" w:cs="Arial"/>
                  <w:kern w:val="0"/>
                  <w:sz w:val="20"/>
                  <w:szCs w:val="20"/>
                </w:rPr>
                <w:t>Note 22 -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8" w14:textId="77777777" w:rsidR="0099058F" w:rsidRDefault="00EB2559">
            <w:pPr>
              <w:widowControl/>
              <w:jc w:val="right"/>
              <w:textAlignment w:val="center"/>
              <w:rPr>
                <w:rFonts w:ascii="宋体" w:eastAsia="宋体" w:hAnsi="宋体" w:cs="宋体"/>
                <w:kern w:val="0"/>
                <w:sz w:val="24"/>
              </w:rPr>
            </w:pPr>
            <w:hyperlink w:anchor="idab206f38af44c3b82edc252bb6a3941_298" w:history="1">
              <w:r>
                <w:rPr>
                  <w:rStyle w:val="a4"/>
                  <w:rFonts w:ascii="Arial" w:eastAsia="宋体" w:hAnsi="Arial" w:cs="Arial"/>
                  <w:kern w:val="0"/>
                  <w:sz w:val="20"/>
                  <w:szCs w:val="20"/>
                </w:rPr>
                <w:t>109</w:t>
              </w:r>
            </w:hyperlink>
          </w:p>
        </w:tc>
      </w:tr>
      <w:tr w:rsidR="0099058F" w14:paraId="4B760DE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DE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DEB" w14:textId="77777777" w:rsidR="0099058F" w:rsidRDefault="0099058F">
            <w:pPr>
              <w:widowControl/>
              <w:jc w:val="left"/>
              <w:rPr>
                <w:rFonts w:ascii="Times New Roman" w:eastAsia="宋体" w:hAnsi="宋体" w:cs="宋体"/>
                <w:kern w:val="0"/>
                <w:sz w:val="24"/>
              </w:rPr>
            </w:pPr>
          </w:p>
        </w:tc>
      </w:tr>
      <w:tr w:rsidR="0099058F" w14:paraId="4B760DE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D" w14:textId="77777777" w:rsidR="0099058F" w:rsidRDefault="00EB2559">
            <w:pPr>
              <w:widowControl/>
              <w:jc w:val="left"/>
              <w:textAlignment w:val="center"/>
              <w:rPr>
                <w:rFonts w:ascii="宋体" w:eastAsia="宋体" w:hAnsi="宋体" w:cs="宋体"/>
                <w:kern w:val="0"/>
                <w:sz w:val="24"/>
              </w:rPr>
            </w:pPr>
            <w:hyperlink w:anchor="idab206f38af44c3b82edc252bb6a3941_304" w:history="1">
              <w:r>
                <w:rPr>
                  <w:rStyle w:val="a4"/>
                  <w:rFonts w:ascii="Arial" w:eastAsia="宋体" w:hAnsi="Arial" w:cs="Arial"/>
                  <w:kern w:val="0"/>
                  <w:sz w:val="20"/>
                  <w:szCs w:val="20"/>
                </w:rPr>
                <w:t>Reports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0DEE" w14:textId="77777777" w:rsidR="0099058F" w:rsidRDefault="00EB2559">
            <w:pPr>
              <w:widowControl/>
              <w:jc w:val="right"/>
              <w:textAlignment w:val="center"/>
              <w:rPr>
                <w:rFonts w:ascii="宋体" w:eastAsia="宋体" w:hAnsi="宋体" w:cs="宋体"/>
                <w:kern w:val="0"/>
                <w:sz w:val="24"/>
              </w:rPr>
            </w:pPr>
            <w:hyperlink w:anchor="idab206f38af44c3b82edc252bb6a3941_304" w:history="1">
              <w:r>
                <w:rPr>
                  <w:rStyle w:val="a4"/>
                  <w:rFonts w:ascii="Arial" w:eastAsia="宋体" w:hAnsi="Arial" w:cs="Arial"/>
                  <w:kern w:val="0"/>
                  <w:sz w:val="20"/>
                  <w:szCs w:val="20"/>
                </w:rPr>
                <w:t>115</w:t>
              </w:r>
            </w:hyperlink>
          </w:p>
        </w:tc>
      </w:tr>
    </w:tbl>
    <w:p w14:paraId="4B760DF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52</w:t>
      </w:r>
    </w:p>
    <w:p w14:paraId="4B760DF1" w14:textId="77777777" w:rsidR="0099058F" w:rsidRDefault="00EB2559">
      <w:pPr>
        <w:widowControl/>
        <w:jc w:val="center"/>
      </w:pPr>
      <w:r>
        <w:rPr>
          <w:rFonts w:ascii="宋体" w:eastAsia="宋体" w:hAnsi="宋体" w:cs="宋体"/>
          <w:kern w:val="0"/>
          <w:sz w:val="24"/>
        </w:rPr>
        <w:pict w14:anchorId="4B763C2B">
          <v:rect id="_x0000_i1078" style="width:6in;height:1.5pt" o:hralign="center" o:hrstd="t" o:hr="t" fillcolor="#a0a0a0" stroked="f"/>
        </w:pict>
      </w:r>
    </w:p>
    <w:p w14:paraId="4B760DF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DF3"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0DF4"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5344"/>
        <w:gridCol w:w="39"/>
        <w:gridCol w:w="74"/>
        <w:gridCol w:w="779"/>
        <w:gridCol w:w="36"/>
        <w:gridCol w:w="36"/>
        <w:gridCol w:w="36"/>
        <w:gridCol w:w="36"/>
        <w:gridCol w:w="74"/>
        <w:gridCol w:w="771"/>
        <w:gridCol w:w="36"/>
        <w:gridCol w:w="36"/>
        <w:gridCol w:w="36"/>
        <w:gridCol w:w="36"/>
        <w:gridCol w:w="81"/>
        <w:gridCol w:w="796"/>
        <w:gridCol w:w="36"/>
      </w:tblGrid>
      <w:tr w:rsidR="0099058F" w14:paraId="4B760E07" w14:textId="77777777">
        <w:tc>
          <w:tcPr>
            <w:tcW w:w="50" w:type="pct"/>
            <w:tcBorders>
              <w:top w:val="nil"/>
              <w:left w:val="nil"/>
              <w:bottom w:val="nil"/>
              <w:right w:val="nil"/>
            </w:tcBorders>
            <w:shd w:val="clear" w:color="auto" w:fill="auto"/>
            <w:vAlign w:val="bottom"/>
          </w:tcPr>
          <w:p w14:paraId="4B760DF5" w14:textId="77777777" w:rsidR="0099058F" w:rsidRDefault="0099058F">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B760D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F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DF8"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DF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F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DF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DF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DFE"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DF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E0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E0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E0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E0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E04"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0E0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E06" w14:textId="77777777" w:rsidR="0099058F" w:rsidRDefault="0099058F">
            <w:pPr>
              <w:widowControl/>
              <w:jc w:val="left"/>
              <w:rPr>
                <w:rFonts w:ascii="Times New Roman" w:eastAsia="宋体" w:hAnsi="宋体" w:cs="宋体"/>
                <w:kern w:val="0"/>
                <w:sz w:val="24"/>
              </w:rPr>
            </w:pPr>
          </w:p>
        </w:tc>
      </w:tr>
      <w:tr w:rsidR="0099058F" w14:paraId="4B760E0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08"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0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E0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0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E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0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r w:rsidR="0099058F" w14:paraId="4B760E1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0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E1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E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E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0E1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E1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$55,893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1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1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1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1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1E" w14:textId="77777777" w:rsidR="0099058F" w:rsidRDefault="0099058F">
            <w:pPr>
              <w:widowControl/>
              <w:jc w:val="left"/>
              <w:rPr>
                <w:rFonts w:ascii="Times New Roman" w:eastAsia="宋体" w:hAnsi="宋体" w:cs="宋体"/>
                <w:kern w:val="0"/>
                <w:sz w:val="24"/>
              </w:rPr>
            </w:pPr>
          </w:p>
        </w:tc>
      </w:tr>
      <w:tr w:rsidR="0099058F" w14:paraId="4B760E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2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2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2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28" w14:textId="77777777" w:rsidR="0099058F" w:rsidRDefault="0099058F">
            <w:pPr>
              <w:widowControl/>
              <w:jc w:val="left"/>
              <w:rPr>
                <w:rFonts w:ascii="Times New Roman" w:eastAsia="宋体" w:hAnsi="宋体" w:cs="宋体"/>
                <w:kern w:val="0"/>
                <w:sz w:val="24"/>
              </w:rPr>
            </w:pPr>
          </w:p>
        </w:tc>
      </w:tr>
      <w:tr w:rsidR="0099058F" w14:paraId="4B760E3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E2A"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2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2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3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32" w14:textId="77777777" w:rsidR="0099058F" w:rsidRDefault="0099058F">
            <w:pPr>
              <w:widowControl/>
              <w:jc w:val="left"/>
              <w:rPr>
                <w:rFonts w:ascii="Times New Roman" w:eastAsia="宋体" w:hAnsi="宋体" w:cs="宋体"/>
                <w:kern w:val="0"/>
                <w:sz w:val="24"/>
              </w:rPr>
            </w:pPr>
          </w:p>
        </w:tc>
      </w:tr>
      <w:tr w:rsidR="0099058F" w14:paraId="4B760E3A"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39" w14:textId="77777777" w:rsidR="0099058F" w:rsidRDefault="0099058F">
            <w:pPr>
              <w:widowControl/>
              <w:jc w:val="left"/>
              <w:rPr>
                <w:rFonts w:ascii="Times New Roman" w:eastAsia="宋体" w:hAnsi="宋体" w:cs="宋体"/>
                <w:kern w:val="0"/>
                <w:sz w:val="24"/>
              </w:rPr>
            </w:pPr>
          </w:p>
        </w:tc>
      </w:tr>
      <w:tr w:rsidR="0099058F" w14:paraId="4B760E4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E3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Cost of </w:t>
            </w:r>
            <w:r>
              <w:rPr>
                <w:rFonts w:ascii="Arial" w:eastAsia="宋体" w:hAnsi="Arial" w:cs="Arial"/>
                <w:color w:val="000000"/>
                <w:kern w:val="0"/>
                <w:sz w:val="20"/>
                <w:szCs w:val="20"/>
                <w:lang w:bidi="ar"/>
              </w:rPr>
              <w:t>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(53,969)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3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(49,954)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4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(54,568)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43" w14:textId="77777777" w:rsidR="0099058F" w:rsidRDefault="0099058F">
            <w:pPr>
              <w:widowControl/>
              <w:jc w:val="left"/>
              <w:rPr>
                <w:rFonts w:ascii="Times New Roman" w:eastAsia="宋体" w:hAnsi="宋体" w:cs="宋体"/>
                <w:kern w:val="0"/>
                <w:sz w:val="24"/>
              </w:rPr>
            </w:pPr>
          </w:p>
        </w:tc>
      </w:tr>
      <w:tr w:rsidR="0099058F" w14:paraId="4B760E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4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4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4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4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4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4D" w14:textId="77777777" w:rsidR="0099058F" w:rsidRDefault="0099058F">
            <w:pPr>
              <w:widowControl/>
              <w:jc w:val="left"/>
              <w:rPr>
                <w:rFonts w:ascii="Times New Roman" w:eastAsia="宋体" w:hAnsi="宋体" w:cs="宋体"/>
                <w:kern w:val="0"/>
                <w:sz w:val="24"/>
              </w:rPr>
            </w:pPr>
          </w:p>
        </w:tc>
      </w:tr>
      <w:tr w:rsidR="0099058F" w14:paraId="4B760E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E4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5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57" w14:textId="77777777" w:rsidR="0099058F" w:rsidRDefault="0099058F">
            <w:pPr>
              <w:widowControl/>
              <w:jc w:val="left"/>
              <w:rPr>
                <w:rFonts w:ascii="Times New Roman" w:eastAsia="宋体" w:hAnsi="宋体" w:cs="宋体"/>
                <w:kern w:val="0"/>
                <w:sz w:val="24"/>
              </w:rPr>
            </w:pPr>
          </w:p>
        </w:tc>
      </w:tr>
      <w:tr w:rsidR="0099058F" w14:paraId="4B760E6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E5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(63,106)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5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E5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(59,269)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5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E5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(63,843)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61" w14:textId="77777777" w:rsidR="0099058F" w:rsidRDefault="0099058F">
            <w:pPr>
              <w:widowControl/>
              <w:jc w:val="left"/>
              <w:rPr>
                <w:rFonts w:ascii="Times New Roman" w:eastAsia="宋体" w:hAnsi="宋体" w:cs="宋体"/>
                <w:kern w:val="0"/>
                <w:sz w:val="24"/>
              </w:rPr>
            </w:pPr>
          </w:p>
        </w:tc>
      </w:tr>
      <w:tr w:rsidR="0099058F" w14:paraId="4B760E6C"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6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6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6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6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6B" w14:textId="77777777" w:rsidR="0099058F" w:rsidRDefault="0099058F">
            <w:pPr>
              <w:widowControl/>
              <w:jc w:val="left"/>
              <w:rPr>
                <w:rFonts w:ascii="Times New Roman" w:eastAsia="宋体" w:hAnsi="宋体" w:cs="宋体"/>
                <w:kern w:val="0"/>
                <w:sz w:val="24"/>
              </w:rPr>
            </w:pPr>
          </w:p>
        </w:tc>
      </w:tr>
      <w:tr w:rsidR="0099058F" w14:paraId="4B760E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6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(Loss)/income from </w:t>
            </w:r>
            <w:r>
              <w:rPr>
                <w:rFonts w:ascii="Arial" w:eastAsia="宋体" w:hAnsi="Arial" w:cs="Arial"/>
                <w:color w:val="000000"/>
                <w:kern w:val="0"/>
                <w:sz w:val="20"/>
                <w:szCs w:val="20"/>
                <w:lang w:bidi="ar"/>
              </w:rPr>
              <w:t>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7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7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75" w14:textId="77777777" w:rsidR="0099058F" w:rsidRDefault="0099058F">
            <w:pPr>
              <w:widowControl/>
              <w:jc w:val="left"/>
              <w:rPr>
                <w:rFonts w:ascii="Times New Roman" w:eastAsia="宋体" w:hAnsi="宋体" w:cs="宋体"/>
                <w:kern w:val="0"/>
                <w:sz w:val="24"/>
              </w:rPr>
            </w:pPr>
          </w:p>
        </w:tc>
      </w:tr>
      <w:tr w:rsidR="0099058F" w14:paraId="4B760E8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E7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7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7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7F" w14:textId="77777777" w:rsidR="0099058F" w:rsidRDefault="0099058F">
            <w:pPr>
              <w:widowControl/>
              <w:jc w:val="left"/>
              <w:rPr>
                <w:rFonts w:ascii="Times New Roman" w:eastAsia="宋体" w:hAnsi="宋体" w:cs="宋体"/>
                <w:kern w:val="0"/>
                <w:sz w:val="24"/>
              </w:rPr>
            </w:pPr>
          </w:p>
        </w:tc>
      </w:tr>
      <w:tr w:rsidR="0099058F" w14:paraId="4B760E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8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8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8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8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89" w14:textId="77777777" w:rsidR="0099058F" w:rsidRDefault="0099058F">
            <w:pPr>
              <w:widowControl/>
              <w:jc w:val="left"/>
              <w:rPr>
                <w:rFonts w:ascii="Times New Roman" w:eastAsia="宋体" w:hAnsi="宋体" w:cs="宋体"/>
                <w:kern w:val="0"/>
                <w:sz w:val="24"/>
              </w:rPr>
            </w:pPr>
          </w:p>
        </w:tc>
      </w:tr>
      <w:tr w:rsidR="0099058F" w14:paraId="4B760E9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E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8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8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9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9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93" w14:textId="77777777" w:rsidR="0099058F" w:rsidRDefault="0099058F">
            <w:pPr>
              <w:widowControl/>
              <w:jc w:val="left"/>
              <w:rPr>
                <w:rFonts w:ascii="Times New Roman" w:eastAsia="宋体" w:hAnsi="宋体" w:cs="宋体"/>
                <w:kern w:val="0"/>
                <w:sz w:val="24"/>
              </w:rPr>
            </w:pPr>
          </w:p>
        </w:tc>
      </w:tr>
      <w:tr w:rsidR="0099058F" w14:paraId="4B760E9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0E95"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9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E9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9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E9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E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E9D" w14:textId="77777777" w:rsidR="0099058F" w:rsidRDefault="0099058F">
            <w:pPr>
              <w:widowControl/>
              <w:jc w:val="left"/>
              <w:rPr>
                <w:rFonts w:ascii="Times New Roman" w:eastAsia="宋体" w:hAnsi="宋体" w:cs="宋体"/>
                <w:kern w:val="0"/>
                <w:sz w:val="24"/>
              </w:rPr>
            </w:pPr>
          </w:p>
        </w:tc>
      </w:tr>
      <w:tr w:rsidR="0099058F" w14:paraId="4B760EA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E9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A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EA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E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EA7" w14:textId="77777777" w:rsidR="0099058F" w:rsidRDefault="0099058F">
            <w:pPr>
              <w:widowControl/>
              <w:jc w:val="left"/>
              <w:rPr>
                <w:rFonts w:ascii="Times New Roman" w:eastAsia="宋体" w:hAnsi="宋体" w:cs="宋体"/>
                <w:kern w:val="0"/>
                <w:sz w:val="24"/>
              </w:rPr>
            </w:pPr>
          </w:p>
        </w:tc>
      </w:tr>
      <w:tr w:rsidR="0099058F" w14:paraId="4B760E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A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A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A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A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B1" w14:textId="77777777" w:rsidR="0099058F" w:rsidRDefault="0099058F">
            <w:pPr>
              <w:widowControl/>
              <w:jc w:val="left"/>
              <w:rPr>
                <w:rFonts w:ascii="Times New Roman" w:eastAsia="宋体" w:hAnsi="宋体" w:cs="宋体"/>
                <w:kern w:val="0"/>
                <w:sz w:val="24"/>
              </w:rPr>
            </w:pPr>
          </w:p>
        </w:tc>
      </w:tr>
      <w:tr w:rsidR="0099058F" w14:paraId="4B760EB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0EB3"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B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B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B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BB" w14:textId="77777777" w:rsidR="0099058F" w:rsidRDefault="0099058F">
            <w:pPr>
              <w:widowControl/>
              <w:jc w:val="left"/>
              <w:rPr>
                <w:rFonts w:ascii="Times New Roman" w:eastAsia="宋体" w:hAnsi="宋体" w:cs="宋体"/>
                <w:kern w:val="0"/>
                <w:sz w:val="24"/>
              </w:rPr>
            </w:pPr>
          </w:p>
        </w:tc>
      </w:tr>
      <w:tr w:rsidR="0099058F" w14:paraId="4B760E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0EB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C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C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C5" w14:textId="77777777" w:rsidR="0099058F" w:rsidRDefault="0099058F">
            <w:pPr>
              <w:widowControl/>
              <w:jc w:val="left"/>
              <w:rPr>
                <w:rFonts w:ascii="Times New Roman" w:eastAsia="宋体" w:hAnsi="宋体" w:cs="宋体"/>
                <w:kern w:val="0"/>
                <w:sz w:val="24"/>
              </w:rPr>
            </w:pPr>
          </w:p>
        </w:tc>
      </w:tr>
      <w:tr w:rsidR="0099058F" w14:paraId="4B760ECD" w14:textId="77777777">
        <w:trPr>
          <w:hidden/>
        </w:trPr>
        <w:tc>
          <w:tcPr>
            <w:tcW w:w="0" w:type="auto"/>
            <w:gridSpan w:val="3"/>
            <w:tcBorders>
              <w:top w:val="nil"/>
              <w:left w:val="nil"/>
              <w:bottom w:val="nil"/>
              <w:right w:val="nil"/>
            </w:tcBorders>
            <w:shd w:val="clear" w:color="auto" w:fill="auto"/>
            <w:vAlign w:val="bottom"/>
          </w:tcPr>
          <w:p w14:paraId="4B760EC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C" w14:textId="77777777" w:rsidR="0099058F" w:rsidRDefault="0099058F">
            <w:pPr>
              <w:widowControl/>
              <w:jc w:val="left"/>
              <w:rPr>
                <w:rFonts w:ascii="Times New Roman" w:eastAsia="宋体" w:hAnsi="宋体" w:cs="宋体"/>
                <w:vanish/>
                <w:kern w:val="0"/>
                <w:sz w:val="24"/>
              </w:rPr>
            </w:pPr>
          </w:p>
        </w:tc>
      </w:tr>
      <w:tr w:rsidR="0099058F" w14:paraId="4B760ED4" w14:textId="77777777">
        <w:trPr>
          <w:hidden/>
        </w:trPr>
        <w:tc>
          <w:tcPr>
            <w:tcW w:w="0" w:type="auto"/>
            <w:gridSpan w:val="3"/>
            <w:tcBorders>
              <w:top w:val="nil"/>
              <w:left w:val="nil"/>
              <w:bottom w:val="nil"/>
              <w:right w:val="nil"/>
            </w:tcBorders>
            <w:shd w:val="clear" w:color="auto" w:fill="auto"/>
            <w:vAlign w:val="bottom"/>
          </w:tcPr>
          <w:p w14:paraId="4B760EC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C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D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D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D3" w14:textId="77777777" w:rsidR="0099058F" w:rsidRDefault="0099058F">
            <w:pPr>
              <w:widowControl/>
              <w:jc w:val="left"/>
              <w:rPr>
                <w:rFonts w:ascii="Times New Roman" w:eastAsia="宋体" w:hAnsi="宋体" w:cs="宋体"/>
                <w:vanish/>
                <w:kern w:val="0"/>
                <w:sz w:val="24"/>
              </w:rPr>
            </w:pPr>
          </w:p>
        </w:tc>
      </w:tr>
      <w:tr w:rsidR="0099058F" w14:paraId="4B760ED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ED5"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Net </w:t>
            </w:r>
            <w:r>
              <w:rPr>
                <w:rFonts w:ascii="Arial" w:eastAsia="宋体" w:hAnsi="Arial" w:cs="Arial"/>
                <w:b/>
                <w:bCs/>
                <w:color w:val="000000"/>
                <w:kern w:val="0"/>
                <w:sz w:val="20"/>
                <w:szCs w:val="20"/>
                <w:lang w:bidi="ar"/>
              </w:rPr>
              <w:t>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D7"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D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DA"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D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DD" w14:textId="77777777" w:rsidR="0099058F" w:rsidRDefault="0099058F">
            <w:pPr>
              <w:widowControl/>
              <w:jc w:val="right"/>
              <w:rPr>
                <w:rFonts w:ascii="Times New Roman" w:eastAsia="宋体" w:hAnsi="宋体" w:cs="宋体"/>
                <w:kern w:val="0"/>
                <w:sz w:val="24"/>
              </w:rPr>
            </w:pPr>
          </w:p>
        </w:tc>
      </w:tr>
      <w:tr w:rsidR="0099058F" w14:paraId="4B760E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ED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E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E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E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EE7" w14:textId="77777777" w:rsidR="0099058F" w:rsidRDefault="0099058F">
            <w:pPr>
              <w:widowControl/>
              <w:jc w:val="right"/>
              <w:rPr>
                <w:rFonts w:ascii="Times New Roman" w:eastAsia="宋体" w:hAnsi="宋体" w:cs="宋体"/>
                <w:kern w:val="0"/>
                <w:sz w:val="24"/>
              </w:rPr>
            </w:pPr>
          </w:p>
        </w:tc>
      </w:tr>
      <w:tr w:rsidR="0099058F" w14:paraId="4B760EF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EE9"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E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E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E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EE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E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EF1" w14:textId="77777777" w:rsidR="0099058F" w:rsidRDefault="0099058F">
            <w:pPr>
              <w:widowControl/>
              <w:jc w:val="left"/>
              <w:rPr>
                <w:rFonts w:ascii="Times New Roman" w:eastAsia="宋体" w:hAnsi="宋体" w:cs="宋体"/>
                <w:kern w:val="0"/>
                <w:sz w:val="24"/>
              </w:rPr>
            </w:pPr>
          </w:p>
        </w:tc>
      </w:tr>
      <w:tr w:rsidR="0099058F" w14:paraId="4B760EF9" w14:textId="77777777">
        <w:trPr>
          <w:hidden/>
        </w:trPr>
        <w:tc>
          <w:tcPr>
            <w:tcW w:w="0" w:type="auto"/>
            <w:gridSpan w:val="3"/>
            <w:tcBorders>
              <w:top w:val="nil"/>
              <w:left w:val="nil"/>
              <w:bottom w:val="nil"/>
              <w:right w:val="nil"/>
            </w:tcBorders>
            <w:shd w:val="clear" w:color="auto" w:fill="auto"/>
            <w:vAlign w:val="bottom"/>
          </w:tcPr>
          <w:p w14:paraId="4B760EF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8" w14:textId="77777777" w:rsidR="0099058F" w:rsidRDefault="0099058F">
            <w:pPr>
              <w:widowControl/>
              <w:jc w:val="left"/>
              <w:rPr>
                <w:rFonts w:ascii="Times New Roman" w:eastAsia="宋体" w:hAnsi="宋体" w:cs="宋体"/>
                <w:vanish/>
                <w:kern w:val="0"/>
                <w:sz w:val="24"/>
              </w:rPr>
            </w:pPr>
          </w:p>
        </w:tc>
      </w:tr>
      <w:tr w:rsidR="0099058F" w14:paraId="4B760F00" w14:textId="77777777">
        <w:trPr>
          <w:hidden/>
        </w:trPr>
        <w:tc>
          <w:tcPr>
            <w:tcW w:w="0" w:type="auto"/>
            <w:gridSpan w:val="3"/>
            <w:tcBorders>
              <w:top w:val="nil"/>
              <w:left w:val="nil"/>
              <w:bottom w:val="nil"/>
              <w:right w:val="nil"/>
            </w:tcBorders>
            <w:shd w:val="clear" w:color="auto" w:fill="auto"/>
            <w:vAlign w:val="bottom"/>
          </w:tcPr>
          <w:p w14:paraId="4B760EF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EFF" w14:textId="77777777" w:rsidR="0099058F" w:rsidRDefault="0099058F">
            <w:pPr>
              <w:widowControl/>
              <w:jc w:val="left"/>
              <w:rPr>
                <w:rFonts w:ascii="Times New Roman" w:eastAsia="宋体" w:hAnsi="宋体" w:cs="宋体"/>
                <w:vanish/>
                <w:kern w:val="0"/>
                <w:sz w:val="24"/>
              </w:rPr>
            </w:pPr>
          </w:p>
        </w:tc>
      </w:tr>
      <w:tr w:rsidR="0099058F" w14:paraId="4B760F07"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06" w14:textId="77777777" w:rsidR="0099058F" w:rsidRDefault="0099058F">
            <w:pPr>
              <w:widowControl/>
              <w:jc w:val="left"/>
              <w:rPr>
                <w:rFonts w:ascii="Times New Roman" w:eastAsia="宋体" w:hAnsi="宋体" w:cs="宋体"/>
                <w:kern w:val="0"/>
                <w:sz w:val="24"/>
              </w:rPr>
            </w:pPr>
          </w:p>
        </w:tc>
      </w:tr>
      <w:tr w:rsidR="0099058F" w14:paraId="4B760F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0F08"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0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0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0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0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10" w14:textId="77777777" w:rsidR="0099058F" w:rsidRDefault="0099058F">
            <w:pPr>
              <w:widowControl/>
              <w:jc w:val="left"/>
              <w:rPr>
                <w:rFonts w:ascii="Times New Roman" w:eastAsia="宋体" w:hAnsi="宋体" w:cs="宋体"/>
                <w:kern w:val="0"/>
                <w:sz w:val="24"/>
              </w:rPr>
            </w:pPr>
          </w:p>
        </w:tc>
      </w:tr>
      <w:tr w:rsidR="0099058F" w14:paraId="4B760F18" w14:textId="77777777">
        <w:trPr>
          <w:hidden/>
        </w:trPr>
        <w:tc>
          <w:tcPr>
            <w:tcW w:w="0" w:type="auto"/>
            <w:gridSpan w:val="3"/>
            <w:tcBorders>
              <w:top w:val="nil"/>
              <w:left w:val="nil"/>
              <w:bottom w:val="nil"/>
              <w:right w:val="nil"/>
            </w:tcBorders>
            <w:shd w:val="clear" w:color="auto" w:fill="auto"/>
            <w:vAlign w:val="bottom"/>
          </w:tcPr>
          <w:p w14:paraId="4B760F1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7" w14:textId="77777777" w:rsidR="0099058F" w:rsidRDefault="0099058F">
            <w:pPr>
              <w:widowControl/>
              <w:jc w:val="left"/>
              <w:rPr>
                <w:rFonts w:ascii="Times New Roman" w:eastAsia="宋体" w:hAnsi="宋体" w:cs="宋体"/>
                <w:vanish/>
                <w:kern w:val="0"/>
                <w:sz w:val="24"/>
              </w:rPr>
            </w:pPr>
          </w:p>
        </w:tc>
      </w:tr>
      <w:tr w:rsidR="0099058F" w14:paraId="4B760F1F" w14:textId="77777777">
        <w:trPr>
          <w:hidden/>
        </w:trPr>
        <w:tc>
          <w:tcPr>
            <w:tcW w:w="0" w:type="auto"/>
            <w:gridSpan w:val="3"/>
            <w:tcBorders>
              <w:top w:val="nil"/>
              <w:left w:val="nil"/>
              <w:bottom w:val="nil"/>
              <w:right w:val="nil"/>
            </w:tcBorders>
            <w:shd w:val="clear" w:color="auto" w:fill="auto"/>
            <w:vAlign w:val="bottom"/>
          </w:tcPr>
          <w:p w14:paraId="4B760F1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1E" w14:textId="77777777" w:rsidR="0099058F" w:rsidRDefault="0099058F">
            <w:pPr>
              <w:widowControl/>
              <w:jc w:val="left"/>
              <w:rPr>
                <w:rFonts w:ascii="Times New Roman" w:eastAsia="宋体" w:hAnsi="宋体" w:cs="宋体"/>
                <w:vanish/>
                <w:kern w:val="0"/>
                <w:sz w:val="24"/>
              </w:rPr>
            </w:pPr>
          </w:p>
        </w:tc>
      </w:tr>
      <w:tr w:rsidR="0099058F" w14:paraId="4B760F26"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0"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0F25" w14:textId="77777777" w:rsidR="0099058F" w:rsidRDefault="0099058F">
            <w:pPr>
              <w:widowControl/>
              <w:jc w:val="left"/>
              <w:rPr>
                <w:rFonts w:ascii="Times New Roman" w:eastAsia="宋体" w:hAnsi="宋体" w:cs="宋体"/>
                <w:kern w:val="0"/>
                <w:sz w:val="24"/>
              </w:rPr>
            </w:pPr>
          </w:p>
        </w:tc>
      </w:tr>
      <w:tr w:rsidR="0099058F" w14:paraId="4B760F3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B760F27"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F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F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F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F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F2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0F2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0F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0F2F" w14:textId="77777777" w:rsidR="0099058F" w:rsidRDefault="0099058F">
            <w:pPr>
              <w:widowControl/>
              <w:jc w:val="left"/>
              <w:rPr>
                <w:rFonts w:ascii="Times New Roman" w:eastAsia="宋体" w:hAnsi="宋体" w:cs="宋体"/>
                <w:kern w:val="0"/>
                <w:sz w:val="24"/>
              </w:rPr>
            </w:pPr>
          </w:p>
        </w:tc>
      </w:tr>
    </w:tbl>
    <w:p w14:paraId="4B760F3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59 - 114.</w:t>
      </w:r>
    </w:p>
    <w:p w14:paraId="4B760F32" w14:textId="77777777" w:rsidR="0099058F" w:rsidRDefault="00EB2559">
      <w:pPr>
        <w:widowControl/>
        <w:spacing w:after="18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B760F3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53</w:t>
      </w:r>
    </w:p>
    <w:p w14:paraId="4B760F34" w14:textId="77777777" w:rsidR="0099058F" w:rsidRDefault="00EB2559">
      <w:pPr>
        <w:widowControl/>
        <w:jc w:val="center"/>
      </w:pPr>
      <w:r>
        <w:rPr>
          <w:rFonts w:ascii="宋体" w:eastAsia="宋体" w:hAnsi="宋体" w:cs="宋体"/>
          <w:kern w:val="0"/>
          <w:sz w:val="24"/>
        </w:rPr>
        <w:pict w14:anchorId="4B763C2C">
          <v:rect id="_x0000_i1079" style="width:6in;height:1.5pt" o:hralign="center" o:hrstd="t" o:hr="t" fillcolor="#a0a0a0" stroked="f"/>
        </w:pict>
      </w:r>
    </w:p>
    <w:p w14:paraId="4B760F3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0F36"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0F37"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Comprehensive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464"/>
        <w:gridCol w:w="39"/>
        <w:gridCol w:w="67"/>
        <w:gridCol w:w="749"/>
        <w:gridCol w:w="36"/>
        <w:gridCol w:w="36"/>
        <w:gridCol w:w="36"/>
        <w:gridCol w:w="36"/>
        <w:gridCol w:w="67"/>
        <w:gridCol w:w="743"/>
        <w:gridCol w:w="36"/>
        <w:gridCol w:w="36"/>
        <w:gridCol w:w="36"/>
        <w:gridCol w:w="36"/>
        <w:gridCol w:w="77"/>
        <w:gridCol w:w="733"/>
        <w:gridCol w:w="36"/>
      </w:tblGrid>
      <w:tr w:rsidR="0099058F" w14:paraId="4B760F4A" w14:textId="77777777">
        <w:trPr>
          <w:jc w:val="center"/>
        </w:trPr>
        <w:tc>
          <w:tcPr>
            <w:tcW w:w="50" w:type="pct"/>
            <w:tcBorders>
              <w:top w:val="nil"/>
              <w:left w:val="nil"/>
              <w:bottom w:val="nil"/>
              <w:right w:val="nil"/>
            </w:tcBorders>
            <w:shd w:val="clear" w:color="auto" w:fill="auto"/>
            <w:vAlign w:val="bottom"/>
          </w:tcPr>
          <w:p w14:paraId="4B760F38" w14:textId="77777777" w:rsidR="0099058F" w:rsidRDefault="0099058F">
            <w:pPr>
              <w:widowControl/>
              <w:jc w:val="left"/>
              <w:rPr>
                <w:rFonts w:ascii="Times New Roman" w:eastAsia="宋体" w:hAnsi="宋体" w:cs="宋体"/>
                <w:kern w:val="0"/>
                <w:sz w:val="24"/>
              </w:rPr>
            </w:pPr>
          </w:p>
        </w:tc>
        <w:tc>
          <w:tcPr>
            <w:tcW w:w="3290" w:type="pct"/>
            <w:tcBorders>
              <w:top w:val="nil"/>
              <w:left w:val="nil"/>
              <w:bottom w:val="nil"/>
              <w:right w:val="nil"/>
            </w:tcBorders>
            <w:shd w:val="clear" w:color="auto" w:fill="auto"/>
            <w:vAlign w:val="bottom"/>
          </w:tcPr>
          <w:p w14:paraId="4B760F3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3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F3B" w14:textId="77777777" w:rsidR="0099058F" w:rsidRDefault="0099058F">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B760F3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3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3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F3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4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F41" w14:textId="77777777" w:rsidR="0099058F" w:rsidRDefault="0099058F">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B760F4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4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4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0F4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4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0F47" w14:textId="77777777" w:rsidR="0099058F" w:rsidRDefault="0099058F">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B760F4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0F49" w14:textId="77777777" w:rsidR="0099058F" w:rsidRDefault="0099058F">
            <w:pPr>
              <w:widowControl/>
              <w:jc w:val="left"/>
              <w:rPr>
                <w:rFonts w:ascii="Times New Roman" w:eastAsia="宋体" w:hAnsi="宋体" w:cs="宋体"/>
                <w:kern w:val="0"/>
                <w:sz w:val="24"/>
              </w:rPr>
            </w:pPr>
          </w:p>
        </w:tc>
      </w:tr>
      <w:tr w:rsidR="0099058F" w14:paraId="4B760F5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F4B"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4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4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50" w14:textId="77777777" w:rsidR="0099058F" w:rsidRDefault="0099058F">
            <w:pPr>
              <w:widowControl/>
              <w:jc w:val="left"/>
              <w:rPr>
                <w:rFonts w:ascii="Times New Roman" w:eastAsia="宋体" w:hAnsi="宋体" w:cs="宋体"/>
                <w:kern w:val="0"/>
                <w:sz w:val="24"/>
              </w:rPr>
            </w:pPr>
          </w:p>
        </w:tc>
      </w:tr>
      <w:tr w:rsidR="0099058F" w14:paraId="4B760F5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0F5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Years ended December 31,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F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F5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F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F5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0F5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0F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0F5A" w14:textId="77777777" w:rsidR="0099058F" w:rsidRDefault="0099058F">
            <w:pPr>
              <w:widowControl/>
              <w:jc w:val="right"/>
              <w:rPr>
                <w:rFonts w:ascii="Times New Roman" w:eastAsia="宋体" w:hAnsi="宋体" w:cs="宋体"/>
                <w:kern w:val="0"/>
                <w:sz w:val="24"/>
              </w:rPr>
            </w:pPr>
          </w:p>
        </w:tc>
      </w:tr>
      <w:tr w:rsidR="0099058F" w14:paraId="4B760F6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F5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($5,053)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5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5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6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6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64" w14:textId="77777777" w:rsidR="0099058F" w:rsidRDefault="0099058F">
            <w:pPr>
              <w:widowControl/>
              <w:jc w:val="left"/>
              <w:rPr>
                <w:rFonts w:ascii="Times New Roman" w:eastAsia="宋体" w:hAnsi="宋体" w:cs="宋体"/>
                <w:kern w:val="0"/>
                <w:sz w:val="24"/>
              </w:rPr>
            </w:pPr>
          </w:p>
        </w:tc>
      </w:tr>
      <w:tr w:rsidR="0099058F" w14:paraId="4B760F6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0F6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comprehensive 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6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6B" w14:textId="77777777" w:rsidR="0099058F" w:rsidRDefault="0099058F">
            <w:pPr>
              <w:widowControl/>
              <w:jc w:val="left"/>
              <w:rPr>
                <w:rFonts w:ascii="Times New Roman" w:eastAsia="宋体" w:hAnsi="宋体" w:cs="宋体"/>
                <w:kern w:val="0"/>
                <w:sz w:val="24"/>
              </w:rPr>
            </w:pPr>
          </w:p>
        </w:tc>
      </w:tr>
      <w:tr w:rsidR="0099058F" w14:paraId="4B760F7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0F6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7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7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75" w14:textId="77777777" w:rsidR="0099058F" w:rsidRDefault="0099058F">
            <w:pPr>
              <w:widowControl/>
              <w:jc w:val="left"/>
              <w:rPr>
                <w:rFonts w:ascii="Times New Roman" w:eastAsia="宋体" w:hAnsi="宋体" w:cs="宋体"/>
                <w:kern w:val="0"/>
                <w:sz w:val="24"/>
              </w:rPr>
            </w:pPr>
          </w:p>
        </w:tc>
      </w:tr>
      <w:tr w:rsidR="0099058F" w14:paraId="4B760F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F77"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Unrealized loss on certain investments, net of tax of $0, $0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7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7D" w14:textId="77777777" w:rsidR="0099058F" w:rsidRDefault="0099058F">
            <w:pPr>
              <w:widowControl/>
              <w:jc w:val="left"/>
              <w:rPr>
                <w:rFonts w:ascii="Times New Roman" w:eastAsia="宋体" w:hAnsi="宋体" w:cs="宋体"/>
                <w:kern w:val="0"/>
                <w:sz w:val="24"/>
              </w:rPr>
            </w:pPr>
          </w:p>
        </w:tc>
      </w:tr>
      <w:tr w:rsidR="0099058F" w14:paraId="4B760F8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0F7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Derivative </w:t>
            </w:r>
            <w:r>
              <w:rPr>
                <w:rFonts w:ascii="Arial" w:eastAsia="宋体" w:hAnsi="Arial" w:cs="Arial"/>
                <w:color w:val="000000"/>
                <w:kern w:val="0"/>
                <w:sz w:val="18"/>
                <w:szCs w:val="18"/>
                <w:lang w:bidi="ar"/>
              </w:rPr>
              <w:t>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8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84" w14:textId="77777777" w:rsidR="0099058F" w:rsidRDefault="0099058F">
            <w:pPr>
              <w:widowControl/>
              <w:jc w:val="left"/>
              <w:rPr>
                <w:rFonts w:ascii="Times New Roman" w:eastAsia="宋体" w:hAnsi="宋体" w:cs="宋体"/>
                <w:kern w:val="0"/>
                <w:sz w:val="24"/>
              </w:rPr>
            </w:pPr>
          </w:p>
        </w:tc>
      </w:tr>
      <w:tr w:rsidR="0099058F" w14:paraId="4B760F8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F86"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Unrealized (loss)/gain arising during period, net of tax of $12, ($16) and ($4)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8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8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8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8E" w14:textId="77777777" w:rsidR="0099058F" w:rsidRDefault="0099058F">
            <w:pPr>
              <w:widowControl/>
              <w:jc w:val="left"/>
              <w:rPr>
                <w:rFonts w:ascii="Times New Roman" w:eastAsia="宋体" w:hAnsi="宋体" w:cs="宋体"/>
                <w:kern w:val="0"/>
                <w:sz w:val="24"/>
              </w:rPr>
            </w:pPr>
          </w:p>
        </w:tc>
      </w:tr>
      <w:tr w:rsidR="0099058F" w14:paraId="4B760F9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F90"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Reclassification adjustment for loss/(gain) included in net earnings, net of tax of ($3), $2 and ($7)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9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9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9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98" w14:textId="77777777" w:rsidR="0099058F" w:rsidRDefault="0099058F">
            <w:pPr>
              <w:widowControl/>
              <w:jc w:val="left"/>
              <w:rPr>
                <w:rFonts w:ascii="Times New Roman" w:eastAsia="宋体" w:hAnsi="宋体" w:cs="宋体"/>
                <w:kern w:val="0"/>
                <w:sz w:val="24"/>
              </w:rPr>
            </w:pPr>
          </w:p>
        </w:tc>
      </w:tr>
      <w:tr w:rsidR="0099058F" w14:paraId="4B760FA3" w14:textId="77777777">
        <w:trPr>
          <w:jc w:val="center"/>
        </w:trPr>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B760F9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w:t>
            </w:r>
            <w:r>
              <w:rPr>
                <w:rFonts w:ascii="Arial" w:eastAsia="宋体" w:hAnsi="Arial" w:cs="Arial"/>
                <w:color w:val="000000"/>
                <w:kern w:val="0"/>
                <w:sz w:val="18"/>
                <w:szCs w:val="18"/>
                <w:lang w:bidi="ar"/>
              </w:rPr>
              <w:t>unrealized (loss)/gain on derivative instruments,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0F9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F9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0F9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FA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0FA2" w14:textId="77777777" w:rsidR="0099058F" w:rsidRDefault="0099058F">
            <w:pPr>
              <w:widowControl/>
              <w:jc w:val="left"/>
              <w:rPr>
                <w:rFonts w:ascii="Times New Roman" w:eastAsia="宋体" w:hAnsi="宋体" w:cs="宋体"/>
                <w:kern w:val="0"/>
                <w:sz w:val="24"/>
              </w:rPr>
            </w:pPr>
          </w:p>
        </w:tc>
      </w:tr>
      <w:tr w:rsidR="0099058F" w14:paraId="4B760FAA" w14:textId="77777777">
        <w:trPr>
          <w:jc w:val="center"/>
        </w:trPr>
        <w:tc>
          <w:tcPr>
            <w:tcW w:w="0" w:type="auto"/>
            <w:gridSpan w:val="3"/>
            <w:tcBorders>
              <w:top w:val="single" w:sz="8" w:space="0" w:color="000000"/>
              <w:left w:val="nil"/>
              <w:bottom w:val="nil"/>
              <w:right w:val="nil"/>
            </w:tcBorders>
            <w:shd w:val="clear" w:color="auto" w:fill="CCEEFF"/>
            <w:tcMar>
              <w:top w:w="40" w:type="dxa"/>
              <w:left w:w="560" w:type="dxa"/>
              <w:bottom w:w="40" w:type="dxa"/>
              <w:right w:w="20" w:type="dxa"/>
            </w:tcMar>
            <w:vAlign w:val="bottom"/>
          </w:tcPr>
          <w:p w14:paraId="4B760FA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Defined benefit pension plans &amp; other postretirement benefits: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A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A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A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A9" w14:textId="77777777" w:rsidR="0099058F" w:rsidRDefault="0099058F">
            <w:pPr>
              <w:widowControl/>
              <w:jc w:val="left"/>
              <w:rPr>
                <w:rFonts w:ascii="Times New Roman" w:eastAsia="宋体" w:hAnsi="宋体" w:cs="宋体"/>
                <w:kern w:val="0"/>
                <w:sz w:val="24"/>
              </w:rPr>
            </w:pPr>
          </w:p>
        </w:tc>
      </w:tr>
      <w:tr w:rsidR="0099058F" w14:paraId="4B760FB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FA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Net actuarial gain/(loss) arising </w:t>
            </w:r>
            <w:r>
              <w:rPr>
                <w:rFonts w:ascii="Arial" w:eastAsia="宋体" w:hAnsi="Arial" w:cs="Arial"/>
                <w:color w:val="000000"/>
                <w:kern w:val="0"/>
                <w:sz w:val="18"/>
                <w:szCs w:val="18"/>
                <w:lang w:bidi="ar"/>
              </w:rPr>
              <w:t>during the period, net of tax of ($22), ($32) and $111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1,533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A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A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B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B3" w14:textId="77777777" w:rsidR="0099058F" w:rsidRDefault="0099058F">
            <w:pPr>
              <w:widowControl/>
              <w:jc w:val="left"/>
              <w:rPr>
                <w:rFonts w:ascii="Times New Roman" w:eastAsia="宋体" w:hAnsi="宋体" w:cs="宋体"/>
                <w:kern w:val="0"/>
                <w:sz w:val="24"/>
              </w:rPr>
            </w:pPr>
          </w:p>
        </w:tc>
      </w:tr>
      <w:tr w:rsidR="0099058F" w14:paraId="4B760FB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FB5"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actuarial loss included in net periodic pension cost, net of tax of ($11), ($8) and ($52)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791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B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B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B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B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BD" w14:textId="77777777" w:rsidR="0099058F" w:rsidRDefault="0099058F">
            <w:pPr>
              <w:widowControl/>
              <w:jc w:val="left"/>
              <w:rPr>
                <w:rFonts w:ascii="Times New Roman" w:eastAsia="宋体" w:hAnsi="宋体" w:cs="宋体"/>
                <w:kern w:val="0"/>
                <w:sz w:val="24"/>
              </w:rPr>
            </w:pPr>
          </w:p>
        </w:tc>
      </w:tr>
      <w:tr w:rsidR="0099058F" w14:paraId="4B760FC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FBF"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Settlements included in net </w:t>
            </w:r>
            <w:r>
              <w:rPr>
                <w:rFonts w:ascii="Arial" w:eastAsia="宋体" w:hAnsi="Arial" w:cs="Arial"/>
                <w:color w:val="000000"/>
                <w:kern w:val="0"/>
                <w:sz w:val="18"/>
                <w:szCs w:val="18"/>
                <w:lang w:bidi="ar"/>
              </w:rPr>
              <w:t>(loss)/income, net of tax of $0, ($2)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C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C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C7" w14:textId="77777777" w:rsidR="0099058F" w:rsidRDefault="0099058F">
            <w:pPr>
              <w:widowControl/>
              <w:jc w:val="left"/>
              <w:rPr>
                <w:rFonts w:ascii="Times New Roman" w:eastAsia="宋体" w:hAnsi="宋体" w:cs="宋体"/>
                <w:kern w:val="0"/>
                <w:sz w:val="24"/>
              </w:rPr>
            </w:pPr>
          </w:p>
        </w:tc>
      </w:tr>
      <w:tr w:rsidR="0099058F" w14:paraId="4B760FD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FC9"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prior service credits included in net periodic pension cost, net of tax of $2, $1 and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C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C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C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C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D1" w14:textId="77777777" w:rsidR="0099058F" w:rsidRDefault="0099058F">
            <w:pPr>
              <w:widowControl/>
              <w:jc w:val="left"/>
              <w:rPr>
                <w:rFonts w:ascii="Times New Roman" w:eastAsia="宋体" w:hAnsi="宋体" w:cs="宋体"/>
                <w:kern w:val="0"/>
                <w:sz w:val="24"/>
              </w:rPr>
            </w:pPr>
          </w:p>
        </w:tc>
      </w:tr>
      <w:tr w:rsidR="0099058F" w14:paraId="4B760FD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0FD3"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Prior service (credit)/cost arising during the period, net of </w:t>
            </w:r>
            <w:r>
              <w:rPr>
                <w:rFonts w:ascii="Arial" w:eastAsia="宋体" w:hAnsi="Arial" w:cs="Arial"/>
                <w:color w:val="000000"/>
                <w:kern w:val="0"/>
                <w:sz w:val="18"/>
                <w:szCs w:val="18"/>
                <w:lang w:bidi="ar"/>
              </w:rPr>
              <w:t>tax of $0, $0 and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D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D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0F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0F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0FDA" w14:textId="77777777" w:rsidR="0099058F" w:rsidRDefault="0099058F">
            <w:pPr>
              <w:widowControl/>
              <w:jc w:val="left"/>
              <w:rPr>
                <w:rFonts w:ascii="Times New Roman" w:eastAsia="宋体" w:hAnsi="宋体" w:cs="宋体"/>
                <w:kern w:val="0"/>
                <w:sz w:val="24"/>
              </w:rPr>
            </w:pPr>
          </w:p>
        </w:tc>
      </w:tr>
      <w:tr w:rsidR="0099058F" w14:paraId="4B760FE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0FDC"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postretirement (cost)/benefit related to our equity method investments, net of tax of $0, ($2) and $0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0F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0F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E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0FE3" w14:textId="77777777" w:rsidR="0099058F" w:rsidRDefault="0099058F">
            <w:pPr>
              <w:widowControl/>
              <w:jc w:val="left"/>
              <w:rPr>
                <w:rFonts w:ascii="Times New Roman" w:eastAsia="宋体" w:hAnsi="宋体" w:cs="宋体"/>
                <w:kern w:val="0"/>
                <w:sz w:val="24"/>
              </w:rPr>
            </w:pPr>
          </w:p>
        </w:tc>
      </w:tr>
      <w:tr w:rsidR="0099058F" w14:paraId="4B760FEE" w14:textId="77777777">
        <w:trPr>
          <w:jc w:val="center"/>
        </w:trPr>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B760FE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defined benefit pension plans &amp; other postretirement benefits,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2,202</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FE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FE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FE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0FE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0F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0FED" w14:textId="77777777" w:rsidR="0099058F" w:rsidRDefault="0099058F">
            <w:pPr>
              <w:widowControl/>
              <w:jc w:val="left"/>
              <w:rPr>
                <w:rFonts w:ascii="Times New Roman" w:eastAsia="宋体" w:hAnsi="宋体" w:cs="宋体"/>
                <w:kern w:val="0"/>
                <w:sz w:val="24"/>
              </w:rPr>
            </w:pPr>
          </w:p>
        </w:tc>
      </w:tr>
      <w:tr w:rsidR="0099058F" w14:paraId="4B760FF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0FEF"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comprehensive income/(loss),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2,109</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F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F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F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0FF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0F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0FF7" w14:textId="77777777" w:rsidR="0099058F" w:rsidRDefault="0099058F">
            <w:pPr>
              <w:widowControl/>
              <w:jc w:val="left"/>
              <w:rPr>
                <w:rFonts w:ascii="Times New Roman" w:eastAsia="宋体" w:hAnsi="宋体" w:cs="宋体"/>
                <w:kern w:val="0"/>
                <w:sz w:val="24"/>
              </w:rPr>
            </w:pPr>
          </w:p>
        </w:tc>
      </w:tr>
      <w:tr w:rsidR="0099058F" w14:paraId="4B760FFF" w14:textId="77777777">
        <w:trPr>
          <w:jc w:val="center"/>
          <w:hidden/>
        </w:trPr>
        <w:tc>
          <w:tcPr>
            <w:tcW w:w="0" w:type="auto"/>
            <w:gridSpan w:val="3"/>
            <w:tcBorders>
              <w:top w:val="nil"/>
              <w:left w:val="nil"/>
              <w:bottom w:val="nil"/>
              <w:right w:val="nil"/>
            </w:tcBorders>
            <w:shd w:val="clear" w:color="auto" w:fill="auto"/>
            <w:vAlign w:val="bottom"/>
          </w:tcPr>
          <w:p w14:paraId="4B760FF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F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F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F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F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0FFE" w14:textId="77777777" w:rsidR="0099058F" w:rsidRDefault="0099058F">
            <w:pPr>
              <w:widowControl/>
              <w:jc w:val="left"/>
              <w:rPr>
                <w:rFonts w:ascii="Times New Roman" w:eastAsia="宋体" w:hAnsi="宋体" w:cs="宋体"/>
                <w:vanish/>
                <w:kern w:val="0"/>
                <w:sz w:val="24"/>
              </w:rPr>
            </w:pPr>
          </w:p>
        </w:tc>
      </w:tr>
      <w:tr w:rsidR="0099058F" w14:paraId="4B76100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1000"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Comprehensive (loss)/income,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0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00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00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0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00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00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0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(12,921)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008" w14:textId="77777777" w:rsidR="0099058F" w:rsidRDefault="0099058F">
            <w:pPr>
              <w:widowControl/>
              <w:jc w:val="left"/>
              <w:rPr>
                <w:rFonts w:ascii="Times New Roman" w:eastAsia="宋体" w:hAnsi="宋体" w:cs="宋体"/>
                <w:kern w:val="0"/>
                <w:sz w:val="24"/>
              </w:rPr>
            </w:pPr>
          </w:p>
        </w:tc>
      </w:tr>
      <w:tr w:rsidR="0099058F" w14:paraId="4B76101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00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Comprehensive loss related to noncontrolling interest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0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0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1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12" w14:textId="77777777" w:rsidR="0099058F" w:rsidRDefault="0099058F">
            <w:pPr>
              <w:widowControl/>
              <w:jc w:val="left"/>
              <w:rPr>
                <w:rFonts w:ascii="Times New Roman" w:eastAsia="宋体" w:hAnsi="宋体" w:cs="宋体"/>
                <w:kern w:val="0"/>
                <w:sz w:val="24"/>
              </w:rPr>
            </w:pPr>
          </w:p>
        </w:tc>
      </w:tr>
      <w:tr w:rsidR="0099058F" w14:paraId="4B76101D"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1014"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Comprehensive (loss)/income attributable to Boeing Shareholders, net of tax</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0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($2,826)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01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01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0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01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01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01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($12,853)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01C" w14:textId="77777777" w:rsidR="0099058F" w:rsidRDefault="0099058F">
            <w:pPr>
              <w:widowControl/>
              <w:jc w:val="left"/>
              <w:rPr>
                <w:rFonts w:ascii="Times New Roman" w:eastAsia="宋体" w:hAnsi="宋体" w:cs="宋体"/>
                <w:kern w:val="0"/>
                <w:sz w:val="24"/>
              </w:rPr>
            </w:pPr>
          </w:p>
        </w:tc>
      </w:tr>
    </w:tbl>
    <w:p w14:paraId="4B76101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59 - 114.</w:t>
      </w:r>
    </w:p>
    <w:p w14:paraId="4B76101F"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102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54</w:t>
      </w:r>
    </w:p>
    <w:p w14:paraId="4B761021" w14:textId="77777777" w:rsidR="0099058F" w:rsidRDefault="00EB2559">
      <w:pPr>
        <w:widowControl/>
        <w:jc w:val="center"/>
      </w:pPr>
      <w:r>
        <w:rPr>
          <w:rFonts w:ascii="宋体" w:eastAsia="宋体" w:hAnsi="宋体" w:cs="宋体"/>
          <w:kern w:val="0"/>
          <w:sz w:val="24"/>
        </w:rPr>
        <w:pict w14:anchorId="4B763C2D">
          <v:rect id="_x0000_i1080" style="width:6in;height:1.5pt" o:hralign="center" o:hrstd="t" o:hr="t" fillcolor="#a0a0a0" stroked="f"/>
        </w:pict>
      </w:r>
    </w:p>
    <w:p w14:paraId="4B76102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1023"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1024"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Consolidated Statements of Financial Position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6240"/>
        <w:gridCol w:w="41"/>
        <w:gridCol w:w="82"/>
        <w:gridCol w:w="828"/>
        <w:gridCol w:w="36"/>
        <w:gridCol w:w="36"/>
        <w:gridCol w:w="36"/>
        <w:gridCol w:w="36"/>
        <w:gridCol w:w="82"/>
        <w:gridCol w:w="828"/>
        <w:gridCol w:w="36"/>
      </w:tblGrid>
      <w:tr w:rsidR="0099058F" w14:paraId="4B761031" w14:textId="77777777">
        <w:trPr>
          <w:jc w:val="center"/>
        </w:trPr>
        <w:tc>
          <w:tcPr>
            <w:tcW w:w="50" w:type="pct"/>
            <w:tcBorders>
              <w:top w:val="nil"/>
              <w:left w:val="nil"/>
              <w:bottom w:val="nil"/>
              <w:right w:val="nil"/>
            </w:tcBorders>
            <w:shd w:val="clear" w:color="auto" w:fill="auto"/>
            <w:vAlign w:val="bottom"/>
          </w:tcPr>
          <w:p w14:paraId="4B761025" w14:textId="77777777" w:rsidR="0099058F" w:rsidRDefault="0099058F">
            <w:pPr>
              <w:widowControl/>
              <w:jc w:val="left"/>
              <w:rPr>
                <w:rFonts w:ascii="Times New Roman" w:eastAsia="宋体" w:hAnsi="宋体" w:cs="宋体"/>
                <w:kern w:val="0"/>
                <w:sz w:val="24"/>
              </w:rPr>
            </w:pPr>
          </w:p>
        </w:tc>
        <w:tc>
          <w:tcPr>
            <w:tcW w:w="3774" w:type="pct"/>
            <w:tcBorders>
              <w:top w:val="nil"/>
              <w:left w:val="nil"/>
              <w:bottom w:val="nil"/>
              <w:right w:val="nil"/>
            </w:tcBorders>
            <w:shd w:val="clear" w:color="auto" w:fill="auto"/>
            <w:vAlign w:val="bottom"/>
          </w:tcPr>
          <w:p w14:paraId="4B7610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02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028" w14:textId="77777777" w:rsidR="0099058F" w:rsidRDefault="0099058F">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4B7610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02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02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0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02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02E" w14:textId="77777777" w:rsidR="0099058F" w:rsidRDefault="0099058F">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4B7610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030" w14:textId="77777777" w:rsidR="0099058F" w:rsidRDefault="0099058F">
            <w:pPr>
              <w:widowControl/>
              <w:jc w:val="left"/>
              <w:rPr>
                <w:rFonts w:ascii="Times New Roman" w:eastAsia="宋体" w:hAnsi="宋体" w:cs="宋体"/>
                <w:kern w:val="0"/>
                <w:sz w:val="24"/>
              </w:rPr>
            </w:pPr>
          </w:p>
        </w:tc>
      </w:tr>
      <w:tr w:rsidR="0099058F" w14:paraId="4B76103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2"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0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r w:rsidR="0099058F" w14:paraId="4B7610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0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0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04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03C"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3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3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3F" w14:textId="77777777" w:rsidR="0099058F" w:rsidRDefault="0099058F">
            <w:pPr>
              <w:widowControl/>
              <w:jc w:val="left"/>
              <w:rPr>
                <w:rFonts w:ascii="Times New Roman" w:eastAsia="宋体" w:hAnsi="宋体" w:cs="宋体"/>
                <w:kern w:val="0"/>
                <w:sz w:val="24"/>
              </w:rPr>
            </w:pPr>
          </w:p>
        </w:tc>
      </w:tr>
      <w:tr w:rsidR="0099058F" w14:paraId="4B76104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4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4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46" w14:textId="77777777" w:rsidR="0099058F" w:rsidRDefault="0099058F">
            <w:pPr>
              <w:widowControl/>
              <w:jc w:val="left"/>
              <w:rPr>
                <w:rFonts w:ascii="Times New Roman" w:eastAsia="宋体" w:hAnsi="宋体" w:cs="宋体"/>
                <w:kern w:val="0"/>
                <w:sz w:val="24"/>
              </w:rPr>
            </w:pPr>
          </w:p>
        </w:tc>
      </w:tr>
      <w:tr w:rsidR="0099058F" w14:paraId="4B76104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4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4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4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4D" w14:textId="77777777" w:rsidR="0099058F" w:rsidRDefault="0099058F">
            <w:pPr>
              <w:widowControl/>
              <w:jc w:val="right"/>
              <w:rPr>
                <w:rFonts w:ascii="Times New Roman" w:eastAsia="宋体" w:hAnsi="宋体" w:cs="宋体"/>
                <w:kern w:val="0"/>
                <w:sz w:val="24"/>
              </w:rPr>
            </w:pPr>
          </w:p>
        </w:tc>
      </w:tr>
      <w:tr w:rsidR="0099058F" w14:paraId="4B76105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4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5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54" w14:textId="77777777" w:rsidR="0099058F" w:rsidRDefault="0099058F">
            <w:pPr>
              <w:widowControl/>
              <w:jc w:val="right"/>
              <w:rPr>
                <w:rFonts w:ascii="Times New Roman" w:eastAsia="宋体" w:hAnsi="宋体" w:cs="宋体"/>
                <w:kern w:val="0"/>
                <w:sz w:val="24"/>
              </w:rPr>
            </w:pPr>
          </w:p>
        </w:tc>
      </w:tr>
      <w:tr w:rsidR="0099058F" w14:paraId="4B76105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5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5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5B" w14:textId="77777777" w:rsidR="0099058F" w:rsidRDefault="0099058F">
            <w:pPr>
              <w:widowControl/>
              <w:jc w:val="right"/>
              <w:rPr>
                <w:rFonts w:ascii="Times New Roman" w:eastAsia="宋体" w:hAnsi="宋体" w:cs="宋体"/>
                <w:kern w:val="0"/>
                <w:sz w:val="24"/>
              </w:rPr>
            </w:pPr>
          </w:p>
        </w:tc>
      </w:tr>
      <w:tr w:rsidR="0099058F" w14:paraId="4B76106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5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5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6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62" w14:textId="77777777" w:rsidR="0099058F" w:rsidRDefault="0099058F">
            <w:pPr>
              <w:widowControl/>
              <w:jc w:val="right"/>
              <w:rPr>
                <w:rFonts w:ascii="Times New Roman" w:eastAsia="宋体" w:hAnsi="宋体" w:cs="宋体"/>
                <w:kern w:val="0"/>
                <w:sz w:val="24"/>
              </w:rPr>
            </w:pPr>
          </w:p>
        </w:tc>
      </w:tr>
      <w:tr w:rsidR="0099058F" w14:paraId="4B76106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6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6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6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69" w14:textId="77777777" w:rsidR="0099058F" w:rsidRDefault="0099058F">
            <w:pPr>
              <w:widowControl/>
              <w:jc w:val="right"/>
              <w:rPr>
                <w:rFonts w:ascii="Times New Roman" w:eastAsia="宋体" w:hAnsi="宋体" w:cs="宋体"/>
                <w:kern w:val="0"/>
                <w:sz w:val="24"/>
              </w:rPr>
            </w:pPr>
          </w:p>
        </w:tc>
      </w:tr>
      <w:tr w:rsidR="0099058F" w14:paraId="4B76107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6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6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6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70" w14:textId="77777777" w:rsidR="0099058F" w:rsidRDefault="0099058F">
            <w:pPr>
              <w:widowControl/>
              <w:jc w:val="right"/>
              <w:rPr>
                <w:rFonts w:ascii="Times New Roman" w:eastAsia="宋体" w:hAnsi="宋体" w:cs="宋体"/>
                <w:kern w:val="0"/>
                <w:sz w:val="24"/>
              </w:rPr>
            </w:pPr>
          </w:p>
        </w:tc>
      </w:tr>
      <w:tr w:rsidR="0099058F" w14:paraId="4B761078"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B761072"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109,523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7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7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77" w14:textId="77777777" w:rsidR="0099058F" w:rsidRDefault="0099058F">
            <w:pPr>
              <w:widowControl/>
              <w:jc w:val="right"/>
              <w:rPr>
                <w:rFonts w:ascii="Times New Roman" w:eastAsia="宋体" w:hAnsi="宋体" w:cs="宋体"/>
                <w:kern w:val="0"/>
                <w:sz w:val="24"/>
              </w:rPr>
            </w:pPr>
          </w:p>
        </w:tc>
      </w:tr>
      <w:tr w:rsidR="0099058F" w14:paraId="4B76107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7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7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7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7E" w14:textId="77777777" w:rsidR="0099058F" w:rsidRDefault="0099058F">
            <w:pPr>
              <w:widowControl/>
              <w:jc w:val="right"/>
              <w:rPr>
                <w:rFonts w:ascii="Times New Roman" w:eastAsia="宋体" w:hAnsi="宋体" w:cs="宋体"/>
                <w:kern w:val="0"/>
                <w:sz w:val="24"/>
              </w:rPr>
            </w:pPr>
          </w:p>
        </w:tc>
      </w:tr>
      <w:tr w:rsidR="0099058F" w14:paraId="4B76108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8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Property, plant and equipment,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8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85" w14:textId="77777777" w:rsidR="0099058F" w:rsidRDefault="0099058F">
            <w:pPr>
              <w:widowControl/>
              <w:jc w:val="right"/>
              <w:rPr>
                <w:rFonts w:ascii="Times New Roman" w:eastAsia="宋体" w:hAnsi="宋体" w:cs="宋体"/>
                <w:kern w:val="0"/>
                <w:sz w:val="24"/>
              </w:rPr>
            </w:pPr>
          </w:p>
        </w:tc>
      </w:tr>
      <w:tr w:rsidR="0099058F" w14:paraId="4B76108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8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8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8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8C" w14:textId="77777777" w:rsidR="0099058F" w:rsidRDefault="0099058F">
            <w:pPr>
              <w:widowControl/>
              <w:jc w:val="right"/>
              <w:rPr>
                <w:rFonts w:ascii="Times New Roman" w:eastAsia="宋体" w:hAnsi="宋体" w:cs="宋体"/>
                <w:kern w:val="0"/>
                <w:sz w:val="24"/>
              </w:rPr>
            </w:pPr>
          </w:p>
        </w:tc>
      </w:tr>
      <w:tr w:rsidR="0099058F" w14:paraId="4B76109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8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9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9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93" w14:textId="77777777" w:rsidR="0099058F" w:rsidRDefault="0099058F">
            <w:pPr>
              <w:widowControl/>
              <w:jc w:val="right"/>
              <w:rPr>
                <w:rFonts w:ascii="Times New Roman" w:eastAsia="宋体" w:hAnsi="宋体" w:cs="宋体"/>
                <w:kern w:val="0"/>
                <w:sz w:val="24"/>
              </w:rPr>
            </w:pPr>
          </w:p>
        </w:tc>
      </w:tr>
      <w:tr w:rsidR="0099058F" w14:paraId="4B76109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9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9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9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9A" w14:textId="77777777" w:rsidR="0099058F" w:rsidRDefault="0099058F">
            <w:pPr>
              <w:widowControl/>
              <w:jc w:val="right"/>
              <w:rPr>
                <w:rFonts w:ascii="Times New Roman" w:eastAsia="宋体" w:hAnsi="宋体" w:cs="宋体"/>
                <w:kern w:val="0"/>
                <w:sz w:val="24"/>
              </w:rPr>
            </w:pPr>
          </w:p>
        </w:tc>
      </w:tr>
      <w:tr w:rsidR="0099058F" w14:paraId="4B7610A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9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9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A1" w14:textId="77777777" w:rsidR="0099058F" w:rsidRDefault="0099058F">
            <w:pPr>
              <w:widowControl/>
              <w:jc w:val="right"/>
              <w:rPr>
                <w:rFonts w:ascii="Times New Roman" w:eastAsia="宋体" w:hAnsi="宋体" w:cs="宋体"/>
                <w:kern w:val="0"/>
                <w:sz w:val="24"/>
              </w:rPr>
            </w:pPr>
          </w:p>
        </w:tc>
      </w:tr>
      <w:tr w:rsidR="0099058F" w14:paraId="4B7610A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assets, net of accumulated amortization of $949 and $975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A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A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A8" w14:textId="77777777" w:rsidR="0099058F" w:rsidRDefault="0099058F">
            <w:pPr>
              <w:widowControl/>
              <w:jc w:val="right"/>
              <w:rPr>
                <w:rFonts w:ascii="Times New Roman" w:eastAsia="宋体" w:hAnsi="宋体" w:cs="宋体"/>
                <w:kern w:val="0"/>
                <w:sz w:val="24"/>
              </w:rPr>
            </w:pPr>
          </w:p>
        </w:tc>
      </w:tr>
      <w:tr w:rsidR="0099058F" w14:paraId="4B7610B0"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B7610AA"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0A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A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0AF" w14:textId="77777777" w:rsidR="0099058F" w:rsidRDefault="0099058F">
            <w:pPr>
              <w:widowControl/>
              <w:jc w:val="left"/>
              <w:rPr>
                <w:rFonts w:ascii="Times New Roman" w:eastAsia="宋体" w:hAnsi="宋体" w:cs="宋体"/>
                <w:kern w:val="0"/>
                <w:sz w:val="24"/>
              </w:rPr>
            </w:pPr>
          </w:p>
        </w:tc>
      </w:tr>
      <w:tr w:rsidR="0099058F" w14:paraId="4B7610B5" w14:textId="77777777">
        <w:trPr>
          <w:jc w:val="center"/>
        </w:trPr>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tcPr>
          <w:p w14:paraId="4B7610B1"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0B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0B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0B4" w14:textId="77777777" w:rsidR="0099058F" w:rsidRDefault="0099058F">
            <w:pPr>
              <w:widowControl/>
              <w:jc w:val="left"/>
              <w:rPr>
                <w:rFonts w:ascii="Times New Roman" w:eastAsia="宋体" w:hAnsi="宋体" w:cs="宋体"/>
                <w:kern w:val="0"/>
                <w:sz w:val="24"/>
              </w:rPr>
            </w:pPr>
          </w:p>
        </w:tc>
      </w:tr>
      <w:tr w:rsidR="0099058F" w14:paraId="4B7610B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B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B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BB" w14:textId="77777777" w:rsidR="0099058F" w:rsidRDefault="0099058F">
            <w:pPr>
              <w:widowControl/>
              <w:jc w:val="left"/>
              <w:rPr>
                <w:rFonts w:ascii="Times New Roman" w:eastAsia="宋体" w:hAnsi="宋体" w:cs="宋体"/>
                <w:kern w:val="0"/>
                <w:sz w:val="24"/>
              </w:rPr>
            </w:pPr>
          </w:p>
        </w:tc>
      </w:tr>
      <w:tr w:rsidR="0099058F" w14:paraId="4B7610C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B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21,581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B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C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C2" w14:textId="77777777" w:rsidR="0099058F" w:rsidRDefault="0099058F">
            <w:pPr>
              <w:widowControl/>
              <w:jc w:val="right"/>
              <w:rPr>
                <w:rFonts w:ascii="Times New Roman" w:eastAsia="宋体" w:hAnsi="宋体" w:cs="宋体"/>
                <w:kern w:val="0"/>
                <w:sz w:val="24"/>
              </w:rPr>
            </w:pPr>
          </w:p>
        </w:tc>
      </w:tr>
      <w:tr w:rsidR="0099058F" w14:paraId="4B7610C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C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C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C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52,980 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C9" w14:textId="77777777" w:rsidR="0099058F" w:rsidRDefault="0099058F">
            <w:pPr>
              <w:widowControl/>
              <w:jc w:val="right"/>
              <w:rPr>
                <w:rFonts w:ascii="Times New Roman" w:eastAsia="宋体" w:hAnsi="宋体" w:cs="宋体"/>
                <w:kern w:val="0"/>
                <w:sz w:val="24"/>
              </w:rPr>
            </w:pPr>
          </w:p>
        </w:tc>
      </w:tr>
      <w:tr w:rsidR="0099058F" w14:paraId="4B7610D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C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C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C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D0" w14:textId="77777777" w:rsidR="0099058F" w:rsidRDefault="0099058F">
            <w:pPr>
              <w:widowControl/>
              <w:jc w:val="right"/>
              <w:rPr>
                <w:rFonts w:ascii="Times New Roman" w:eastAsia="宋体" w:hAnsi="宋体" w:cs="宋体"/>
                <w:kern w:val="0"/>
                <w:sz w:val="24"/>
              </w:rPr>
            </w:pPr>
          </w:p>
        </w:tc>
      </w:tr>
      <w:tr w:rsidR="0099058F" w14:paraId="4B7610D8"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B7610D2"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90,052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D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D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D7" w14:textId="77777777" w:rsidR="0099058F" w:rsidRDefault="0099058F">
            <w:pPr>
              <w:widowControl/>
              <w:jc w:val="right"/>
              <w:rPr>
                <w:rFonts w:ascii="Times New Roman" w:eastAsia="宋体" w:hAnsi="宋体" w:cs="宋体"/>
                <w:kern w:val="0"/>
                <w:sz w:val="24"/>
              </w:rPr>
            </w:pPr>
          </w:p>
        </w:tc>
      </w:tr>
      <w:tr w:rsidR="0099058F" w14:paraId="4B7610D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D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D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D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DE" w14:textId="77777777" w:rsidR="0099058F" w:rsidRDefault="0099058F">
            <w:pPr>
              <w:widowControl/>
              <w:jc w:val="right"/>
              <w:rPr>
                <w:rFonts w:ascii="Times New Roman" w:eastAsia="宋体" w:hAnsi="宋体" w:cs="宋体"/>
                <w:kern w:val="0"/>
                <w:sz w:val="24"/>
              </w:rPr>
            </w:pPr>
          </w:p>
        </w:tc>
      </w:tr>
      <w:tr w:rsidR="0099058F" w14:paraId="4B7610E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E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E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E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E5" w14:textId="77777777" w:rsidR="0099058F" w:rsidRDefault="0099058F">
            <w:pPr>
              <w:widowControl/>
              <w:jc w:val="right"/>
              <w:rPr>
                <w:rFonts w:ascii="Times New Roman" w:eastAsia="宋体" w:hAnsi="宋体" w:cs="宋体"/>
                <w:kern w:val="0"/>
                <w:sz w:val="24"/>
              </w:rPr>
            </w:pPr>
          </w:p>
        </w:tc>
      </w:tr>
      <w:tr w:rsidR="0099058F" w14:paraId="4B7610E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E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E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EC" w14:textId="77777777" w:rsidR="0099058F" w:rsidRDefault="0099058F">
            <w:pPr>
              <w:widowControl/>
              <w:jc w:val="right"/>
              <w:rPr>
                <w:rFonts w:ascii="Times New Roman" w:eastAsia="宋体" w:hAnsi="宋体" w:cs="宋体"/>
                <w:kern w:val="0"/>
                <w:sz w:val="24"/>
              </w:rPr>
            </w:pPr>
          </w:p>
        </w:tc>
      </w:tr>
      <w:tr w:rsidR="0099058F" w14:paraId="4B7610F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0E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F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0F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0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0F3" w14:textId="77777777" w:rsidR="0099058F" w:rsidRDefault="0099058F">
            <w:pPr>
              <w:widowControl/>
              <w:jc w:val="right"/>
              <w:rPr>
                <w:rFonts w:ascii="Times New Roman" w:eastAsia="宋体" w:hAnsi="宋体" w:cs="宋体"/>
                <w:kern w:val="0"/>
                <w:sz w:val="24"/>
              </w:rPr>
            </w:pPr>
          </w:p>
        </w:tc>
      </w:tr>
      <w:tr w:rsidR="0099058F" w14:paraId="4B7610F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0F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51,811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F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0F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0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0FA" w14:textId="77777777" w:rsidR="0099058F" w:rsidRDefault="0099058F">
            <w:pPr>
              <w:widowControl/>
              <w:jc w:val="right"/>
              <w:rPr>
                <w:rFonts w:ascii="Times New Roman" w:eastAsia="宋体" w:hAnsi="宋体" w:cs="宋体"/>
                <w:kern w:val="0"/>
                <w:sz w:val="24"/>
              </w:rPr>
            </w:pPr>
          </w:p>
        </w:tc>
      </w:tr>
      <w:tr w:rsidR="0099058F" w14:paraId="4B761102"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B7610FC"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0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152,948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0FE"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0F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1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153,398 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101" w14:textId="77777777" w:rsidR="0099058F" w:rsidRDefault="0099058F">
            <w:pPr>
              <w:widowControl/>
              <w:jc w:val="right"/>
              <w:rPr>
                <w:rFonts w:ascii="Times New Roman" w:eastAsia="宋体" w:hAnsi="宋体" w:cs="宋体"/>
                <w:kern w:val="0"/>
                <w:sz w:val="24"/>
              </w:rPr>
            </w:pPr>
          </w:p>
        </w:tc>
      </w:tr>
      <w:tr w:rsidR="0099058F" w14:paraId="4B76110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10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06" w14:textId="77777777" w:rsidR="0099058F" w:rsidRDefault="0099058F">
            <w:pPr>
              <w:widowControl/>
              <w:jc w:val="left"/>
              <w:rPr>
                <w:rFonts w:ascii="Times New Roman" w:eastAsia="宋体" w:hAnsi="宋体" w:cs="宋体"/>
                <w:kern w:val="0"/>
                <w:sz w:val="24"/>
              </w:rPr>
            </w:pPr>
          </w:p>
        </w:tc>
      </w:tr>
      <w:tr w:rsidR="0099058F" w14:paraId="4B76110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10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0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0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0D" w14:textId="77777777" w:rsidR="0099058F" w:rsidRDefault="0099058F">
            <w:pPr>
              <w:widowControl/>
              <w:jc w:val="right"/>
              <w:rPr>
                <w:rFonts w:ascii="Times New Roman" w:eastAsia="宋体" w:hAnsi="宋体" w:cs="宋体"/>
                <w:kern w:val="0"/>
                <w:sz w:val="24"/>
              </w:rPr>
            </w:pPr>
          </w:p>
        </w:tc>
      </w:tr>
      <w:tr w:rsidR="0099058F" w14:paraId="4B76111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10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1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1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14" w14:textId="77777777" w:rsidR="0099058F" w:rsidRDefault="0099058F">
            <w:pPr>
              <w:widowControl/>
              <w:jc w:val="right"/>
              <w:rPr>
                <w:rFonts w:ascii="Times New Roman" w:eastAsia="宋体" w:hAnsi="宋体" w:cs="宋体"/>
                <w:kern w:val="0"/>
                <w:sz w:val="24"/>
              </w:rPr>
            </w:pPr>
          </w:p>
        </w:tc>
      </w:tr>
      <w:tr w:rsidR="0099058F" w14:paraId="4B76111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11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Treasury stock, at cost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(50,814)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1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1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(51,861)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1B" w14:textId="77777777" w:rsidR="0099058F" w:rsidRDefault="0099058F">
            <w:pPr>
              <w:widowControl/>
              <w:jc w:val="right"/>
              <w:rPr>
                <w:rFonts w:ascii="Times New Roman" w:eastAsia="宋体" w:hAnsi="宋体" w:cs="宋体"/>
                <w:kern w:val="0"/>
                <w:sz w:val="24"/>
              </w:rPr>
            </w:pPr>
          </w:p>
        </w:tc>
      </w:tr>
      <w:tr w:rsidR="0099058F" w14:paraId="4B76112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11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Retained </w:t>
            </w:r>
            <w:r>
              <w:rPr>
                <w:rFonts w:ascii="Arial" w:eastAsia="宋体" w:hAnsi="Arial" w:cs="Arial"/>
                <w:color w:val="000000"/>
                <w:kern w:val="0"/>
                <w:sz w:val="20"/>
                <w:szCs w:val="20"/>
                <w:lang w:bidi="ar"/>
              </w:rPr>
              <w:t>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1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2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22" w14:textId="77777777" w:rsidR="0099058F" w:rsidRDefault="0099058F">
            <w:pPr>
              <w:widowControl/>
              <w:jc w:val="right"/>
              <w:rPr>
                <w:rFonts w:ascii="Times New Roman" w:eastAsia="宋体" w:hAnsi="宋体" w:cs="宋体"/>
                <w:kern w:val="0"/>
                <w:sz w:val="24"/>
              </w:rPr>
            </w:pPr>
          </w:p>
        </w:tc>
      </w:tr>
      <w:tr w:rsidR="0099058F" w14:paraId="4B76112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12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2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2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29" w14:textId="77777777" w:rsidR="0099058F" w:rsidRDefault="0099058F">
            <w:pPr>
              <w:widowControl/>
              <w:jc w:val="right"/>
              <w:rPr>
                <w:rFonts w:ascii="Times New Roman" w:eastAsia="宋体" w:hAnsi="宋体" w:cs="宋体"/>
                <w:kern w:val="0"/>
                <w:sz w:val="24"/>
              </w:rPr>
            </w:pPr>
          </w:p>
        </w:tc>
      </w:tr>
      <w:tr w:rsidR="0099058F" w14:paraId="4B761131"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tcPr>
          <w:p w14:paraId="4B76112B"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12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12D"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12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1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130" w14:textId="77777777" w:rsidR="0099058F" w:rsidRDefault="0099058F">
            <w:pPr>
              <w:widowControl/>
              <w:jc w:val="right"/>
              <w:rPr>
                <w:rFonts w:ascii="Times New Roman" w:eastAsia="宋体" w:hAnsi="宋体" w:cs="宋体"/>
                <w:kern w:val="0"/>
                <w:sz w:val="24"/>
              </w:rPr>
            </w:pPr>
          </w:p>
        </w:tc>
      </w:tr>
      <w:tr w:rsidR="0099058F" w14:paraId="4B761138"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4B76113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3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3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37" w14:textId="77777777" w:rsidR="0099058F" w:rsidRDefault="0099058F">
            <w:pPr>
              <w:widowControl/>
              <w:jc w:val="right"/>
              <w:rPr>
                <w:rFonts w:ascii="Times New Roman" w:eastAsia="宋体" w:hAnsi="宋体" w:cs="宋体"/>
                <w:kern w:val="0"/>
                <w:sz w:val="24"/>
              </w:rPr>
            </w:pPr>
          </w:p>
        </w:tc>
      </w:tr>
      <w:tr w:rsidR="0099058F" w14:paraId="4B76113F"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tcPr>
          <w:p w14:paraId="4B76113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1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13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13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1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13E" w14:textId="77777777" w:rsidR="0099058F" w:rsidRDefault="0099058F">
            <w:pPr>
              <w:widowControl/>
              <w:jc w:val="right"/>
              <w:rPr>
                <w:rFonts w:ascii="Times New Roman" w:eastAsia="宋体" w:hAnsi="宋体" w:cs="宋体"/>
                <w:kern w:val="0"/>
                <w:sz w:val="24"/>
              </w:rPr>
            </w:pPr>
          </w:p>
        </w:tc>
      </w:tr>
      <w:tr w:rsidR="0099058F" w14:paraId="4B761146"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740" w:type="dxa"/>
              <w:bottom w:w="40" w:type="dxa"/>
              <w:right w:w="20" w:type="dxa"/>
            </w:tcMar>
          </w:tcPr>
          <w:p w14:paraId="4B761140"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1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14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14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1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145" w14:textId="77777777" w:rsidR="0099058F" w:rsidRDefault="0099058F">
            <w:pPr>
              <w:widowControl/>
              <w:jc w:val="left"/>
              <w:rPr>
                <w:rFonts w:ascii="Times New Roman" w:eastAsia="宋体" w:hAnsi="宋体" w:cs="宋体"/>
                <w:kern w:val="0"/>
                <w:sz w:val="24"/>
              </w:rPr>
            </w:pPr>
          </w:p>
        </w:tc>
      </w:tr>
    </w:tbl>
    <w:p w14:paraId="4B76114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59 - 114.</w:t>
      </w:r>
    </w:p>
    <w:p w14:paraId="4B76114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55</w:t>
      </w:r>
    </w:p>
    <w:p w14:paraId="4B761149" w14:textId="77777777" w:rsidR="0099058F" w:rsidRDefault="00EB2559">
      <w:pPr>
        <w:widowControl/>
        <w:jc w:val="center"/>
      </w:pPr>
      <w:r>
        <w:rPr>
          <w:rFonts w:ascii="宋体" w:eastAsia="宋体" w:hAnsi="宋体" w:cs="宋体"/>
          <w:kern w:val="0"/>
          <w:sz w:val="24"/>
        </w:rPr>
        <w:pict w14:anchorId="4B763C2E">
          <v:rect id="_x0000_i1081" style="width:6in;height:1.5pt" o:hralign="center" o:hrstd="t" o:hr="t" fillcolor="#a0a0a0" stroked="f"/>
        </w:pict>
      </w:r>
    </w:p>
    <w:p w14:paraId="4B76114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114B"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114C"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Cash Flows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59"/>
        <w:gridCol w:w="5785"/>
        <w:gridCol w:w="41"/>
        <w:gridCol w:w="71"/>
        <w:gridCol w:w="636"/>
        <w:gridCol w:w="36"/>
        <w:gridCol w:w="36"/>
        <w:gridCol w:w="36"/>
        <w:gridCol w:w="36"/>
        <w:gridCol w:w="68"/>
        <w:gridCol w:w="634"/>
        <w:gridCol w:w="36"/>
        <w:gridCol w:w="36"/>
        <w:gridCol w:w="36"/>
        <w:gridCol w:w="36"/>
        <w:gridCol w:w="78"/>
        <w:gridCol w:w="627"/>
        <w:gridCol w:w="36"/>
      </w:tblGrid>
      <w:tr w:rsidR="0099058F" w14:paraId="4B76115F" w14:textId="77777777">
        <w:trPr>
          <w:jc w:val="center"/>
        </w:trPr>
        <w:tc>
          <w:tcPr>
            <w:tcW w:w="50" w:type="pct"/>
            <w:tcBorders>
              <w:top w:val="nil"/>
              <w:left w:val="nil"/>
              <w:bottom w:val="nil"/>
              <w:right w:val="nil"/>
            </w:tcBorders>
            <w:shd w:val="clear" w:color="auto" w:fill="auto"/>
            <w:vAlign w:val="bottom"/>
          </w:tcPr>
          <w:p w14:paraId="4B76114D" w14:textId="77777777" w:rsidR="0099058F" w:rsidRDefault="0099058F">
            <w:pPr>
              <w:widowControl/>
              <w:jc w:val="left"/>
              <w:rPr>
                <w:rFonts w:ascii="Times New Roman" w:eastAsia="宋体" w:hAnsi="宋体" w:cs="宋体"/>
                <w:kern w:val="0"/>
                <w:sz w:val="24"/>
              </w:rPr>
            </w:pPr>
          </w:p>
        </w:tc>
        <w:tc>
          <w:tcPr>
            <w:tcW w:w="3488" w:type="pct"/>
            <w:tcBorders>
              <w:top w:val="nil"/>
              <w:left w:val="nil"/>
              <w:bottom w:val="nil"/>
              <w:right w:val="nil"/>
            </w:tcBorders>
            <w:shd w:val="clear" w:color="auto" w:fill="auto"/>
            <w:vAlign w:val="bottom"/>
          </w:tcPr>
          <w:p w14:paraId="4B76114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4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150"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115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15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156"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115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15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15C" w14:textId="77777777" w:rsidR="0099058F" w:rsidRDefault="0099058F">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B76115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15E" w14:textId="77777777" w:rsidR="0099058F" w:rsidRDefault="0099058F">
            <w:pPr>
              <w:widowControl/>
              <w:jc w:val="left"/>
              <w:rPr>
                <w:rFonts w:ascii="Times New Roman" w:eastAsia="宋体" w:hAnsi="宋体" w:cs="宋体"/>
                <w:kern w:val="0"/>
                <w:sz w:val="24"/>
              </w:rPr>
            </w:pPr>
          </w:p>
        </w:tc>
      </w:tr>
      <w:tr w:rsidR="0099058F" w14:paraId="4B76116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0"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16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1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r>
      <w:tr w:rsidR="0099058F" w14:paraId="4B76116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1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1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1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2020</w:t>
            </w:r>
          </w:p>
        </w:tc>
      </w:tr>
      <w:tr w:rsidR="0099058F" w14:paraId="4B761174"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116E"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operating activities: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16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17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17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17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173" w14:textId="77777777" w:rsidR="0099058F" w:rsidRDefault="0099058F">
            <w:pPr>
              <w:widowControl/>
              <w:jc w:val="left"/>
              <w:rPr>
                <w:rFonts w:ascii="Times New Roman" w:eastAsia="宋体" w:hAnsi="宋体" w:cs="宋体"/>
                <w:kern w:val="0"/>
                <w:sz w:val="24"/>
              </w:rPr>
            </w:pPr>
          </w:p>
        </w:tc>
      </w:tr>
      <w:tr w:rsidR="0099058F" w14:paraId="4B76117E"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17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7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7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($11,941)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7D" w14:textId="77777777" w:rsidR="0099058F" w:rsidRDefault="0099058F">
            <w:pPr>
              <w:widowControl/>
              <w:jc w:val="left"/>
              <w:rPr>
                <w:rFonts w:ascii="Times New Roman" w:eastAsia="宋体" w:hAnsi="宋体" w:cs="宋体"/>
                <w:kern w:val="0"/>
                <w:sz w:val="24"/>
              </w:rPr>
            </w:pPr>
          </w:p>
        </w:tc>
      </w:tr>
      <w:tr w:rsidR="0099058F" w14:paraId="4B761185" w14:textId="77777777">
        <w:trPr>
          <w:jc w:val="center"/>
        </w:trPr>
        <w:tc>
          <w:tcPr>
            <w:tcW w:w="0" w:type="auto"/>
            <w:gridSpan w:val="3"/>
            <w:tcBorders>
              <w:top w:val="nil"/>
              <w:left w:val="nil"/>
              <w:bottom w:val="nil"/>
              <w:right w:val="nil"/>
            </w:tcBorders>
            <w:shd w:val="clear" w:color="auto" w:fill="FFFFFF"/>
            <w:tcMar>
              <w:top w:w="40" w:type="dxa"/>
              <w:left w:w="335" w:type="dxa"/>
              <w:bottom w:w="40" w:type="dxa"/>
              <w:right w:w="20" w:type="dxa"/>
            </w:tcMar>
          </w:tcPr>
          <w:p w14:paraId="4B76117F"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16"/>
                <w:szCs w:val="16"/>
                <w:lang w:bidi="ar"/>
              </w:rPr>
              <w:t>Adjustments to reconcile net loss to net cash used by operating activities: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8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84" w14:textId="77777777" w:rsidR="0099058F" w:rsidRDefault="0099058F">
            <w:pPr>
              <w:widowControl/>
              <w:jc w:val="left"/>
              <w:rPr>
                <w:rFonts w:ascii="Times New Roman" w:eastAsia="宋体" w:hAnsi="宋体" w:cs="宋体"/>
                <w:kern w:val="0"/>
                <w:sz w:val="24"/>
              </w:rPr>
            </w:pPr>
          </w:p>
        </w:tc>
      </w:tr>
      <w:tr w:rsidR="0099058F" w14:paraId="4B76118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18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Non-cash items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8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8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8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8B" w14:textId="77777777" w:rsidR="0099058F" w:rsidRDefault="0099058F">
            <w:pPr>
              <w:widowControl/>
              <w:jc w:val="left"/>
              <w:rPr>
                <w:rFonts w:ascii="Times New Roman" w:eastAsia="宋体" w:hAnsi="宋体" w:cs="宋体"/>
                <w:kern w:val="0"/>
                <w:sz w:val="24"/>
              </w:rPr>
            </w:pPr>
          </w:p>
        </w:tc>
      </w:tr>
      <w:tr w:rsidR="0099058F" w14:paraId="4B76119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18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Share-based plans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725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8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9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9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9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95" w14:textId="77777777" w:rsidR="0099058F" w:rsidRDefault="0099058F">
            <w:pPr>
              <w:widowControl/>
              <w:jc w:val="right"/>
              <w:rPr>
                <w:rFonts w:ascii="Times New Roman" w:eastAsia="宋体" w:hAnsi="宋体" w:cs="宋体"/>
                <w:kern w:val="0"/>
                <w:sz w:val="24"/>
              </w:rPr>
            </w:pPr>
          </w:p>
        </w:tc>
      </w:tr>
      <w:tr w:rsidR="0099058F" w14:paraId="4B7611A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19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9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9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9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9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9F" w14:textId="77777777" w:rsidR="0099058F" w:rsidRDefault="0099058F">
            <w:pPr>
              <w:widowControl/>
              <w:jc w:val="right"/>
              <w:rPr>
                <w:rFonts w:ascii="Times New Roman" w:eastAsia="宋体" w:hAnsi="宋体" w:cs="宋体"/>
                <w:kern w:val="0"/>
                <w:sz w:val="24"/>
              </w:rPr>
            </w:pPr>
          </w:p>
        </w:tc>
      </w:tr>
      <w:tr w:rsidR="0099058F" w14:paraId="4B7611A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1A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1,979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A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A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A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A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A9" w14:textId="77777777" w:rsidR="0099058F" w:rsidRDefault="0099058F">
            <w:pPr>
              <w:widowControl/>
              <w:jc w:val="right"/>
              <w:rPr>
                <w:rFonts w:ascii="Times New Roman" w:eastAsia="宋体" w:hAnsi="宋体" w:cs="宋体"/>
                <w:kern w:val="0"/>
                <w:sz w:val="24"/>
              </w:rPr>
            </w:pPr>
          </w:p>
        </w:tc>
      </w:tr>
      <w:tr w:rsidR="0099058F" w14:paraId="4B7611B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1A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Investment/asset impairment charges,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A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A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B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B3" w14:textId="77777777" w:rsidR="0099058F" w:rsidRDefault="0099058F">
            <w:pPr>
              <w:widowControl/>
              <w:jc w:val="right"/>
              <w:rPr>
                <w:rFonts w:ascii="Times New Roman" w:eastAsia="宋体" w:hAnsi="宋体" w:cs="宋体"/>
                <w:kern w:val="0"/>
                <w:sz w:val="24"/>
              </w:rPr>
            </w:pPr>
          </w:p>
        </w:tc>
      </w:tr>
      <w:tr w:rsidR="0099058F" w14:paraId="4B7611B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1B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Customer financing valuation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B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B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B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BC" w14:textId="77777777" w:rsidR="0099058F" w:rsidRDefault="0099058F">
            <w:pPr>
              <w:widowControl/>
              <w:jc w:val="right"/>
              <w:rPr>
                <w:rFonts w:ascii="Times New Roman" w:eastAsia="宋体" w:hAnsi="宋体" w:cs="宋体"/>
                <w:kern w:val="0"/>
                <w:sz w:val="24"/>
              </w:rPr>
            </w:pPr>
          </w:p>
        </w:tc>
      </w:tr>
      <w:tr w:rsidR="0099058F" w14:paraId="4B7611C4" w14:textId="77777777">
        <w:trPr>
          <w:jc w:val="center"/>
          <w:hidden/>
        </w:trPr>
        <w:tc>
          <w:tcPr>
            <w:tcW w:w="0" w:type="auto"/>
            <w:gridSpan w:val="3"/>
            <w:tcBorders>
              <w:top w:val="nil"/>
              <w:left w:val="nil"/>
              <w:bottom w:val="nil"/>
              <w:right w:val="nil"/>
            </w:tcBorders>
            <w:shd w:val="clear" w:color="auto" w:fill="auto"/>
            <w:vAlign w:val="bottom"/>
          </w:tcPr>
          <w:p w14:paraId="4B7611B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B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3" w14:textId="77777777" w:rsidR="0099058F" w:rsidRDefault="0099058F">
            <w:pPr>
              <w:widowControl/>
              <w:jc w:val="left"/>
              <w:rPr>
                <w:rFonts w:ascii="Times New Roman" w:eastAsia="宋体" w:hAnsi="宋体" w:cs="宋体"/>
                <w:vanish/>
                <w:kern w:val="0"/>
                <w:sz w:val="24"/>
              </w:rPr>
            </w:pPr>
          </w:p>
        </w:tc>
      </w:tr>
      <w:tr w:rsidR="0099058F" w14:paraId="4B7611CB" w14:textId="77777777">
        <w:trPr>
          <w:jc w:val="center"/>
          <w:hidden/>
        </w:trPr>
        <w:tc>
          <w:tcPr>
            <w:tcW w:w="0" w:type="auto"/>
            <w:gridSpan w:val="3"/>
            <w:tcBorders>
              <w:top w:val="nil"/>
              <w:left w:val="nil"/>
              <w:bottom w:val="nil"/>
              <w:right w:val="nil"/>
            </w:tcBorders>
            <w:shd w:val="clear" w:color="auto" w:fill="auto"/>
            <w:vAlign w:val="bottom"/>
          </w:tcPr>
          <w:p w14:paraId="4B7611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CA" w14:textId="77777777" w:rsidR="0099058F" w:rsidRDefault="0099058F">
            <w:pPr>
              <w:widowControl/>
              <w:jc w:val="left"/>
              <w:rPr>
                <w:rFonts w:ascii="Times New Roman" w:eastAsia="宋体" w:hAnsi="宋体" w:cs="宋体"/>
                <w:vanish/>
                <w:kern w:val="0"/>
                <w:sz w:val="24"/>
              </w:rPr>
            </w:pPr>
          </w:p>
        </w:tc>
      </w:tr>
      <w:tr w:rsidR="0099058F" w14:paraId="4B7611D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1C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C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C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D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D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D4" w14:textId="77777777" w:rsidR="0099058F" w:rsidRDefault="0099058F">
            <w:pPr>
              <w:widowControl/>
              <w:jc w:val="right"/>
              <w:rPr>
                <w:rFonts w:ascii="Times New Roman" w:eastAsia="宋体" w:hAnsi="宋体" w:cs="宋体"/>
                <w:kern w:val="0"/>
                <w:sz w:val="24"/>
              </w:rPr>
            </w:pPr>
          </w:p>
        </w:tc>
      </w:tr>
      <w:tr w:rsidR="0099058F" w14:paraId="4B7611DE"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1D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787 and 777X reach-forward losses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D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1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1DD" w14:textId="77777777" w:rsidR="0099058F" w:rsidRDefault="0099058F">
            <w:pPr>
              <w:widowControl/>
              <w:jc w:val="right"/>
              <w:rPr>
                <w:rFonts w:ascii="Times New Roman" w:eastAsia="宋体" w:hAnsi="宋体" w:cs="宋体"/>
                <w:kern w:val="0"/>
                <w:sz w:val="24"/>
              </w:rPr>
            </w:pPr>
          </w:p>
        </w:tc>
      </w:tr>
      <w:tr w:rsidR="0099058F" w14:paraId="4B7611E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1D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E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E7" w14:textId="77777777" w:rsidR="0099058F" w:rsidRDefault="0099058F">
            <w:pPr>
              <w:widowControl/>
              <w:jc w:val="right"/>
              <w:rPr>
                <w:rFonts w:ascii="Times New Roman" w:eastAsia="宋体" w:hAnsi="宋体" w:cs="宋体"/>
                <w:kern w:val="0"/>
                <w:sz w:val="24"/>
              </w:rPr>
            </w:pPr>
          </w:p>
        </w:tc>
      </w:tr>
      <w:tr w:rsidR="0099058F" w14:paraId="4B7611EF" w14:textId="77777777">
        <w:trPr>
          <w:jc w:val="center"/>
          <w:hidden/>
        </w:trPr>
        <w:tc>
          <w:tcPr>
            <w:tcW w:w="0" w:type="auto"/>
            <w:gridSpan w:val="3"/>
            <w:tcBorders>
              <w:top w:val="nil"/>
              <w:left w:val="nil"/>
              <w:bottom w:val="nil"/>
              <w:right w:val="nil"/>
            </w:tcBorders>
            <w:shd w:val="clear" w:color="auto" w:fill="auto"/>
            <w:vAlign w:val="bottom"/>
          </w:tcPr>
          <w:p w14:paraId="4B7611E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E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E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E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E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1EE" w14:textId="77777777" w:rsidR="0099058F" w:rsidRDefault="0099058F">
            <w:pPr>
              <w:widowControl/>
              <w:jc w:val="left"/>
              <w:rPr>
                <w:rFonts w:ascii="Times New Roman" w:eastAsia="宋体" w:hAnsi="宋体" w:cs="宋体"/>
                <w:vanish/>
                <w:kern w:val="0"/>
                <w:sz w:val="24"/>
              </w:rPr>
            </w:pPr>
          </w:p>
        </w:tc>
      </w:tr>
      <w:tr w:rsidR="0099058F" w14:paraId="4B7611F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1F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Changes in </w:t>
            </w:r>
            <w:r>
              <w:rPr>
                <w:rFonts w:ascii="Arial" w:eastAsia="宋体" w:hAnsi="Arial" w:cs="Arial"/>
                <w:color w:val="000000"/>
                <w:kern w:val="0"/>
                <w:sz w:val="16"/>
                <w:szCs w:val="16"/>
                <w:lang w:bidi="ar"/>
              </w:rPr>
              <w:t>assets and liabilities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F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1F5" w14:textId="77777777" w:rsidR="0099058F" w:rsidRDefault="0099058F">
            <w:pPr>
              <w:widowControl/>
              <w:jc w:val="left"/>
              <w:rPr>
                <w:rFonts w:ascii="Times New Roman" w:eastAsia="宋体" w:hAnsi="宋体" w:cs="宋体"/>
                <w:kern w:val="0"/>
                <w:sz w:val="24"/>
              </w:rPr>
            </w:pPr>
          </w:p>
        </w:tc>
      </w:tr>
      <w:tr w:rsidR="0099058F" w14:paraId="4B76120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1F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F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F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F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1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1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1FF" w14:textId="77777777" w:rsidR="0099058F" w:rsidRDefault="0099058F">
            <w:pPr>
              <w:widowControl/>
              <w:jc w:val="right"/>
              <w:rPr>
                <w:rFonts w:ascii="Times New Roman" w:eastAsia="宋体" w:hAnsi="宋体" w:cs="宋体"/>
                <w:kern w:val="0"/>
                <w:sz w:val="24"/>
              </w:rPr>
            </w:pPr>
          </w:p>
        </w:tc>
      </w:tr>
      <w:tr w:rsidR="0099058F" w14:paraId="4B76120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B76120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0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0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0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0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09" w14:textId="77777777" w:rsidR="0099058F" w:rsidRDefault="0099058F">
            <w:pPr>
              <w:widowControl/>
              <w:jc w:val="right"/>
              <w:rPr>
                <w:rFonts w:ascii="Times New Roman" w:eastAsia="宋体" w:hAnsi="宋体" w:cs="宋体"/>
                <w:kern w:val="0"/>
                <w:sz w:val="24"/>
              </w:rPr>
            </w:pPr>
          </w:p>
        </w:tc>
      </w:tr>
      <w:tr w:rsidR="0099058F" w14:paraId="4B76121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B76120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0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0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1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13" w14:textId="77777777" w:rsidR="0099058F" w:rsidRDefault="0099058F">
            <w:pPr>
              <w:widowControl/>
              <w:jc w:val="right"/>
              <w:rPr>
                <w:rFonts w:ascii="Times New Roman" w:eastAsia="宋体" w:hAnsi="宋体" w:cs="宋体"/>
                <w:kern w:val="0"/>
                <w:sz w:val="24"/>
              </w:rPr>
            </w:pPr>
          </w:p>
        </w:tc>
      </w:tr>
      <w:tr w:rsidR="0099058F" w14:paraId="4B76121E"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21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1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1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1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1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(11,002)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1D" w14:textId="77777777" w:rsidR="0099058F" w:rsidRDefault="0099058F">
            <w:pPr>
              <w:widowControl/>
              <w:jc w:val="right"/>
              <w:rPr>
                <w:rFonts w:ascii="Times New Roman" w:eastAsia="宋体" w:hAnsi="宋体" w:cs="宋体"/>
                <w:kern w:val="0"/>
                <w:sz w:val="24"/>
              </w:rPr>
            </w:pPr>
          </w:p>
        </w:tc>
      </w:tr>
      <w:tr w:rsidR="0099058F" w14:paraId="4B76122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21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2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2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2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2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27" w14:textId="77777777" w:rsidR="0099058F" w:rsidRDefault="0099058F">
            <w:pPr>
              <w:widowControl/>
              <w:jc w:val="right"/>
              <w:rPr>
                <w:rFonts w:ascii="Times New Roman" w:eastAsia="宋体" w:hAnsi="宋体" w:cs="宋体"/>
                <w:kern w:val="0"/>
                <w:sz w:val="24"/>
              </w:rPr>
            </w:pPr>
          </w:p>
        </w:tc>
      </w:tr>
      <w:tr w:rsidR="0099058F" w14:paraId="4B761232"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22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838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2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2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2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2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31" w14:textId="77777777" w:rsidR="0099058F" w:rsidRDefault="0099058F">
            <w:pPr>
              <w:widowControl/>
              <w:jc w:val="right"/>
              <w:rPr>
                <w:rFonts w:ascii="Times New Roman" w:eastAsia="宋体" w:hAnsi="宋体" w:cs="宋体"/>
                <w:kern w:val="0"/>
                <w:sz w:val="24"/>
              </w:rPr>
            </w:pPr>
          </w:p>
        </w:tc>
      </w:tr>
      <w:tr w:rsidR="0099058F" w14:paraId="4B76123C"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23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2,956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3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3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3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3B" w14:textId="77777777" w:rsidR="0099058F" w:rsidRDefault="0099058F">
            <w:pPr>
              <w:widowControl/>
              <w:jc w:val="right"/>
              <w:rPr>
                <w:rFonts w:ascii="Times New Roman" w:eastAsia="宋体" w:hAnsi="宋体" w:cs="宋体"/>
                <w:kern w:val="0"/>
                <w:sz w:val="24"/>
              </w:rPr>
            </w:pPr>
          </w:p>
        </w:tc>
      </w:tr>
      <w:tr w:rsidR="0099058F" w14:paraId="4B76124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23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1,347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3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4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4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4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45" w14:textId="77777777" w:rsidR="0099058F" w:rsidRDefault="0099058F">
            <w:pPr>
              <w:widowControl/>
              <w:jc w:val="right"/>
              <w:rPr>
                <w:rFonts w:ascii="Times New Roman" w:eastAsia="宋体" w:hAnsi="宋体" w:cs="宋体"/>
                <w:kern w:val="0"/>
                <w:sz w:val="24"/>
              </w:rPr>
            </w:pPr>
          </w:p>
        </w:tc>
      </w:tr>
      <w:tr w:rsidR="0099058F" w14:paraId="4B76125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24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4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4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4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4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4F" w14:textId="77777777" w:rsidR="0099058F" w:rsidRDefault="0099058F">
            <w:pPr>
              <w:widowControl/>
              <w:jc w:val="right"/>
              <w:rPr>
                <w:rFonts w:ascii="Times New Roman" w:eastAsia="宋体" w:hAnsi="宋体" w:cs="宋体"/>
                <w:kern w:val="0"/>
                <w:sz w:val="24"/>
              </w:rPr>
            </w:pPr>
          </w:p>
        </w:tc>
      </w:tr>
      <w:tr w:rsidR="0099058F" w14:paraId="4B76125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25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Pension and other </w:t>
            </w:r>
            <w:r>
              <w:rPr>
                <w:rFonts w:ascii="Arial" w:eastAsia="宋体" w:hAnsi="Arial" w:cs="Arial"/>
                <w:color w:val="000000"/>
                <w:kern w:val="0"/>
                <w:sz w:val="16"/>
                <w:szCs w:val="16"/>
                <w:lang w:bidi="ar"/>
              </w:rPr>
              <w:t>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5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5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5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59" w14:textId="77777777" w:rsidR="0099058F" w:rsidRDefault="0099058F">
            <w:pPr>
              <w:widowControl/>
              <w:jc w:val="right"/>
              <w:rPr>
                <w:rFonts w:ascii="Times New Roman" w:eastAsia="宋体" w:hAnsi="宋体" w:cs="宋体"/>
                <w:kern w:val="0"/>
                <w:sz w:val="24"/>
              </w:rPr>
            </w:pPr>
          </w:p>
        </w:tc>
      </w:tr>
      <w:tr w:rsidR="0099058F" w14:paraId="4B76126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125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5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5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6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6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63" w14:textId="77777777" w:rsidR="0099058F" w:rsidRDefault="0099058F">
            <w:pPr>
              <w:widowControl/>
              <w:jc w:val="right"/>
              <w:rPr>
                <w:rFonts w:ascii="Times New Roman" w:eastAsia="宋体" w:hAnsi="宋体" w:cs="宋体"/>
                <w:kern w:val="0"/>
                <w:sz w:val="24"/>
              </w:rPr>
            </w:pPr>
          </w:p>
        </w:tc>
      </w:tr>
      <w:tr w:rsidR="0099058F" w14:paraId="4B76126E"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126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6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6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6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6D" w14:textId="77777777" w:rsidR="0099058F" w:rsidRDefault="0099058F">
            <w:pPr>
              <w:widowControl/>
              <w:jc w:val="right"/>
              <w:rPr>
                <w:rFonts w:ascii="Times New Roman" w:eastAsia="宋体" w:hAnsi="宋体" w:cs="宋体"/>
                <w:kern w:val="0"/>
                <w:sz w:val="24"/>
              </w:rPr>
            </w:pPr>
          </w:p>
        </w:tc>
      </w:tr>
      <w:tr w:rsidR="0099058F" w14:paraId="4B761278" w14:textId="77777777">
        <w:trPr>
          <w:jc w:val="center"/>
        </w:trPr>
        <w:tc>
          <w:tcPr>
            <w:tcW w:w="0" w:type="auto"/>
            <w:gridSpan w:val="3"/>
            <w:tcBorders>
              <w:top w:val="single" w:sz="8" w:space="0" w:color="000000"/>
              <w:left w:val="nil"/>
              <w:bottom w:val="nil"/>
              <w:right w:val="nil"/>
            </w:tcBorders>
            <w:shd w:val="clear" w:color="auto" w:fill="CCEEFF"/>
            <w:tcMar>
              <w:top w:w="40" w:type="dxa"/>
              <w:left w:w="830" w:type="dxa"/>
              <w:bottom w:w="40" w:type="dxa"/>
              <w:right w:w="20" w:type="dxa"/>
            </w:tcMar>
          </w:tcPr>
          <w:p w14:paraId="4B76126F"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provided/(used)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3,512</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71"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27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(3,416)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7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27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(18,410)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77" w14:textId="77777777" w:rsidR="0099058F" w:rsidRDefault="0099058F">
            <w:pPr>
              <w:widowControl/>
              <w:jc w:val="right"/>
              <w:rPr>
                <w:rFonts w:ascii="Times New Roman" w:eastAsia="宋体" w:hAnsi="宋体" w:cs="宋体"/>
                <w:kern w:val="0"/>
                <w:sz w:val="24"/>
              </w:rPr>
            </w:pPr>
          </w:p>
        </w:tc>
      </w:tr>
      <w:tr w:rsidR="0099058F" w14:paraId="4B76127F"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27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7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7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7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7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7E" w14:textId="77777777" w:rsidR="0099058F" w:rsidRDefault="0099058F">
            <w:pPr>
              <w:widowControl/>
              <w:jc w:val="left"/>
              <w:rPr>
                <w:rFonts w:ascii="Times New Roman" w:eastAsia="宋体" w:hAnsi="宋体" w:cs="宋体"/>
                <w:kern w:val="0"/>
                <w:sz w:val="24"/>
              </w:rPr>
            </w:pPr>
          </w:p>
        </w:tc>
      </w:tr>
      <w:tr w:rsidR="0099058F" w14:paraId="4B76128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28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Payments to acquire 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8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8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8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88" w14:textId="77777777" w:rsidR="0099058F" w:rsidRDefault="0099058F">
            <w:pPr>
              <w:widowControl/>
              <w:jc w:val="right"/>
              <w:rPr>
                <w:rFonts w:ascii="Times New Roman" w:eastAsia="宋体" w:hAnsi="宋体" w:cs="宋体"/>
                <w:kern w:val="0"/>
                <w:sz w:val="24"/>
              </w:rPr>
            </w:pPr>
          </w:p>
        </w:tc>
      </w:tr>
      <w:tr w:rsidR="0099058F" w14:paraId="4B76129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128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Proceeds from disposals of property, plant and equipment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8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8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8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9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92" w14:textId="77777777" w:rsidR="0099058F" w:rsidRDefault="0099058F">
            <w:pPr>
              <w:widowControl/>
              <w:jc w:val="right"/>
              <w:rPr>
                <w:rFonts w:ascii="Times New Roman" w:eastAsia="宋体" w:hAnsi="宋体" w:cs="宋体"/>
                <w:kern w:val="0"/>
                <w:sz w:val="24"/>
              </w:rPr>
            </w:pPr>
          </w:p>
        </w:tc>
      </w:tr>
      <w:tr w:rsidR="0099058F" w14:paraId="4B76129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29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Acquisitions, net of cash 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9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9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9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9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9B" w14:textId="77777777" w:rsidR="0099058F" w:rsidRDefault="0099058F">
            <w:pPr>
              <w:widowControl/>
              <w:jc w:val="right"/>
              <w:rPr>
                <w:rFonts w:ascii="Times New Roman" w:eastAsia="宋体" w:hAnsi="宋体" w:cs="宋体"/>
                <w:kern w:val="0"/>
                <w:sz w:val="24"/>
              </w:rPr>
            </w:pPr>
          </w:p>
        </w:tc>
      </w:tr>
      <w:tr w:rsidR="0099058F" w14:paraId="4B7612A3" w14:textId="77777777">
        <w:trPr>
          <w:jc w:val="center"/>
          <w:hidden/>
        </w:trPr>
        <w:tc>
          <w:tcPr>
            <w:tcW w:w="0" w:type="auto"/>
            <w:gridSpan w:val="3"/>
            <w:tcBorders>
              <w:top w:val="nil"/>
              <w:left w:val="nil"/>
              <w:bottom w:val="nil"/>
              <w:right w:val="nil"/>
            </w:tcBorders>
            <w:shd w:val="clear" w:color="auto" w:fill="auto"/>
            <w:vAlign w:val="bottom"/>
          </w:tcPr>
          <w:p w14:paraId="4B7612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9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9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A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A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A2" w14:textId="77777777" w:rsidR="0099058F" w:rsidRDefault="0099058F">
            <w:pPr>
              <w:widowControl/>
              <w:jc w:val="left"/>
              <w:rPr>
                <w:rFonts w:ascii="Times New Roman" w:eastAsia="宋体" w:hAnsi="宋体" w:cs="宋体"/>
                <w:vanish/>
                <w:kern w:val="0"/>
                <w:sz w:val="24"/>
              </w:rPr>
            </w:pPr>
          </w:p>
        </w:tc>
      </w:tr>
      <w:tr w:rsidR="0099058F" w14:paraId="4B7612A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12A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Contributions to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A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A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(35,713)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A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A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(37,616)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AC" w14:textId="77777777" w:rsidR="0099058F" w:rsidRDefault="0099058F">
            <w:pPr>
              <w:widowControl/>
              <w:jc w:val="right"/>
              <w:rPr>
                <w:rFonts w:ascii="Times New Roman" w:eastAsia="宋体" w:hAnsi="宋体" w:cs="宋体"/>
                <w:kern w:val="0"/>
                <w:sz w:val="24"/>
              </w:rPr>
            </w:pPr>
          </w:p>
        </w:tc>
      </w:tr>
      <w:tr w:rsidR="0099058F" w14:paraId="4B7612B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2A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Proceeds from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10,619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B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45,489 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B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B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B6" w14:textId="77777777" w:rsidR="0099058F" w:rsidRDefault="0099058F">
            <w:pPr>
              <w:widowControl/>
              <w:jc w:val="right"/>
              <w:rPr>
                <w:rFonts w:ascii="Times New Roman" w:eastAsia="宋体" w:hAnsi="宋体" w:cs="宋体"/>
                <w:kern w:val="0"/>
                <w:sz w:val="24"/>
              </w:rPr>
            </w:pPr>
          </w:p>
        </w:tc>
      </w:tr>
      <w:tr w:rsidR="0099058F" w14:paraId="4B7612BE" w14:textId="77777777">
        <w:trPr>
          <w:jc w:val="center"/>
          <w:hidden/>
        </w:trPr>
        <w:tc>
          <w:tcPr>
            <w:tcW w:w="0" w:type="auto"/>
            <w:gridSpan w:val="3"/>
            <w:tcBorders>
              <w:top w:val="nil"/>
              <w:left w:val="nil"/>
              <w:bottom w:val="nil"/>
              <w:right w:val="nil"/>
            </w:tcBorders>
            <w:shd w:val="clear" w:color="auto" w:fill="auto"/>
            <w:vAlign w:val="bottom"/>
          </w:tcPr>
          <w:p w14:paraId="4B7612B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B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B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BD" w14:textId="77777777" w:rsidR="0099058F" w:rsidRDefault="0099058F">
            <w:pPr>
              <w:widowControl/>
              <w:jc w:val="left"/>
              <w:rPr>
                <w:rFonts w:ascii="Times New Roman" w:eastAsia="宋体" w:hAnsi="宋体" w:cs="宋体"/>
                <w:vanish/>
                <w:kern w:val="0"/>
                <w:sz w:val="24"/>
              </w:rPr>
            </w:pPr>
          </w:p>
        </w:tc>
      </w:tr>
      <w:tr w:rsidR="0099058F" w14:paraId="4B7612C8"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12B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C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C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C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C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C7" w14:textId="77777777" w:rsidR="0099058F" w:rsidRDefault="0099058F">
            <w:pPr>
              <w:widowControl/>
              <w:jc w:val="right"/>
              <w:rPr>
                <w:rFonts w:ascii="Times New Roman" w:eastAsia="宋体" w:hAnsi="宋体" w:cs="宋体"/>
                <w:kern w:val="0"/>
                <w:sz w:val="24"/>
              </w:rPr>
            </w:pPr>
          </w:p>
        </w:tc>
      </w:tr>
      <w:tr w:rsidR="0099058F" w14:paraId="4B7612D2"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B7612C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provided/(used) by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4,370</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C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2C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9,324 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CE"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2C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2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(18,366)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2D1" w14:textId="77777777" w:rsidR="0099058F" w:rsidRDefault="0099058F">
            <w:pPr>
              <w:widowControl/>
              <w:jc w:val="right"/>
              <w:rPr>
                <w:rFonts w:ascii="Times New Roman" w:eastAsia="宋体" w:hAnsi="宋体" w:cs="宋体"/>
                <w:kern w:val="0"/>
                <w:sz w:val="24"/>
              </w:rPr>
            </w:pPr>
          </w:p>
        </w:tc>
      </w:tr>
      <w:tr w:rsidR="0099058F" w14:paraId="4B7612D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2D3"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D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D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D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D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2D8" w14:textId="77777777" w:rsidR="0099058F" w:rsidRDefault="0099058F">
            <w:pPr>
              <w:widowControl/>
              <w:jc w:val="left"/>
              <w:rPr>
                <w:rFonts w:ascii="Times New Roman" w:eastAsia="宋体" w:hAnsi="宋体" w:cs="宋体"/>
                <w:kern w:val="0"/>
                <w:sz w:val="24"/>
              </w:rPr>
            </w:pPr>
          </w:p>
        </w:tc>
      </w:tr>
      <w:tr w:rsidR="0099058F" w14:paraId="4B7612E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2D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New borrowings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D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D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D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2E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2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47,248 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2E2" w14:textId="77777777" w:rsidR="0099058F" w:rsidRDefault="0099058F">
            <w:pPr>
              <w:widowControl/>
              <w:jc w:val="right"/>
              <w:rPr>
                <w:rFonts w:ascii="Times New Roman" w:eastAsia="宋体" w:hAnsi="宋体" w:cs="宋体"/>
                <w:kern w:val="0"/>
                <w:sz w:val="24"/>
              </w:rPr>
            </w:pPr>
          </w:p>
        </w:tc>
      </w:tr>
      <w:tr w:rsidR="0099058F" w14:paraId="4B7612E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12E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Debt repayments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E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E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2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2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(10,998)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2EC" w14:textId="77777777" w:rsidR="0099058F" w:rsidRDefault="0099058F">
            <w:pPr>
              <w:widowControl/>
              <w:jc w:val="right"/>
              <w:rPr>
                <w:rFonts w:ascii="Times New Roman" w:eastAsia="宋体" w:hAnsi="宋体" w:cs="宋体"/>
                <w:kern w:val="0"/>
                <w:sz w:val="24"/>
              </w:rPr>
            </w:pPr>
          </w:p>
        </w:tc>
      </w:tr>
      <w:tr w:rsidR="0099058F" w14:paraId="4B7612F4" w14:textId="77777777">
        <w:trPr>
          <w:jc w:val="center"/>
          <w:hidden/>
        </w:trPr>
        <w:tc>
          <w:tcPr>
            <w:tcW w:w="0" w:type="auto"/>
            <w:gridSpan w:val="3"/>
            <w:tcBorders>
              <w:top w:val="nil"/>
              <w:left w:val="nil"/>
              <w:bottom w:val="nil"/>
              <w:right w:val="nil"/>
            </w:tcBorders>
            <w:shd w:val="clear" w:color="auto" w:fill="auto"/>
            <w:vAlign w:val="bottom"/>
          </w:tcPr>
          <w:p w14:paraId="4B7612E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E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3" w14:textId="77777777" w:rsidR="0099058F" w:rsidRDefault="0099058F">
            <w:pPr>
              <w:widowControl/>
              <w:jc w:val="left"/>
              <w:rPr>
                <w:rFonts w:ascii="Times New Roman" w:eastAsia="宋体" w:hAnsi="宋体" w:cs="宋体"/>
                <w:vanish/>
                <w:kern w:val="0"/>
                <w:sz w:val="24"/>
              </w:rPr>
            </w:pPr>
          </w:p>
        </w:tc>
      </w:tr>
      <w:tr w:rsidR="0099058F" w14:paraId="4B7612FB" w14:textId="77777777">
        <w:trPr>
          <w:jc w:val="center"/>
          <w:hidden/>
        </w:trPr>
        <w:tc>
          <w:tcPr>
            <w:tcW w:w="0" w:type="auto"/>
            <w:gridSpan w:val="3"/>
            <w:tcBorders>
              <w:top w:val="nil"/>
              <w:left w:val="nil"/>
              <w:bottom w:val="nil"/>
              <w:right w:val="nil"/>
            </w:tcBorders>
            <w:shd w:val="clear" w:color="auto" w:fill="auto"/>
            <w:vAlign w:val="bottom"/>
          </w:tcPr>
          <w:p w14:paraId="4B7612F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A" w14:textId="77777777" w:rsidR="0099058F" w:rsidRDefault="0099058F">
            <w:pPr>
              <w:widowControl/>
              <w:jc w:val="left"/>
              <w:rPr>
                <w:rFonts w:ascii="Times New Roman" w:eastAsia="宋体" w:hAnsi="宋体" w:cs="宋体"/>
                <w:vanish/>
                <w:kern w:val="0"/>
                <w:sz w:val="24"/>
              </w:rPr>
            </w:pPr>
          </w:p>
        </w:tc>
      </w:tr>
      <w:tr w:rsidR="0099058F" w14:paraId="4B761302" w14:textId="77777777">
        <w:trPr>
          <w:jc w:val="center"/>
          <w:hidden/>
        </w:trPr>
        <w:tc>
          <w:tcPr>
            <w:tcW w:w="0" w:type="auto"/>
            <w:gridSpan w:val="3"/>
            <w:tcBorders>
              <w:top w:val="nil"/>
              <w:left w:val="nil"/>
              <w:bottom w:val="nil"/>
              <w:right w:val="nil"/>
            </w:tcBorders>
            <w:shd w:val="clear" w:color="auto" w:fill="auto"/>
            <w:vAlign w:val="bottom"/>
          </w:tcPr>
          <w:p w14:paraId="4B7612F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2F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0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01" w14:textId="77777777" w:rsidR="0099058F" w:rsidRDefault="0099058F">
            <w:pPr>
              <w:widowControl/>
              <w:jc w:val="left"/>
              <w:rPr>
                <w:rFonts w:ascii="Times New Roman" w:eastAsia="宋体" w:hAnsi="宋体" w:cs="宋体"/>
                <w:vanish/>
                <w:kern w:val="0"/>
                <w:sz w:val="24"/>
              </w:rPr>
            </w:pPr>
          </w:p>
        </w:tc>
      </w:tr>
      <w:tr w:rsidR="0099058F" w14:paraId="4B76130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30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Stock options exercised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0B" w14:textId="77777777" w:rsidR="0099058F" w:rsidRDefault="0099058F">
            <w:pPr>
              <w:widowControl/>
              <w:jc w:val="right"/>
              <w:rPr>
                <w:rFonts w:ascii="Times New Roman" w:eastAsia="宋体" w:hAnsi="宋体" w:cs="宋体"/>
                <w:kern w:val="0"/>
                <w:sz w:val="24"/>
              </w:rPr>
            </w:pPr>
          </w:p>
        </w:tc>
      </w:tr>
      <w:tr w:rsidR="0099058F" w14:paraId="4B761313" w14:textId="77777777">
        <w:trPr>
          <w:jc w:val="center"/>
          <w:hidden/>
        </w:trPr>
        <w:tc>
          <w:tcPr>
            <w:tcW w:w="0" w:type="auto"/>
            <w:gridSpan w:val="3"/>
            <w:tcBorders>
              <w:top w:val="nil"/>
              <w:left w:val="nil"/>
              <w:bottom w:val="nil"/>
              <w:right w:val="nil"/>
            </w:tcBorders>
            <w:shd w:val="clear" w:color="auto" w:fill="auto"/>
            <w:vAlign w:val="bottom"/>
          </w:tcPr>
          <w:p w14:paraId="4B76130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0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0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1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1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12" w14:textId="77777777" w:rsidR="0099058F" w:rsidRDefault="0099058F">
            <w:pPr>
              <w:widowControl/>
              <w:jc w:val="left"/>
              <w:rPr>
                <w:rFonts w:ascii="Times New Roman" w:eastAsia="宋体" w:hAnsi="宋体" w:cs="宋体"/>
                <w:vanish/>
                <w:kern w:val="0"/>
                <w:sz w:val="24"/>
              </w:rPr>
            </w:pPr>
          </w:p>
        </w:tc>
      </w:tr>
      <w:tr w:rsidR="0099058F" w14:paraId="4B76131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131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Employee taxes on certain share-based payment arrangements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3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31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1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3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31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1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31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31C" w14:textId="77777777" w:rsidR="0099058F" w:rsidRDefault="0099058F">
            <w:pPr>
              <w:widowControl/>
              <w:jc w:val="right"/>
              <w:rPr>
                <w:rFonts w:ascii="Times New Roman" w:eastAsia="宋体" w:hAnsi="宋体" w:cs="宋体"/>
                <w:kern w:val="0"/>
                <w:sz w:val="24"/>
              </w:rPr>
            </w:pPr>
          </w:p>
        </w:tc>
      </w:tr>
      <w:tr w:rsidR="0099058F" w14:paraId="4B761324" w14:textId="77777777">
        <w:trPr>
          <w:jc w:val="center"/>
          <w:hidden/>
        </w:trPr>
        <w:tc>
          <w:tcPr>
            <w:tcW w:w="0" w:type="auto"/>
            <w:gridSpan w:val="3"/>
            <w:tcBorders>
              <w:top w:val="nil"/>
              <w:left w:val="nil"/>
              <w:bottom w:val="nil"/>
              <w:right w:val="nil"/>
            </w:tcBorders>
            <w:shd w:val="clear" w:color="auto" w:fill="auto"/>
            <w:vAlign w:val="bottom"/>
          </w:tcPr>
          <w:p w14:paraId="4B76131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1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2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2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2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23" w14:textId="77777777" w:rsidR="0099058F" w:rsidRDefault="0099058F">
            <w:pPr>
              <w:widowControl/>
              <w:jc w:val="left"/>
              <w:rPr>
                <w:rFonts w:ascii="Times New Roman" w:eastAsia="宋体" w:hAnsi="宋体" w:cs="宋体"/>
                <w:vanish/>
                <w:kern w:val="0"/>
                <w:sz w:val="24"/>
              </w:rPr>
            </w:pPr>
          </w:p>
        </w:tc>
      </w:tr>
      <w:tr w:rsidR="0099058F" w14:paraId="4B76132D"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132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2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2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2C" w14:textId="77777777" w:rsidR="0099058F" w:rsidRDefault="0099058F">
            <w:pPr>
              <w:widowControl/>
              <w:jc w:val="right"/>
              <w:rPr>
                <w:rFonts w:ascii="Times New Roman" w:eastAsia="宋体" w:hAnsi="宋体" w:cs="宋体"/>
                <w:kern w:val="0"/>
                <w:sz w:val="24"/>
              </w:rPr>
            </w:pPr>
          </w:p>
        </w:tc>
      </w:tr>
      <w:tr w:rsidR="0099058F" w14:paraId="4B761334" w14:textId="77777777">
        <w:trPr>
          <w:jc w:val="center"/>
          <w:hidden/>
        </w:trPr>
        <w:tc>
          <w:tcPr>
            <w:tcW w:w="0" w:type="auto"/>
            <w:gridSpan w:val="3"/>
            <w:tcBorders>
              <w:top w:val="nil"/>
              <w:left w:val="nil"/>
              <w:bottom w:val="nil"/>
              <w:right w:val="nil"/>
            </w:tcBorders>
            <w:shd w:val="clear" w:color="auto" w:fill="auto"/>
            <w:vAlign w:val="bottom"/>
          </w:tcPr>
          <w:p w14:paraId="4B76132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3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3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33" w14:textId="77777777" w:rsidR="0099058F" w:rsidRDefault="0099058F">
            <w:pPr>
              <w:widowControl/>
              <w:jc w:val="left"/>
              <w:rPr>
                <w:rFonts w:ascii="Times New Roman" w:eastAsia="宋体" w:hAnsi="宋体" w:cs="宋体"/>
                <w:vanish/>
                <w:kern w:val="0"/>
                <w:sz w:val="24"/>
              </w:rPr>
            </w:pPr>
          </w:p>
        </w:tc>
      </w:tr>
      <w:tr w:rsidR="0099058F" w14:paraId="4B76133E" w14:textId="77777777">
        <w:trPr>
          <w:jc w:val="center"/>
        </w:trPr>
        <w:tc>
          <w:tcPr>
            <w:tcW w:w="0" w:type="auto"/>
            <w:gridSpan w:val="3"/>
            <w:tcBorders>
              <w:top w:val="single" w:sz="8" w:space="0" w:color="000000"/>
              <w:left w:val="nil"/>
              <w:bottom w:val="nil"/>
              <w:right w:val="nil"/>
            </w:tcBorders>
            <w:shd w:val="clear" w:color="auto" w:fill="FFFFFF"/>
            <w:tcMar>
              <w:top w:w="40" w:type="dxa"/>
              <w:left w:w="830" w:type="dxa"/>
              <w:bottom w:w="40" w:type="dxa"/>
              <w:right w:w="20" w:type="dxa"/>
            </w:tcMar>
          </w:tcPr>
          <w:p w14:paraId="4B761335"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(used)/provided by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37"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3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(5,600)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3A"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3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34,955 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3D" w14:textId="77777777" w:rsidR="0099058F" w:rsidRDefault="0099058F">
            <w:pPr>
              <w:widowControl/>
              <w:jc w:val="right"/>
              <w:rPr>
                <w:rFonts w:ascii="Times New Roman" w:eastAsia="宋体" w:hAnsi="宋体" w:cs="宋体"/>
                <w:kern w:val="0"/>
                <w:sz w:val="24"/>
              </w:rPr>
            </w:pPr>
          </w:p>
        </w:tc>
      </w:tr>
      <w:tr w:rsidR="0099058F" w14:paraId="4B76134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33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Effect of exchange rate changes on </w:t>
            </w:r>
            <w:r>
              <w:rPr>
                <w:rFonts w:ascii="Arial" w:eastAsia="宋体" w:hAnsi="Arial" w:cs="Arial"/>
                <w:color w:val="000000"/>
                <w:kern w:val="0"/>
                <w:sz w:val="16"/>
                <w:szCs w:val="16"/>
                <w:lang w:bidi="ar"/>
              </w:rPr>
              <w:t>cash and cash equivalents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41"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34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4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34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47" w14:textId="77777777" w:rsidR="0099058F" w:rsidRDefault="0099058F">
            <w:pPr>
              <w:widowControl/>
              <w:jc w:val="right"/>
              <w:rPr>
                <w:rFonts w:ascii="Times New Roman" w:eastAsia="宋体" w:hAnsi="宋体" w:cs="宋体"/>
                <w:kern w:val="0"/>
                <w:sz w:val="24"/>
              </w:rPr>
            </w:pPr>
          </w:p>
        </w:tc>
      </w:tr>
      <w:tr w:rsidR="0099058F" w14:paraId="4B76135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34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increase/(decrease)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6,543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4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4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4E"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4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51" w14:textId="77777777" w:rsidR="0099058F" w:rsidRDefault="0099058F">
            <w:pPr>
              <w:widowControl/>
              <w:jc w:val="right"/>
              <w:rPr>
                <w:rFonts w:ascii="Times New Roman" w:eastAsia="宋体" w:hAnsi="宋体" w:cs="宋体"/>
                <w:kern w:val="0"/>
                <w:sz w:val="24"/>
              </w:rPr>
            </w:pPr>
          </w:p>
        </w:tc>
      </w:tr>
      <w:tr w:rsidR="0099058F" w14:paraId="4B76135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35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8,104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5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5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5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3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35B" w14:textId="77777777" w:rsidR="0099058F" w:rsidRDefault="0099058F">
            <w:pPr>
              <w:widowControl/>
              <w:jc w:val="right"/>
              <w:rPr>
                <w:rFonts w:ascii="Times New Roman" w:eastAsia="宋体" w:hAnsi="宋体" w:cs="宋体"/>
                <w:kern w:val="0"/>
                <w:sz w:val="24"/>
              </w:rPr>
            </w:pPr>
          </w:p>
        </w:tc>
      </w:tr>
      <w:tr w:rsidR="0099058F" w14:paraId="4B76136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135D"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Cash &amp; cash </w:t>
            </w:r>
            <w:r>
              <w:rPr>
                <w:rFonts w:ascii="Arial" w:eastAsia="宋体" w:hAnsi="Arial" w:cs="Arial"/>
                <w:b/>
                <w:bCs/>
                <w:color w:val="000000"/>
                <w:kern w:val="0"/>
                <w:sz w:val="16"/>
                <w:szCs w:val="16"/>
                <w:lang w:bidi="ar"/>
              </w:rPr>
              <w:t>equivalents, including restricted, at end of 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14,647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5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6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6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6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3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7,835 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365" w14:textId="77777777" w:rsidR="0099058F" w:rsidRDefault="0099058F">
            <w:pPr>
              <w:widowControl/>
              <w:jc w:val="left"/>
              <w:rPr>
                <w:rFonts w:ascii="Times New Roman" w:eastAsia="宋体" w:hAnsi="宋体" w:cs="宋体"/>
                <w:kern w:val="0"/>
                <w:sz w:val="24"/>
              </w:rPr>
            </w:pPr>
          </w:p>
        </w:tc>
      </w:tr>
      <w:tr w:rsidR="0099058F" w14:paraId="4B761370" w14:textId="77777777">
        <w:trPr>
          <w:jc w:val="center"/>
        </w:trPr>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4B76136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36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6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36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3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36F" w14:textId="77777777" w:rsidR="0099058F" w:rsidRDefault="0099058F">
            <w:pPr>
              <w:widowControl/>
              <w:jc w:val="left"/>
              <w:rPr>
                <w:rFonts w:ascii="Times New Roman" w:eastAsia="宋体" w:hAnsi="宋体" w:cs="宋体"/>
                <w:kern w:val="0"/>
                <w:sz w:val="24"/>
              </w:rPr>
            </w:pPr>
          </w:p>
        </w:tc>
      </w:tr>
      <w:tr w:rsidR="0099058F" w14:paraId="4B76137A"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371"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and cash equivalents at end of year</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3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$14,614</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37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37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3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37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37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3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379" w14:textId="77777777" w:rsidR="0099058F" w:rsidRDefault="0099058F">
            <w:pPr>
              <w:widowControl/>
              <w:jc w:val="left"/>
              <w:rPr>
                <w:rFonts w:ascii="Times New Roman" w:eastAsia="宋体" w:hAnsi="宋体" w:cs="宋体"/>
                <w:kern w:val="0"/>
                <w:sz w:val="24"/>
              </w:rPr>
            </w:pPr>
          </w:p>
        </w:tc>
      </w:tr>
    </w:tbl>
    <w:p w14:paraId="4B76137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See Notes to the </w:t>
      </w:r>
      <w:r>
        <w:rPr>
          <w:rFonts w:ascii="Arial" w:eastAsia="宋体" w:hAnsi="Arial" w:cs="Arial"/>
          <w:color w:val="000000"/>
          <w:kern w:val="0"/>
          <w:sz w:val="20"/>
          <w:szCs w:val="20"/>
          <w:lang w:bidi="ar"/>
        </w:rPr>
        <w:t>Consolidated Financial Statements on pages 59 - 114.</w:t>
      </w:r>
    </w:p>
    <w:p w14:paraId="4B76137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56</w:t>
      </w:r>
    </w:p>
    <w:p w14:paraId="4B76137D" w14:textId="77777777" w:rsidR="0099058F" w:rsidRDefault="00EB2559">
      <w:pPr>
        <w:widowControl/>
        <w:jc w:val="center"/>
      </w:pPr>
      <w:r>
        <w:rPr>
          <w:rFonts w:ascii="宋体" w:eastAsia="宋体" w:hAnsi="宋体" w:cs="宋体"/>
          <w:kern w:val="0"/>
          <w:sz w:val="24"/>
        </w:rPr>
        <w:pict w14:anchorId="4B763C2F">
          <v:rect id="_x0000_i1082" style="width:6in;height:1.5pt" o:hralign="center" o:hrstd="t" o:hr="t" fillcolor="#a0a0a0" stroked="f"/>
        </w:pict>
      </w:r>
    </w:p>
    <w:p w14:paraId="4B76137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Table of Contents</w:t>
        </w:r>
      </w:hyperlink>
    </w:p>
    <w:p w14:paraId="4B76137F"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1380"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1381"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Equity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23"/>
        <w:gridCol w:w="39"/>
        <w:gridCol w:w="91"/>
        <w:gridCol w:w="590"/>
        <w:gridCol w:w="36"/>
        <w:gridCol w:w="91"/>
        <w:gridCol w:w="643"/>
        <w:gridCol w:w="36"/>
        <w:gridCol w:w="89"/>
        <w:gridCol w:w="616"/>
        <w:gridCol w:w="36"/>
        <w:gridCol w:w="671"/>
        <w:gridCol w:w="90"/>
        <w:gridCol w:w="583"/>
        <w:gridCol w:w="36"/>
        <w:gridCol w:w="95"/>
        <w:gridCol w:w="1057"/>
        <w:gridCol w:w="36"/>
        <w:gridCol w:w="93"/>
        <w:gridCol w:w="668"/>
        <w:gridCol w:w="36"/>
        <w:gridCol w:w="101"/>
        <w:gridCol w:w="604"/>
        <w:gridCol w:w="36"/>
      </w:tblGrid>
      <w:tr w:rsidR="0099058F" w14:paraId="4B76139B" w14:textId="77777777">
        <w:trPr>
          <w:jc w:val="center"/>
        </w:trPr>
        <w:tc>
          <w:tcPr>
            <w:tcW w:w="50" w:type="pct"/>
            <w:tcBorders>
              <w:top w:val="nil"/>
              <w:left w:val="nil"/>
              <w:bottom w:val="nil"/>
              <w:right w:val="nil"/>
            </w:tcBorders>
            <w:shd w:val="clear" w:color="auto" w:fill="auto"/>
            <w:vAlign w:val="bottom"/>
          </w:tcPr>
          <w:p w14:paraId="4B761382" w14:textId="77777777" w:rsidR="0099058F" w:rsidRDefault="0099058F">
            <w:pPr>
              <w:widowControl/>
              <w:jc w:val="left"/>
              <w:rPr>
                <w:rFonts w:ascii="Times New Roman" w:eastAsia="宋体" w:hAnsi="宋体" w:cs="宋体"/>
                <w:kern w:val="0"/>
                <w:sz w:val="24"/>
              </w:rPr>
            </w:pPr>
          </w:p>
        </w:tc>
        <w:tc>
          <w:tcPr>
            <w:tcW w:w="1984" w:type="pct"/>
            <w:tcBorders>
              <w:top w:val="nil"/>
              <w:left w:val="nil"/>
              <w:bottom w:val="nil"/>
              <w:right w:val="nil"/>
            </w:tcBorders>
            <w:shd w:val="clear" w:color="auto" w:fill="auto"/>
            <w:vAlign w:val="bottom"/>
          </w:tcPr>
          <w:p w14:paraId="4B7613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38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385" w14:textId="77777777" w:rsidR="0099058F" w:rsidRDefault="0099058F">
            <w:pPr>
              <w:widowControl/>
              <w:jc w:val="left"/>
              <w:rPr>
                <w:rFonts w:ascii="Times New Roman" w:eastAsia="宋体" w:hAnsi="宋体" w:cs="宋体"/>
                <w:kern w:val="0"/>
                <w:sz w:val="24"/>
              </w:rPr>
            </w:pPr>
          </w:p>
        </w:tc>
        <w:tc>
          <w:tcPr>
            <w:tcW w:w="325" w:type="pct"/>
            <w:tcBorders>
              <w:top w:val="nil"/>
              <w:left w:val="nil"/>
              <w:bottom w:val="single" w:sz="8" w:space="0" w:color="000000"/>
              <w:right w:val="nil"/>
            </w:tcBorders>
            <w:shd w:val="clear" w:color="auto" w:fill="auto"/>
            <w:vAlign w:val="bottom"/>
          </w:tcPr>
          <w:p w14:paraId="4B7613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138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B761388" w14:textId="77777777" w:rsidR="0099058F" w:rsidRDefault="0099058F">
            <w:pPr>
              <w:widowControl/>
              <w:jc w:val="left"/>
              <w:rPr>
                <w:rFonts w:ascii="Times New Roman" w:eastAsia="宋体" w:hAnsi="宋体" w:cs="宋体"/>
                <w:kern w:val="0"/>
                <w:sz w:val="24"/>
              </w:rPr>
            </w:pPr>
          </w:p>
        </w:tc>
        <w:tc>
          <w:tcPr>
            <w:tcW w:w="354" w:type="pct"/>
            <w:tcBorders>
              <w:top w:val="nil"/>
              <w:left w:val="nil"/>
              <w:bottom w:val="single" w:sz="8" w:space="0" w:color="000000"/>
              <w:right w:val="nil"/>
            </w:tcBorders>
            <w:shd w:val="clear" w:color="auto" w:fill="auto"/>
            <w:vAlign w:val="bottom"/>
          </w:tcPr>
          <w:p w14:paraId="4B7613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138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B76138B" w14:textId="77777777" w:rsidR="0099058F" w:rsidRDefault="0099058F">
            <w:pPr>
              <w:widowControl/>
              <w:jc w:val="left"/>
              <w:rPr>
                <w:rFonts w:ascii="Times New Roman" w:eastAsia="宋体" w:hAnsi="宋体" w:cs="宋体"/>
                <w:kern w:val="0"/>
                <w:sz w:val="24"/>
              </w:rPr>
            </w:pPr>
          </w:p>
        </w:tc>
        <w:tc>
          <w:tcPr>
            <w:tcW w:w="347" w:type="pct"/>
            <w:tcBorders>
              <w:top w:val="nil"/>
              <w:left w:val="nil"/>
              <w:bottom w:val="single" w:sz="8" w:space="0" w:color="000000"/>
              <w:right w:val="nil"/>
            </w:tcBorders>
            <w:shd w:val="clear" w:color="auto" w:fill="auto"/>
            <w:vAlign w:val="bottom"/>
          </w:tcPr>
          <w:p w14:paraId="4B7613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138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138E"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single" w:sz="8" w:space="0" w:color="000000"/>
              <w:right w:val="nil"/>
            </w:tcBorders>
            <w:shd w:val="clear" w:color="auto" w:fill="auto"/>
            <w:vAlign w:val="bottom"/>
          </w:tcPr>
          <w:p w14:paraId="4B76138F" w14:textId="77777777" w:rsidR="0099058F" w:rsidRDefault="0099058F">
            <w:pPr>
              <w:widowControl/>
              <w:jc w:val="left"/>
              <w:rPr>
                <w:rFonts w:ascii="Times New Roman" w:eastAsia="宋体" w:hAnsi="宋体" w:cs="宋体"/>
                <w:kern w:val="0"/>
                <w:sz w:val="24"/>
              </w:rPr>
            </w:pPr>
          </w:p>
        </w:tc>
        <w:tc>
          <w:tcPr>
            <w:tcW w:w="325" w:type="pct"/>
            <w:tcBorders>
              <w:top w:val="nil"/>
              <w:left w:val="nil"/>
              <w:bottom w:val="single" w:sz="8" w:space="0" w:color="000000"/>
              <w:right w:val="nil"/>
            </w:tcBorders>
            <w:shd w:val="clear" w:color="auto" w:fill="auto"/>
            <w:vAlign w:val="bottom"/>
          </w:tcPr>
          <w:p w14:paraId="4B7613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139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392" w14:textId="77777777" w:rsidR="0099058F" w:rsidRDefault="0099058F">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4B76139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39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395" w14:textId="77777777" w:rsidR="0099058F" w:rsidRDefault="0099058F">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4B76139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39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398" w14:textId="77777777" w:rsidR="0099058F" w:rsidRDefault="0099058F">
            <w:pPr>
              <w:widowControl/>
              <w:jc w:val="left"/>
              <w:rPr>
                <w:rFonts w:ascii="Times New Roman" w:eastAsia="宋体" w:hAnsi="宋体" w:cs="宋体"/>
                <w:kern w:val="0"/>
                <w:sz w:val="24"/>
              </w:rPr>
            </w:pPr>
          </w:p>
        </w:tc>
        <w:tc>
          <w:tcPr>
            <w:tcW w:w="302" w:type="pct"/>
            <w:tcBorders>
              <w:top w:val="nil"/>
              <w:left w:val="nil"/>
              <w:bottom w:val="nil"/>
              <w:right w:val="nil"/>
            </w:tcBorders>
            <w:shd w:val="clear" w:color="auto" w:fill="auto"/>
            <w:vAlign w:val="bottom"/>
          </w:tcPr>
          <w:p w14:paraId="4B76139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39A" w14:textId="77777777" w:rsidR="0099058F" w:rsidRDefault="0099058F">
            <w:pPr>
              <w:widowControl/>
              <w:jc w:val="left"/>
              <w:rPr>
                <w:rFonts w:ascii="Times New Roman" w:eastAsia="宋体" w:hAnsi="宋体" w:cs="宋体"/>
                <w:kern w:val="0"/>
                <w:sz w:val="24"/>
              </w:rPr>
            </w:pPr>
          </w:p>
        </w:tc>
      </w:tr>
      <w:tr w:rsidR="0099058F" w14:paraId="4B7613A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139C"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4B76139D"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139E"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B76139F"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auto"/>
            <w:vAlign w:val="bottom"/>
          </w:tcPr>
          <w:p w14:paraId="4B7613A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A1"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A2" w14:textId="77777777" w:rsidR="0099058F" w:rsidRDefault="0099058F">
            <w:pPr>
              <w:widowControl/>
              <w:jc w:val="left"/>
              <w:rPr>
                <w:rFonts w:ascii="Times New Roman" w:eastAsia="宋体" w:hAnsi="宋体" w:cs="宋体"/>
                <w:kern w:val="0"/>
                <w:sz w:val="24"/>
              </w:rPr>
            </w:pPr>
          </w:p>
        </w:tc>
      </w:tr>
      <w:tr w:rsidR="0099058F" w14:paraId="4B7613A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3A4"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3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3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3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Treasury </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Stock</w:t>
            </w:r>
          </w:p>
        </w:tc>
        <w:tc>
          <w:tcPr>
            <w:tcW w:w="0" w:type="auto"/>
            <w:tcBorders>
              <w:top w:val="nil"/>
              <w:left w:val="nil"/>
              <w:bottom w:val="nil"/>
              <w:right w:val="nil"/>
            </w:tcBorders>
            <w:shd w:val="clear" w:color="auto" w:fill="auto"/>
            <w:vAlign w:val="bottom"/>
          </w:tcPr>
          <w:p w14:paraId="4B7613A8"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3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3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w:t>
            </w:r>
            <w:r>
              <w:rPr>
                <w:rFonts w:ascii="Arial" w:eastAsia="宋体" w:hAnsi="Arial" w:cs="Arial"/>
                <w:color w:val="000000"/>
                <w:kern w:val="0"/>
                <w:sz w:val="16"/>
                <w:szCs w:val="16"/>
                <w:lang w:bidi="ar"/>
              </w:rPr>
              <w:br/>
              <w:t xml:space="preserve">Other </w:t>
            </w:r>
            <w:r>
              <w:rPr>
                <w:rFonts w:ascii="Arial" w:eastAsia="宋体" w:hAnsi="Arial" w:cs="Arial"/>
                <w:color w:val="000000"/>
                <w:kern w:val="0"/>
                <w:sz w:val="16"/>
                <w:szCs w:val="16"/>
                <w:lang w:bidi="ar"/>
              </w:rPr>
              <w:br/>
              <w:t xml:space="preserve">Comprehensive </w:t>
            </w:r>
            <w:r>
              <w:rPr>
                <w:rFonts w:ascii="Arial" w:eastAsia="宋体" w:hAnsi="Arial" w:cs="Arial"/>
                <w:color w:val="000000"/>
                <w:kern w:val="0"/>
                <w:sz w:val="16"/>
                <w:szCs w:val="16"/>
                <w:lang w:bidi="ar"/>
              </w:rPr>
              <w:br/>
              <w:t>Loss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3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3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99058F" w14:paraId="4B7613B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13AE"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A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B7613B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1"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B7613B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B7613B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B5"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6"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$50,482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3B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B7613B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3B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3B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($8,462)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3BD" w14:textId="77777777" w:rsidR="0099058F" w:rsidRDefault="0099058F">
            <w:pPr>
              <w:widowControl/>
              <w:jc w:val="left"/>
              <w:rPr>
                <w:rFonts w:ascii="Times New Roman" w:eastAsia="宋体" w:hAnsi="宋体" w:cs="宋体"/>
                <w:kern w:val="0"/>
                <w:sz w:val="24"/>
              </w:rPr>
            </w:pPr>
          </w:p>
        </w:tc>
      </w:tr>
      <w:tr w:rsidR="0099058F" w14:paraId="4B7613C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B7613BF" w14:textId="77777777" w:rsidR="0099058F" w:rsidRDefault="00EB2559">
            <w:pPr>
              <w:widowControl/>
              <w:ind w:left="90" w:hanging="90"/>
              <w:jc w:val="left"/>
              <w:textAlignment w:val="center"/>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C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C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C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C3"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B7613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(11,873)</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B7613C5"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3C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3C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3C8"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3C9"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(11,941)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3CA" w14:textId="77777777" w:rsidR="0099058F" w:rsidRDefault="0099058F">
            <w:pPr>
              <w:widowControl/>
              <w:jc w:val="right"/>
              <w:rPr>
                <w:rFonts w:ascii="Times New Roman" w:eastAsia="宋体" w:hAnsi="宋体" w:cs="宋体"/>
                <w:kern w:val="0"/>
                <w:sz w:val="24"/>
              </w:rPr>
            </w:pPr>
          </w:p>
        </w:tc>
      </w:tr>
      <w:tr w:rsidR="0099058F" w14:paraId="4B7613D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3CC"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 comprehensive loss, net of tax of $52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C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C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C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3D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3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3D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3D6" w14:textId="77777777" w:rsidR="0099058F" w:rsidRDefault="0099058F">
            <w:pPr>
              <w:widowControl/>
              <w:jc w:val="right"/>
              <w:rPr>
                <w:rFonts w:ascii="Times New Roman" w:eastAsia="宋体" w:hAnsi="宋体" w:cs="宋体"/>
                <w:kern w:val="0"/>
                <w:sz w:val="24"/>
              </w:rPr>
            </w:pPr>
          </w:p>
        </w:tc>
      </w:tr>
      <w:tr w:rsidR="0099058F" w14:paraId="4B7613E3"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center"/>
          </w:tcPr>
          <w:p w14:paraId="4B7613D8"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D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3D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3D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D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D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D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E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3E1"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3E2" w14:textId="77777777" w:rsidR="0099058F" w:rsidRDefault="0099058F">
            <w:pPr>
              <w:widowControl/>
              <w:jc w:val="right"/>
              <w:rPr>
                <w:rFonts w:ascii="Times New Roman" w:eastAsia="宋体" w:hAnsi="宋体" w:cs="宋体"/>
                <w:kern w:val="0"/>
                <w:sz w:val="24"/>
              </w:rPr>
            </w:pPr>
          </w:p>
        </w:tc>
      </w:tr>
      <w:tr w:rsidR="0099058F" w14:paraId="4B7613ED" w14:textId="77777777">
        <w:trPr>
          <w:jc w:val="center"/>
          <w:hidden/>
        </w:trPr>
        <w:tc>
          <w:tcPr>
            <w:tcW w:w="0" w:type="auto"/>
            <w:gridSpan w:val="3"/>
            <w:tcBorders>
              <w:top w:val="nil"/>
              <w:left w:val="nil"/>
              <w:bottom w:val="nil"/>
              <w:right w:val="nil"/>
            </w:tcBorders>
            <w:shd w:val="clear" w:color="auto" w:fill="auto"/>
            <w:vAlign w:val="bottom"/>
          </w:tcPr>
          <w:p w14:paraId="4B7613E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3E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3EC" w14:textId="77777777" w:rsidR="0099058F" w:rsidRDefault="0099058F">
            <w:pPr>
              <w:widowControl/>
              <w:jc w:val="left"/>
              <w:rPr>
                <w:rFonts w:ascii="Times New Roman" w:eastAsia="宋体" w:hAnsi="宋体" w:cs="宋体"/>
                <w:vanish/>
                <w:kern w:val="0"/>
                <w:sz w:val="24"/>
              </w:rPr>
            </w:pPr>
          </w:p>
        </w:tc>
      </w:tr>
      <w:tr w:rsidR="0099058F" w14:paraId="4B7613F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3EE"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E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3F0"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3F1"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3F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3F3"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3F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F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3F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3F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3F9" w14:textId="77777777" w:rsidR="0099058F" w:rsidRDefault="0099058F">
            <w:pPr>
              <w:widowControl/>
              <w:jc w:val="right"/>
              <w:rPr>
                <w:rFonts w:ascii="Times New Roman" w:eastAsia="宋体" w:hAnsi="宋体" w:cs="宋体"/>
                <w:kern w:val="0"/>
                <w:sz w:val="24"/>
              </w:rPr>
            </w:pPr>
          </w:p>
        </w:tc>
      </w:tr>
      <w:tr w:rsidR="0099058F" w14:paraId="4B76140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3FB"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3F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3FD"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(214)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3F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3F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00"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0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0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0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0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(167)</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06" w14:textId="77777777" w:rsidR="0099058F" w:rsidRDefault="0099058F">
            <w:pPr>
              <w:widowControl/>
              <w:jc w:val="right"/>
              <w:rPr>
                <w:rFonts w:ascii="Times New Roman" w:eastAsia="宋体" w:hAnsi="宋体" w:cs="宋体"/>
                <w:kern w:val="0"/>
                <w:sz w:val="24"/>
              </w:rPr>
            </w:pPr>
          </w:p>
        </w:tc>
      </w:tr>
      <w:tr w:rsidR="0099058F" w14:paraId="4B7614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408"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contributed to pension plans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0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952 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0B"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0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2,048 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0D"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0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1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1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3,000 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13" w14:textId="77777777" w:rsidR="0099058F" w:rsidRDefault="0099058F">
            <w:pPr>
              <w:widowControl/>
              <w:jc w:val="right"/>
              <w:rPr>
                <w:rFonts w:ascii="Times New Roman" w:eastAsia="宋体" w:hAnsi="宋体" w:cs="宋体"/>
                <w:kern w:val="0"/>
                <w:sz w:val="24"/>
              </w:rPr>
            </w:pPr>
          </w:p>
        </w:tc>
      </w:tr>
      <w:tr w:rsidR="0099058F" w14:paraId="4B76142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415"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41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1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19"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1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1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1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195 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1F" w14:textId="77777777" w:rsidR="0099058F" w:rsidRDefault="0099058F">
            <w:pPr>
              <w:widowControl/>
              <w:jc w:val="right"/>
              <w:rPr>
                <w:rFonts w:ascii="Times New Roman" w:eastAsia="宋体" w:hAnsi="宋体" w:cs="宋体"/>
                <w:kern w:val="0"/>
                <w:sz w:val="24"/>
              </w:rPr>
            </w:pPr>
          </w:p>
        </w:tc>
      </w:tr>
      <w:tr w:rsidR="0099058F" w14:paraId="4B76142A" w14:textId="77777777">
        <w:trPr>
          <w:jc w:val="center"/>
          <w:hidden/>
        </w:trPr>
        <w:tc>
          <w:tcPr>
            <w:tcW w:w="0" w:type="auto"/>
            <w:gridSpan w:val="3"/>
            <w:tcBorders>
              <w:top w:val="nil"/>
              <w:left w:val="nil"/>
              <w:bottom w:val="nil"/>
              <w:right w:val="nil"/>
            </w:tcBorders>
            <w:shd w:val="clear" w:color="auto" w:fill="auto"/>
            <w:vAlign w:val="bottom"/>
          </w:tcPr>
          <w:p w14:paraId="4B76142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4"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2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9" w14:textId="77777777" w:rsidR="0099058F" w:rsidRDefault="0099058F">
            <w:pPr>
              <w:widowControl/>
              <w:jc w:val="left"/>
              <w:rPr>
                <w:rFonts w:ascii="Times New Roman" w:eastAsia="宋体" w:hAnsi="宋体" w:cs="宋体"/>
                <w:vanish/>
                <w:kern w:val="0"/>
                <w:sz w:val="24"/>
              </w:rPr>
            </w:pPr>
          </w:p>
        </w:tc>
      </w:tr>
      <w:tr w:rsidR="0099058F" w14:paraId="4B761434" w14:textId="77777777">
        <w:trPr>
          <w:jc w:val="center"/>
          <w:hidden/>
        </w:trPr>
        <w:tc>
          <w:tcPr>
            <w:tcW w:w="0" w:type="auto"/>
            <w:gridSpan w:val="3"/>
            <w:tcBorders>
              <w:top w:val="nil"/>
              <w:left w:val="nil"/>
              <w:bottom w:val="nil"/>
              <w:right w:val="nil"/>
            </w:tcBorders>
            <w:shd w:val="clear" w:color="auto" w:fill="auto"/>
            <w:vAlign w:val="bottom"/>
          </w:tcPr>
          <w:p w14:paraId="4B76142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2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3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3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33" w14:textId="77777777" w:rsidR="0099058F" w:rsidRDefault="0099058F">
            <w:pPr>
              <w:widowControl/>
              <w:jc w:val="left"/>
              <w:rPr>
                <w:rFonts w:ascii="Times New Roman" w:eastAsia="宋体" w:hAnsi="宋体" w:cs="宋体"/>
                <w:vanish/>
                <w:kern w:val="0"/>
                <w:sz w:val="24"/>
              </w:rPr>
            </w:pPr>
          </w:p>
        </w:tc>
      </w:tr>
      <w:tr w:rsidR="0099058F" w14:paraId="4B76144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435"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Changes in noncontrolling interests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3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3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3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3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3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3D"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3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3F" w14:textId="77777777" w:rsidR="0099058F" w:rsidRDefault="0099058F">
            <w:pPr>
              <w:widowControl/>
              <w:jc w:val="right"/>
              <w:rPr>
                <w:rFonts w:ascii="Times New Roman" w:eastAsia="宋体" w:hAnsi="宋体" w:cs="宋体"/>
                <w:kern w:val="0"/>
                <w:sz w:val="24"/>
              </w:rPr>
            </w:pPr>
          </w:p>
        </w:tc>
      </w:tr>
      <w:tr w:rsidR="0099058F" w14:paraId="4B76144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441"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4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446"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4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4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49"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4A" w14:textId="77777777" w:rsidR="0099058F" w:rsidRDefault="0099058F">
            <w:pPr>
              <w:widowControl/>
              <w:jc w:val="right"/>
              <w:rPr>
                <w:rFonts w:ascii="Times New Roman" w:eastAsia="宋体" w:hAnsi="宋体" w:cs="宋体"/>
                <w:kern w:val="0"/>
                <w:sz w:val="24"/>
              </w:rPr>
            </w:pPr>
          </w:p>
        </w:tc>
      </w:tr>
      <w:tr w:rsidR="0099058F" w14:paraId="4B76145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144C"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4D"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4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4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$7,787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51"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($52,641)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53"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54"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$38,610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56"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5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45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45B" w14:textId="77777777" w:rsidR="0099058F" w:rsidRDefault="0099058F">
            <w:pPr>
              <w:widowControl/>
              <w:jc w:val="left"/>
              <w:rPr>
                <w:rFonts w:ascii="Times New Roman" w:eastAsia="宋体" w:hAnsi="宋体" w:cs="宋体"/>
                <w:kern w:val="0"/>
                <w:sz w:val="24"/>
              </w:rPr>
            </w:pPr>
          </w:p>
        </w:tc>
      </w:tr>
      <w:tr w:rsidR="0099058F" w14:paraId="4B761466" w14:textId="77777777">
        <w:trPr>
          <w:jc w:val="center"/>
          <w:hidden/>
        </w:trPr>
        <w:tc>
          <w:tcPr>
            <w:tcW w:w="0" w:type="auto"/>
            <w:gridSpan w:val="3"/>
            <w:tcBorders>
              <w:top w:val="nil"/>
              <w:left w:val="nil"/>
              <w:bottom w:val="nil"/>
              <w:right w:val="nil"/>
            </w:tcBorders>
            <w:shd w:val="clear" w:color="auto" w:fill="auto"/>
            <w:vAlign w:val="bottom"/>
          </w:tcPr>
          <w:p w14:paraId="4B76145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5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5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6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5" w14:textId="77777777" w:rsidR="0099058F" w:rsidRDefault="0099058F">
            <w:pPr>
              <w:widowControl/>
              <w:jc w:val="left"/>
              <w:rPr>
                <w:rFonts w:ascii="Times New Roman" w:eastAsia="宋体" w:hAnsi="宋体" w:cs="宋体"/>
                <w:vanish/>
                <w:kern w:val="0"/>
                <w:sz w:val="24"/>
              </w:rPr>
            </w:pPr>
          </w:p>
        </w:tc>
      </w:tr>
      <w:tr w:rsidR="0099058F" w14:paraId="4B761470" w14:textId="77777777">
        <w:trPr>
          <w:jc w:val="center"/>
          <w:hidden/>
        </w:trPr>
        <w:tc>
          <w:tcPr>
            <w:tcW w:w="0" w:type="auto"/>
            <w:gridSpan w:val="3"/>
            <w:tcBorders>
              <w:top w:val="nil"/>
              <w:left w:val="nil"/>
              <w:bottom w:val="nil"/>
              <w:right w:val="nil"/>
            </w:tcBorders>
            <w:shd w:val="clear" w:color="auto" w:fill="auto"/>
            <w:vAlign w:val="bottom"/>
          </w:tcPr>
          <w:p w14:paraId="4B76146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6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6F" w14:textId="77777777" w:rsidR="0099058F" w:rsidRDefault="0099058F">
            <w:pPr>
              <w:widowControl/>
              <w:jc w:val="left"/>
              <w:rPr>
                <w:rFonts w:ascii="Times New Roman" w:eastAsia="宋体" w:hAnsi="宋体" w:cs="宋体"/>
                <w:vanish/>
                <w:kern w:val="0"/>
                <w:sz w:val="24"/>
              </w:rPr>
            </w:pPr>
          </w:p>
        </w:tc>
      </w:tr>
      <w:tr w:rsidR="0099058F" w14:paraId="4B76147D"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B761471" w14:textId="77777777" w:rsidR="0099058F" w:rsidRDefault="00EB2559">
            <w:pPr>
              <w:widowControl/>
              <w:ind w:left="90" w:hanging="90"/>
              <w:jc w:val="left"/>
              <w:textAlignment w:val="center"/>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47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47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47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75"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76"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(4,202)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477"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47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79"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47A"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7B"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(4,290)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47C" w14:textId="77777777" w:rsidR="0099058F" w:rsidRDefault="0099058F">
            <w:pPr>
              <w:widowControl/>
              <w:jc w:val="right"/>
              <w:rPr>
                <w:rFonts w:ascii="Times New Roman" w:eastAsia="宋体" w:hAnsi="宋体" w:cs="宋体"/>
                <w:kern w:val="0"/>
                <w:sz w:val="24"/>
              </w:rPr>
            </w:pPr>
          </w:p>
        </w:tc>
      </w:tr>
      <w:tr w:rsidR="0099058F" w14:paraId="4B76148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47E"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 comprehensive income, net of tax of ($57)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7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81"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8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84"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5,474 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8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8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8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5,474 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88" w14:textId="77777777" w:rsidR="0099058F" w:rsidRDefault="0099058F">
            <w:pPr>
              <w:widowControl/>
              <w:jc w:val="right"/>
              <w:rPr>
                <w:rFonts w:ascii="Times New Roman" w:eastAsia="宋体" w:hAnsi="宋体" w:cs="宋体"/>
                <w:kern w:val="0"/>
                <w:sz w:val="24"/>
              </w:rPr>
            </w:pPr>
          </w:p>
        </w:tc>
      </w:tr>
      <w:tr w:rsidR="0099058F" w14:paraId="4B761495"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center"/>
          </w:tcPr>
          <w:p w14:paraId="4B76148A"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8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8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833 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8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8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8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9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9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9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9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833 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94" w14:textId="77777777" w:rsidR="0099058F" w:rsidRDefault="0099058F">
            <w:pPr>
              <w:widowControl/>
              <w:jc w:val="right"/>
              <w:rPr>
                <w:rFonts w:ascii="Times New Roman" w:eastAsia="宋体" w:hAnsi="宋体" w:cs="宋体"/>
                <w:kern w:val="0"/>
                <w:sz w:val="24"/>
              </w:rPr>
            </w:pPr>
          </w:p>
        </w:tc>
      </w:tr>
      <w:tr w:rsidR="0099058F" w14:paraId="4B76149F" w14:textId="77777777">
        <w:trPr>
          <w:jc w:val="center"/>
          <w:hidden/>
        </w:trPr>
        <w:tc>
          <w:tcPr>
            <w:tcW w:w="0" w:type="auto"/>
            <w:gridSpan w:val="3"/>
            <w:tcBorders>
              <w:top w:val="nil"/>
              <w:left w:val="nil"/>
              <w:bottom w:val="nil"/>
              <w:right w:val="nil"/>
            </w:tcBorders>
            <w:shd w:val="clear" w:color="auto" w:fill="auto"/>
            <w:vAlign w:val="bottom"/>
          </w:tcPr>
          <w:p w14:paraId="4B76149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9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9E" w14:textId="77777777" w:rsidR="0099058F" w:rsidRDefault="0099058F">
            <w:pPr>
              <w:widowControl/>
              <w:jc w:val="left"/>
              <w:rPr>
                <w:rFonts w:ascii="Times New Roman" w:eastAsia="宋体" w:hAnsi="宋体" w:cs="宋体"/>
                <w:vanish/>
                <w:kern w:val="0"/>
                <w:sz w:val="24"/>
              </w:rPr>
            </w:pPr>
          </w:p>
        </w:tc>
      </w:tr>
      <w:tr w:rsidR="0099058F" w14:paraId="4B7614A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4A0"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A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A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A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A4"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70 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A5"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A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A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A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A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A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AB" w14:textId="77777777" w:rsidR="0099058F" w:rsidRDefault="0099058F">
            <w:pPr>
              <w:widowControl/>
              <w:jc w:val="right"/>
              <w:rPr>
                <w:rFonts w:ascii="Times New Roman" w:eastAsia="宋体" w:hAnsi="宋体" w:cs="宋体"/>
                <w:kern w:val="0"/>
                <w:sz w:val="24"/>
              </w:rPr>
            </w:pPr>
          </w:p>
        </w:tc>
      </w:tr>
      <w:tr w:rsidR="0099058F" w14:paraId="4B7614B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4AD"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A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A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B0"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B1"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B2"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B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B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B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4B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4B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4B8" w14:textId="77777777" w:rsidR="0099058F" w:rsidRDefault="0099058F">
            <w:pPr>
              <w:widowControl/>
              <w:jc w:val="right"/>
              <w:rPr>
                <w:rFonts w:ascii="Times New Roman" w:eastAsia="宋体" w:hAnsi="宋体" w:cs="宋体"/>
                <w:kern w:val="0"/>
                <w:sz w:val="24"/>
              </w:rPr>
            </w:pPr>
          </w:p>
        </w:tc>
      </w:tr>
      <w:tr w:rsidR="0099058F" w14:paraId="4B7614C3" w14:textId="77777777">
        <w:trPr>
          <w:jc w:val="center"/>
          <w:hidden/>
        </w:trPr>
        <w:tc>
          <w:tcPr>
            <w:tcW w:w="0" w:type="auto"/>
            <w:gridSpan w:val="3"/>
            <w:tcBorders>
              <w:top w:val="nil"/>
              <w:left w:val="nil"/>
              <w:bottom w:val="nil"/>
              <w:right w:val="nil"/>
            </w:tcBorders>
            <w:shd w:val="clear" w:color="auto" w:fill="auto"/>
            <w:vAlign w:val="bottom"/>
          </w:tcPr>
          <w:p w14:paraId="4B7614B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BD"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B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B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2" w14:textId="77777777" w:rsidR="0099058F" w:rsidRDefault="0099058F">
            <w:pPr>
              <w:widowControl/>
              <w:jc w:val="left"/>
              <w:rPr>
                <w:rFonts w:ascii="Times New Roman" w:eastAsia="宋体" w:hAnsi="宋体" w:cs="宋体"/>
                <w:vanish/>
                <w:kern w:val="0"/>
                <w:sz w:val="24"/>
              </w:rPr>
            </w:pPr>
          </w:p>
        </w:tc>
      </w:tr>
      <w:tr w:rsidR="0099058F" w14:paraId="4B7614CD" w14:textId="77777777">
        <w:trPr>
          <w:jc w:val="center"/>
          <w:hidden/>
        </w:trPr>
        <w:tc>
          <w:tcPr>
            <w:tcW w:w="0" w:type="auto"/>
            <w:gridSpan w:val="3"/>
            <w:tcBorders>
              <w:top w:val="nil"/>
              <w:left w:val="nil"/>
              <w:bottom w:val="nil"/>
              <w:right w:val="nil"/>
            </w:tcBorders>
            <w:shd w:val="clear" w:color="auto" w:fill="auto"/>
            <w:vAlign w:val="bottom"/>
          </w:tcPr>
          <w:p w14:paraId="4B7614C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C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C" w14:textId="77777777" w:rsidR="0099058F" w:rsidRDefault="0099058F">
            <w:pPr>
              <w:widowControl/>
              <w:jc w:val="left"/>
              <w:rPr>
                <w:rFonts w:ascii="Times New Roman" w:eastAsia="宋体" w:hAnsi="宋体" w:cs="宋体"/>
                <w:vanish/>
                <w:kern w:val="0"/>
                <w:sz w:val="24"/>
              </w:rPr>
            </w:pPr>
          </w:p>
        </w:tc>
      </w:tr>
      <w:tr w:rsidR="0099058F" w14:paraId="4B7614D7" w14:textId="77777777">
        <w:trPr>
          <w:jc w:val="center"/>
          <w:hidden/>
        </w:trPr>
        <w:tc>
          <w:tcPr>
            <w:tcW w:w="0" w:type="auto"/>
            <w:gridSpan w:val="3"/>
            <w:tcBorders>
              <w:top w:val="nil"/>
              <w:left w:val="nil"/>
              <w:bottom w:val="nil"/>
              <w:right w:val="nil"/>
            </w:tcBorders>
            <w:shd w:val="clear" w:color="auto" w:fill="auto"/>
            <w:vAlign w:val="bottom"/>
          </w:tcPr>
          <w:p w14:paraId="4B7614C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C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D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D6" w14:textId="77777777" w:rsidR="0099058F" w:rsidRDefault="0099058F">
            <w:pPr>
              <w:widowControl/>
              <w:jc w:val="left"/>
              <w:rPr>
                <w:rFonts w:ascii="Times New Roman" w:eastAsia="宋体" w:hAnsi="宋体" w:cs="宋体"/>
                <w:vanish/>
                <w:kern w:val="0"/>
                <w:sz w:val="24"/>
              </w:rPr>
            </w:pPr>
          </w:p>
        </w:tc>
      </w:tr>
      <w:tr w:rsidR="0099058F" w14:paraId="4B7614E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4D8"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D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D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558 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DB"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D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DD"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4D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D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4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4E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1,233 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4E3" w14:textId="77777777" w:rsidR="0099058F" w:rsidRDefault="0099058F">
            <w:pPr>
              <w:widowControl/>
              <w:jc w:val="right"/>
              <w:rPr>
                <w:rFonts w:ascii="Times New Roman" w:eastAsia="宋体" w:hAnsi="宋体" w:cs="宋体"/>
                <w:kern w:val="0"/>
                <w:sz w:val="24"/>
              </w:rPr>
            </w:pPr>
          </w:p>
        </w:tc>
      </w:tr>
      <w:tr w:rsidR="0099058F" w14:paraId="4B7614EE" w14:textId="77777777">
        <w:trPr>
          <w:jc w:val="center"/>
          <w:hidden/>
        </w:trPr>
        <w:tc>
          <w:tcPr>
            <w:tcW w:w="0" w:type="auto"/>
            <w:gridSpan w:val="3"/>
            <w:tcBorders>
              <w:top w:val="nil"/>
              <w:left w:val="nil"/>
              <w:bottom w:val="nil"/>
              <w:right w:val="nil"/>
            </w:tcBorders>
            <w:shd w:val="clear" w:color="auto" w:fill="auto"/>
            <w:vAlign w:val="bottom"/>
          </w:tcPr>
          <w:p w14:paraId="4B7614E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E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ED" w14:textId="77777777" w:rsidR="0099058F" w:rsidRDefault="0099058F">
            <w:pPr>
              <w:widowControl/>
              <w:jc w:val="left"/>
              <w:rPr>
                <w:rFonts w:ascii="Times New Roman" w:eastAsia="宋体" w:hAnsi="宋体" w:cs="宋体"/>
                <w:vanish/>
                <w:kern w:val="0"/>
                <w:sz w:val="24"/>
              </w:rPr>
            </w:pPr>
          </w:p>
        </w:tc>
      </w:tr>
      <w:tr w:rsidR="0099058F" w14:paraId="4B7614F8" w14:textId="77777777">
        <w:trPr>
          <w:jc w:val="center"/>
          <w:hidden/>
        </w:trPr>
        <w:tc>
          <w:tcPr>
            <w:tcW w:w="0" w:type="auto"/>
            <w:gridSpan w:val="3"/>
            <w:tcBorders>
              <w:top w:val="nil"/>
              <w:left w:val="nil"/>
              <w:bottom w:val="nil"/>
              <w:right w:val="nil"/>
            </w:tcBorders>
            <w:shd w:val="clear" w:color="auto" w:fill="auto"/>
            <w:vAlign w:val="bottom"/>
          </w:tcPr>
          <w:p w14:paraId="4B7614E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4F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4F7" w14:textId="77777777" w:rsidR="0099058F" w:rsidRDefault="0099058F">
            <w:pPr>
              <w:widowControl/>
              <w:jc w:val="left"/>
              <w:rPr>
                <w:rFonts w:ascii="Times New Roman" w:eastAsia="宋体" w:hAnsi="宋体" w:cs="宋体"/>
                <w:vanish/>
                <w:kern w:val="0"/>
                <w:sz w:val="24"/>
              </w:rPr>
            </w:pPr>
          </w:p>
        </w:tc>
      </w:tr>
      <w:tr w:rsidR="0099058F" w14:paraId="4B76150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B7614F9" w14:textId="77777777" w:rsidR="0099058F" w:rsidRDefault="00EB2559">
            <w:pPr>
              <w:widowControl/>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Balance at December 31,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F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B7614F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F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$9,052</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B7614F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4F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($51,861)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B7614F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00"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501"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$34,408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50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50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B76150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50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50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B76150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B761508" w14:textId="77777777" w:rsidR="0099058F" w:rsidRDefault="0099058F">
            <w:pPr>
              <w:widowControl/>
              <w:jc w:val="left"/>
              <w:rPr>
                <w:rFonts w:ascii="Times New Roman" w:eastAsia="宋体" w:hAnsi="宋体" w:cs="宋体"/>
                <w:kern w:val="0"/>
                <w:sz w:val="24"/>
              </w:rPr>
            </w:pPr>
          </w:p>
        </w:tc>
      </w:tr>
      <w:tr w:rsidR="0099058F" w14:paraId="4B76151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150A" w14:textId="77777777" w:rsidR="0099058F" w:rsidRDefault="00EB2559">
            <w:pPr>
              <w:widowControl/>
              <w:ind w:left="90" w:hanging="9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0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0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0E"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50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(4,935)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510"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1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51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513"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1514"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1515" w14:textId="77777777" w:rsidR="0099058F" w:rsidRDefault="0099058F">
            <w:pPr>
              <w:widowControl/>
              <w:jc w:val="right"/>
              <w:rPr>
                <w:rFonts w:ascii="Times New Roman" w:eastAsia="宋体" w:hAnsi="宋体" w:cs="宋体"/>
                <w:kern w:val="0"/>
                <w:sz w:val="24"/>
              </w:rPr>
            </w:pPr>
          </w:p>
        </w:tc>
      </w:tr>
      <w:tr w:rsidR="0099058F" w14:paraId="4B76152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517"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1A"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1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1D"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2,109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1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1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20"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2,109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21" w14:textId="77777777" w:rsidR="0099058F" w:rsidRDefault="0099058F">
            <w:pPr>
              <w:widowControl/>
              <w:jc w:val="right"/>
              <w:rPr>
                <w:rFonts w:ascii="Times New Roman" w:eastAsia="宋体" w:hAnsi="宋体" w:cs="宋体"/>
                <w:kern w:val="0"/>
                <w:sz w:val="24"/>
              </w:rPr>
            </w:pPr>
          </w:p>
        </w:tc>
      </w:tr>
      <w:tr w:rsidR="0099058F" w14:paraId="4B76152E"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center"/>
          </w:tcPr>
          <w:p w14:paraId="4B761523"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2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52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725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52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27"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2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2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52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725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52D" w14:textId="77777777" w:rsidR="0099058F" w:rsidRDefault="0099058F">
            <w:pPr>
              <w:widowControl/>
              <w:jc w:val="right"/>
              <w:rPr>
                <w:rFonts w:ascii="Times New Roman" w:eastAsia="宋体" w:hAnsi="宋体" w:cs="宋体"/>
                <w:kern w:val="0"/>
                <w:sz w:val="24"/>
              </w:rPr>
            </w:pPr>
          </w:p>
        </w:tc>
      </w:tr>
      <w:tr w:rsidR="0099058F" w14:paraId="4B761538" w14:textId="77777777">
        <w:trPr>
          <w:jc w:val="center"/>
          <w:hidden/>
        </w:trPr>
        <w:tc>
          <w:tcPr>
            <w:tcW w:w="0" w:type="auto"/>
            <w:gridSpan w:val="3"/>
            <w:tcBorders>
              <w:top w:val="nil"/>
              <w:left w:val="nil"/>
              <w:bottom w:val="nil"/>
              <w:right w:val="nil"/>
            </w:tcBorders>
            <w:shd w:val="clear" w:color="auto" w:fill="auto"/>
            <w:vAlign w:val="bottom"/>
          </w:tcPr>
          <w:p w14:paraId="4B7615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3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37" w14:textId="77777777" w:rsidR="0099058F" w:rsidRDefault="0099058F">
            <w:pPr>
              <w:widowControl/>
              <w:jc w:val="left"/>
              <w:rPr>
                <w:rFonts w:ascii="Times New Roman" w:eastAsia="宋体" w:hAnsi="宋体" w:cs="宋体"/>
                <w:vanish/>
                <w:kern w:val="0"/>
                <w:sz w:val="24"/>
              </w:rPr>
            </w:pPr>
          </w:p>
        </w:tc>
      </w:tr>
      <w:tr w:rsidR="0099058F" w14:paraId="4B76154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1539"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3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3B"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3C"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3D"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81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3E"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3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4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4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44" w14:textId="77777777" w:rsidR="0099058F" w:rsidRDefault="0099058F">
            <w:pPr>
              <w:widowControl/>
              <w:jc w:val="right"/>
              <w:rPr>
                <w:rFonts w:ascii="Times New Roman" w:eastAsia="宋体" w:hAnsi="宋体" w:cs="宋体"/>
                <w:kern w:val="0"/>
                <w:sz w:val="24"/>
              </w:rPr>
            </w:pPr>
          </w:p>
        </w:tc>
      </w:tr>
      <w:tr w:rsidR="0099058F" w14:paraId="4B76155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1546" w14:textId="77777777" w:rsidR="0099058F" w:rsidRDefault="00EB2559">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4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54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549"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54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54B"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4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4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1550"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1551" w14:textId="77777777" w:rsidR="0099058F" w:rsidRDefault="0099058F">
            <w:pPr>
              <w:widowControl/>
              <w:jc w:val="right"/>
              <w:rPr>
                <w:rFonts w:ascii="Times New Roman" w:eastAsia="宋体" w:hAnsi="宋体" w:cs="宋体"/>
                <w:kern w:val="0"/>
                <w:sz w:val="24"/>
              </w:rPr>
            </w:pPr>
          </w:p>
        </w:tc>
      </w:tr>
      <w:tr w:rsidR="0099058F" w14:paraId="4B76155C" w14:textId="77777777">
        <w:trPr>
          <w:jc w:val="center"/>
          <w:hidden/>
        </w:trPr>
        <w:tc>
          <w:tcPr>
            <w:tcW w:w="0" w:type="auto"/>
            <w:gridSpan w:val="3"/>
            <w:tcBorders>
              <w:top w:val="nil"/>
              <w:left w:val="nil"/>
              <w:bottom w:val="nil"/>
              <w:right w:val="nil"/>
            </w:tcBorders>
            <w:shd w:val="clear" w:color="auto" w:fill="auto"/>
            <w:vAlign w:val="bottom"/>
          </w:tcPr>
          <w:p w14:paraId="4B7615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5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B" w14:textId="77777777" w:rsidR="0099058F" w:rsidRDefault="0099058F">
            <w:pPr>
              <w:widowControl/>
              <w:jc w:val="left"/>
              <w:rPr>
                <w:rFonts w:ascii="Times New Roman" w:eastAsia="宋体" w:hAnsi="宋体" w:cs="宋体"/>
                <w:vanish/>
                <w:kern w:val="0"/>
                <w:sz w:val="24"/>
              </w:rPr>
            </w:pPr>
          </w:p>
        </w:tc>
      </w:tr>
      <w:tr w:rsidR="0099058F" w14:paraId="4B761566" w14:textId="77777777">
        <w:trPr>
          <w:jc w:val="center"/>
          <w:hidden/>
        </w:trPr>
        <w:tc>
          <w:tcPr>
            <w:tcW w:w="0" w:type="auto"/>
            <w:gridSpan w:val="3"/>
            <w:tcBorders>
              <w:top w:val="nil"/>
              <w:left w:val="nil"/>
              <w:bottom w:val="nil"/>
              <w:right w:val="nil"/>
            </w:tcBorders>
            <w:shd w:val="clear" w:color="auto" w:fill="auto"/>
            <w:vAlign w:val="bottom"/>
          </w:tcPr>
          <w:p w14:paraId="4B76155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5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6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5" w14:textId="77777777" w:rsidR="0099058F" w:rsidRDefault="0099058F">
            <w:pPr>
              <w:widowControl/>
              <w:jc w:val="left"/>
              <w:rPr>
                <w:rFonts w:ascii="Times New Roman" w:eastAsia="宋体" w:hAnsi="宋体" w:cs="宋体"/>
                <w:vanish/>
                <w:kern w:val="0"/>
                <w:sz w:val="24"/>
              </w:rPr>
            </w:pPr>
          </w:p>
        </w:tc>
      </w:tr>
      <w:tr w:rsidR="0099058F" w14:paraId="4B761570" w14:textId="77777777">
        <w:trPr>
          <w:jc w:val="center"/>
          <w:hidden/>
        </w:trPr>
        <w:tc>
          <w:tcPr>
            <w:tcW w:w="0" w:type="auto"/>
            <w:gridSpan w:val="3"/>
            <w:tcBorders>
              <w:top w:val="nil"/>
              <w:left w:val="nil"/>
              <w:bottom w:val="nil"/>
              <w:right w:val="nil"/>
            </w:tcBorders>
            <w:shd w:val="clear" w:color="auto" w:fill="auto"/>
            <w:vAlign w:val="bottom"/>
          </w:tcPr>
          <w:p w14:paraId="4B76156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6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6F" w14:textId="77777777" w:rsidR="0099058F" w:rsidRDefault="0099058F">
            <w:pPr>
              <w:widowControl/>
              <w:jc w:val="left"/>
              <w:rPr>
                <w:rFonts w:ascii="Times New Roman" w:eastAsia="宋体" w:hAnsi="宋体" w:cs="宋体"/>
                <w:vanish/>
                <w:kern w:val="0"/>
                <w:sz w:val="24"/>
              </w:rPr>
            </w:pPr>
          </w:p>
        </w:tc>
      </w:tr>
      <w:tr w:rsidR="0099058F" w14:paraId="4B76157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571"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7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7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295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7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7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920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76"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7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7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7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157B"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1,215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157C" w14:textId="77777777" w:rsidR="0099058F" w:rsidRDefault="0099058F">
            <w:pPr>
              <w:widowControl/>
              <w:jc w:val="right"/>
              <w:rPr>
                <w:rFonts w:ascii="Times New Roman" w:eastAsia="宋体" w:hAnsi="宋体" w:cs="宋体"/>
                <w:kern w:val="0"/>
                <w:sz w:val="24"/>
              </w:rPr>
            </w:pPr>
          </w:p>
        </w:tc>
      </w:tr>
      <w:tr w:rsidR="0099058F" w14:paraId="4B761587" w14:textId="77777777">
        <w:trPr>
          <w:jc w:val="center"/>
          <w:hidden/>
        </w:trPr>
        <w:tc>
          <w:tcPr>
            <w:tcW w:w="0" w:type="auto"/>
            <w:gridSpan w:val="3"/>
            <w:tcBorders>
              <w:top w:val="nil"/>
              <w:left w:val="nil"/>
              <w:bottom w:val="nil"/>
              <w:right w:val="nil"/>
            </w:tcBorders>
            <w:shd w:val="clear" w:color="auto" w:fill="auto"/>
            <w:vAlign w:val="bottom"/>
          </w:tcPr>
          <w:p w14:paraId="4B76157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7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8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6" w14:textId="77777777" w:rsidR="0099058F" w:rsidRDefault="0099058F">
            <w:pPr>
              <w:widowControl/>
              <w:jc w:val="left"/>
              <w:rPr>
                <w:rFonts w:ascii="Times New Roman" w:eastAsia="宋体" w:hAnsi="宋体" w:cs="宋体"/>
                <w:vanish/>
                <w:kern w:val="0"/>
                <w:sz w:val="24"/>
              </w:rPr>
            </w:pPr>
          </w:p>
        </w:tc>
      </w:tr>
      <w:tr w:rsidR="0099058F" w14:paraId="4B761591" w14:textId="77777777">
        <w:trPr>
          <w:jc w:val="center"/>
          <w:hidden/>
        </w:trPr>
        <w:tc>
          <w:tcPr>
            <w:tcW w:w="0" w:type="auto"/>
            <w:gridSpan w:val="3"/>
            <w:tcBorders>
              <w:top w:val="nil"/>
              <w:left w:val="nil"/>
              <w:bottom w:val="nil"/>
              <w:right w:val="nil"/>
            </w:tcBorders>
            <w:shd w:val="clear" w:color="auto" w:fill="auto"/>
            <w:vAlign w:val="bottom"/>
          </w:tcPr>
          <w:p w14:paraId="4B76158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158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8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590" w14:textId="77777777" w:rsidR="0099058F" w:rsidRDefault="0099058F">
            <w:pPr>
              <w:widowControl/>
              <w:jc w:val="left"/>
              <w:rPr>
                <w:rFonts w:ascii="Times New Roman" w:eastAsia="宋体" w:hAnsi="宋体" w:cs="宋体"/>
                <w:vanish/>
                <w:kern w:val="0"/>
                <w:sz w:val="24"/>
              </w:rPr>
            </w:pPr>
          </w:p>
        </w:tc>
      </w:tr>
      <w:tr w:rsidR="0099058F" w14:paraId="4B7615A2"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center"/>
          </w:tcPr>
          <w:p w14:paraId="4B761592" w14:textId="77777777" w:rsidR="0099058F" w:rsidRDefault="00EB2559">
            <w:pPr>
              <w:widowControl/>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Balance at December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3"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5"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$9,947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($50,814)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1599"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A"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$29,473</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($9,550)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9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9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B7615A0"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($15,848)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B7615A1" w14:textId="77777777" w:rsidR="0099058F" w:rsidRDefault="0099058F">
            <w:pPr>
              <w:widowControl/>
              <w:jc w:val="left"/>
              <w:rPr>
                <w:rFonts w:ascii="Times New Roman" w:eastAsia="宋体" w:hAnsi="宋体" w:cs="宋体"/>
                <w:kern w:val="0"/>
                <w:sz w:val="24"/>
              </w:rPr>
            </w:pPr>
          </w:p>
        </w:tc>
      </w:tr>
    </w:tbl>
    <w:p w14:paraId="4B7615A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59 - 114.</w:t>
      </w:r>
    </w:p>
    <w:p w14:paraId="4B7615A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57</w:t>
      </w:r>
    </w:p>
    <w:p w14:paraId="4B7615A5" w14:textId="77777777" w:rsidR="0099058F" w:rsidRDefault="00EB2559">
      <w:pPr>
        <w:widowControl/>
        <w:jc w:val="center"/>
      </w:pPr>
      <w:r>
        <w:rPr>
          <w:rFonts w:ascii="宋体" w:eastAsia="宋体" w:hAnsi="宋体" w:cs="宋体"/>
          <w:kern w:val="0"/>
          <w:sz w:val="24"/>
        </w:rPr>
        <w:pict w14:anchorId="4B763C30">
          <v:rect id="_x0000_i1083" style="width:6in;height:1.5pt" o:hralign="center" o:hrstd="t" o:hr="t" fillcolor="#a0a0a0" stroked="f"/>
        </w:pict>
      </w:r>
    </w:p>
    <w:p w14:paraId="4B7615A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5A7"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B7615A8"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Consolidated Financial Statements</w:t>
      </w:r>
    </w:p>
    <w:p w14:paraId="4B7615A9" w14:textId="77777777" w:rsidR="0099058F" w:rsidRDefault="00EB255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0"/>
        <w:gridCol w:w="5151"/>
        <w:gridCol w:w="39"/>
        <w:gridCol w:w="69"/>
        <w:gridCol w:w="857"/>
        <w:gridCol w:w="36"/>
        <w:gridCol w:w="36"/>
        <w:gridCol w:w="36"/>
        <w:gridCol w:w="36"/>
        <w:gridCol w:w="69"/>
        <w:gridCol w:w="849"/>
        <w:gridCol w:w="36"/>
        <w:gridCol w:w="36"/>
        <w:gridCol w:w="36"/>
        <w:gridCol w:w="36"/>
        <w:gridCol w:w="76"/>
        <w:gridCol w:w="842"/>
        <w:gridCol w:w="36"/>
      </w:tblGrid>
      <w:tr w:rsidR="0099058F" w14:paraId="4B7615BC" w14:textId="77777777">
        <w:tc>
          <w:tcPr>
            <w:tcW w:w="50" w:type="pct"/>
            <w:tcBorders>
              <w:top w:val="nil"/>
              <w:left w:val="nil"/>
              <w:bottom w:val="nil"/>
              <w:right w:val="nil"/>
            </w:tcBorders>
            <w:shd w:val="clear" w:color="auto" w:fill="auto"/>
            <w:vAlign w:val="bottom"/>
          </w:tcPr>
          <w:p w14:paraId="4B7615AA" w14:textId="77777777" w:rsidR="0099058F" w:rsidRDefault="0099058F">
            <w:pPr>
              <w:widowControl/>
              <w:jc w:val="left"/>
              <w:rPr>
                <w:rFonts w:ascii="Times New Roman" w:eastAsia="宋体" w:hAnsi="宋体" w:cs="宋体"/>
                <w:kern w:val="0"/>
                <w:sz w:val="24"/>
              </w:rPr>
            </w:pPr>
          </w:p>
        </w:tc>
        <w:tc>
          <w:tcPr>
            <w:tcW w:w="3101" w:type="pct"/>
            <w:tcBorders>
              <w:top w:val="nil"/>
              <w:left w:val="nil"/>
              <w:bottom w:val="nil"/>
              <w:right w:val="nil"/>
            </w:tcBorders>
            <w:shd w:val="clear" w:color="auto" w:fill="auto"/>
            <w:vAlign w:val="bottom"/>
          </w:tcPr>
          <w:p w14:paraId="4B7615A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A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5AD" w14:textId="77777777" w:rsidR="0099058F" w:rsidRDefault="0099058F">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B7615A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A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5B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5B3" w14:textId="77777777" w:rsidR="0099058F" w:rsidRDefault="0099058F">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B7615B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5B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5B9" w14:textId="77777777" w:rsidR="0099058F" w:rsidRDefault="0099058F">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B7615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5BB" w14:textId="77777777" w:rsidR="0099058F" w:rsidRDefault="0099058F">
            <w:pPr>
              <w:widowControl/>
              <w:jc w:val="left"/>
              <w:rPr>
                <w:rFonts w:ascii="Times New Roman" w:eastAsia="宋体" w:hAnsi="宋体" w:cs="宋体"/>
                <w:kern w:val="0"/>
                <w:sz w:val="24"/>
              </w:rPr>
            </w:pPr>
          </w:p>
        </w:tc>
      </w:tr>
      <w:tr w:rsidR="0099058F" w14:paraId="4B7615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BD"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B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C2" w14:textId="77777777" w:rsidR="0099058F" w:rsidRDefault="0099058F">
            <w:pPr>
              <w:widowControl/>
              <w:jc w:val="left"/>
              <w:rPr>
                <w:rFonts w:ascii="Times New Roman" w:eastAsia="宋体" w:hAnsi="宋体" w:cs="宋体"/>
                <w:kern w:val="0"/>
                <w:sz w:val="24"/>
              </w:rPr>
            </w:pPr>
          </w:p>
        </w:tc>
      </w:tr>
      <w:tr w:rsidR="0099058F" w14:paraId="4B7615C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C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C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5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5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5D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5C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5D0" w14:textId="77777777" w:rsidR="0099058F" w:rsidRDefault="0099058F">
            <w:pPr>
              <w:widowControl/>
              <w:jc w:val="left"/>
              <w:rPr>
                <w:rFonts w:ascii="Times New Roman" w:eastAsia="宋体" w:hAnsi="宋体" w:cs="宋体"/>
                <w:kern w:val="0"/>
                <w:sz w:val="24"/>
              </w:rPr>
            </w:pPr>
          </w:p>
        </w:tc>
      </w:tr>
      <w:tr w:rsidR="0099058F" w14:paraId="4B7615D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5D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$25,867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D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D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DA" w14:textId="77777777" w:rsidR="0099058F" w:rsidRDefault="0099058F">
            <w:pPr>
              <w:widowControl/>
              <w:jc w:val="left"/>
              <w:rPr>
                <w:rFonts w:ascii="Times New Roman" w:eastAsia="宋体" w:hAnsi="宋体" w:cs="宋体"/>
                <w:kern w:val="0"/>
                <w:sz w:val="24"/>
              </w:rPr>
            </w:pPr>
          </w:p>
        </w:tc>
      </w:tr>
      <w:tr w:rsidR="0099058F" w14:paraId="4B7615E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5D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D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E4" w14:textId="77777777" w:rsidR="0099058F" w:rsidRDefault="0099058F">
            <w:pPr>
              <w:widowControl/>
              <w:jc w:val="right"/>
              <w:rPr>
                <w:rFonts w:ascii="Times New Roman" w:eastAsia="宋体" w:hAnsi="宋体" w:cs="宋体"/>
                <w:kern w:val="0"/>
                <w:sz w:val="24"/>
              </w:rPr>
            </w:pPr>
          </w:p>
        </w:tc>
      </w:tr>
      <w:tr w:rsidR="0099058F" w14:paraId="4B7615E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5E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E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E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E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E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EE" w14:textId="77777777" w:rsidR="0099058F" w:rsidRDefault="0099058F">
            <w:pPr>
              <w:widowControl/>
              <w:jc w:val="right"/>
              <w:rPr>
                <w:rFonts w:ascii="Times New Roman" w:eastAsia="宋体" w:hAnsi="宋体" w:cs="宋体"/>
                <w:kern w:val="0"/>
                <w:sz w:val="24"/>
              </w:rPr>
            </w:pPr>
          </w:p>
        </w:tc>
      </w:tr>
      <w:tr w:rsidR="0099058F" w14:paraId="4B7615F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5F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F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F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F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5F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5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5F8" w14:textId="77777777" w:rsidR="0099058F" w:rsidRDefault="0099058F">
            <w:pPr>
              <w:widowControl/>
              <w:jc w:val="right"/>
              <w:rPr>
                <w:rFonts w:ascii="Times New Roman" w:eastAsia="宋体" w:hAnsi="宋体" w:cs="宋体"/>
                <w:kern w:val="0"/>
                <w:sz w:val="24"/>
              </w:rPr>
            </w:pPr>
          </w:p>
        </w:tc>
      </w:tr>
      <w:tr w:rsidR="0099058F" w14:paraId="4B76160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5F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F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5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5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5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02" w14:textId="77777777" w:rsidR="0099058F" w:rsidRDefault="0099058F">
            <w:pPr>
              <w:widowControl/>
              <w:jc w:val="left"/>
              <w:rPr>
                <w:rFonts w:ascii="Times New Roman" w:eastAsia="宋体" w:hAnsi="宋体" w:cs="宋体"/>
                <w:kern w:val="0"/>
                <w:sz w:val="24"/>
              </w:rPr>
            </w:pPr>
          </w:p>
        </w:tc>
      </w:tr>
      <w:tr w:rsidR="0099058F" w14:paraId="4B76160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604"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0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0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0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0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0C" w14:textId="77777777" w:rsidR="0099058F" w:rsidRDefault="0099058F">
            <w:pPr>
              <w:widowControl/>
              <w:jc w:val="left"/>
              <w:rPr>
                <w:rFonts w:ascii="Times New Roman" w:eastAsia="宋体" w:hAnsi="宋体" w:cs="宋体"/>
                <w:kern w:val="0"/>
                <w:sz w:val="24"/>
              </w:rPr>
            </w:pPr>
          </w:p>
        </w:tc>
      </w:tr>
      <w:tr w:rsidR="0099058F" w14:paraId="4B761614"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B76160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60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610"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61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61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613" w14:textId="77777777" w:rsidR="0099058F" w:rsidRDefault="0099058F">
            <w:pPr>
              <w:widowControl/>
              <w:jc w:val="left"/>
              <w:rPr>
                <w:rFonts w:ascii="Times New Roman" w:eastAsia="宋体" w:hAnsi="宋体" w:cs="宋体"/>
                <w:kern w:val="0"/>
                <w:sz w:val="24"/>
              </w:rPr>
            </w:pPr>
          </w:p>
        </w:tc>
      </w:tr>
      <w:tr w:rsidR="0099058F" w14:paraId="4B76161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61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1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1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1D" w14:textId="77777777" w:rsidR="0099058F" w:rsidRDefault="0099058F">
            <w:pPr>
              <w:widowControl/>
              <w:jc w:val="left"/>
              <w:rPr>
                <w:rFonts w:ascii="Times New Roman" w:eastAsia="宋体" w:hAnsi="宋体" w:cs="宋体"/>
                <w:kern w:val="0"/>
                <w:sz w:val="24"/>
              </w:rPr>
            </w:pPr>
          </w:p>
        </w:tc>
      </w:tr>
      <w:tr w:rsidR="0099058F" w14:paraId="4B76162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61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2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2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2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2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27" w14:textId="77777777" w:rsidR="0099058F" w:rsidRDefault="0099058F">
            <w:pPr>
              <w:widowControl/>
              <w:jc w:val="right"/>
              <w:rPr>
                <w:rFonts w:ascii="Times New Roman" w:eastAsia="宋体" w:hAnsi="宋体" w:cs="宋体"/>
                <w:kern w:val="0"/>
                <w:sz w:val="24"/>
              </w:rPr>
            </w:pPr>
          </w:p>
        </w:tc>
      </w:tr>
      <w:tr w:rsidR="0099058F" w14:paraId="4B76163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62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2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2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2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2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31" w14:textId="77777777" w:rsidR="0099058F" w:rsidRDefault="0099058F">
            <w:pPr>
              <w:widowControl/>
              <w:jc w:val="right"/>
              <w:rPr>
                <w:rFonts w:ascii="Times New Roman" w:eastAsia="宋体" w:hAnsi="宋体" w:cs="宋体"/>
                <w:kern w:val="0"/>
                <w:sz w:val="24"/>
              </w:rPr>
            </w:pPr>
          </w:p>
        </w:tc>
      </w:tr>
      <w:tr w:rsidR="0099058F" w14:paraId="4B76163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63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Boeing </w:t>
            </w:r>
            <w:r>
              <w:rPr>
                <w:rFonts w:ascii="Arial" w:eastAsia="宋体" w:hAnsi="Arial" w:cs="Arial"/>
                <w:color w:val="000000"/>
                <w:kern w:val="0"/>
                <w:sz w:val="20"/>
                <w:szCs w:val="20"/>
                <w:lang w:bidi="ar"/>
              </w:rPr>
              <w:t>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3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3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3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3B" w14:textId="77777777" w:rsidR="0099058F" w:rsidRDefault="0099058F">
            <w:pPr>
              <w:widowControl/>
              <w:jc w:val="right"/>
              <w:rPr>
                <w:rFonts w:ascii="Times New Roman" w:eastAsia="宋体" w:hAnsi="宋体" w:cs="宋体"/>
                <w:kern w:val="0"/>
                <w:sz w:val="24"/>
              </w:rPr>
            </w:pPr>
          </w:p>
        </w:tc>
      </w:tr>
      <w:tr w:rsidR="0099058F" w14:paraId="4B76164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63D"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Segment operating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(3,158)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3F"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4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42"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4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45" w14:textId="77777777" w:rsidR="0099058F" w:rsidRDefault="0099058F">
            <w:pPr>
              <w:widowControl/>
              <w:jc w:val="right"/>
              <w:rPr>
                <w:rFonts w:ascii="Times New Roman" w:eastAsia="宋体" w:hAnsi="宋体" w:cs="宋体"/>
                <w:kern w:val="0"/>
                <w:sz w:val="24"/>
              </w:rPr>
            </w:pPr>
          </w:p>
        </w:tc>
      </w:tr>
      <w:tr w:rsidR="0099058F" w14:paraId="4B76165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64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4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4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4F" w14:textId="77777777" w:rsidR="0099058F" w:rsidRDefault="0099058F">
            <w:pPr>
              <w:widowControl/>
              <w:jc w:val="left"/>
              <w:rPr>
                <w:rFonts w:ascii="Times New Roman" w:eastAsia="宋体" w:hAnsi="宋体" w:cs="宋体"/>
                <w:kern w:val="0"/>
                <w:sz w:val="24"/>
              </w:rPr>
            </w:pPr>
          </w:p>
        </w:tc>
      </w:tr>
      <w:tr w:rsidR="0099058F" w14:paraId="4B76165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65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5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5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5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59" w14:textId="77777777" w:rsidR="0099058F" w:rsidRDefault="0099058F">
            <w:pPr>
              <w:widowControl/>
              <w:jc w:val="left"/>
              <w:rPr>
                <w:rFonts w:ascii="Times New Roman" w:eastAsia="宋体" w:hAnsi="宋体" w:cs="宋体"/>
                <w:kern w:val="0"/>
                <w:sz w:val="24"/>
              </w:rPr>
            </w:pPr>
          </w:p>
        </w:tc>
      </w:tr>
      <w:tr w:rsidR="0099058F" w14:paraId="4B76166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65B"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6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65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65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6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66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66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6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663" w14:textId="77777777" w:rsidR="0099058F" w:rsidRDefault="0099058F">
            <w:pPr>
              <w:widowControl/>
              <w:jc w:val="left"/>
              <w:rPr>
                <w:rFonts w:ascii="Times New Roman" w:eastAsia="宋体" w:hAnsi="宋体" w:cs="宋体"/>
                <w:kern w:val="0"/>
                <w:sz w:val="24"/>
              </w:rPr>
            </w:pPr>
          </w:p>
        </w:tc>
      </w:tr>
      <w:tr w:rsidR="0099058F" w14:paraId="4B7616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66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6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6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6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6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6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66D" w14:textId="77777777" w:rsidR="0099058F" w:rsidRDefault="0099058F">
            <w:pPr>
              <w:widowControl/>
              <w:jc w:val="right"/>
              <w:rPr>
                <w:rFonts w:ascii="Times New Roman" w:eastAsia="宋体" w:hAnsi="宋体" w:cs="宋体"/>
                <w:kern w:val="0"/>
                <w:sz w:val="24"/>
              </w:rPr>
            </w:pPr>
          </w:p>
        </w:tc>
      </w:tr>
      <w:tr w:rsidR="0099058F" w14:paraId="4B7616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66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7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7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7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77" w14:textId="77777777" w:rsidR="0099058F" w:rsidRDefault="0099058F">
            <w:pPr>
              <w:widowControl/>
              <w:jc w:val="right"/>
              <w:rPr>
                <w:rFonts w:ascii="Times New Roman" w:eastAsia="宋体" w:hAnsi="宋体" w:cs="宋体"/>
                <w:kern w:val="0"/>
                <w:sz w:val="24"/>
              </w:rPr>
            </w:pPr>
          </w:p>
        </w:tc>
      </w:tr>
      <w:tr w:rsidR="0099058F" w14:paraId="4B76168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679"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7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7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7E"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7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81" w14:textId="77777777" w:rsidR="0099058F" w:rsidRDefault="0099058F">
            <w:pPr>
              <w:widowControl/>
              <w:jc w:val="right"/>
              <w:rPr>
                <w:rFonts w:ascii="Times New Roman" w:eastAsia="宋体" w:hAnsi="宋体" w:cs="宋体"/>
                <w:kern w:val="0"/>
                <w:sz w:val="24"/>
              </w:rPr>
            </w:pPr>
          </w:p>
        </w:tc>
      </w:tr>
      <w:tr w:rsidR="0099058F" w14:paraId="4B7616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68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8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8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8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8B" w14:textId="77777777" w:rsidR="0099058F" w:rsidRDefault="0099058F">
            <w:pPr>
              <w:widowControl/>
              <w:jc w:val="left"/>
              <w:rPr>
                <w:rFonts w:ascii="Times New Roman" w:eastAsia="宋体" w:hAnsi="宋体" w:cs="宋体"/>
                <w:kern w:val="0"/>
                <w:sz w:val="24"/>
              </w:rPr>
            </w:pPr>
          </w:p>
        </w:tc>
      </w:tr>
      <w:tr w:rsidR="0099058F" w14:paraId="4B761693" w14:textId="77777777">
        <w:trPr>
          <w:hidden/>
        </w:trPr>
        <w:tc>
          <w:tcPr>
            <w:tcW w:w="0" w:type="auto"/>
            <w:gridSpan w:val="3"/>
            <w:tcBorders>
              <w:top w:val="nil"/>
              <w:left w:val="nil"/>
              <w:bottom w:val="nil"/>
              <w:right w:val="nil"/>
            </w:tcBorders>
            <w:shd w:val="clear" w:color="auto" w:fill="auto"/>
            <w:vAlign w:val="bottom"/>
          </w:tcPr>
          <w:p w14:paraId="4B7616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8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8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2" w14:textId="77777777" w:rsidR="0099058F" w:rsidRDefault="0099058F">
            <w:pPr>
              <w:widowControl/>
              <w:jc w:val="left"/>
              <w:rPr>
                <w:rFonts w:ascii="Times New Roman" w:eastAsia="宋体" w:hAnsi="宋体" w:cs="宋体"/>
                <w:vanish/>
                <w:kern w:val="0"/>
                <w:sz w:val="24"/>
              </w:rPr>
            </w:pPr>
          </w:p>
        </w:tc>
      </w:tr>
      <w:tr w:rsidR="0099058F" w14:paraId="4B76169A" w14:textId="77777777">
        <w:trPr>
          <w:hidden/>
        </w:trPr>
        <w:tc>
          <w:tcPr>
            <w:tcW w:w="0" w:type="auto"/>
            <w:gridSpan w:val="3"/>
            <w:tcBorders>
              <w:top w:val="nil"/>
              <w:left w:val="nil"/>
              <w:bottom w:val="nil"/>
              <w:right w:val="nil"/>
            </w:tcBorders>
            <w:shd w:val="clear" w:color="auto" w:fill="auto"/>
            <w:vAlign w:val="bottom"/>
          </w:tcPr>
          <w:p w14:paraId="4B76169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699" w14:textId="77777777" w:rsidR="0099058F" w:rsidRDefault="0099058F">
            <w:pPr>
              <w:widowControl/>
              <w:jc w:val="left"/>
              <w:rPr>
                <w:rFonts w:ascii="Times New Roman" w:eastAsia="宋体" w:hAnsi="宋体" w:cs="宋体"/>
                <w:vanish/>
                <w:kern w:val="0"/>
                <w:sz w:val="24"/>
              </w:rPr>
            </w:pPr>
          </w:p>
        </w:tc>
      </w:tr>
      <w:tr w:rsidR="0099058F" w14:paraId="4B7616A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69B"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9D"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9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A0"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A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A3" w14:textId="77777777" w:rsidR="0099058F" w:rsidRDefault="0099058F">
            <w:pPr>
              <w:widowControl/>
              <w:jc w:val="right"/>
              <w:rPr>
                <w:rFonts w:ascii="Times New Roman" w:eastAsia="宋体" w:hAnsi="宋体" w:cs="宋体"/>
                <w:kern w:val="0"/>
                <w:sz w:val="24"/>
              </w:rPr>
            </w:pPr>
          </w:p>
        </w:tc>
      </w:tr>
      <w:tr w:rsidR="0099058F" w14:paraId="4B7616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6A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A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A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A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A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AD" w14:textId="77777777" w:rsidR="0099058F" w:rsidRDefault="0099058F">
            <w:pPr>
              <w:widowControl/>
              <w:jc w:val="right"/>
              <w:rPr>
                <w:rFonts w:ascii="Times New Roman" w:eastAsia="宋体" w:hAnsi="宋体" w:cs="宋体"/>
                <w:kern w:val="0"/>
                <w:sz w:val="24"/>
              </w:rPr>
            </w:pPr>
          </w:p>
        </w:tc>
      </w:tr>
      <w:tr w:rsidR="0099058F" w14:paraId="4B7616B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16AF"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6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B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6B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6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B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6B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6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6B7" w14:textId="77777777" w:rsidR="0099058F" w:rsidRDefault="0099058F">
            <w:pPr>
              <w:widowControl/>
              <w:jc w:val="left"/>
              <w:rPr>
                <w:rFonts w:ascii="Times New Roman" w:eastAsia="宋体" w:hAnsi="宋体" w:cs="宋体"/>
                <w:kern w:val="0"/>
                <w:sz w:val="24"/>
              </w:rPr>
            </w:pPr>
          </w:p>
        </w:tc>
      </w:tr>
    </w:tbl>
    <w:p w14:paraId="4B7616B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This information is an integral part of the Notes to the </w:t>
      </w:r>
      <w:r>
        <w:rPr>
          <w:rFonts w:ascii="Arial" w:eastAsia="宋体" w:hAnsi="Arial" w:cs="Arial"/>
          <w:color w:val="000000"/>
          <w:kern w:val="0"/>
          <w:sz w:val="20"/>
          <w:szCs w:val="20"/>
          <w:lang w:bidi="ar"/>
        </w:rPr>
        <w:t>Consolidated Financial Statements. See Note 22 for further segment results.</w:t>
      </w:r>
    </w:p>
    <w:p w14:paraId="4B7616BA" w14:textId="77777777" w:rsidR="0099058F" w:rsidRDefault="00EB2559">
      <w:pPr>
        <w:widowControl/>
        <w:spacing w:after="18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B7616B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58</w:t>
      </w:r>
    </w:p>
    <w:p w14:paraId="4B7616BC" w14:textId="77777777" w:rsidR="0099058F" w:rsidRDefault="00EB2559">
      <w:pPr>
        <w:widowControl/>
        <w:jc w:val="center"/>
      </w:pPr>
      <w:r>
        <w:rPr>
          <w:rFonts w:ascii="宋体" w:eastAsia="宋体" w:hAnsi="宋体" w:cs="宋体"/>
          <w:kern w:val="0"/>
          <w:sz w:val="24"/>
        </w:rPr>
        <w:pict w14:anchorId="4B763C31">
          <v:rect id="_x0000_i1084" style="width:6in;height:1.5pt" o:hralign="center" o:hrstd="t" o:hr="t" fillcolor="#a0a0a0" stroked="f"/>
        </w:pict>
      </w:r>
    </w:p>
    <w:p w14:paraId="4B7616B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6BE"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The Boeing Company and </w:t>
      </w:r>
      <w:r>
        <w:rPr>
          <w:rFonts w:ascii="Arial" w:eastAsia="宋体" w:hAnsi="Arial" w:cs="Arial"/>
          <w:b/>
          <w:bCs/>
          <w:color w:val="000000"/>
          <w:kern w:val="0"/>
          <w:sz w:val="20"/>
          <w:szCs w:val="20"/>
          <w:lang w:bidi="ar"/>
        </w:rPr>
        <w:t>Subsidiaries</w:t>
      </w:r>
    </w:p>
    <w:p w14:paraId="4B7616BF"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Consolidated Financial Statements</w:t>
      </w:r>
    </w:p>
    <w:p w14:paraId="4B7616C0" w14:textId="77777777" w:rsidR="0099058F" w:rsidRDefault="00EB255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Years ended December 31, 2022, 2021 and 2020 </w:t>
      </w:r>
    </w:p>
    <w:p w14:paraId="4B7616C1" w14:textId="77777777" w:rsidR="0099058F" w:rsidRDefault="00EB2559">
      <w:pPr>
        <w:widowControl/>
        <w:jc w:val="center"/>
        <w:rPr>
          <w:rFonts w:ascii="宋体" w:eastAsia="宋体" w:hAnsi="宋体" w:cs="宋体"/>
          <w:kern w:val="0"/>
          <w:sz w:val="24"/>
        </w:rPr>
      </w:pPr>
      <w:r>
        <w:rPr>
          <w:rFonts w:ascii="Arial" w:eastAsia="宋体" w:hAnsi="Arial" w:cs="Arial"/>
          <w:i/>
          <w:iCs/>
          <w:color w:val="000000"/>
          <w:kern w:val="0"/>
          <w:sz w:val="20"/>
          <w:szCs w:val="20"/>
          <w:lang w:bidi="ar"/>
        </w:rPr>
        <w:t>(Dollars in millions, except otherwise stated)</w:t>
      </w:r>
    </w:p>
    <w:p w14:paraId="4B7616C2"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1 – Summary of Significant Accounting Policies</w:t>
      </w:r>
    </w:p>
    <w:p w14:paraId="4B7616C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Principles of Consolidation and Basis of Presentati</w:t>
      </w:r>
      <w:r>
        <w:rPr>
          <w:rFonts w:ascii="Arial" w:eastAsia="宋体" w:hAnsi="Arial" w:cs="Arial"/>
          <w:b/>
          <w:bCs/>
          <w:color w:val="000000"/>
          <w:kern w:val="0"/>
          <w:sz w:val="20"/>
          <w:szCs w:val="20"/>
          <w:lang w:bidi="ar"/>
        </w:rPr>
        <w:t>on</w:t>
      </w:r>
    </w:p>
    <w:p w14:paraId="4B7616C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Financial Statements included in this report have been prepared by management of The Boeing Company (herein referred to as “Boeing,” the “Company,” “we,” “us” or “our”). These statements include the accounts of all majority-owned subsid</w:t>
      </w:r>
      <w:r>
        <w:rPr>
          <w:rFonts w:ascii="Arial" w:eastAsia="宋体" w:hAnsi="Arial" w:cs="Arial"/>
          <w:color w:val="000000"/>
          <w:kern w:val="0"/>
          <w:sz w:val="20"/>
          <w:szCs w:val="20"/>
          <w:lang w:bidi="ar"/>
        </w:rPr>
        <w:t>iaries and variable interest entities that are required to be consolidated. All significant intercompany accounts and transactions have been eliminated. As described in Note 22, we operate in four reportable segments: Commercial Airplanes (BCA), Defense, S</w:t>
      </w:r>
      <w:r>
        <w:rPr>
          <w:rFonts w:ascii="Arial" w:eastAsia="宋体" w:hAnsi="Arial" w:cs="Arial"/>
          <w:color w:val="000000"/>
          <w:kern w:val="0"/>
          <w:sz w:val="20"/>
          <w:szCs w:val="20"/>
          <w:lang w:bidi="ar"/>
        </w:rPr>
        <w:t>pace &amp; Security (BDS), Global Services (BGS) and Boeing Capital (BCC).</w:t>
      </w:r>
    </w:p>
    <w:p w14:paraId="4B7616C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4B7616C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requires management to make estimates and assumptions th</w:t>
      </w:r>
      <w:r>
        <w:rPr>
          <w:rFonts w:ascii="Arial" w:eastAsia="宋体" w:hAnsi="Arial" w:cs="Arial"/>
          <w:color w:val="000000"/>
          <w:kern w:val="0"/>
          <w:sz w:val="20"/>
          <w:szCs w:val="20"/>
          <w:lang w:bidi="ar"/>
        </w:rPr>
        <w:t xml:space="preserve">at affect the reported amounts of assets and liabilities and disclosure of contingent assets and liabilities at the date of the financial statements and the reported amounts of revenues and expenses during the reporting period. Actual results could differ </w:t>
      </w:r>
      <w:r>
        <w:rPr>
          <w:rFonts w:ascii="Arial" w:eastAsia="宋体" w:hAnsi="Arial" w:cs="Arial"/>
          <w:color w:val="000000"/>
          <w:kern w:val="0"/>
          <w:sz w:val="20"/>
          <w:szCs w:val="20"/>
          <w:lang w:bidi="ar"/>
        </w:rPr>
        <w:t>from those estimates.</w:t>
      </w:r>
    </w:p>
    <w:p w14:paraId="4B7616C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Cycle</w:t>
      </w:r>
    </w:p>
    <w:p w14:paraId="4B7616C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classification of certain current assets and liabilities, we use the duration of the related contract or program as our operating cycle, which is generally longer than one year.</w:t>
      </w:r>
    </w:p>
    <w:p w14:paraId="4B7616C9" w14:textId="77777777" w:rsidR="0099058F" w:rsidRDefault="00EB2559">
      <w:pPr>
        <w:widowControl/>
        <w:spacing w:before="180" w:after="180"/>
        <w:jc w:val="left"/>
        <w:rPr>
          <w:rFonts w:ascii="宋体" w:eastAsia="宋体" w:hAnsi="宋体" w:cs="宋体"/>
          <w:kern w:val="0"/>
          <w:sz w:val="24"/>
        </w:rPr>
      </w:pPr>
      <w:r>
        <w:rPr>
          <w:rFonts w:ascii="Arial" w:eastAsia="宋体" w:hAnsi="Arial" w:cs="Arial"/>
          <w:b/>
          <w:bCs/>
          <w:color w:val="000000"/>
          <w:kern w:val="0"/>
          <w:sz w:val="20"/>
          <w:szCs w:val="20"/>
          <w:lang w:bidi="ar"/>
        </w:rPr>
        <w:t>Revenue and Related Cost Recognition</w:t>
      </w:r>
    </w:p>
    <w:p w14:paraId="4B7616C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Commercial aircraft contracts </w:t>
      </w:r>
      <w:r>
        <w:rPr>
          <w:rFonts w:ascii="Arial" w:eastAsia="宋体" w:hAnsi="Arial" w:cs="Arial"/>
          <w:color w:val="000000"/>
          <w:kern w:val="0"/>
          <w:sz w:val="20"/>
          <w:szCs w:val="20"/>
          <w:lang w:bidi="ar"/>
        </w:rPr>
        <w:t>The majority of our BCA segment revenue is derived from commercial aircraft contracts. For each contract, we determine the transaction price based on the consideration expected to be received. We allocate the transaction pric</w:t>
      </w:r>
      <w:r>
        <w:rPr>
          <w:rFonts w:ascii="Arial" w:eastAsia="宋体" w:hAnsi="Arial" w:cs="Arial"/>
          <w:color w:val="000000"/>
          <w:kern w:val="0"/>
          <w:sz w:val="20"/>
          <w:szCs w:val="20"/>
          <w:lang w:bidi="ar"/>
        </w:rPr>
        <w:t>e to each commercial aircraft performance obligation based on relative standalone selling prices adjusted by an escalation formula as specified in the customer agreement. Revenue is recognized for each commercial aircraft performance obligation at the poin</w:t>
      </w:r>
      <w:r>
        <w:rPr>
          <w:rFonts w:ascii="Arial" w:eastAsia="宋体" w:hAnsi="Arial" w:cs="Arial"/>
          <w:color w:val="000000"/>
          <w:kern w:val="0"/>
          <w:sz w:val="20"/>
          <w:szCs w:val="20"/>
          <w:lang w:bidi="ar"/>
        </w:rPr>
        <w:t>t in time when the aircraft is completed and accepted by the customer. We use program accounting to determine the amount reported as cost of sales.</w:t>
      </w:r>
    </w:p>
    <w:p w14:paraId="4B7616C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Payments for commercial aircraft sales are received in accordance with the customer agreement, which general</w:t>
      </w:r>
      <w:r>
        <w:rPr>
          <w:rFonts w:ascii="Arial" w:eastAsia="宋体" w:hAnsi="Arial" w:cs="Arial"/>
          <w:color w:val="000000"/>
          <w:kern w:val="0"/>
          <w:sz w:val="20"/>
          <w:szCs w:val="20"/>
          <w:lang w:bidi="ar"/>
        </w:rPr>
        <w:t>ly includes a deposit upon order and additional payments in accordance with a payment schedule, with the balance being due immediately prior to or at aircraft delivery. Advances and progress billings (contract liabilities) are normal and customary for comm</w:t>
      </w:r>
      <w:r>
        <w:rPr>
          <w:rFonts w:ascii="Arial" w:eastAsia="宋体" w:hAnsi="Arial" w:cs="Arial"/>
          <w:color w:val="000000"/>
          <w:kern w:val="0"/>
          <w:sz w:val="20"/>
          <w:szCs w:val="20"/>
          <w:lang w:bidi="ar"/>
        </w:rPr>
        <w:t>ercial aircraft contracts and not considered a significant financing component as they are intended to protect us from the other party failing to adequately complete some or all of its obligations under the contract.</w:t>
      </w:r>
    </w:p>
    <w:p w14:paraId="4B7616C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r>
        <w:rPr>
          <w:rFonts w:ascii="Arial" w:eastAsia="宋体" w:hAnsi="Arial" w:cs="Arial"/>
          <w:color w:val="000000"/>
          <w:kern w:val="0"/>
          <w:sz w:val="20"/>
          <w:szCs w:val="20"/>
          <w:lang w:bidi="ar"/>
        </w:rPr>
        <w:t xml:space="preserve"> Substantially all c</w:t>
      </w:r>
      <w:r>
        <w:rPr>
          <w:rFonts w:ascii="Arial" w:eastAsia="宋体" w:hAnsi="Arial" w:cs="Arial"/>
          <w:color w:val="000000"/>
          <w:kern w:val="0"/>
          <w:sz w:val="20"/>
          <w:szCs w:val="20"/>
          <w:lang w:bidi="ar"/>
        </w:rPr>
        <w:t>ontracts at BDS and certain contracts at BGS are long-term contracts with the U.S. government and other customers that generally extend over several years. Products sales under long-term contracts primarily include fighter jets, rotorcraft, cybersecurity p</w:t>
      </w:r>
      <w:r>
        <w:rPr>
          <w:rFonts w:ascii="Arial" w:eastAsia="宋体" w:hAnsi="Arial" w:cs="Arial"/>
          <w:color w:val="000000"/>
          <w:kern w:val="0"/>
          <w:sz w:val="20"/>
          <w:szCs w:val="20"/>
          <w:lang w:bidi="ar"/>
        </w:rPr>
        <w:t>roducts, surveillance suites, advanced weapons, missile defense, military derivative aircraft, satellite systems and modification of commercial passenger aircraft to cargo freighters. Sales of services under long-term contracts primarily include support an</w:t>
      </w:r>
      <w:r>
        <w:rPr>
          <w:rFonts w:ascii="Arial" w:eastAsia="宋体" w:hAnsi="Arial" w:cs="Arial"/>
          <w:color w:val="000000"/>
          <w:kern w:val="0"/>
          <w:sz w:val="20"/>
          <w:szCs w:val="20"/>
          <w:lang w:bidi="ar"/>
        </w:rPr>
        <w:t>d maintenance agreements associated with our commercial and defense products and space travel on Commercial Crew.</w:t>
      </w:r>
    </w:p>
    <w:p w14:paraId="4B7616C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59</w:t>
      </w:r>
    </w:p>
    <w:p w14:paraId="4B7616CE" w14:textId="77777777" w:rsidR="0099058F" w:rsidRDefault="00EB2559">
      <w:pPr>
        <w:widowControl/>
        <w:jc w:val="center"/>
      </w:pPr>
      <w:r>
        <w:rPr>
          <w:rFonts w:ascii="宋体" w:eastAsia="宋体" w:hAnsi="宋体" w:cs="宋体"/>
          <w:kern w:val="0"/>
          <w:sz w:val="24"/>
        </w:rPr>
        <w:pict w14:anchorId="4B763C32">
          <v:rect id="_x0000_i1085" style="width:6in;height:1.5pt" o:hralign="center" o:hrstd="t" o:hr="t" fillcolor="#a0a0a0" stroked="f"/>
        </w:pict>
      </w:r>
    </w:p>
    <w:p w14:paraId="4B7616C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6D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each long-term contract, we determine the transaction price based on the consideration expected to be received. We allocate the transaction price to each distinct performance obligatio</w:t>
      </w:r>
      <w:r>
        <w:rPr>
          <w:rFonts w:ascii="Arial" w:eastAsia="宋体" w:hAnsi="Arial" w:cs="Arial"/>
          <w:color w:val="000000"/>
          <w:kern w:val="0"/>
          <w:sz w:val="20"/>
          <w:szCs w:val="20"/>
          <w:lang w:bidi="ar"/>
        </w:rPr>
        <w:t>n to deliver a good or service, or a collection of goods and/or services, based on the relative standalone selling prices. A long-term contract will typically represent a single distinct performance obligation due to the highly interdependent and interrela</w:t>
      </w:r>
      <w:r>
        <w:rPr>
          <w:rFonts w:ascii="Arial" w:eastAsia="宋体" w:hAnsi="Arial" w:cs="Arial"/>
          <w:color w:val="000000"/>
          <w:kern w:val="0"/>
          <w:sz w:val="20"/>
          <w:szCs w:val="20"/>
          <w:lang w:bidi="ar"/>
        </w:rPr>
        <w:t>ted nature of the underlying goods and/or services and the significant service of integration that we provide. While the scope and price on certain long-term contracts may be modified over their life, the transaction price is based on current rights and ob</w:t>
      </w:r>
      <w:r>
        <w:rPr>
          <w:rFonts w:ascii="Arial" w:eastAsia="宋体" w:hAnsi="Arial" w:cs="Arial"/>
          <w:color w:val="000000"/>
          <w:kern w:val="0"/>
          <w:sz w:val="20"/>
          <w:szCs w:val="20"/>
          <w:lang w:bidi="ar"/>
        </w:rPr>
        <w:t xml:space="preserve">ligations under the contract and does not include potential modifications until they are agreed upon with the customer. When applicable, a cumulative adjustment or separate recognition for the additional scope and price may result. Long-term contracts can </w:t>
      </w:r>
      <w:r>
        <w:rPr>
          <w:rFonts w:ascii="Arial" w:eastAsia="宋体" w:hAnsi="Arial" w:cs="Arial"/>
          <w:color w:val="000000"/>
          <w:kern w:val="0"/>
          <w:sz w:val="20"/>
          <w:szCs w:val="20"/>
          <w:lang w:bidi="ar"/>
        </w:rPr>
        <w:t xml:space="preserve">be negotiated with a fixed price or a price in which we are reimbursed for costs incurred plus an agreed upon profit. The Federal Acquisition Regulations provide guidance on the types of cost that will be reimbursed in establishing the price for contracts </w:t>
      </w:r>
      <w:r>
        <w:rPr>
          <w:rFonts w:ascii="Arial" w:eastAsia="宋体" w:hAnsi="Arial" w:cs="Arial"/>
          <w:color w:val="000000"/>
          <w:kern w:val="0"/>
          <w:sz w:val="20"/>
          <w:szCs w:val="20"/>
          <w:lang w:bidi="ar"/>
        </w:rPr>
        <w:t xml:space="preserve">with the U.S. government. Certain long-term contracts include in the transaction price variable consideration, such as incentive and award fees, if specified targets are achieved. The amount included in the transaction price represents the expected value, </w:t>
      </w:r>
      <w:r>
        <w:rPr>
          <w:rFonts w:ascii="Arial" w:eastAsia="宋体" w:hAnsi="Arial" w:cs="Arial"/>
          <w:color w:val="000000"/>
          <w:kern w:val="0"/>
          <w:sz w:val="20"/>
          <w:szCs w:val="20"/>
          <w:lang w:bidi="ar"/>
        </w:rPr>
        <w:t>based on a weighted probability, or the most likely amount.</w:t>
      </w:r>
    </w:p>
    <w:p w14:paraId="4B7616D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Long-term contract revenue is recognized over the contract term (over time) as the work progresses, either as products are produced or as services are rendered. We generally recognize </w:t>
      </w:r>
      <w:r>
        <w:rPr>
          <w:rFonts w:ascii="Arial" w:eastAsia="宋体" w:hAnsi="Arial" w:cs="Arial"/>
          <w:color w:val="000000"/>
          <w:kern w:val="0"/>
          <w:sz w:val="20"/>
          <w:szCs w:val="20"/>
          <w:lang w:bidi="ar"/>
        </w:rPr>
        <w:t>revenue over time as we perform on long-term contracts because of continuous transfer of control to the customer. For U.S. government contracts, this continuous transfer of control to the customer is supported by clauses in the contract that allow the cust</w:t>
      </w:r>
      <w:r>
        <w:rPr>
          <w:rFonts w:ascii="Arial" w:eastAsia="宋体" w:hAnsi="Arial" w:cs="Arial"/>
          <w:color w:val="000000"/>
          <w:kern w:val="0"/>
          <w:sz w:val="20"/>
          <w:szCs w:val="20"/>
          <w:lang w:bidi="ar"/>
        </w:rPr>
        <w:t>omer to unilaterally terminate the contract for convenience, pay us for costs incurred plus a reasonable profit and take control of any work in process. Similarly, for non-U.S. government contracts, the customer typically controls the work in process as ev</w:t>
      </w:r>
      <w:r>
        <w:rPr>
          <w:rFonts w:ascii="Arial" w:eastAsia="宋体" w:hAnsi="Arial" w:cs="Arial"/>
          <w:color w:val="000000"/>
          <w:kern w:val="0"/>
          <w:sz w:val="20"/>
          <w:szCs w:val="20"/>
          <w:lang w:bidi="ar"/>
        </w:rPr>
        <w:t>idenced either by contractual termination clauses or by our rights to payment of the transaction price associated with work performed to date on products or services that do not have an alternative use to the Company.</w:t>
      </w:r>
    </w:p>
    <w:p w14:paraId="4B7616D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for long-term contracts</w:t>
      </w:r>
      <w:r>
        <w:rPr>
          <w:rFonts w:ascii="Arial" w:eastAsia="宋体" w:hAnsi="Arial" w:cs="Arial"/>
          <w:color w:val="000000"/>
          <w:kern w:val="0"/>
          <w:sz w:val="20"/>
          <w:szCs w:val="20"/>
          <w:lang w:bidi="ar"/>
        </w:rPr>
        <w:t xml:space="preserve"> involves a judgmental process of estimating total sales, costs and profit for each performance obligation. Cost of sales is recognized as incurred. The amount reported as revenues is determined by adding a proportionate amount of the estimated profit to t</w:t>
      </w:r>
      <w:r>
        <w:rPr>
          <w:rFonts w:ascii="Arial" w:eastAsia="宋体" w:hAnsi="Arial" w:cs="Arial"/>
          <w:color w:val="000000"/>
          <w:kern w:val="0"/>
          <w:sz w:val="20"/>
          <w:szCs w:val="20"/>
          <w:lang w:bidi="ar"/>
        </w:rPr>
        <w:t>he amount reported as cost of sales. Recognizing revenue as costs are incurred provides an objective measure of progress on the long-term contract and thereby best depicts the extent of transfer of control to the customer.</w:t>
      </w:r>
    </w:p>
    <w:p w14:paraId="4B7616D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long-term contracts for which</w:t>
      </w:r>
      <w:r>
        <w:rPr>
          <w:rFonts w:ascii="Arial" w:eastAsia="宋体" w:hAnsi="Arial" w:cs="Arial"/>
          <w:color w:val="000000"/>
          <w:kern w:val="0"/>
          <w:sz w:val="20"/>
          <w:szCs w:val="20"/>
          <w:lang w:bidi="ar"/>
        </w:rPr>
        <w:t xml:space="preserve"> revenue is recognized over time, changes in estimated revenues, cost of sales and the related effect on operating income are recognized using a cumulative catch-up adjustment which recognizes in the current period the cumulative effect of the changes on c</w:t>
      </w:r>
      <w:r>
        <w:rPr>
          <w:rFonts w:ascii="Arial" w:eastAsia="宋体" w:hAnsi="Arial" w:cs="Arial"/>
          <w:color w:val="000000"/>
          <w:kern w:val="0"/>
          <w:sz w:val="20"/>
          <w:szCs w:val="20"/>
          <w:lang w:bidi="ar"/>
        </w:rPr>
        <w:t>urrent and prior periods based on a long-term contract’s percentage-of-completion. When the current estimates of total revenues and costs at completion for a long-term contract indicate a loss, a provision for the entire reach-forward loss on the long-term</w:t>
      </w:r>
      <w:r>
        <w:rPr>
          <w:rFonts w:ascii="Arial" w:eastAsia="宋体" w:hAnsi="Arial" w:cs="Arial"/>
          <w:color w:val="000000"/>
          <w:kern w:val="0"/>
          <w:sz w:val="20"/>
          <w:szCs w:val="20"/>
          <w:lang w:bidi="ar"/>
        </w:rPr>
        <w:t xml:space="preserve"> contract is recognized.</w:t>
      </w:r>
    </w:p>
    <w:p w14:paraId="4B7616D4"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table below reflects the impact of net cumulative catch-up adjustments for changes in estimated revenues and costs at completion across all long-term contracts including the impact to Loss from operations from increases in esti</w:t>
      </w:r>
      <w:r>
        <w:rPr>
          <w:rFonts w:ascii="Arial" w:eastAsia="宋体" w:hAnsi="Arial" w:cs="Arial"/>
          <w:color w:val="000000"/>
          <w:kern w:val="0"/>
          <w:sz w:val="20"/>
          <w:szCs w:val="20"/>
          <w:lang w:bidi="ar"/>
        </w:rPr>
        <w:t>mated losses on unexercised options for the years ended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5133"/>
        <w:gridCol w:w="37"/>
        <w:gridCol w:w="66"/>
        <w:gridCol w:w="862"/>
        <w:gridCol w:w="36"/>
        <w:gridCol w:w="36"/>
        <w:gridCol w:w="36"/>
        <w:gridCol w:w="36"/>
        <w:gridCol w:w="56"/>
        <w:gridCol w:w="864"/>
        <w:gridCol w:w="36"/>
        <w:gridCol w:w="36"/>
        <w:gridCol w:w="36"/>
        <w:gridCol w:w="36"/>
        <w:gridCol w:w="56"/>
        <w:gridCol w:w="864"/>
        <w:gridCol w:w="36"/>
      </w:tblGrid>
      <w:tr w:rsidR="0099058F" w14:paraId="4B7616E7" w14:textId="77777777">
        <w:trPr>
          <w:jc w:val="center"/>
        </w:trPr>
        <w:tc>
          <w:tcPr>
            <w:tcW w:w="50" w:type="pct"/>
            <w:tcBorders>
              <w:top w:val="nil"/>
              <w:left w:val="nil"/>
              <w:bottom w:val="nil"/>
              <w:right w:val="nil"/>
            </w:tcBorders>
            <w:shd w:val="clear" w:color="auto" w:fill="auto"/>
            <w:vAlign w:val="bottom"/>
          </w:tcPr>
          <w:p w14:paraId="4B7616D5" w14:textId="77777777" w:rsidR="0099058F" w:rsidRDefault="0099058F">
            <w:pPr>
              <w:widowControl/>
              <w:jc w:val="left"/>
              <w:rPr>
                <w:rFonts w:ascii="Times New Roman" w:eastAsia="宋体" w:hAnsi="宋体" w:cs="宋体"/>
                <w:kern w:val="0"/>
                <w:sz w:val="24"/>
              </w:rPr>
            </w:pPr>
          </w:p>
        </w:tc>
        <w:tc>
          <w:tcPr>
            <w:tcW w:w="3095" w:type="pct"/>
            <w:tcBorders>
              <w:top w:val="nil"/>
              <w:left w:val="nil"/>
              <w:bottom w:val="nil"/>
              <w:right w:val="nil"/>
            </w:tcBorders>
            <w:shd w:val="clear" w:color="auto" w:fill="auto"/>
            <w:vAlign w:val="bottom"/>
          </w:tcPr>
          <w:p w14:paraId="4B7616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D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6D8" w14:textId="77777777" w:rsidR="0099058F" w:rsidRDefault="0099058F">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B7616D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D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D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6D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D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6DE" w14:textId="77777777" w:rsidR="0099058F" w:rsidRDefault="0099058F">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B7616D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E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E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6E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E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6E4" w14:textId="77777777" w:rsidR="0099058F" w:rsidRDefault="0099058F">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B7616E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6E6" w14:textId="77777777" w:rsidR="0099058F" w:rsidRDefault="0099058F">
            <w:pPr>
              <w:widowControl/>
              <w:jc w:val="left"/>
              <w:rPr>
                <w:rFonts w:ascii="Times New Roman" w:eastAsia="宋体" w:hAnsi="宋体" w:cs="宋体"/>
                <w:kern w:val="0"/>
                <w:sz w:val="24"/>
              </w:rPr>
            </w:pPr>
          </w:p>
        </w:tc>
      </w:tr>
      <w:tr w:rsidR="0099058F" w14:paraId="4B7616E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6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6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6E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6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6E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6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6F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6E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F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F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F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6F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6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6F7" w14:textId="77777777" w:rsidR="0099058F" w:rsidRDefault="0099058F">
            <w:pPr>
              <w:widowControl/>
              <w:jc w:val="left"/>
              <w:rPr>
                <w:rFonts w:ascii="Times New Roman" w:eastAsia="宋体" w:hAnsi="宋体" w:cs="宋体"/>
                <w:kern w:val="0"/>
                <w:sz w:val="24"/>
              </w:rPr>
            </w:pPr>
          </w:p>
        </w:tc>
      </w:tr>
      <w:tr w:rsidR="0099058F" w14:paraId="4B76170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6F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Increase to Loss from operations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F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F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6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6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6F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7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701" w14:textId="77777777" w:rsidR="0099058F" w:rsidRDefault="0099058F">
            <w:pPr>
              <w:widowControl/>
              <w:jc w:val="left"/>
              <w:rPr>
                <w:rFonts w:ascii="Times New Roman" w:eastAsia="宋体" w:hAnsi="宋体" w:cs="宋体"/>
                <w:kern w:val="0"/>
                <w:sz w:val="24"/>
              </w:rPr>
            </w:pPr>
          </w:p>
        </w:tc>
      </w:tr>
      <w:tr w:rsidR="0099058F" w14:paraId="4B76170C" w14:textId="77777777">
        <w:trPr>
          <w:jc w:val="center"/>
        </w:trPr>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170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17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17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17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17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17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17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17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170B" w14:textId="77777777" w:rsidR="0099058F" w:rsidRDefault="0099058F">
            <w:pPr>
              <w:widowControl/>
              <w:jc w:val="left"/>
              <w:rPr>
                <w:rFonts w:ascii="Times New Roman" w:eastAsia="宋体" w:hAnsi="宋体" w:cs="宋体"/>
                <w:kern w:val="0"/>
                <w:sz w:val="24"/>
              </w:rPr>
            </w:pPr>
          </w:p>
        </w:tc>
      </w:tr>
    </w:tbl>
    <w:p w14:paraId="4B76170D"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 xml:space="preserve">Significant adjustments during the three years ended December 31, 2022 included losses on VC-25B, KC-46A Tanker, MQ-25, Commercial Crew and T-7A Red Hawk programs. </w:t>
      </w:r>
    </w:p>
    <w:p w14:paraId="4B76170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60</w:t>
      </w:r>
    </w:p>
    <w:p w14:paraId="4B76170F" w14:textId="77777777" w:rsidR="0099058F" w:rsidRDefault="00EB2559">
      <w:pPr>
        <w:widowControl/>
        <w:jc w:val="center"/>
      </w:pPr>
      <w:r>
        <w:rPr>
          <w:rFonts w:ascii="宋体" w:eastAsia="宋体" w:hAnsi="宋体" w:cs="宋体"/>
          <w:kern w:val="0"/>
          <w:sz w:val="24"/>
        </w:rPr>
        <w:pict w14:anchorId="4B763C33">
          <v:rect id="_x0000_i1086" style="width:6in;height:1.5pt" o:hralign="center" o:hrstd="t" o:hr="t" fillcolor="#a0a0a0" stroked="f"/>
        </w:pict>
      </w:r>
    </w:p>
    <w:p w14:paraId="4B76171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1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Due to the significance of judgment in the estimation process, changes in underlying assumptions/estimates, internal and</w:t>
      </w:r>
      <w:r>
        <w:rPr>
          <w:rFonts w:ascii="Arial" w:eastAsia="宋体" w:hAnsi="Arial" w:cs="Arial"/>
          <w:color w:val="000000"/>
          <w:kern w:val="0"/>
          <w:sz w:val="20"/>
          <w:szCs w:val="20"/>
          <w:lang w:bidi="ar"/>
        </w:rPr>
        <w:t xml:space="preserve"> supplier performance, inflationary trends, or other circumstances may adversely or positively affect financial performance in future periods.</w:t>
      </w:r>
    </w:p>
    <w:p w14:paraId="4B76171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Payments under long-term contracts may be received before or after revenue is recognized. The U.S. government cus</w:t>
      </w:r>
      <w:r>
        <w:rPr>
          <w:rFonts w:ascii="Arial" w:eastAsia="宋体" w:hAnsi="Arial" w:cs="Arial"/>
          <w:color w:val="000000"/>
          <w:kern w:val="0"/>
          <w:sz w:val="20"/>
          <w:szCs w:val="20"/>
          <w:lang w:bidi="ar"/>
        </w:rPr>
        <w:t>tomer typically withholds payment of a small portion of the contract price until contract completion. Therefore, long-term contracts typically generate Unbilled receivables (contract assets) but may generate Advances and progress billings (contract liabili</w:t>
      </w:r>
      <w:r>
        <w:rPr>
          <w:rFonts w:ascii="Arial" w:eastAsia="宋体" w:hAnsi="Arial" w:cs="Arial"/>
          <w:color w:val="000000"/>
          <w:kern w:val="0"/>
          <w:sz w:val="20"/>
          <w:szCs w:val="20"/>
          <w:lang w:bidi="ar"/>
        </w:rPr>
        <w:t xml:space="preserve">ties). Long-term contract Unbilled receivables and Advances and progress billings are not considered a significant financing component because they are intended to protect either the customer or the Company in the event that some or all of the obligations </w:t>
      </w:r>
      <w:r>
        <w:rPr>
          <w:rFonts w:ascii="Arial" w:eastAsia="宋体" w:hAnsi="Arial" w:cs="Arial"/>
          <w:color w:val="000000"/>
          <w:kern w:val="0"/>
          <w:sz w:val="20"/>
          <w:szCs w:val="20"/>
          <w:lang w:bidi="ar"/>
        </w:rPr>
        <w:t>under the contract are not completed.</w:t>
      </w:r>
    </w:p>
    <w:p w14:paraId="4B76171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spare parts contracts</w:t>
      </w:r>
      <w:r>
        <w:rPr>
          <w:rFonts w:ascii="Arial" w:eastAsia="宋体" w:hAnsi="Arial" w:cs="Arial"/>
          <w:color w:val="000000"/>
          <w:kern w:val="0"/>
          <w:sz w:val="20"/>
          <w:szCs w:val="20"/>
          <w:lang w:bidi="ar"/>
        </w:rPr>
        <w:t xml:space="preserve"> Certain contracts at our BGS segment include sales of commercial spare parts. For each contract, we determine the transaction price based on the consideration expected to be received. T</w:t>
      </w:r>
      <w:r>
        <w:rPr>
          <w:rFonts w:ascii="Arial" w:eastAsia="宋体" w:hAnsi="Arial" w:cs="Arial"/>
          <w:color w:val="000000"/>
          <w:kern w:val="0"/>
          <w:sz w:val="20"/>
          <w:szCs w:val="20"/>
          <w:lang w:bidi="ar"/>
        </w:rPr>
        <w:t xml:space="preserve">he spare parts have discrete unit prices that represent fair value. We generally consider each spare part to be a separate performance obligation. Revenue is recognized for each commercial spare part performance obligation at the point in time of delivery </w:t>
      </w:r>
      <w:r>
        <w:rPr>
          <w:rFonts w:ascii="Arial" w:eastAsia="宋体" w:hAnsi="Arial" w:cs="Arial"/>
          <w:color w:val="000000"/>
          <w:kern w:val="0"/>
          <w:sz w:val="20"/>
          <w:szCs w:val="20"/>
          <w:lang w:bidi="ar"/>
        </w:rPr>
        <w:t>to the customer. We may provide our customers with a right to return a commercial spare part where a customer may receive a full or partial refund, a credit applied to amounts owed, a different product in exchange, or any combination of these items. We con</w:t>
      </w:r>
      <w:r>
        <w:rPr>
          <w:rFonts w:ascii="Arial" w:eastAsia="宋体" w:hAnsi="Arial" w:cs="Arial"/>
          <w:color w:val="000000"/>
          <w:kern w:val="0"/>
          <w:sz w:val="20"/>
          <w:szCs w:val="20"/>
          <w:lang w:bidi="ar"/>
        </w:rPr>
        <w:t>sider the potential for customer returns in the estimated transaction price. The amount reported as cost of sales is recorded at average cost. Payments for commercial spare parts sales are typically received shortly after delivery.</w:t>
      </w:r>
    </w:p>
    <w:p w14:paraId="4B76171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service revenue co</w:t>
      </w:r>
      <w:r>
        <w:rPr>
          <w:rFonts w:ascii="Arial" w:eastAsia="宋体" w:hAnsi="Arial" w:cs="Arial"/>
          <w:b/>
          <w:bCs/>
          <w:color w:val="000000"/>
          <w:kern w:val="0"/>
          <w:sz w:val="20"/>
          <w:szCs w:val="20"/>
          <w:lang w:bidi="ar"/>
        </w:rPr>
        <w:t>ntracts</w:t>
      </w:r>
      <w:r>
        <w:rPr>
          <w:rFonts w:ascii="Arial" w:eastAsia="宋体" w:hAnsi="Arial" w:cs="Arial"/>
          <w:color w:val="000000"/>
          <w:kern w:val="0"/>
          <w:sz w:val="20"/>
          <w:szCs w:val="20"/>
          <w:lang w:bidi="ar"/>
        </w:rPr>
        <w:t xml:space="preserve"> Certain contracts at our BGS segment are for sales of services to commercial customers including maintenance, training, data analytics and information-based services. We recognize revenue for these service performance obligations over time as the s</w:t>
      </w:r>
      <w:r>
        <w:rPr>
          <w:rFonts w:ascii="Arial" w:eastAsia="宋体" w:hAnsi="Arial" w:cs="Arial"/>
          <w:color w:val="000000"/>
          <w:kern w:val="0"/>
          <w:sz w:val="20"/>
          <w:szCs w:val="20"/>
          <w:lang w:bidi="ar"/>
        </w:rPr>
        <w:t>ervices are rendered. The method of measuring progress (such as straight-line or billable amount) varies depending upon which method best depicts the transfer of control to the customer based on the type of service performed. Cost of sales is recorded as i</w:t>
      </w:r>
      <w:r>
        <w:rPr>
          <w:rFonts w:ascii="Arial" w:eastAsia="宋体" w:hAnsi="Arial" w:cs="Arial"/>
          <w:color w:val="000000"/>
          <w:kern w:val="0"/>
          <w:sz w:val="20"/>
          <w:szCs w:val="20"/>
          <w:lang w:bidi="ar"/>
        </w:rPr>
        <w:t>ncurred.</w:t>
      </w:r>
    </w:p>
    <w:p w14:paraId="4B76171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Concession sharing arrangements</w:t>
      </w:r>
      <w:r>
        <w:rPr>
          <w:rFonts w:ascii="Arial" w:eastAsia="宋体" w:hAnsi="Arial" w:cs="Arial"/>
          <w:color w:val="000000"/>
          <w:kern w:val="0"/>
          <w:sz w:val="20"/>
          <w:szCs w:val="20"/>
          <w:lang w:bidi="ar"/>
        </w:rPr>
        <w:t xml:space="preserve"> We account for sales concessions to our customers in consideration of their purchase of products and services as a reduction of the transaction price and the revenue that is recognized for the related performance ob</w:t>
      </w:r>
      <w:r>
        <w:rPr>
          <w:rFonts w:ascii="Arial" w:eastAsia="宋体" w:hAnsi="Arial" w:cs="Arial"/>
          <w:color w:val="000000"/>
          <w:kern w:val="0"/>
          <w:sz w:val="20"/>
          <w:szCs w:val="20"/>
          <w:lang w:bidi="ar"/>
        </w:rPr>
        <w:t xml:space="preserve">ligations. The sales concessions incurred may be partially reimbursed by certain suppliers in accordance with concession sharing arrangements. We record these reimbursements, which are presumed to represent reductions in the price of the vendor’s products </w:t>
      </w:r>
      <w:r>
        <w:rPr>
          <w:rFonts w:ascii="Arial" w:eastAsia="宋体" w:hAnsi="Arial" w:cs="Arial"/>
          <w:color w:val="000000"/>
          <w:kern w:val="0"/>
          <w:sz w:val="20"/>
          <w:szCs w:val="20"/>
          <w:lang w:bidi="ar"/>
        </w:rPr>
        <w:t>or services, as a reduction in Cost of products.</w:t>
      </w:r>
    </w:p>
    <w:p w14:paraId="4B76171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Unbilled receivables and advances and progress billings</w:t>
      </w:r>
      <w:r>
        <w:rPr>
          <w:rFonts w:ascii="Arial" w:eastAsia="宋体" w:hAnsi="Arial" w:cs="Arial"/>
          <w:color w:val="000000"/>
          <w:kern w:val="0"/>
          <w:sz w:val="20"/>
          <w:szCs w:val="20"/>
          <w:lang w:bidi="ar"/>
        </w:rPr>
        <w:t xml:space="preserve"> Unbilled receivables (contract assets) arise when the Company recognizes revenue for amounts which cannot yet be billed under terms of the contract wit</w:t>
      </w:r>
      <w:r>
        <w:rPr>
          <w:rFonts w:ascii="Arial" w:eastAsia="宋体" w:hAnsi="Arial" w:cs="Arial"/>
          <w:color w:val="000000"/>
          <w:kern w:val="0"/>
          <w:sz w:val="20"/>
          <w:szCs w:val="20"/>
          <w:lang w:bidi="ar"/>
        </w:rPr>
        <w:t>h the customer. Advances and progress billings (contract liabilities) arise when the Company receives payments from customers in advance of recognizing revenue. The amount of Unbilled receivables or Advances and progress billings is determined for each con</w:t>
      </w:r>
      <w:r>
        <w:rPr>
          <w:rFonts w:ascii="Arial" w:eastAsia="宋体" w:hAnsi="Arial" w:cs="Arial"/>
          <w:color w:val="000000"/>
          <w:kern w:val="0"/>
          <w:sz w:val="20"/>
          <w:szCs w:val="20"/>
          <w:lang w:bidi="ar"/>
        </w:rPr>
        <w:t>tract.</w:t>
      </w:r>
    </w:p>
    <w:p w14:paraId="4B76171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services revenue</w:t>
      </w:r>
      <w:r>
        <w:rPr>
          <w:rFonts w:ascii="Arial" w:eastAsia="宋体" w:hAnsi="Arial" w:cs="Arial"/>
          <w:color w:val="000000"/>
          <w:kern w:val="0"/>
          <w:sz w:val="20"/>
          <w:szCs w:val="20"/>
          <w:lang w:bidi="ar"/>
        </w:rPr>
        <w:t xml:space="preserve"> We record financial services revenue associated with sales-type/finance leases, operating leases and loans in Sales of services on the Consolidated Statements of Operations. For sales-type leases, we recognize selling prof</w:t>
      </w:r>
      <w:r>
        <w:rPr>
          <w:rFonts w:ascii="Arial" w:eastAsia="宋体" w:hAnsi="Arial" w:cs="Arial"/>
          <w:color w:val="000000"/>
          <w:kern w:val="0"/>
          <w:sz w:val="20"/>
          <w:szCs w:val="20"/>
          <w:lang w:bidi="ar"/>
        </w:rPr>
        <w:t>it or loss at lease inception if collection of the lease payments is probable. For sales-type and direct finance leases, we record customer financing receivables at lease inception. A customer financing receivable is recorded at the aggregate of future min</w:t>
      </w:r>
      <w:r>
        <w:rPr>
          <w:rFonts w:ascii="Arial" w:eastAsia="宋体" w:hAnsi="Arial" w:cs="Arial"/>
          <w:color w:val="000000"/>
          <w:kern w:val="0"/>
          <w:sz w:val="20"/>
          <w:szCs w:val="20"/>
          <w:lang w:bidi="ar"/>
        </w:rPr>
        <w:t>imum lease payments, estimated residual value of the leased equipment, and any deferred incremental direct costs less unearned income. Income is recognized over the life of the lease to approximate a level rate of return on the net investment. For notes re</w:t>
      </w:r>
      <w:r>
        <w:rPr>
          <w:rFonts w:ascii="Arial" w:eastAsia="宋体" w:hAnsi="Arial" w:cs="Arial"/>
          <w:color w:val="000000"/>
          <w:kern w:val="0"/>
          <w:sz w:val="20"/>
          <w:szCs w:val="20"/>
          <w:lang w:bidi="ar"/>
        </w:rPr>
        <w:t>ceivable, we record customer financing receivables net of any unamortized discounts and deferred incremental direct costs. Interest income and amortization of any discounts are recorded ratably over the related term of the note.</w:t>
      </w:r>
    </w:p>
    <w:p w14:paraId="4B76171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61</w:t>
      </w:r>
    </w:p>
    <w:p w14:paraId="4B761719" w14:textId="77777777" w:rsidR="0099058F" w:rsidRDefault="00EB2559">
      <w:pPr>
        <w:widowControl/>
        <w:jc w:val="center"/>
      </w:pPr>
      <w:r>
        <w:rPr>
          <w:rFonts w:ascii="宋体" w:eastAsia="宋体" w:hAnsi="宋体" w:cs="宋体"/>
          <w:kern w:val="0"/>
          <w:sz w:val="24"/>
        </w:rPr>
        <w:pict w14:anchorId="4B763C34">
          <v:rect id="_x0000_i1087" style="width:6in;height:1.5pt" o:hralign="center" o:hrstd="t" o:hr="t" fillcolor="#a0a0a0" stroked="f"/>
        </w:pict>
      </w:r>
    </w:p>
    <w:p w14:paraId="4B76171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1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Income recognition is generally suspended for customer financing receivables that are uncollectible. </w:t>
      </w:r>
      <w:r>
        <w:rPr>
          <w:rFonts w:ascii="sans-serif" w:eastAsia="宋体" w:hAnsi="sans-serif" w:cs="sans-serif"/>
          <w:color w:val="000000"/>
          <w:kern w:val="0"/>
          <w:sz w:val="24"/>
          <w:lang w:bidi="ar"/>
        </w:rPr>
        <w:t>We</w:t>
      </w:r>
      <w:r>
        <w:rPr>
          <w:rFonts w:ascii="sans-serif" w:eastAsia="宋体" w:hAnsi="sans-serif" w:cs="sans-serif"/>
          <w:i/>
          <w:iCs/>
          <w:color w:val="0070C0"/>
          <w:kern w:val="0"/>
          <w:sz w:val="24"/>
          <w:lang w:bidi="ar"/>
        </w:rPr>
        <w:t xml:space="preserve"> </w:t>
      </w:r>
      <w:r>
        <w:rPr>
          <w:rFonts w:ascii="Arial" w:eastAsia="宋体" w:hAnsi="Arial" w:cs="Arial"/>
          <w:color w:val="000000"/>
          <w:kern w:val="0"/>
          <w:sz w:val="20"/>
          <w:szCs w:val="20"/>
          <w:lang w:bidi="ar"/>
        </w:rPr>
        <w:t>determine that a</w:t>
      </w:r>
      <w:r>
        <w:rPr>
          <w:rFonts w:ascii="Arial" w:eastAsia="宋体" w:hAnsi="Arial" w:cs="Arial"/>
          <w:color w:val="000000"/>
          <w:kern w:val="0"/>
          <w:sz w:val="20"/>
          <w:szCs w:val="20"/>
          <w:lang w:bidi="ar"/>
        </w:rPr>
        <w:t xml:space="preserve"> customer financing receivable is uncollectible when, based on current information and events, it is probable that we will be unable to collect amounts due according to the original contractual terms. We determine a customer financing receivable is past du</w:t>
      </w:r>
      <w:r>
        <w:rPr>
          <w:rFonts w:ascii="Arial" w:eastAsia="宋体" w:hAnsi="Arial" w:cs="Arial"/>
          <w:color w:val="000000"/>
          <w:kern w:val="0"/>
          <w:sz w:val="20"/>
          <w:szCs w:val="20"/>
          <w:lang w:bidi="ar"/>
        </w:rPr>
        <w:t>e when cash has not been received upon the due date specified in the contract.</w:t>
      </w:r>
    </w:p>
    <w:p w14:paraId="4B76171C"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 xml:space="preserve">We evaluate the collectability of customer financing receivables at commencement and on a recurring basis. If a customer financing receivable is determined to be uncollectible, </w:t>
      </w:r>
      <w:r>
        <w:rPr>
          <w:rFonts w:ascii="Arial" w:eastAsia="宋体" w:hAnsi="Arial" w:cs="Arial"/>
          <w:color w:val="000000"/>
          <w:kern w:val="0"/>
          <w:sz w:val="20"/>
          <w:szCs w:val="20"/>
          <w:lang w:bidi="ar"/>
        </w:rPr>
        <w:t xml:space="preserve">the customer is categorized as non-accrual status. When a customer is in non-accrual status at commencement, sales-type lease revenue is deferred until substantially all cash has been received or the customer is removed from non-accrual status. If we have </w:t>
      </w:r>
      <w:r>
        <w:rPr>
          <w:rFonts w:ascii="Arial" w:eastAsia="宋体" w:hAnsi="Arial" w:cs="Arial"/>
          <w:color w:val="000000"/>
          <w:kern w:val="0"/>
          <w:sz w:val="20"/>
          <w:szCs w:val="20"/>
          <w:lang w:bidi="ar"/>
        </w:rPr>
        <w:t>a direct finance lease and/or a note receivable with a customer that is in non-accrual status, or a sales-type lease with a customer that changes to non-accrual status after commencement, we recognize contractual interest income as payments are received to</w:t>
      </w:r>
      <w:r>
        <w:rPr>
          <w:rFonts w:ascii="Arial" w:eastAsia="宋体" w:hAnsi="Arial" w:cs="Arial"/>
          <w:color w:val="000000"/>
          <w:kern w:val="0"/>
          <w:sz w:val="20"/>
          <w:szCs w:val="20"/>
          <w:lang w:bidi="ar"/>
        </w:rPr>
        <w:t xml:space="preserve"> the extent there is sufficient collateral and payments exceed past due principal payments.</w:t>
      </w:r>
    </w:p>
    <w:p w14:paraId="4B76171D"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6171E"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 xml:space="preserve">Residual values, which are reviewed periodically, represent the estimated amount we expect to receive at lease termination from the disposition of the </w:t>
      </w:r>
      <w:r>
        <w:rPr>
          <w:rFonts w:ascii="Arial" w:eastAsia="宋体" w:hAnsi="Arial" w:cs="Arial"/>
          <w:color w:val="000000"/>
          <w:kern w:val="0"/>
          <w:sz w:val="20"/>
          <w:szCs w:val="20"/>
          <w:lang w:bidi="ar"/>
        </w:rPr>
        <w:t>leased equipment. Actual residual values realized could differ from these estimates. Declines in estimated residual value that are deemed other-than-temporary are recognized in the period in which the declines occur.</w:t>
      </w:r>
    </w:p>
    <w:p w14:paraId="4B76171F"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B76172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operating leases, revenue on leas</w:t>
      </w:r>
      <w:r>
        <w:rPr>
          <w:rFonts w:ascii="Arial" w:eastAsia="宋体" w:hAnsi="Arial" w:cs="Arial"/>
          <w:color w:val="000000"/>
          <w:kern w:val="0"/>
          <w:sz w:val="20"/>
          <w:szCs w:val="20"/>
          <w:lang w:bidi="ar"/>
        </w:rPr>
        <w:t xml:space="preserve">ed aircraft and equipment is recorded on a straight-line basis over the term of the lease. Operating lease assets, included in Customer financing, net, are recorded at cost and depreciated to an estimated residual value using the straight-line method over </w:t>
      </w:r>
      <w:r>
        <w:rPr>
          <w:rFonts w:ascii="Arial" w:eastAsia="宋体" w:hAnsi="Arial" w:cs="Arial"/>
          <w:color w:val="000000"/>
          <w:kern w:val="0"/>
          <w:sz w:val="20"/>
          <w:szCs w:val="20"/>
          <w:lang w:bidi="ar"/>
        </w:rPr>
        <w:t>the period that we project we will hold the asset. We periodically review our estimates of residual value and recognize forecasted changes by prospectively adjusting depreciation expense. We record assets held for sale at the lower of carrying value or fai</w:t>
      </w:r>
      <w:r>
        <w:rPr>
          <w:rFonts w:ascii="Arial" w:eastAsia="宋体" w:hAnsi="Arial" w:cs="Arial"/>
          <w:color w:val="000000"/>
          <w:kern w:val="0"/>
          <w:sz w:val="20"/>
          <w:szCs w:val="20"/>
          <w:lang w:bidi="ar"/>
        </w:rPr>
        <w:t>r value less costs to sell. We evaluate for impairment assets under operating leases when events or changes in circumstances indicate that the expected undiscounted cash flow from the asset may be less than the carrying value. When we determine that impair</w:t>
      </w:r>
      <w:r>
        <w:rPr>
          <w:rFonts w:ascii="Arial" w:eastAsia="宋体" w:hAnsi="Arial" w:cs="Arial"/>
          <w:color w:val="000000"/>
          <w:kern w:val="0"/>
          <w:sz w:val="20"/>
          <w:szCs w:val="20"/>
          <w:lang w:bidi="ar"/>
        </w:rPr>
        <w:t>ment is indicated for an asset, the amount of impairment expense recorded is the excess of the carrying value over the fair value of the asset.</w:t>
      </w:r>
    </w:p>
    <w:p w14:paraId="4B76172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Reinsurance revenue</w:t>
      </w:r>
      <w:r>
        <w:rPr>
          <w:rFonts w:ascii="Arial" w:eastAsia="宋体" w:hAnsi="Arial" w:cs="Arial"/>
          <w:color w:val="000000"/>
          <w:kern w:val="0"/>
          <w:sz w:val="20"/>
          <w:szCs w:val="20"/>
          <w:lang w:bidi="ar"/>
        </w:rPr>
        <w:t xml:space="preserve"> Our wholly-owned insurance subsidiary, Astro Ltd., participates in a reinsurance pool for wo</w:t>
      </w:r>
      <w:r>
        <w:rPr>
          <w:rFonts w:ascii="Arial" w:eastAsia="宋体" w:hAnsi="Arial" w:cs="Arial"/>
          <w:color w:val="000000"/>
          <w:kern w:val="0"/>
          <w:sz w:val="20"/>
          <w:szCs w:val="20"/>
          <w:lang w:bidi="ar"/>
        </w:rPr>
        <w:t>rkers’ compensation. The member agreements and practices of the reinsurance pool minimize any participating members’ individual risk. Reinsurance revenues were $129, $126 and $129 during 2022, 2021 and 2020, respectively. Reinsurance costs related to premi</w:t>
      </w:r>
      <w:r>
        <w:rPr>
          <w:rFonts w:ascii="Arial" w:eastAsia="宋体" w:hAnsi="Arial" w:cs="Arial"/>
          <w:color w:val="000000"/>
          <w:kern w:val="0"/>
          <w:sz w:val="20"/>
          <w:szCs w:val="20"/>
          <w:lang w:bidi="ar"/>
        </w:rPr>
        <w:t>ums and claims paid to the reinsurance pool were $134, $129 and $136 during 2022, 2021 and 2020, respectively. Revenues and costs are presented net in Cost of sales in the Consolidated Statements of Operations.</w:t>
      </w:r>
    </w:p>
    <w:p w14:paraId="4B76172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Research and Development</w:t>
      </w:r>
    </w:p>
    <w:p w14:paraId="4B76172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w:t>
      </w:r>
      <w:r>
        <w:rPr>
          <w:rFonts w:ascii="Arial" w:eastAsia="宋体" w:hAnsi="Arial" w:cs="Arial"/>
          <w:color w:val="000000"/>
          <w:kern w:val="0"/>
          <w:sz w:val="20"/>
          <w:szCs w:val="20"/>
          <w:lang w:bidi="ar"/>
        </w:rPr>
        <w:t>ment includes costs incurred for experimentation, design and testing, as well as bid and proposal efforts related to government products and services, which are expensed as incurred unless the costs are related to certain contractual arrangements with cust</w:t>
      </w:r>
      <w:r>
        <w:rPr>
          <w:rFonts w:ascii="Arial" w:eastAsia="宋体" w:hAnsi="Arial" w:cs="Arial"/>
          <w:color w:val="000000"/>
          <w:kern w:val="0"/>
          <w:sz w:val="20"/>
          <w:szCs w:val="20"/>
          <w:lang w:bidi="ar"/>
        </w:rPr>
        <w:t xml:space="preserve">omers. Costs that are incurred pursuant to such contractual arrangements are recorded over the period that revenue is recognized, consistent with our long-term contract accounting policy. We have certain research and development arrangements that meet the </w:t>
      </w:r>
      <w:r>
        <w:rPr>
          <w:rFonts w:ascii="Arial" w:eastAsia="宋体" w:hAnsi="Arial" w:cs="Arial"/>
          <w:color w:val="000000"/>
          <w:kern w:val="0"/>
          <w:sz w:val="20"/>
          <w:szCs w:val="20"/>
          <w:lang w:bidi="ar"/>
        </w:rPr>
        <w:t>requirement for best efforts research and development accounting. Accordingly, the amounts funded by the customer are recognized as an offset to our research and development expense rather than as contract revenues. Research and development expense include</w:t>
      </w:r>
      <w:r>
        <w:rPr>
          <w:rFonts w:ascii="Arial" w:eastAsia="宋体" w:hAnsi="Arial" w:cs="Arial"/>
          <w:color w:val="000000"/>
          <w:kern w:val="0"/>
          <w:sz w:val="20"/>
          <w:szCs w:val="20"/>
          <w:lang w:bidi="ar"/>
        </w:rPr>
        <w:t>d bid and proposal costs of $217, $213 and $224 in 2022, 2021 and 2020, respectively.</w:t>
      </w:r>
    </w:p>
    <w:p w14:paraId="4B76172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62</w:t>
      </w:r>
    </w:p>
    <w:p w14:paraId="4B761725" w14:textId="77777777" w:rsidR="0099058F" w:rsidRDefault="00EB2559">
      <w:pPr>
        <w:widowControl/>
        <w:jc w:val="center"/>
      </w:pPr>
      <w:r>
        <w:rPr>
          <w:rFonts w:ascii="宋体" w:eastAsia="宋体" w:hAnsi="宋体" w:cs="宋体"/>
          <w:kern w:val="0"/>
          <w:sz w:val="24"/>
        </w:rPr>
        <w:pict w14:anchorId="4B763C35">
          <v:rect id="_x0000_i1088" style="width:6in;height:1.5pt" o:hralign="center" o:hrstd="t" o:hr="t" fillcolor="#a0a0a0" stroked="f"/>
        </w:pict>
      </w:r>
    </w:p>
    <w:p w14:paraId="4B76172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2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Share-Based </w:t>
      </w:r>
      <w:r>
        <w:rPr>
          <w:rFonts w:ascii="Arial" w:eastAsia="宋体" w:hAnsi="Arial" w:cs="Arial"/>
          <w:b/>
          <w:bCs/>
          <w:color w:val="000000"/>
          <w:kern w:val="0"/>
          <w:sz w:val="20"/>
          <w:szCs w:val="20"/>
          <w:lang w:bidi="ar"/>
        </w:rPr>
        <w:t>Compensation</w:t>
      </w:r>
    </w:p>
    <w:p w14:paraId="4B76172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provide various forms of share-based compensation to our employees. For awards settled in shares, we measure compensation expense based on the grant-date fair value net of estimated forfeitures. For awards settled in cash, or that may be se</w:t>
      </w:r>
      <w:r>
        <w:rPr>
          <w:rFonts w:ascii="Arial" w:eastAsia="宋体" w:hAnsi="Arial" w:cs="Arial"/>
          <w:color w:val="000000"/>
          <w:kern w:val="0"/>
          <w:sz w:val="20"/>
          <w:szCs w:val="20"/>
          <w:lang w:bidi="ar"/>
        </w:rPr>
        <w:t>ttled in cash, we measure compensation expense based on the fair value at each reporting date net of estimated forfeitures. The expense is recognized over the requisite service period, which is generally the vesting period of the award.</w:t>
      </w:r>
    </w:p>
    <w:p w14:paraId="4B76172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Income Taxes</w:t>
      </w:r>
    </w:p>
    <w:p w14:paraId="4B76172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Provisions for U.S. federal, state and local, and non-U.S. income taxes are calculated on reported Loss before income taxes based on current tax law and also include, in the current period, the cumulative effect of any changes in tax rates from those used </w:t>
      </w:r>
      <w:r>
        <w:rPr>
          <w:rFonts w:ascii="Arial" w:eastAsia="宋体" w:hAnsi="Arial" w:cs="Arial"/>
          <w:color w:val="000000"/>
          <w:kern w:val="0"/>
          <w:sz w:val="20"/>
          <w:szCs w:val="20"/>
          <w:lang w:bidi="ar"/>
        </w:rPr>
        <w:t>previously in determining deferred tax assets and liabilities. Such provisions differ from the amounts currently receivable or payable because certain items of income and expense are recognized in different time periods for financial reporting purposes tha</w:t>
      </w:r>
      <w:r>
        <w:rPr>
          <w:rFonts w:ascii="Arial" w:eastAsia="宋体" w:hAnsi="Arial" w:cs="Arial"/>
          <w:color w:val="000000"/>
          <w:kern w:val="0"/>
          <w:sz w:val="20"/>
          <w:szCs w:val="20"/>
          <w:lang w:bidi="ar"/>
        </w:rPr>
        <w:t>n for income tax purposes. Significant judgment is required in determining income tax provisions and evaluating tax positions.</w:t>
      </w:r>
    </w:p>
    <w:p w14:paraId="4B76172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accounting for uncertainty in income taxes requires a more-likely-than-not threshold for financial statement recognition and </w:t>
      </w:r>
      <w:r>
        <w:rPr>
          <w:rFonts w:ascii="Arial" w:eastAsia="宋体" w:hAnsi="Arial" w:cs="Arial"/>
          <w:color w:val="000000"/>
          <w:kern w:val="0"/>
          <w:sz w:val="20"/>
          <w:szCs w:val="20"/>
          <w:lang w:bidi="ar"/>
        </w:rPr>
        <w:t xml:space="preserve">measurement of tax positions taken or expected to be taken in a tax return. We record a liability for the difference between the benefit recognized and measured for financial statement purposes and the tax position taken or expected to be taken on our tax </w:t>
      </w:r>
      <w:r>
        <w:rPr>
          <w:rFonts w:ascii="Arial" w:eastAsia="宋体" w:hAnsi="Arial" w:cs="Arial"/>
          <w:color w:val="000000"/>
          <w:kern w:val="0"/>
          <w:sz w:val="20"/>
          <w:szCs w:val="20"/>
          <w:lang w:bidi="ar"/>
        </w:rPr>
        <w:t>return. To the extent that our assessment of such tax positions changes, the change in estimate is recorded in the period in which the determination is made. Tax-related interest and penalties are classified as a component of Income tax (expense)/benefit.</w:t>
      </w:r>
    </w:p>
    <w:p w14:paraId="4B76172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assess the likelihood that we will be able to recover our deferred tax assets against future sources of taxable income and reduce the carrying amounts of deferred tax assets by recording a valuation allowance if, based on the available evidence, it</w:t>
      </w:r>
      <w:r>
        <w:rPr>
          <w:rFonts w:ascii="Arial" w:eastAsia="宋体" w:hAnsi="Arial" w:cs="Arial"/>
          <w:color w:val="000000"/>
          <w:kern w:val="0"/>
          <w:sz w:val="20"/>
          <w:szCs w:val="20"/>
          <w:lang w:bidi="ar"/>
        </w:rPr>
        <w:t xml:space="preserve"> is more likely than not that all or a portion of such assets will not be realized. Changes in our estimates and judgments regarding realization of deferred tax assets may result in an increase or decrease to our tax expense and/or other comprehensive inco</w:t>
      </w:r>
      <w:r>
        <w:rPr>
          <w:rFonts w:ascii="Arial" w:eastAsia="宋体" w:hAnsi="Arial" w:cs="Arial"/>
          <w:color w:val="000000"/>
          <w:kern w:val="0"/>
          <w:sz w:val="20"/>
          <w:szCs w:val="20"/>
          <w:lang w:bidi="ar"/>
        </w:rPr>
        <w:t>me, which would be recorded in the period in which the change occurs.</w:t>
      </w:r>
    </w:p>
    <w:p w14:paraId="4B76172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Postretirement Plans</w:t>
      </w:r>
    </w:p>
    <w:p w14:paraId="4B76172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employees have earned benefits under defined benefit pension plans. The majority of employees that had participated in defined benefit pension plans have</w:t>
      </w:r>
      <w:r>
        <w:rPr>
          <w:rFonts w:ascii="Arial" w:eastAsia="宋体" w:hAnsi="Arial" w:cs="Arial"/>
          <w:color w:val="000000"/>
          <w:kern w:val="0"/>
          <w:sz w:val="20"/>
          <w:szCs w:val="20"/>
          <w:lang w:bidi="ar"/>
        </w:rPr>
        <w:t xml:space="preserve"> transitioned to a company-funded defined contribution retirement savings plan. We also provide postretirement benefit plans other than pensions, consisting principally of health care coverage to eligible retirees and qualifying dependents. Benefits under </w:t>
      </w:r>
      <w:r>
        <w:rPr>
          <w:rFonts w:ascii="Arial" w:eastAsia="宋体" w:hAnsi="Arial" w:cs="Arial"/>
          <w:color w:val="000000"/>
          <w:kern w:val="0"/>
          <w:sz w:val="20"/>
          <w:szCs w:val="20"/>
          <w:lang w:bidi="ar"/>
        </w:rPr>
        <w:t>the pension and other postretirement benefit plans are generally based on age at retirement and years of service and, for some pension plans, benefits are also based on the employee’s annual earnings. The net periodic cost of our pension and other postreti</w:t>
      </w:r>
      <w:r>
        <w:rPr>
          <w:rFonts w:ascii="Arial" w:eastAsia="宋体" w:hAnsi="Arial" w:cs="Arial"/>
          <w:color w:val="000000"/>
          <w:kern w:val="0"/>
          <w:sz w:val="20"/>
          <w:szCs w:val="20"/>
          <w:lang w:bidi="ar"/>
        </w:rPr>
        <w:t>rement plans is determined using the projected unit credit method and several actuarial assumptions, the most significant of which are the discount rate, the long-term rate of asset return and medical trend (rate of growth for medical costs). Actuarial gai</w:t>
      </w:r>
      <w:r>
        <w:rPr>
          <w:rFonts w:ascii="Arial" w:eastAsia="宋体" w:hAnsi="Arial" w:cs="Arial"/>
          <w:color w:val="000000"/>
          <w:kern w:val="0"/>
          <w:sz w:val="20"/>
          <w:szCs w:val="20"/>
          <w:lang w:bidi="ar"/>
        </w:rPr>
        <w:t>ns and losses, which occur when actual experience differs from actuarial assumptions, are reflected in Shareholders’ equity (net of taxes). If actuarial gains and losses exceed ten percent of the greater of plan assets or plan liabilities, we amortize them</w:t>
      </w:r>
      <w:r>
        <w:rPr>
          <w:rFonts w:ascii="Arial" w:eastAsia="宋体" w:hAnsi="Arial" w:cs="Arial"/>
          <w:color w:val="000000"/>
          <w:kern w:val="0"/>
          <w:sz w:val="20"/>
          <w:szCs w:val="20"/>
          <w:lang w:bidi="ar"/>
        </w:rPr>
        <w:t xml:space="preserve"> over the average expected future lifetime of participants. The funded status of our pension and postretirement plans is reflected on the Consolidated Statements of Financial Position.</w:t>
      </w:r>
    </w:p>
    <w:p w14:paraId="4B76172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63</w:t>
      </w:r>
    </w:p>
    <w:p w14:paraId="4B761730" w14:textId="77777777" w:rsidR="0099058F" w:rsidRDefault="00EB2559">
      <w:pPr>
        <w:widowControl/>
        <w:jc w:val="center"/>
      </w:pPr>
      <w:r>
        <w:rPr>
          <w:rFonts w:ascii="宋体" w:eastAsia="宋体" w:hAnsi="宋体" w:cs="宋体"/>
          <w:kern w:val="0"/>
          <w:sz w:val="24"/>
        </w:rPr>
        <w:pict w14:anchorId="4B763C36">
          <v:rect id="_x0000_i1089" style="width:6in;height:1.5pt" o:hralign="center" o:hrstd="t" o:hr="t" fillcolor="#a0a0a0" stroked="f"/>
        </w:pict>
      </w:r>
    </w:p>
    <w:p w14:paraId="4B76173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3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Postemployment Plans</w:t>
      </w:r>
    </w:p>
    <w:p w14:paraId="4B76173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 liability for postemployment benefits, such as severance or job training, when payment is probable, the amount is reasonably estimable, and the obligatio</w:t>
      </w:r>
      <w:r>
        <w:rPr>
          <w:rFonts w:ascii="Arial" w:eastAsia="宋体" w:hAnsi="Arial" w:cs="Arial"/>
          <w:color w:val="000000"/>
          <w:kern w:val="0"/>
          <w:sz w:val="20"/>
          <w:szCs w:val="20"/>
          <w:lang w:bidi="ar"/>
        </w:rPr>
        <w:t>n relates to rights that have vested or accumulated.</w:t>
      </w:r>
    </w:p>
    <w:p w14:paraId="4B76173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p>
    <w:p w14:paraId="4B76173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subject to federal and state requirements for protection of the environment, including those for discharge of hazardous materials and remediation of </w:t>
      </w:r>
      <w:r>
        <w:rPr>
          <w:rFonts w:ascii="Arial" w:eastAsia="宋体" w:hAnsi="Arial" w:cs="Arial"/>
          <w:color w:val="000000"/>
          <w:kern w:val="0"/>
          <w:sz w:val="20"/>
          <w:szCs w:val="20"/>
          <w:lang w:bidi="ar"/>
        </w:rPr>
        <w:t>contaminated sites. We routinely assess, based on in-depth studies, expert analyses and legal reviews, our contingencies, obligations and commitments for remediation of contaminated sites, including assessments of ranges and probabilities of recoveries fro</w:t>
      </w:r>
      <w:r>
        <w:rPr>
          <w:rFonts w:ascii="Arial" w:eastAsia="宋体" w:hAnsi="Arial" w:cs="Arial"/>
          <w:color w:val="000000"/>
          <w:kern w:val="0"/>
          <w:sz w:val="20"/>
          <w:szCs w:val="20"/>
          <w:lang w:bidi="ar"/>
        </w:rPr>
        <w:t>m other responsible parties and/or insurance carriers. Our policy is to accrue and charge to current expense identified exposures related to environmental remediation sites when it is probable that a liability has been incurred and the amount can be reason</w:t>
      </w:r>
      <w:r>
        <w:rPr>
          <w:rFonts w:ascii="Arial" w:eastAsia="宋体" w:hAnsi="Arial" w:cs="Arial"/>
          <w:color w:val="000000"/>
          <w:kern w:val="0"/>
          <w:sz w:val="20"/>
          <w:szCs w:val="20"/>
          <w:lang w:bidi="ar"/>
        </w:rPr>
        <w:t>ably estimated. The amount of the liability is based on our best estimate or the low end of a range of reasonably possible exposure for investigation, cleanup and monitoring costs to be incurred. Estimated remediation costs are not discounted to present va</w:t>
      </w:r>
      <w:r>
        <w:rPr>
          <w:rFonts w:ascii="Arial" w:eastAsia="宋体" w:hAnsi="Arial" w:cs="Arial"/>
          <w:color w:val="000000"/>
          <w:kern w:val="0"/>
          <w:sz w:val="20"/>
          <w:szCs w:val="20"/>
          <w:lang w:bidi="ar"/>
        </w:rPr>
        <w:t>lue as the timing of payments cannot be reasonably estimated. We may be able to recover a portion of the remediation costs from insurers or other third parties. Such recoveries are recorded when realization of the claim for recovery is deemed probable.</w:t>
      </w:r>
    </w:p>
    <w:p w14:paraId="4B76173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w:t>
      </w:r>
      <w:r>
        <w:rPr>
          <w:rFonts w:ascii="Arial" w:eastAsia="宋体" w:hAnsi="Arial" w:cs="Arial"/>
          <w:b/>
          <w:bCs/>
          <w:color w:val="000000"/>
          <w:kern w:val="0"/>
          <w:sz w:val="20"/>
          <w:szCs w:val="20"/>
          <w:lang w:bidi="ar"/>
        </w:rPr>
        <w:t>h and Cash Equivalents</w:t>
      </w:r>
    </w:p>
    <w:p w14:paraId="4B76173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Cash and cash equivalents consist of highly liquid instruments, such as commercial paper, time deposits, and other money market instruments, which have original maturities of three months or less. We aggregate our cash balances by ba</w:t>
      </w:r>
      <w:r>
        <w:rPr>
          <w:rFonts w:ascii="Arial" w:eastAsia="宋体" w:hAnsi="Arial" w:cs="Arial"/>
          <w:color w:val="000000"/>
          <w:kern w:val="0"/>
          <w:sz w:val="20"/>
          <w:szCs w:val="20"/>
          <w:lang w:bidi="ar"/>
        </w:rPr>
        <w:t>nk where conditions for right of set-off are met, and reclassify any negative balances, consisting mainly of uncleared checks, to Accounts payable. Negative balances reclassified to Accounts payable were $102 and $47 at December 31, 2022 and 2021.</w:t>
      </w:r>
    </w:p>
    <w:p w14:paraId="4B76173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Inventor</w:t>
      </w:r>
      <w:r>
        <w:rPr>
          <w:rFonts w:ascii="Arial" w:eastAsia="宋体" w:hAnsi="Arial" w:cs="Arial"/>
          <w:b/>
          <w:bCs/>
          <w:color w:val="000000"/>
          <w:kern w:val="0"/>
          <w:sz w:val="20"/>
          <w:szCs w:val="20"/>
          <w:lang w:bidi="ar"/>
        </w:rPr>
        <w:t>ies</w:t>
      </w:r>
    </w:p>
    <w:p w14:paraId="4B76173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Inventoried costs on commercial aircraft programs and long-term contracts include direct engineering, production and tooling and other non-recurring costs, and applicable overhead, which includes fringe benefits, production related indirect and plant m</w:t>
      </w:r>
      <w:r>
        <w:rPr>
          <w:rFonts w:ascii="Arial" w:eastAsia="宋体" w:hAnsi="Arial" w:cs="Arial"/>
          <w:color w:val="000000"/>
          <w:kern w:val="0"/>
          <w:sz w:val="20"/>
          <w:szCs w:val="20"/>
          <w:lang w:bidi="ar"/>
        </w:rPr>
        <w:t xml:space="preserve">anagement salaries and plant services, not in excess of estimated net realizable value. To the extent a material amount of such costs are related to an abnormal event or are fixed costs not appropriately attributable to our programs or contracts, they are </w:t>
      </w:r>
      <w:r>
        <w:rPr>
          <w:rFonts w:ascii="Arial" w:eastAsia="宋体" w:hAnsi="Arial" w:cs="Arial"/>
          <w:color w:val="000000"/>
          <w:kern w:val="0"/>
          <w:sz w:val="20"/>
          <w:szCs w:val="20"/>
          <w:lang w:bidi="ar"/>
        </w:rPr>
        <w:t>expensed in the current period rather than inventoried. Inventoried costs include amounts relating to programs and contracts with long-term production cycles, a portion of which is not expected to be realized within one year. Included in inventory for fede</w:t>
      </w:r>
      <w:r>
        <w:rPr>
          <w:rFonts w:ascii="Arial" w:eastAsia="宋体" w:hAnsi="Arial" w:cs="Arial"/>
          <w:color w:val="000000"/>
          <w:kern w:val="0"/>
          <w:sz w:val="20"/>
          <w:szCs w:val="20"/>
          <w:lang w:bidi="ar"/>
        </w:rPr>
        <w:t>ral government contracts is an allocation of allowable costs related to manufacturing process reengineering.</w:t>
      </w:r>
    </w:p>
    <w:p w14:paraId="4B76173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includes deferred production costs and supplier advances. Deferred production costs represent actual costs i</w:t>
      </w:r>
      <w:r>
        <w:rPr>
          <w:rFonts w:ascii="Arial" w:eastAsia="宋体" w:hAnsi="Arial" w:cs="Arial"/>
          <w:color w:val="000000"/>
          <w:kern w:val="0"/>
          <w:sz w:val="20"/>
          <w:szCs w:val="20"/>
          <w:lang w:bidi="ar"/>
        </w:rPr>
        <w:t>ncurred for production of early units that exceed the estimated average cost of all units in the program accounting quantity. Higher production costs are experienced at the beginning of a new or derivative aircraft program. Units produced early in a progra</w:t>
      </w:r>
      <w:r>
        <w:rPr>
          <w:rFonts w:ascii="Arial" w:eastAsia="宋体" w:hAnsi="Arial" w:cs="Arial"/>
          <w:color w:val="000000"/>
          <w:kern w:val="0"/>
          <w:sz w:val="20"/>
          <w:szCs w:val="20"/>
          <w:lang w:bidi="ar"/>
        </w:rPr>
        <w:t>m require substantially more effort (labor and other resources) than units produced later in a program because of volume efficiencies and the effects of learning. We expect that these deferred costs will be fully recovered when all units included in the ac</w:t>
      </w:r>
      <w:r>
        <w:rPr>
          <w:rFonts w:ascii="Arial" w:eastAsia="宋体" w:hAnsi="Arial" w:cs="Arial"/>
          <w:color w:val="000000"/>
          <w:kern w:val="0"/>
          <w:sz w:val="20"/>
          <w:szCs w:val="20"/>
          <w:lang w:bidi="ar"/>
        </w:rPr>
        <w:t>counting quantity are delivered as the expected unit cost for later deliveries is below the estimated average cost of all units in the program. Supplier advances represent payments for parts we have contracted to receive from suppliers in the future. As pa</w:t>
      </w:r>
      <w:r>
        <w:rPr>
          <w:rFonts w:ascii="Arial" w:eastAsia="宋体" w:hAnsi="Arial" w:cs="Arial"/>
          <w:color w:val="000000"/>
          <w:kern w:val="0"/>
          <w:sz w:val="20"/>
          <w:szCs w:val="20"/>
          <w:lang w:bidi="ar"/>
        </w:rPr>
        <w:t>rts are received, supplier advances are amortized to work in process.</w:t>
      </w:r>
    </w:p>
    <w:p w14:paraId="4B76173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determination of net realizable value of long-term contract costs is based upon quarterly reviews that estimate costs to be incurred to complete all contract requirements. When actua</w:t>
      </w:r>
      <w:r>
        <w:rPr>
          <w:rFonts w:ascii="Arial" w:eastAsia="宋体" w:hAnsi="Arial" w:cs="Arial"/>
          <w:color w:val="000000"/>
          <w:kern w:val="0"/>
          <w:sz w:val="20"/>
          <w:szCs w:val="20"/>
          <w:lang w:bidi="ar"/>
        </w:rPr>
        <w:t xml:space="preserve">l contract costs and </w:t>
      </w:r>
    </w:p>
    <w:p w14:paraId="4B76173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64</w:t>
      </w:r>
    </w:p>
    <w:p w14:paraId="4B76173D" w14:textId="77777777" w:rsidR="0099058F" w:rsidRDefault="00EB2559">
      <w:pPr>
        <w:widowControl/>
        <w:jc w:val="center"/>
      </w:pPr>
      <w:r>
        <w:rPr>
          <w:rFonts w:ascii="宋体" w:eastAsia="宋体" w:hAnsi="宋体" w:cs="宋体"/>
          <w:kern w:val="0"/>
          <w:sz w:val="24"/>
        </w:rPr>
        <w:pict w14:anchorId="4B763C37">
          <v:rect id="_x0000_i1090" style="width:6in;height:1.5pt" o:hralign="center" o:hrstd="t" o:hr="t" fillcolor="#a0a0a0" stroked="f"/>
        </w:pict>
      </w:r>
    </w:p>
    <w:p w14:paraId="4B76173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3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estimate to complete exceed total estimated contract revenues, a loss provision is record</w:t>
      </w:r>
      <w:r>
        <w:rPr>
          <w:rFonts w:ascii="Arial" w:eastAsia="宋体" w:hAnsi="Arial" w:cs="Arial"/>
          <w:color w:val="000000"/>
          <w:kern w:val="0"/>
          <w:sz w:val="20"/>
          <w:szCs w:val="20"/>
          <w:lang w:bidi="ar"/>
        </w:rPr>
        <w:t>ed. The determination of net realizable value of commercial aircraft program costs is based upon quarterly program reviews that estimate revenue and cost to be incurred to complete the program accounting quantity. When estimated costs to complete exceed es</w:t>
      </w:r>
      <w:r>
        <w:rPr>
          <w:rFonts w:ascii="Arial" w:eastAsia="宋体" w:hAnsi="Arial" w:cs="Arial"/>
          <w:color w:val="000000"/>
          <w:kern w:val="0"/>
          <w:sz w:val="20"/>
          <w:szCs w:val="20"/>
          <w:lang w:bidi="ar"/>
        </w:rPr>
        <w:t>timated program revenues to go, a program loss provision is recorded in the current period for the estimated loss on all undelivered units in the accounting quantity.</w:t>
      </w:r>
    </w:p>
    <w:p w14:paraId="4B76174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Used aircraft purchased by the Commercial Airplanes segment and general stock materials a</w:t>
      </w:r>
      <w:r>
        <w:rPr>
          <w:rFonts w:ascii="Arial" w:eastAsia="宋体" w:hAnsi="Arial" w:cs="Arial"/>
          <w:color w:val="000000"/>
          <w:kern w:val="0"/>
          <w:sz w:val="20"/>
          <w:szCs w:val="20"/>
          <w:lang w:bidi="ar"/>
        </w:rPr>
        <w:t>re stated at cost not in excess of net realizable value. Spare parts inventory is stated at lower of average unit cost or net realizable value. We review our commercial spare parts and general stock materials quarterly to identify impaired inventory, inclu</w:t>
      </w:r>
      <w:r>
        <w:rPr>
          <w:rFonts w:ascii="Arial" w:eastAsia="宋体" w:hAnsi="Arial" w:cs="Arial"/>
          <w:color w:val="000000"/>
          <w:kern w:val="0"/>
          <w:sz w:val="20"/>
          <w:szCs w:val="20"/>
          <w:lang w:bidi="ar"/>
        </w:rPr>
        <w:t>ding excess or obsolete inventory, based on historical sales trends, expected production usage, and the size and age of the aircraft fleet using the part. Impaired inventories are charged to Cost of products in the period the impairment occurs.</w:t>
      </w:r>
    </w:p>
    <w:p w14:paraId="4B76174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Included in inventory for commercial aircraft programs are amounts paid or credited in cash, or other consideration to certain airline customers, that are referred to as early issue sales consideration. Early issue sales consideration is recognized as a re</w:t>
      </w:r>
      <w:r>
        <w:rPr>
          <w:rFonts w:ascii="Arial" w:eastAsia="宋体" w:hAnsi="Arial" w:cs="Arial"/>
          <w:color w:val="000000"/>
          <w:kern w:val="0"/>
          <w:sz w:val="20"/>
          <w:szCs w:val="20"/>
          <w:lang w:bidi="ar"/>
        </w:rPr>
        <w:t>duction to revenue when the delivery of the aircraft under contract occurs. If an airline customer does not perform and take delivery of the contracted aircraft, we believe that we would have the ability to recover amounts paid. However, to the extent earl</w:t>
      </w:r>
      <w:r>
        <w:rPr>
          <w:rFonts w:ascii="Arial" w:eastAsia="宋体" w:hAnsi="Arial" w:cs="Arial"/>
          <w:color w:val="000000"/>
          <w:kern w:val="0"/>
          <w:sz w:val="20"/>
          <w:szCs w:val="20"/>
          <w:lang w:bidi="ar"/>
        </w:rPr>
        <w:t>y issue sales consideration exceeds advances and is not considered to be otherwise recoverable, it would be written off in the current period.</w:t>
      </w:r>
    </w:p>
    <w:p w14:paraId="4B76174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Precontract Costs</w:t>
      </w:r>
    </w:p>
    <w:p w14:paraId="4B76174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may, from time to time, incur costs in excess of the amounts required for existing contracts</w:t>
      </w:r>
      <w:r>
        <w:rPr>
          <w:rFonts w:ascii="Arial" w:eastAsia="宋体" w:hAnsi="Arial" w:cs="Arial"/>
          <w:color w:val="000000"/>
          <w:kern w:val="0"/>
          <w:sz w:val="20"/>
          <w:szCs w:val="20"/>
          <w:lang w:bidi="ar"/>
        </w:rPr>
        <w:t>. If we determine the costs are probable of recovery from future orders, then we capitalize the precontract costs we incur, excluding start-up costs which are expensed as incurred. Capitalized precontract costs are included in Inventories in the accompanyi</w:t>
      </w:r>
      <w:r>
        <w:rPr>
          <w:rFonts w:ascii="Arial" w:eastAsia="宋体" w:hAnsi="Arial" w:cs="Arial"/>
          <w:color w:val="000000"/>
          <w:kern w:val="0"/>
          <w:sz w:val="20"/>
          <w:szCs w:val="20"/>
          <w:lang w:bidi="ar"/>
        </w:rPr>
        <w:t>ng Consolidated Statements of Financial Position. Should future orders not materialize or we determine the costs are no longer probable of recovery, the capitalized costs would be written off.</w:t>
      </w:r>
    </w:p>
    <w:p w14:paraId="4B76174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Property, Plant and Equipment</w:t>
      </w:r>
    </w:p>
    <w:p w14:paraId="4B76174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Property, plant and equipment are</w:t>
      </w:r>
      <w:r>
        <w:rPr>
          <w:rFonts w:ascii="Arial" w:eastAsia="宋体" w:hAnsi="Arial" w:cs="Arial"/>
          <w:color w:val="000000"/>
          <w:kern w:val="0"/>
          <w:sz w:val="20"/>
          <w:szCs w:val="20"/>
          <w:lang w:bidi="ar"/>
        </w:rPr>
        <w:t xml:space="preserve"> recorded at cost, including applicable construction-period interest, less accumulated depreciation and are depreciated principally over the following estimated useful lives: new buildings and land improvements, from 10 to 40 years; and new machinery and e</w:t>
      </w:r>
      <w:r>
        <w:rPr>
          <w:rFonts w:ascii="Arial" w:eastAsia="宋体" w:hAnsi="Arial" w:cs="Arial"/>
          <w:color w:val="000000"/>
          <w:kern w:val="0"/>
          <w:sz w:val="20"/>
          <w:szCs w:val="20"/>
          <w:lang w:bidi="ar"/>
        </w:rPr>
        <w:t>quipment, from 4 to 20 years. The principal methods of depreciation are as follows: buildings and land improvements, 150% declining balance; and machinery and equipment, sum-of-the-years’ digits. Capitalized internal use software is included in Other asset</w:t>
      </w:r>
      <w:r>
        <w:rPr>
          <w:rFonts w:ascii="Arial" w:eastAsia="宋体" w:hAnsi="Arial" w:cs="Arial"/>
          <w:color w:val="000000"/>
          <w:kern w:val="0"/>
          <w:sz w:val="20"/>
          <w:szCs w:val="20"/>
          <w:lang w:bidi="ar"/>
        </w:rPr>
        <w:t>s and amortized using the straight line method over 5 years. Capitalized software as a service is included in Other assets and amortized using the straight line method over the term of the hosting arrangement, which is typically no greater than 10 years. W</w:t>
      </w:r>
      <w:r>
        <w:rPr>
          <w:rFonts w:ascii="Arial" w:eastAsia="宋体" w:hAnsi="Arial" w:cs="Arial"/>
          <w:color w:val="000000"/>
          <w:kern w:val="0"/>
          <w:sz w:val="20"/>
          <w:szCs w:val="20"/>
          <w:lang w:bidi="ar"/>
        </w:rPr>
        <w:t>e periodically evaluate the appropriateness of remaining depreciable lives assigned to long-lived assets, including assets that may be subject to a management plan for disposition.</w:t>
      </w:r>
    </w:p>
    <w:p w14:paraId="4B76174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Long-lived assets held for sale are stated at the lower of cost or fair val</w:t>
      </w:r>
      <w:r>
        <w:rPr>
          <w:rFonts w:ascii="Arial" w:eastAsia="宋体" w:hAnsi="Arial" w:cs="Arial"/>
          <w:color w:val="000000"/>
          <w:kern w:val="0"/>
          <w:sz w:val="20"/>
          <w:szCs w:val="20"/>
          <w:lang w:bidi="ar"/>
        </w:rPr>
        <w:t>ue less cost to sell. Long-lived assets held for use are subject to an impairment assessment whenever events or changes in circumstances indicate that the carrying amount may not be recoverable. If the carrying value is no longer recoverable based upon the</w:t>
      </w:r>
      <w:r>
        <w:rPr>
          <w:rFonts w:ascii="Arial" w:eastAsia="宋体" w:hAnsi="Arial" w:cs="Arial"/>
          <w:color w:val="000000"/>
          <w:kern w:val="0"/>
          <w:sz w:val="20"/>
          <w:szCs w:val="20"/>
          <w:lang w:bidi="ar"/>
        </w:rPr>
        <w:t xml:space="preserve"> undiscounted future cash flows of the asset, the amount of the impairment is the difference between the carrying amount and the fair value of the asset.</w:t>
      </w:r>
    </w:p>
    <w:p w14:paraId="4B76174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Leases </w:t>
      </w:r>
      <w:r>
        <w:rPr>
          <w:rFonts w:ascii="Arial" w:eastAsia="宋体" w:hAnsi="Arial" w:cs="Arial"/>
          <w:color w:val="000000"/>
          <w:kern w:val="0"/>
          <w:sz w:val="20"/>
          <w:szCs w:val="20"/>
          <w:lang w:bidi="ar"/>
        </w:rPr>
        <w:t>We determine if an arrangement is, or contains, a lease under which we are the lessee at the in</w:t>
      </w:r>
      <w:r>
        <w:rPr>
          <w:rFonts w:ascii="Arial" w:eastAsia="宋体" w:hAnsi="Arial" w:cs="Arial"/>
          <w:color w:val="000000"/>
          <w:kern w:val="0"/>
          <w:sz w:val="20"/>
          <w:szCs w:val="20"/>
          <w:lang w:bidi="ar"/>
        </w:rPr>
        <w:t>ception date. Operating lease assets are included in Other assets, with the related liabilities included in Accrued liabilities and Other long-term liabilities. Assets under finance leases, which primarily represent computer equipment, are included in Prop</w:t>
      </w:r>
      <w:r>
        <w:rPr>
          <w:rFonts w:ascii="Arial" w:eastAsia="宋体" w:hAnsi="Arial" w:cs="Arial"/>
          <w:color w:val="000000"/>
          <w:kern w:val="0"/>
          <w:sz w:val="20"/>
          <w:szCs w:val="20"/>
          <w:lang w:bidi="ar"/>
        </w:rPr>
        <w:t xml:space="preserve">erty, plant and equipment, net, with the related </w:t>
      </w:r>
    </w:p>
    <w:p w14:paraId="4B76174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65</w:t>
      </w:r>
    </w:p>
    <w:p w14:paraId="4B761749" w14:textId="77777777" w:rsidR="0099058F" w:rsidRDefault="00EB2559">
      <w:pPr>
        <w:widowControl/>
        <w:jc w:val="center"/>
      </w:pPr>
      <w:r>
        <w:rPr>
          <w:rFonts w:ascii="宋体" w:eastAsia="宋体" w:hAnsi="宋体" w:cs="宋体"/>
          <w:kern w:val="0"/>
          <w:sz w:val="24"/>
        </w:rPr>
        <w:pict w14:anchorId="4B763C38">
          <v:rect id="_x0000_i1091" style="width:6in;height:1.5pt" o:hralign="center" o:hrstd="t" o:hr="t" fillcolor="#a0a0a0" stroked="f"/>
        </w:pict>
      </w:r>
    </w:p>
    <w:p w14:paraId="4B76174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4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liabilities included in Short-term debt and current portion of lo</w:t>
      </w:r>
      <w:r>
        <w:rPr>
          <w:rFonts w:ascii="Arial" w:eastAsia="宋体" w:hAnsi="Arial" w:cs="Arial"/>
          <w:color w:val="000000"/>
          <w:kern w:val="0"/>
          <w:sz w:val="20"/>
          <w:szCs w:val="20"/>
          <w:lang w:bidi="ar"/>
        </w:rPr>
        <w:t>ng-term debt and Long-term debt on the Consolidated Statements of Financial Position.</w:t>
      </w:r>
    </w:p>
    <w:p w14:paraId="4B76174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Operating lease assets represent our right to use an underlying asset for the lease term and lease liabilities represent our obligation to make lease payments </w:t>
      </w:r>
      <w:r>
        <w:rPr>
          <w:rFonts w:ascii="Arial" w:eastAsia="宋体" w:hAnsi="Arial" w:cs="Arial"/>
          <w:color w:val="000000"/>
          <w:kern w:val="0"/>
          <w:sz w:val="20"/>
          <w:szCs w:val="20"/>
          <w:lang w:bidi="ar"/>
        </w:rPr>
        <w:t>arising from the lease. Operating lease assets and liabilities are recognized at the lease commencement date based on the estimated present value of lease payments over the lease term. We use our estimated incremental borrowing rate in determining the pres</w:t>
      </w:r>
      <w:r>
        <w:rPr>
          <w:rFonts w:ascii="Arial" w:eastAsia="宋体" w:hAnsi="Arial" w:cs="Arial"/>
          <w:color w:val="000000"/>
          <w:kern w:val="0"/>
          <w:sz w:val="20"/>
          <w:szCs w:val="20"/>
          <w:lang w:bidi="ar"/>
        </w:rPr>
        <w:t>ent value of lease payments. Variable components of the lease payments such as fair market value adjustments, utilities and maintenance costs are expensed as incurred and not included in determining the present value. Our lease terms include options to ext</w:t>
      </w:r>
      <w:r>
        <w:rPr>
          <w:rFonts w:ascii="Arial" w:eastAsia="宋体" w:hAnsi="Arial" w:cs="Arial"/>
          <w:color w:val="000000"/>
          <w:kern w:val="0"/>
          <w:sz w:val="20"/>
          <w:szCs w:val="20"/>
          <w:lang w:bidi="ar"/>
        </w:rPr>
        <w:t>end or terminate the lease when it is reasonably certain that we will exercise that option. Lease expense for operating leases is recognized on a straight-line basis over the lease term.</w:t>
      </w:r>
    </w:p>
    <w:p w14:paraId="4B76174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real property lease agreements with lease and non-lease compo</w:t>
      </w:r>
      <w:r>
        <w:rPr>
          <w:rFonts w:ascii="Arial" w:eastAsia="宋体" w:hAnsi="Arial" w:cs="Arial"/>
          <w:color w:val="000000"/>
          <w:kern w:val="0"/>
          <w:sz w:val="20"/>
          <w:szCs w:val="20"/>
          <w:lang w:bidi="ar"/>
        </w:rPr>
        <w:t>nents which are accounted for as a single lease component.</w:t>
      </w:r>
    </w:p>
    <w:p w14:paraId="4B76174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 Retirement Obligations</w:t>
      </w:r>
    </w:p>
    <w:p w14:paraId="4B76174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all known asset retirement obligations for which the liability’s fair value can be reasonably estimated, including certain asbestos removal, asset decommissio</w:t>
      </w:r>
      <w:r>
        <w:rPr>
          <w:rFonts w:ascii="Arial" w:eastAsia="宋体" w:hAnsi="Arial" w:cs="Arial"/>
          <w:color w:val="000000"/>
          <w:kern w:val="0"/>
          <w:sz w:val="20"/>
          <w:szCs w:val="20"/>
          <w:lang w:bidi="ar"/>
        </w:rPr>
        <w:t>ning and contractual lease restoration obligations. Recorded amounts are not material.</w:t>
      </w:r>
    </w:p>
    <w:p w14:paraId="4B76175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have known conditional asset retirement obligations, such as certain asbestos remediation and asset decommissioning activities to be performed in the future, tha</w:t>
      </w:r>
      <w:r>
        <w:rPr>
          <w:rFonts w:ascii="Arial" w:eastAsia="宋体" w:hAnsi="Arial" w:cs="Arial"/>
          <w:color w:val="000000"/>
          <w:kern w:val="0"/>
          <w:sz w:val="20"/>
          <w:szCs w:val="20"/>
          <w:lang w:bidi="ar"/>
        </w:rPr>
        <w:t>t are not reasonably estimable due to insufficient information about the timing and method of settlement of the obligation. Accordingly, these obligations have not been recorded in the Consolidated Financial Statements. A liability for these obligations wi</w:t>
      </w:r>
      <w:r>
        <w:rPr>
          <w:rFonts w:ascii="Arial" w:eastAsia="宋体" w:hAnsi="Arial" w:cs="Arial"/>
          <w:color w:val="000000"/>
          <w:kern w:val="0"/>
          <w:sz w:val="20"/>
          <w:szCs w:val="20"/>
          <w:lang w:bidi="ar"/>
        </w:rPr>
        <w:t>ll be recorded in the period when sufficient information regarding timing and method of settlement becomes available to make a reasonable estimate of the liability’s fair value. In addition, there may be conditional asset retirement obligations that we hav</w:t>
      </w:r>
      <w:r>
        <w:rPr>
          <w:rFonts w:ascii="Arial" w:eastAsia="宋体" w:hAnsi="Arial" w:cs="Arial"/>
          <w:color w:val="000000"/>
          <w:kern w:val="0"/>
          <w:sz w:val="20"/>
          <w:szCs w:val="20"/>
          <w:lang w:bidi="ar"/>
        </w:rPr>
        <w:t>e not yet discovered (e.g. asbestos may exist in certain buildings but we have not become aware of it through the normal course of business), and therefore, these obligations also have not been included in the Consolidated Financial Statements.</w:t>
      </w:r>
    </w:p>
    <w:p w14:paraId="4B76175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Goodwill an</w:t>
      </w:r>
      <w:r>
        <w:rPr>
          <w:rFonts w:ascii="Arial" w:eastAsia="宋体" w:hAnsi="Arial" w:cs="Arial"/>
          <w:b/>
          <w:bCs/>
          <w:color w:val="000000"/>
          <w:kern w:val="0"/>
          <w:sz w:val="20"/>
          <w:szCs w:val="20"/>
          <w:lang w:bidi="ar"/>
        </w:rPr>
        <w:t>d Other Acquired Intangibles</w:t>
      </w:r>
    </w:p>
    <w:p w14:paraId="4B76175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Goodwill and other acquired intangible assets with indefinite lives are not amortized, but are tested for impairment annually and when an event occurs or circumstances change such that it is more likely than not that an impairm</w:t>
      </w:r>
      <w:r>
        <w:rPr>
          <w:rFonts w:ascii="Arial" w:eastAsia="宋体" w:hAnsi="Arial" w:cs="Arial"/>
          <w:color w:val="000000"/>
          <w:kern w:val="0"/>
          <w:sz w:val="20"/>
          <w:szCs w:val="20"/>
          <w:lang w:bidi="ar"/>
        </w:rPr>
        <w:t>ent may exist. Our annual testing date is April 1.</w:t>
      </w:r>
    </w:p>
    <w:p w14:paraId="4B76175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test goodwill for impairment by performing a qualitative assessment or using a quantitative test. If we choose to perform a qualitative assessment and determine it is more likely than not that the carry</w:t>
      </w:r>
      <w:r>
        <w:rPr>
          <w:rFonts w:ascii="Arial" w:eastAsia="宋体" w:hAnsi="Arial" w:cs="Arial"/>
          <w:color w:val="000000"/>
          <w:kern w:val="0"/>
          <w:sz w:val="20"/>
          <w:szCs w:val="20"/>
          <w:lang w:bidi="ar"/>
        </w:rPr>
        <w:t xml:space="preserve">ing value of the net assets is more than the fair value of the related operations, the quantitative test is then performed; otherwise, no further testing is required. For operations where the quantitative test is used, we compare the carrying value of net </w:t>
      </w:r>
      <w:r>
        <w:rPr>
          <w:rFonts w:ascii="Arial" w:eastAsia="宋体" w:hAnsi="Arial" w:cs="Arial"/>
          <w:color w:val="000000"/>
          <w:kern w:val="0"/>
          <w:sz w:val="20"/>
          <w:szCs w:val="20"/>
          <w:lang w:bidi="ar"/>
        </w:rPr>
        <w:t>assets to the estimated fair value of the related operations. If the fair value is determined to be less than carrying value, the shortfall up to the carrying value of the goodwill represents the amount of goodwill impairment.</w:t>
      </w:r>
    </w:p>
    <w:p w14:paraId="4B76175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Indefinite-lived intangibles </w:t>
      </w:r>
      <w:r>
        <w:rPr>
          <w:rFonts w:ascii="Arial" w:eastAsia="宋体" w:hAnsi="Arial" w:cs="Arial"/>
          <w:color w:val="000000"/>
          <w:kern w:val="0"/>
          <w:sz w:val="20"/>
          <w:szCs w:val="20"/>
          <w:lang w:bidi="ar"/>
        </w:rPr>
        <w:t>consist of a brand and trade name and in-process research and development (IPR&amp;D) acquired in business combinations. IPR&amp;D is initially capitalized at fair value as an intangible asset with an indefinite life and assessed for impairment thereafter. IPR&amp;D i</w:t>
      </w:r>
      <w:r>
        <w:rPr>
          <w:rFonts w:ascii="Arial" w:eastAsia="宋体" w:hAnsi="Arial" w:cs="Arial"/>
          <w:color w:val="000000"/>
          <w:kern w:val="0"/>
          <w:sz w:val="20"/>
          <w:szCs w:val="20"/>
          <w:lang w:bidi="ar"/>
        </w:rPr>
        <w:t>s reclassified to finite-lived acquired intangible assets when a project is completed and then amortized on a straight-line basis over the asset’s estimated useful life. We test these intangibles for impairment by comparing the carrying values to current p</w:t>
      </w:r>
      <w:r>
        <w:rPr>
          <w:rFonts w:ascii="Arial" w:eastAsia="宋体" w:hAnsi="Arial" w:cs="Arial"/>
          <w:color w:val="000000"/>
          <w:kern w:val="0"/>
          <w:sz w:val="20"/>
          <w:szCs w:val="20"/>
          <w:lang w:bidi="ar"/>
        </w:rPr>
        <w:t>rojections of related discounted cash flows. Any excess carrying value over the amount of discounted cash flows represents the amount of the impairment.</w:t>
      </w:r>
    </w:p>
    <w:p w14:paraId="4B761755"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66</w:t>
      </w:r>
    </w:p>
    <w:p w14:paraId="4B761756" w14:textId="77777777" w:rsidR="0099058F" w:rsidRDefault="00EB2559">
      <w:pPr>
        <w:widowControl/>
        <w:jc w:val="center"/>
      </w:pPr>
      <w:r>
        <w:rPr>
          <w:rFonts w:ascii="宋体" w:eastAsia="宋体" w:hAnsi="宋体" w:cs="宋体"/>
          <w:kern w:val="0"/>
          <w:sz w:val="24"/>
        </w:rPr>
        <w:pict w14:anchorId="4B763C39">
          <v:rect id="_x0000_i1092" style="width:6in;height:1.5pt" o:hralign="center" o:hrstd="t" o:hr="t" fillcolor="#a0a0a0" stroked="f"/>
        </w:pict>
      </w:r>
    </w:p>
    <w:p w14:paraId="4B761757"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5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finite-lived acquired intangible assets are amortized on a straight-line basis over their estimated useful lives as follows: developed technology, from 4 to 14 years; product know-how, from 6 to 30 years; </w:t>
      </w:r>
      <w:r>
        <w:rPr>
          <w:rFonts w:ascii="Arial" w:eastAsia="宋体" w:hAnsi="Arial" w:cs="Arial"/>
          <w:color w:val="000000"/>
          <w:kern w:val="0"/>
          <w:sz w:val="20"/>
          <w:szCs w:val="20"/>
          <w:lang w:bidi="ar"/>
        </w:rPr>
        <w:t>customer base, from 3 to 17 years; distribution rights, from 3 to 27 years; and other, from 1 to 32 years. We evaluate the potential impairment of finite-lived acquired intangible assets whenever events or changes in circumstances indicate that the carryin</w:t>
      </w:r>
      <w:r>
        <w:rPr>
          <w:rFonts w:ascii="Arial" w:eastAsia="宋体" w:hAnsi="Arial" w:cs="Arial"/>
          <w:color w:val="000000"/>
          <w:kern w:val="0"/>
          <w:sz w:val="20"/>
          <w:szCs w:val="20"/>
          <w:lang w:bidi="ar"/>
        </w:rPr>
        <w:t>g amount may not be recoverable. If the carrying value is no longer recoverable based upon the undiscounted future cash flows of the asset, the amount of the impairment is the difference between the carrying amount and the fair value of the asset.</w:t>
      </w:r>
    </w:p>
    <w:p w14:paraId="4B76175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Investme</w:t>
      </w:r>
      <w:r>
        <w:rPr>
          <w:rFonts w:ascii="Arial" w:eastAsia="宋体" w:hAnsi="Arial" w:cs="Arial"/>
          <w:b/>
          <w:bCs/>
          <w:color w:val="000000"/>
          <w:kern w:val="0"/>
          <w:sz w:val="20"/>
          <w:szCs w:val="20"/>
          <w:lang w:bidi="ar"/>
        </w:rPr>
        <w:t>nts</w:t>
      </w:r>
    </w:p>
    <w:p w14:paraId="4B76175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Time deposits are held-to-maturity investments that are carried at cost.</w:t>
      </w:r>
    </w:p>
    <w:p w14:paraId="4B76175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Available-for-sale debt securities include commercial paper, U.S. government agency securities and corporate debt securities. Available-for-sale debt securities are </w:t>
      </w:r>
      <w:r>
        <w:rPr>
          <w:rFonts w:ascii="Arial" w:eastAsia="宋体" w:hAnsi="Arial" w:cs="Arial"/>
          <w:color w:val="000000"/>
          <w:kern w:val="0"/>
          <w:sz w:val="20"/>
          <w:szCs w:val="20"/>
          <w:lang w:bidi="ar"/>
        </w:rPr>
        <w:t xml:space="preserve">recorded at fair value, and unrealized gains and losses are recorded, net of tax, as a component of accumulated other comprehensive income. Realized gains and losses on available-for-sale debt securities are recognized based on the specific identification </w:t>
      </w:r>
      <w:r>
        <w:rPr>
          <w:rFonts w:ascii="Arial" w:eastAsia="宋体" w:hAnsi="Arial" w:cs="Arial"/>
          <w:color w:val="000000"/>
          <w:kern w:val="0"/>
          <w:sz w:val="20"/>
          <w:szCs w:val="20"/>
          <w:lang w:bidi="ar"/>
        </w:rPr>
        <w:t>method. Available-for-sale debt securities are assessed for impairment quarterly.</w:t>
      </w:r>
    </w:p>
    <w:p w14:paraId="4B76175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equity method of accounting is used to account for investments for which we have the ability to exercise significant influence, but not control, over an investee. Signifi</w:t>
      </w:r>
      <w:r>
        <w:rPr>
          <w:rFonts w:ascii="Arial" w:eastAsia="宋体" w:hAnsi="Arial" w:cs="Arial"/>
          <w:color w:val="000000"/>
          <w:kern w:val="0"/>
          <w:sz w:val="20"/>
          <w:szCs w:val="20"/>
          <w:lang w:bidi="ar"/>
        </w:rPr>
        <w:t>cant influence is generally deemed to exist if we have an ownership interest in the voting stock of an investee of between 20% and 50%. The cumulative earnings approach is used for cash flow classification of distributions received from equity method inves</w:t>
      </w:r>
      <w:r>
        <w:rPr>
          <w:rFonts w:ascii="Arial" w:eastAsia="宋体" w:hAnsi="Arial" w:cs="Arial"/>
          <w:color w:val="000000"/>
          <w:kern w:val="0"/>
          <w:sz w:val="20"/>
          <w:szCs w:val="20"/>
          <w:lang w:bidi="ar"/>
        </w:rPr>
        <w:t>tments.</w:t>
      </w:r>
    </w:p>
    <w:p w14:paraId="4B76175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Other Equity investments are recorded at fair value, with gains and losses recorded through net earnings. Equity investments without readily determinable fair value are measured at cost, less impairments, plus or minus observable price changes. Equ</w:t>
      </w:r>
      <w:r>
        <w:rPr>
          <w:rFonts w:ascii="Arial" w:eastAsia="宋体" w:hAnsi="Arial" w:cs="Arial"/>
          <w:color w:val="000000"/>
          <w:kern w:val="0"/>
          <w:sz w:val="20"/>
          <w:szCs w:val="20"/>
          <w:lang w:bidi="ar"/>
        </w:rPr>
        <w:t>ity investments without readily determinable fair value are assessed for impairment quarterly.</w:t>
      </w:r>
    </w:p>
    <w:p w14:paraId="4B76175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classify investment income and loss on our Consolidated Statements of Operations based on whether the investment is operating or non-operating in nature. Oper</w:t>
      </w:r>
      <w:r>
        <w:rPr>
          <w:rFonts w:ascii="Arial" w:eastAsia="宋体" w:hAnsi="Arial" w:cs="Arial"/>
          <w:color w:val="000000"/>
          <w:kern w:val="0"/>
          <w:sz w:val="20"/>
          <w:szCs w:val="20"/>
          <w:lang w:bidi="ar"/>
        </w:rPr>
        <w:t>ating investments align strategically and are integrated with our operations. Earnings from operating investments, including our share of income or loss from equity method investments, dividend income from other equity investments, and any impairments or g</w:t>
      </w:r>
      <w:r>
        <w:rPr>
          <w:rFonts w:ascii="Arial" w:eastAsia="宋体" w:hAnsi="Arial" w:cs="Arial"/>
          <w:color w:val="000000"/>
          <w:kern w:val="0"/>
          <w:sz w:val="20"/>
          <w:szCs w:val="20"/>
          <w:lang w:bidi="ar"/>
        </w:rPr>
        <w:t>ain/loss on the disposition of these investments, are recorded in (Loss)/Income from operating investments, net. Non-operating investments are those we hold for non-strategic purposes. Earnings from non-operating investments, including interest and dividen</w:t>
      </w:r>
      <w:r>
        <w:rPr>
          <w:rFonts w:ascii="Arial" w:eastAsia="宋体" w:hAnsi="Arial" w:cs="Arial"/>
          <w:color w:val="000000"/>
          <w:kern w:val="0"/>
          <w:sz w:val="20"/>
          <w:szCs w:val="20"/>
          <w:lang w:bidi="ar"/>
        </w:rPr>
        <w:t>ds on marketable securities, and any impairments or gain/loss on the disposition of these investments are recorded in Other income, net.</w:t>
      </w:r>
    </w:p>
    <w:p w14:paraId="4B76175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Derivatives</w:t>
      </w:r>
    </w:p>
    <w:p w14:paraId="4B76176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All derivative instruments are recognized in the financial statements and measured at fair value regardless</w:t>
      </w:r>
      <w:r>
        <w:rPr>
          <w:rFonts w:ascii="Arial" w:eastAsia="宋体" w:hAnsi="Arial" w:cs="Arial"/>
          <w:color w:val="000000"/>
          <w:kern w:val="0"/>
          <w:sz w:val="20"/>
          <w:szCs w:val="20"/>
          <w:lang w:bidi="ar"/>
        </w:rPr>
        <w:t xml:space="preserve"> of the purpose or intent of holding them. We use derivative instruments to principally manage a variety of market risks. For our cash flow hedges, the derivative’s gain or loss is initially reported in comprehensive income and is subsequently reclassified</w:t>
      </w:r>
      <w:r>
        <w:rPr>
          <w:rFonts w:ascii="Arial" w:eastAsia="宋体" w:hAnsi="Arial" w:cs="Arial"/>
          <w:color w:val="000000"/>
          <w:kern w:val="0"/>
          <w:sz w:val="20"/>
          <w:szCs w:val="20"/>
          <w:lang w:bidi="ar"/>
        </w:rPr>
        <w:t xml:space="preserve"> into earnings in the same period(s) during which the hedged forecasted transaction affects earnings. </w:t>
      </w:r>
    </w:p>
    <w:p w14:paraId="4B76176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agreements to purchase and sell aluminum to address long-term strategic sourcing objectives and non-U.S. business requirements. We also hold cert</w:t>
      </w:r>
      <w:r>
        <w:rPr>
          <w:rFonts w:ascii="Arial" w:eastAsia="宋体" w:hAnsi="Arial" w:cs="Arial"/>
          <w:color w:val="000000"/>
          <w:kern w:val="0"/>
          <w:sz w:val="20"/>
          <w:szCs w:val="20"/>
          <w:lang w:bidi="ar"/>
        </w:rPr>
        <w:t>ain other derivative instruments for economic purposes. These aluminum purchase and sale agreements and other derivative instruments are derivatives for accounting purposes but are not designated as hedges for accounting purposes. For these aluminum agreem</w:t>
      </w:r>
      <w:r>
        <w:rPr>
          <w:rFonts w:ascii="Arial" w:eastAsia="宋体" w:hAnsi="Arial" w:cs="Arial"/>
          <w:color w:val="000000"/>
          <w:kern w:val="0"/>
          <w:sz w:val="20"/>
          <w:szCs w:val="20"/>
          <w:lang w:bidi="ar"/>
        </w:rPr>
        <w:t>ents and other derivative instruments not designated for hedge accounting treatment, the changes in their fair value are recorded in earnings immediately.</w:t>
      </w:r>
    </w:p>
    <w:p w14:paraId="4B76176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67</w:t>
      </w:r>
    </w:p>
    <w:p w14:paraId="4B761763" w14:textId="77777777" w:rsidR="0099058F" w:rsidRDefault="00EB2559">
      <w:pPr>
        <w:widowControl/>
        <w:jc w:val="center"/>
      </w:pPr>
      <w:r>
        <w:rPr>
          <w:rFonts w:ascii="宋体" w:eastAsia="宋体" w:hAnsi="宋体" w:cs="宋体"/>
          <w:kern w:val="0"/>
          <w:sz w:val="24"/>
        </w:rPr>
        <w:pict w14:anchorId="4B763C3A">
          <v:rect id="_x0000_i1093" style="width:6in;height:1.5pt" o:hralign="center" o:hrstd="t" o:hr="t" fillcolor="#a0a0a0" stroked="f"/>
        </w:pict>
      </w:r>
    </w:p>
    <w:p w14:paraId="4B76176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6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Allowances for Losses on Certain Financial Assets</w:t>
      </w:r>
    </w:p>
    <w:p w14:paraId="4B76176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establish allowances for credit losses on accounts receivable, unbilled receivables, customer financing receivables and certain other financial assets. The </w:t>
      </w:r>
      <w:r>
        <w:rPr>
          <w:rFonts w:ascii="Arial" w:eastAsia="宋体" w:hAnsi="Arial" w:cs="Arial"/>
          <w:color w:val="000000"/>
          <w:kern w:val="0"/>
          <w:sz w:val="20"/>
          <w:szCs w:val="20"/>
          <w:lang w:bidi="ar"/>
        </w:rPr>
        <w:t>adequacy of these allowances is assessed quarterly through consideration of factors such as customer credit ratings, bankruptcy filings, published or estimated credit default rates, age of the receivable, expected loss rates and collateral exposures. Colla</w:t>
      </w:r>
      <w:r>
        <w:rPr>
          <w:rFonts w:ascii="Arial" w:eastAsia="宋体" w:hAnsi="Arial" w:cs="Arial"/>
          <w:color w:val="000000"/>
          <w:kern w:val="0"/>
          <w:sz w:val="20"/>
          <w:szCs w:val="20"/>
          <w:lang w:bidi="ar"/>
        </w:rPr>
        <w:t>teral exposure is the excess of the carrying value of a financial asset over the fair value of the related collateral. We determine the creditworthiness of our customers by assigning internal credit ratings based upon publicly available information and inf</w:t>
      </w:r>
      <w:r>
        <w:rPr>
          <w:rFonts w:ascii="Arial" w:eastAsia="宋体" w:hAnsi="Arial" w:cs="Arial"/>
          <w:color w:val="000000"/>
          <w:kern w:val="0"/>
          <w:sz w:val="20"/>
          <w:szCs w:val="20"/>
          <w:lang w:bidi="ar"/>
        </w:rPr>
        <w:t>ormation obtained directly from the customers. Our rating categories are comparable to those used by major credit rating agencies.</w:t>
      </w:r>
    </w:p>
    <w:p w14:paraId="4B76176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receivables are collateralized by security in the related asset. We use a median calculated from published</w:t>
      </w:r>
      <w:r>
        <w:rPr>
          <w:rFonts w:ascii="Arial" w:eastAsia="宋体" w:hAnsi="Arial" w:cs="Arial"/>
          <w:color w:val="000000"/>
          <w:kern w:val="0"/>
          <w:sz w:val="20"/>
          <w:szCs w:val="20"/>
          <w:lang w:bidi="ar"/>
        </w:rPr>
        <w:t xml:space="preserve"> collateral values from multiple third-party aircraft value publications based on the type and age of the aircraft to determine the fair value of aircraft collateral. Under certain circumstances, we apply judgment based on the attributes of the specific ai</w:t>
      </w:r>
      <w:r>
        <w:rPr>
          <w:rFonts w:ascii="Arial" w:eastAsia="宋体" w:hAnsi="Arial" w:cs="Arial"/>
          <w:color w:val="000000"/>
          <w:kern w:val="0"/>
          <w:sz w:val="20"/>
          <w:szCs w:val="20"/>
          <w:lang w:bidi="ar"/>
        </w:rPr>
        <w:t xml:space="preserve">rcraft or equipment, usually when the features or use of the aircraft vary significantly from the more generic aircraft attributes covered by outside publications. </w:t>
      </w:r>
    </w:p>
    <w:p w14:paraId="4B76176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agreements with certain customers that would entitle us to look beyond</w:t>
      </w:r>
      <w:r>
        <w:rPr>
          <w:rFonts w:ascii="Arial" w:eastAsia="宋体" w:hAnsi="Arial" w:cs="Arial"/>
          <w:color w:val="000000"/>
          <w:kern w:val="0"/>
          <w:sz w:val="20"/>
          <w:szCs w:val="20"/>
          <w:lang w:bidi="ar"/>
        </w:rPr>
        <w:t xml:space="preserve"> the specific collateral underlying the receivable for purposes of determining the collateral exposure. Should the proceeds from the sale of the underlying collateral asset resulting from a default condition be insufficient to cover the carrying value of o</w:t>
      </w:r>
      <w:r>
        <w:rPr>
          <w:rFonts w:ascii="Arial" w:eastAsia="宋体" w:hAnsi="Arial" w:cs="Arial"/>
          <w:color w:val="000000"/>
          <w:kern w:val="0"/>
          <w:sz w:val="20"/>
          <w:szCs w:val="20"/>
          <w:lang w:bidi="ar"/>
        </w:rPr>
        <w:t>ur receivable (creating a shortfall condition), these agreements would, for example, permit us to take the actions necessary to sell or retain certain other assets in which the customer has an equity interest and use the proceeds to cover the shortfall.</w:t>
      </w:r>
    </w:p>
    <w:p w14:paraId="4B76176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w:t>
      </w:r>
      <w:r>
        <w:rPr>
          <w:rFonts w:ascii="Arial" w:eastAsia="宋体" w:hAnsi="Arial" w:cs="Arial"/>
          <w:b/>
          <w:bCs/>
          <w:color w:val="000000"/>
          <w:kern w:val="0"/>
          <w:sz w:val="20"/>
          <w:szCs w:val="20"/>
          <w:lang w:bidi="ar"/>
        </w:rPr>
        <w:t xml:space="preserve">mmercial Aircraft Trade-in Commitments </w:t>
      </w:r>
    </w:p>
    <w:p w14:paraId="4B76176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conjunction with signing a definitive agreement for the sale of new commercial aircraft (Sale Aircraft), we have entered into trade-in commitments with certain customers that give them the right to trade in used a</w:t>
      </w:r>
      <w:r>
        <w:rPr>
          <w:rFonts w:ascii="Arial" w:eastAsia="宋体" w:hAnsi="Arial" w:cs="Arial"/>
          <w:color w:val="000000"/>
          <w:kern w:val="0"/>
          <w:sz w:val="20"/>
          <w:szCs w:val="20"/>
          <w:lang w:bidi="ar"/>
        </w:rPr>
        <w:t xml:space="preserve">ircraft at a specified price. </w:t>
      </w:r>
    </w:p>
    <w:p w14:paraId="4B76176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Exposure related to trade-in commitments may take the form of:</w:t>
      </w:r>
    </w:p>
    <w:p w14:paraId="4B76176C"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(1)adjustments to revenue for the difference between the contractual trade-in price in the definitive agreement and our best estimate of the fair value of the tra</w:t>
      </w:r>
      <w:r>
        <w:rPr>
          <w:rFonts w:ascii="Arial" w:eastAsia="宋体" w:hAnsi="Arial" w:cs="Arial"/>
          <w:color w:val="000000"/>
          <w:kern w:val="0"/>
          <w:sz w:val="20"/>
          <w:szCs w:val="20"/>
          <w:lang w:bidi="ar"/>
        </w:rPr>
        <w:t>de-in aircraft as of the date of such agreement, which would be recognized upon delivery of the Sale Aircraft, and/or</w:t>
      </w:r>
    </w:p>
    <w:p w14:paraId="4B76176D"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(2)charges to cost of products for adverse changes in the fair value of trade-in aircraft that occur subsequent to signing of a definitive</w:t>
      </w:r>
      <w:r>
        <w:rPr>
          <w:rFonts w:ascii="Arial" w:eastAsia="宋体" w:hAnsi="Arial" w:cs="Arial"/>
          <w:color w:val="000000"/>
          <w:kern w:val="0"/>
          <w:sz w:val="20"/>
          <w:szCs w:val="20"/>
          <w:lang w:bidi="ar"/>
        </w:rPr>
        <w:t xml:space="preserve"> agreement for Sale Aircraft but prior to the purchase of the used trade-in aircraft. Estimates based on current aircraft values would be included in Accrued liabilities.</w:t>
      </w:r>
    </w:p>
    <w:p w14:paraId="4B76176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fair value of trade-in aircraft is determined using aircraft-specific data such a</w:t>
      </w:r>
      <w:r>
        <w:rPr>
          <w:rFonts w:ascii="Arial" w:eastAsia="宋体" w:hAnsi="Arial" w:cs="Arial"/>
          <w:color w:val="000000"/>
          <w:kern w:val="0"/>
          <w:sz w:val="20"/>
          <w:szCs w:val="20"/>
          <w:lang w:bidi="ar"/>
        </w:rPr>
        <w:t>s model, age and condition, market conditions for specific aircraft and similar models, and multiple valuation sources. This process uses our assessment of the market for each trade-in aircraft, which in most instances begins years before the return of the</w:t>
      </w:r>
      <w:r>
        <w:rPr>
          <w:rFonts w:ascii="Arial" w:eastAsia="宋体" w:hAnsi="Arial" w:cs="Arial"/>
          <w:color w:val="000000"/>
          <w:kern w:val="0"/>
          <w:sz w:val="20"/>
          <w:szCs w:val="20"/>
          <w:lang w:bidi="ar"/>
        </w:rPr>
        <w:t xml:space="preserve"> aircraft. There are several possible markets in which we continually pursue opportunities to place used aircraft. These markets include, but are not limited to, the resale market, which could potentially include the cost of long-term storage; the leasing </w:t>
      </w:r>
      <w:r>
        <w:rPr>
          <w:rFonts w:ascii="Arial" w:eastAsia="宋体" w:hAnsi="Arial" w:cs="Arial"/>
          <w:color w:val="000000"/>
          <w:kern w:val="0"/>
          <w:sz w:val="20"/>
          <w:szCs w:val="20"/>
          <w:lang w:bidi="ar"/>
        </w:rPr>
        <w:t>market, with the potential for refurbishment costs to meet the leasing customer’s requirements; or the scrap market. Trade-in aircraft valuation varies significantly depending on which market we determine is most likely for each aircraft. On a quarterly ba</w:t>
      </w:r>
      <w:r>
        <w:rPr>
          <w:rFonts w:ascii="Arial" w:eastAsia="宋体" w:hAnsi="Arial" w:cs="Arial"/>
          <w:color w:val="000000"/>
          <w:kern w:val="0"/>
          <w:sz w:val="20"/>
          <w:szCs w:val="20"/>
          <w:lang w:bidi="ar"/>
        </w:rPr>
        <w:t>sis, we update our valuation analysis based on the actual activities associated with placing each aircraft into a market or using current published third-party aircraft valuations based on the type and age of the aircraft, adjusted for individual attribute</w:t>
      </w:r>
      <w:r>
        <w:rPr>
          <w:rFonts w:ascii="Arial" w:eastAsia="宋体" w:hAnsi="Arial" w:cs="Arial"/>
          <w:color w:val="000000"/>
          <w:kern w:val="0"/>
          <w:sz w:val="20"/>
          <w:szCs w:val="20"/>
          <w:lang w:bidi="ar"/>
        </w:rPr>
        <w:t>s and known conditions.</w:t>
      </w:r>
    </w:p>
    <w:p w14:paraId="4B76176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68</w:t>
      </w:r>
    </w:p>
    <w:p w14:paraId="4B761770" w14:textId="77777777" w:rsidR="0099058F" w:rsidRDefault="00EB2559">
      <w:pPr>
        <w:widowControl/>
        <w:jc w:val="center"/>
      </w:pPr>
      <w:r>
        <w:rPr>
          <w:rFonts w:ascii="宋体" w:eastAsia="宋体" w:hAnsi="宋体" w:cs="宋体"/>
          <w:kern w:val="0"/>
          <w:sz w:val="24"/>
        </w:rPr>
        <w:pict w14:anchorId="4B763C3B">
          <v:rect id="_x0000_i1094" style="width:6in;height:1.5pt" o:hralign="center" o:hrstd="t" o:hr="t" fillcolor="#a0a0a0" stroked="f"/>
        </w:pict>
      </w:r>
    </w:p>
    <w:p w14:paraId="4B76177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7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Warranties</w:t>
      </w:r>
    </w:p>
    <w:p w14:paraId="4B76177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certain product sales, we provide warranties that cover </w:t>
      </w:r>
      <w:r>
        <w:rPr>
          <w:rFonts w:ascii="Arial" w:eastAsia="宋体" w:hAnsi="Arial" w:cs="Arial"/>
          <w:color w:val="000000"/>
          <w:kern w:val="0"/>
          <w:sz w:val="20"/>
          <w:szCs w:val="20"/>
          <w:lang w:bidi="ar"/>
        </w:rPr>
        <w:t>factors such as non-conformance to specifications and defects in material and design. The majority of our warranties are issued by our BCA segment. Generally, aircraft sales are accompanied by a 3 to 4-year standard warranty for systems, accessories, equip</w:t>
      </w:r>
      <w:r>
        <w:rPr>
          <w:rFonts w:ascii="Arial" w:eastAsia="宋体" w:hAnsi="Arial" w:cs="Arial"/>
          <w:color w:val="000000"/>
          <w:kern w:val="0"/>
          <w:sz w:val="20"/>
          <w:szCs w:val="20"/>
          <w:lang w:bidi="ar"/>
        </w:rPr>
        <w:t>ment, parts, and software manufactured by us or manufactured to certain standards under our authorization. These warranties are included in the programs’ estimate at completion. On occasion we have made commitments beyond the standard warranty obligation t</w:t>
      </w:r>
      <w:r>
        <w:rPr>
          <w:rFonts w:ascii="Arial" w:eastAsia="宋体" w:hAnsi="Arial" w:cs="Arial"/>
          <w:color w:val="000000"/>
          <w:kern w:val="0"/>
          <w:sz w:val="20"/>
          <w:szCs w:val="20"/>
          <w:lang w:bidi="ar"/>
        </w:rPr>
        <w:t>o correct fleet-wide major issues of a particular model, resulting in additional accrued warranty expense. Warranties issued by our BDS segment principally relate to sales of military aircraft and weapons systems. These sales are generally accompanied by a</w:t>
      </w:r>
      <w:r>
        <w:rPr>
          <w:rFonts w:ascii="Arial" w:eastAsia="宋体" w:hAnsi="Arial" w:cs="Arial"/>
          <w:color w:val="000000"/>
          <w:kern w:val="0"/>
          <w:sz w:val="20"/>
          <w:szCs w:val="20"/>
          <w:lang w:bidi="ar"/>
        </w:rPr>
        <w:t xml:space="preserve"> six month to two-year warranty period and cover systems, accessories, equipment, parts and software manufactured by us to certain contractual specifications. Estimated costs related to standard warranties are recorded in the period in which the related pr</w:t>
      </w:r>
      <w:r>
        <w:rPr>
          <w:rFonts w:ascii="Arial" w:eastAsia="宋体" w:hAnsi="Arial" w:cs="Arial"/>
          <w:color w:val="000000"/>
          <w:kern w:val="0"/>
          <w:sz w:val="20"/>
          <w:szCs w:val="20"/>
          <w:lang w:bidi="ar"/>
        </w:rPr>
        <w:t>oduct delivery occurs. The warranty liability recorded at each balance sheet date reflects the estimated number of months of warranty coverage outstanding for products delivered times the average of historical monthly warranty payments, as well as addition</w:t>
      </w:r>
      <w:r>
        <w:rPr>
          <w:rFonts w:ascii="Arial" w:eastAsia="宋体" w:hAnsi="Arial" w:cs="Arial"/>
          <w:color w:val="000000"/>
          <w:kern w:val="0"/>
          <w:sz w:val="20"/>
          <w:szCs w:val="20"/>
          <w:lang w:bidi="ar"/>
        </w:rPr>
        <w:t>al amounts for certain major warranty issues that exceed a normal claims level. Estimated costs of these additional warranty issues are considered changes to the initial liability estimate.</w:t>
      </w:r>
    </w:p>
    <w:p w14:paraId="4B76177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provide guarantees to certain commercial aircraft customers whi</w:t>
      </w:r>
      <w:r>
        <w:rPr>
          <w:rFonts w:ascii="Arial" w:eastAsia="宋体" w:hAnsi="Arial" w:cs="Arial"/>
          <w:color w:val="000000"/>
          <w:kern w:val="0"/>
          <w:sz w:val="20"/>
          <w:szCs w:val="20"/>
          <w:lang w:bidi="ar"/>
        </w:rPr>
        <w:t>ch include compensation provisions for failure to meet specified aircraft performance targets. We account for these performance guarantees as warranties. The estimated liability for these warranties is based on known and anticipated operational characteris</w:t>
      </w:r>
      <w:r>
        <w:rPr>
          <w:rFonts w:ascii="Arial" w:eastAsia="宋体" w:hAnsi="Arial" w:cs="Arial"/>
          <w:color w:val="000000"/>
          <w:kern w:val="0"/>
          <w:sz w:val="20"/>
          <w:szCs w:val="20"/>
          <w:lang w:bidi="ar"/>
        </w:rPr>
        <w:t>tics and forecasted customer operation of the aircraft relative to contractually specified performance targets, and anticipated settlements when contractual remedies are not specified. Estimated payments are recorded as a reduction of revenue at delivery o</w:t>
      </w:r>
      <w:r>
        <w:rPr>
          <w:rFonts w:ascii="Arial" w:eastAsia="宋体" w:hAnsi="Arial" w:cs="Arial"/>
          <w:color w:val="000000"/>
          <w:kern w:val="0"/>
          <w:sz w:val="20"/>
          <w:szCs w:val="20"/>
          <w:lang w:bidi="ar"/>
        </w:rPr>
        <w:t>f the related aircraft. We have agreements that require certain suppliers to compensate us for amounts paid to customers for failure of supplied equipment to meet specified performance targets. Claims against suppliers under these agreements are included i</w:t>
      </w:r>
      <w:r>
        <w:rPr>
          <w:rFonts w:ascii="Arial" w:eastAsia="宋体" w:hAnsi="Arial" w:cs="Arial"/>
          <w:color w:val="000000"/>
          <w:kern w:val="0"/>
          <w:sz w:val="20"/>
          <w:szCs w:val="20"/>
          <w:lang w:bidi="ar"/>
        </w:rPr>
        <w:t>n Inventories and recorded as a reduction in Cost of products at delivery of the related aircraft. These performance warranties and claims against suppliers are included in the programs’ estimate at completion.</w:t>
      </w:r>
    </w:p>
    <w:p w14:paraId="4B76177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Supplier Penalties</w:t>
      </w:r>
    </w:p>
    <w:p w14:paraId="4B76177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an accrual for s</w:t>
      </w:r>
      <w:r>
        <w:rPr>
          <w:rFonts w:ascii="Arial" w:eastAsia="宋体" w:hAnsi="Arial" w:cs="Arial"/>
          <w:color w:val="000000"/>
          <w:kern w:val="0"/>
          <w:sz w:val="20"/>
          <w:szCs w:val="20"/>
          <w:lang w:bidi="ar"/>
        </w:rPr>
        <w:t xml:space="preserve">upplier penalties when an event occurs that makes it probable we will incur a supplier penalty and the amount is reasonably estimable. </w:t>
      </w:r>
    </w:p>
    <w:p w14:paraId="4B76177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Guarantees</w:t>
      </w:r>
    </w:p>
    <w:p w14:paraId="4B761778"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At the inception of a guarantee, we record a liability in Accrued liabilities for the fair value of the guara</w:t>
      </w:r>
      <w:r>
        <w:rPr>
          <w:rFonts w:ascii="Arial" w:eastAsia="宋体" w:hAnsi="Arial" w:cs="Arial"/>
          <w:color w:val="000000"/>
          <w:kern w:val="0"/>
          <w:sz w:val="20"/>
          <w:szCs w:val="20"/>
          <w:lang w:bidi="ar"/>
        </w:rPr>
        <w:t>ntee. For credit guarantees, the liability is equal to the present value of the expected loss. We determine the expected loss by multiplying the creditor’s default rate by the guarantee amount reduced by the expected recovery, if applicable. We also recogn</w:t>
      </w:r>
      <w:r>
        <w:rPr>
          <w:rFonts w:ascii="Arial" w:eastAsia="宋体" w:hAnsi="Arial" w:cs="Arial"/>
          <w:color w:val="000000"/>
          <w:kern w:val="0"/>
          <w:sz w:val="20"/>
          <w:szCs w:val="20"/>
          <w:lang w:bidi="ar"/>
        </w:rPr>
        <w:t>ize a liability for the expected contingent loss at inception and adjust it each quarter.</w:t>
      </w:r>
    </w:p>
    <w:p w14:paraId="4B76177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69</w:t>
      </w:r>
    </w:p>
    <w:p w14:paraId="4B76177A" w14:textId="77777777" w:rsidR="0099058F" w:rsidRDefault="00EB2559">
      <w:pPr>
        <w:widowControl/>
        <w:jc w:val="center"/>
      </w:pPr>
      <w:r>
        <w:rPr>
          <w:rFonts w:ascii="宋体" w:eastAsia="宋体" w:hAnsi="宋体" w:cs="宋体"/>
          <w:kern w:val="0"/>
          <w:sz w:val="24"/>
        </w:rPr>
        <w:pict w14:anchorId="4B763C3C">
          <v:rect id="_x0000_i1095" style="width:6in;height:1.5pt" o:hralign="center" o:hrstd="t" o:hr="t" fillcolor="#a0a0a0" stroked="f"/>
        </w:pict>
      </w:r>
    </w:p>
    <w:p w14:paraId="4B76177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77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Note 2 – Goodwill and </w:t>
      </w:r>
      <w:r>
        <w:rPr>
          <w:rFonts w:ascii="Arial" w:eastAsia="宋体" w:hAnsi="Arial" w:cs="Arial"/>
          <w:b/>
          <w:bCs/>
          <w:color w:val="000000"/>
          <w:kern w:val="0"/>
          <w:sz w:val="20"/>
          <w:szCs w:val="20"/>
          <w:lang w:bidi="ar"/>
        </w:rPr>
        <w:t>Acquired Intangibles</w:t>
      </w:r>
    </w:p>
    <w:p w14:paraId="4B76177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Changes in the carrying amount of goodwill for the years ended December 31, 2022 and 2021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4"/>
        <w:gridCol w:w="2566"/>
        <w:gridCol w:w="37"/>
        <w:gridCol w:w="85"/>
        <w:gridCol w:w="1014"/>
        <w:gridCol w:w="36"/>
        <w:gridCol w:w="36"/>
        <w:gridCol w:w="36"/>
        <w:gridCol w:w="36"/>
        <w:gridCol w:w="66"/>
        <w:gridCol w:w="929"/>
        <w:gridCol w:w="36"/>
        <w:gridCol w:w="36"/>
        <w:gridCol w:w="36"/>
        <w:gridCol w:w="36"/>
        <w:gridCol w:w="63"/>
        <w:gridCol w:w="932"/>
        <w:gridCol w:w="36"/>
        <w:gridCol w:w="36"/>
        <w:gridCol w:w="36"/>
        <w:gridCol w:w="36"/>
        <w:gridCol w:w="44"/>
        <w:gridCol w:w="910"/>
        <w:gridCol w:w="36"/>
        <w:gridCol w:w="36"/>
        <w:gridCol w:w="36"/>
        <w:gridCol w:w="36"/>
        <w:gridCol w:w="54"/>
        <w:gridCol w:w="957"/>
        <w:gridCol w:w="36"/>
      </w:tblGrid>
      <w:tr w:rsidR="0099058F" w14:paraId="4B76179C" w14:textId="77777777">
        <w:tc>
          <w:tcPr>
            <w:tcW w:w="50" w:type="pct"/>
            <w:tcBorders>
              <w:top w:val="nil"/>
              <w:left w:val="nil"/>
              <w:bottom w:val="nil"/>
              <w:right w:val="nil"/>
            </w:tcBorders>
            <w:shd w:val="clear" w:color="auto" w:fill="auto"/>
            <w:vAlign w:val="bottom"/>
          </w:tcPr>
          <w:p w14:paraId="4B76177E" w14:textId="77777777" w:rsidR="0099058F" w:rsidRDefault="0099058F">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B76177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781"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178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78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787" w14:textId="77777777" w:rsidR="0099058F" w:rsidRDefault="0099058F">
            <w:pPr>
              <w:widowControl/>
              <w:jc w:val="left"/>
              <w:rPr>
                <w:rFonts w:ascii="Times New Roman" w:eastAsia="宋体" w:hAnsi="宋体" w:cs="宋体"/>
                <w:kern w:val="0"/>
                <w:sz w:val="24"/>
              </w:rPr>
            </w:pPr>
          </w:p>
        </w:tc>
        <w:tc>
          <w:tcPr>
            <w:tcW w:w="591" w:type="pct"/>
            <w:tcBorders>
              <w:top w:val="nil"/>
              <w:left w:val="nil"/>
              <w:bottom w:val="nil"/>
              <w:right w:val="nil"/>
            </w:tcBorders>
            <w:shd w:val="clear" w:color="auto" w:fill="auto"/>
            <w:vAlign w:val="bottom"/>
          </w:tcPr>
          <w:p w14:paraId="4B7617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78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78D" w14:textId="77777777" w:rsidR="0099058F" w:rsidRDefault="0099058F">
            <w:pPr>
              <w:widowControl/>
              <w:jc w:val="left"/>
              <w:rPr>
                <w:rFonts w:ascii="Times New Roman" w:eastAsia="宋体" w:hAnsi="宋体" w:cs="宋体"/>
                <w:kern w:val="0"/>
                <w:sz w:val="24"/>
              </w:rPr>
            </w:pPr>
          </w:p>
        </w:tc>
        <w:tc>
          <w:tcPr>
            <w:tcW w:w="591" w:type="pct"/>
            <w:tcBorders>
              <w:top w:val="nil"/>
              <w:left w:val="nil"/>
              <w:bottom w:val="nil"/>
              <w:right w:val="nil"/>
            </w:tcBorders>
            <w:shd w:val="clear" w:color="auto" w:fill="auto"/>
            <w:vAlign w:val="bottom"/>
          </w:tcPr>
          <w:p w14:paraId="4B7617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7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793" w14:textId="77777777" w:rsidR="0099058F" w:rsidRDefault="0099058F">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B76179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7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799"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17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79B" w14:textId="77777777" w:rsidR="0099058F" w:rsidRDefault="0099058F">
            <w:pPr>
              <w:widowControl/>
              <w:jc w:val="left"/>
              <w:rPr>
                <w:rFonts w:ascii="Times New Roman" w:eastAsia="宋体" w:hAnsi="宋体" w:cs="宋体"/>
                <w:kern w:val="0"/>
                <w:sz w:val="24"/>
              </w:rPr>
            </w:pPr>
          </w:p>
        </w:tc>
      </w:tr>
      <w:tr w:rsidR="0099058F" w14:paraId="4B7617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79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7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r>
              <w:rPr>
                <w:rFonts w:ascii="Arial" w:eastAsia="宋体" w:hAnsi="Arial" w:cs="Arial"/>
                <w:color w:val="000000"/>
                <w:kern w:val="0"/>
                <w:sz w:val="20"/>
                <w:szCs w:val="20"/>
                <w:lang w:bidi="ar"/>
              </w:rPr>
              <w:br/>
              <w:t>Airplanes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7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7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7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7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7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7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7A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7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99058F" w14:paraId="4B7617B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7A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A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A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A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A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B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B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B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B6" w14:textId="77777777" w:rsidR="0099058F" w:rsidRDefault="0099058F">
            <w:pPr>
              <w:widowControl/>
              <w:jc w:val="left"/>
              <w:rPr>
                <w:rFonts w:ascii="Times New Roman" w:eastAsia="宋体" w:hAnsi="宋体" w:cs="宋体"/>
                <w:kern w:val="0"/>
                <w:sz w:val="24"/>
              </w:rPr>
            </w:pPr>
          </w:p>
        </w:tc>
      </w:tr>
      <w:tr w:rsidR="0099058F" w14:paraId="4B7617C2" w14:textId="77777777">
        <w:trPr>
          <w:hidden/>
        </w:trPr>
        <w:tc>
          <w:tcPr>
            <w:tcW w:w="0" w:type="auto"/>
            <w:gridSpan w:val="3"/>
            <w:tcBorders>
              <w:top w:val="nil"/>
              <w:left w:val="nil"/>
              <w:bottom w:val="nil"/>
              <w:right w:val="nil"/>
            </w:tcBorders>
            <w:shd w:val="clear" w:color="auto" w:fill="auto"/>
            <w:vAlign w:val="bottom"/>
          </w:tcPr>
          <w:p w14:paraId="4B7617B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B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1" w14:textId="77777777" w:rsidR="0099058F" w:rsidRDefault="0099058F">
            <w:pPr>
              <w:widowControl/>
              <w:jc w:val="left"/>
              <w:rPr>
                <w:rFonts w:ascii="Times New Roman" w:eastAsia="宋体" w:hAnsi="宋体" w:cs="宋体"/>
                <w:vanish/>
                <w:kern w:val="0"/>
                <w:sz w:val="24"/>
              </w:rPr>
            </w:pPr>
          </w:p>
        </w:tc>
      </w:tr>
      <w:tr w:rsidR="0099058F" w14:paraId="4B7617CD" w14:textId="77777777">
        <w:trPr>
          <w:hidden/>
        </w:trPr>
        <w:tc>
          <w:tcPr>
            <w:tcW w:w="0" w:type="auto"/>
            <w:gridSpan w:val="3"/>
            <w:tcBorders>
              <w:top w:val="nil"/>
              <w:left w:val="nil"/>
              <w:bottom w:val="nil"/>
              <w:right w:val="nil"/>
            </w:tcBorders>
            <w:shd w:val="clear" w:color="auto" w:fill="auto"/>
            <w:vAlign w:val="bottom"/>
          </w:tcPr>
          <w:p w14:paraId="4B7617C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CC" w14:textId="77777777" w:rsidR="0099058F" w:rsidRDefault="0099058F">
            <w:pPr>
              <w:widowControl/>
              <w:jc w:val="left"/>
              <w:rPr>
                <w:rFonts w:ascii="Times New Roman" w:eastAsia="宋体" w:hAnsi="宋体" w:cs="宋体"/>
                <w:vanish/>
                <w:kern w:val="0"/>
                <w:sz w:val="24"/>
              </w:rPr>
            </w:pPr>
          </w:p>
        </w:tc>
      </w:tr>
      <w:tr w:rsidR="0099058F" w14:paraId="4B7617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7C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C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D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D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D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7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7D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D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7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7D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7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7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7DA" w14:textId="77777777" w:rsidR="0099058F" w:rsidRDefault="0099058F">
            <w:pPr>
              <w:widowControl/>
              <w:jc w:val="left"/>
              <w:rPr>
                <w:rFonts w:ascii="Times New Roman" w:eastAsia="宋体" w:hAnsi="宋体" w:cs="宋体"/>
                <w:kern w:val="0"/>
                <w:sz w:val="24"/>
              </w:rPr>
            </w:pPr>
          </w:p>
        </w:tc>
      </w:tr>
      <w:tr w:rsidR="0099058F" w14:paraId="4B7617E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7D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D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D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E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E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E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E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E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7E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7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7EA" w14:textId="77777777" w:rsidR="0099058F" w:rsidRDefault="0099058F">
            <w:pPr>
              <w:widowControl/>
              <w:jc w:val="left"/>
              <w:rPr>
                <w:rFonts w:ascii="Times New Roman" w:eastAsia="宋体" w:hAnsi="宋体" w:cs="宋体"/>
                <w:kern w:val="0"/>
                <w:sz w:val="24"/>
              </w:rPr>
            </w:pPr>
          </w:p>
        </w:tc>
      </w:tr>
      <w:tr w:rsidR="0099058F" w14:paraId="4B7617F6" w14:textId="77777777">
        <w:trPr>
          <w:hidden/>
        </w:trPr>
        <w:tc>
          <w:tcPr>
            <w:tcW w:w="0" w:type="auto"/>
            <w:gridSpan w:val="3"/>
            <w:tcBorders>
              <w:top w:val="nil"/>
              <w:left w:val="nil"/>
              <w:bottom w:val="nil"/>
              <w:right w:val="nil"/>
            </w:tcBorders>
            <w:shd w:val="clear" w:color="auto" w:fill="auto"/>
            <w:vAlign w:val="bottom"/>
          </w:tcPr>
          <w:p w14:paraId="4B7617E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E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E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E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5" w14:textId="77777777" w:rsidR="0099058F" w:rsidRDefault="0099058F">
            <w:pPr>
              <w:widowControl/>
              <w:jc w:val="left"/>
              <w:rPr>
                <w:rFonts w:ascii="Times New Roman" w:eastAsia="宋体" w:hAnsi="宋体" w:cs="宋体"/>
                <w:vanish/>
                <w:kern w:val="0"/>
                <w:sz w:val="24"/>
              </w:rPr>
            </w:pPr>
          </w:p>
        </w:tc>
      </w:tr>
      <w:tr w:rsidR="0099058F" w14:paraId="4B761801" w14:textId="77777777">
        <w:trPr>
          <w:hidden/>
        </w:trPr>
        <w:tc>
          <w:tcPr>
            <w:tcW w:w="0" w:type="auto"/>
            <w:gridSpan w:val="3"/>
            <w:tcBorders>
              <w:top w:val="nil"/>
              <w:left w:val="nil"/>
              <w:bottom w:val="nil"/>
              <w:right w:val="nil"/>
            </w:tcBorders>
            <w:shd w:val="clear" w:color="auto" w:fill="auto"/>
            <w:vAlign w:val="bottom"/>
          </w:tcPr>
          <w:p w14:paraId="4B7617F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7F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00" w14:textId="77777777" w:rsidR="0099058F" w:rsidRDefault="0099058F">
            <w:pPr>
              <w:widowControl/>
              <w:jc w:val="left"/>
              <w:rPr>
                <w:rFonts w:ascii="Times New Roman" w:eastAsia="宋体" w:hAnsi="宋体" w:cs="宋体"/>
                <w:vanish/>
                <w:kern w:val="0"/>
                <w:sz w:val="24"/>
              </w:rPr>
            </w:pPr>
          </w:p>
        </w:tc>
      </w:tr>
      <w:tr w:rsidR="0099058F" w14:paraId="4B7618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80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0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0D" w14:textId="77777777" w:rsidR="0099058F" w:rsidRDefault="0099058F">
            <w:pPr>
              <w:widowControl/>
              <w:jc w:val="left"/>
              <w:rPr>
                <w:rFonts w:ascii="Times New Roman" w:eastAsia="宋体" w:hAnsi="宋体" w:cs="宋体"/>
                <w:kern w:val="0"/>
                <w:sz w:val="24"/>
              </w:rPr>
            </w:pPr>
          </w:p>
        </w:tc>
      </w:tr>
      <w:tr w:rsidR="0099058F" w14:paraId="4B76181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180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8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81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81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8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81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81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8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81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81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8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81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8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8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$8,057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81D" w14:textId="77777777" w:rsidR="0099058F" w:rsidRDefault="0099058F">
            <w:pPr>
              <w:widowControl/>
              <w:jc w:val="left"/>
              <w:rPr>
                <w:rFonts w:ascii="Times New Roman" w:eastAsia="宋体" w:hAnsi="宋体" w:cs="宋体"/>
                <w:kern w:val="0"/>
                <w:sz w:val="24"/>
              </w:rPr>
            </w:pPr>
          </w:p>
        </w:tc>
      </w:tr>
    </w:tbl>
    <w:p w14:paraId="4B76181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2022 and 2021, we had indefinite-lived intangible assets with carrying amounts of $197 relating to trade names. As of December 31, 2</w:t>
      </w:r>
      <w:r>
        <w:rPr>
          <w:rFonts w:ascii="Arial" w:eastAsia="宋体" w:hAnsi="Arial" w:cs="Arial"/>
          <w:color w:val="000000"/>
          <w:kern w:val="0"/>
          <w:sz w:val="20"/>
          <w:szCs w:val="20"/>
          <w:lang w:bidi="ar"/>
        </w:rPr>
        <w:t>022 and 2021, we had an indefinite-lived intangible asset with a carrying amount of $202 related to in process research and development for a next-generation air vehicle.</w:t>
      </w:r>
    </w:p>
    <w:p w14:paraId="4B76182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gross carrying amounts and accumulated amortization of our acquired finite-lived </w:t>
      </w:r>
      <w:r>
        <w:rPr>
          <w:rFonts w:ascii="Arial" w:eastAsia="宋体" w:hAnsi="Arial" w:cs="Arial"/>
          <w:color w:val="000000"/>
          <w:kern w:val="0"/>
          <w:sz w:val="20"/>
          <w:szCs w:val="20"/>
          <w:lang w:bidi="ar"/>
        </w:rPr>
        <w:t>intangible assets were as follows at December 31: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7"/>
        <w:gridCol w:w="3338"/>
        <w:gridCol w:w="36"/>
        <w:gridCol w:w="66"/>
        <w:gridCol w:w="936"/>
        <w:gridCol w:w="37"/>
        <w:gridCol w:w="37"/>
        <w:gridCol w:w="37"/>
        <w:gridCol w:w="37"/>
        <w:gridCol w:w="87"/>
        <w:gridCol w:w="1201"/>
        <w:gridCol w:w="36"/>
        <w:gridCol w:w="36"/>
        <w:gridCol w:w="36"/>
        <w:gridCol w:w="36"/>
        <w:gridCol w:w="61"/>
        <w:gridCol w:w="898"/>
        <w:gridCol w:w="37"/>
        <w:gridCol w:w="37"/>
        <w:gridCol w:w="36"/>
        <w:gridCol w:w="36"/>
        <w:gridCol w:w="83"/>
        <w:gridCol w:w="1106"/>
        <w:gridCol w:w="36"/>
      </w:tblGrid>
      <w:tr w:rsidR="0099058F" w14:paraId="4B761839" w14:textId="77777777">
        <w:tc>
          <w:tcPr>
            <w:tcW w:w="50" w:type="pct"/>
            <w:tcBorders>
              <w:top w:val="nil"/>
              <w:left w:val="nil"/>
              <w:bottom w:val="nil"/>
              <w:right w:val="nil"/>
            </w:tcBorders>
            <w:shd w:val="clear" w:color="auto" w:fill="auto"/>
            <w:vAlign w:val="bottom"/>
          </w:tcPr>
          <w:p w14:paraId="4B761821" w14:textId="77777777" w:rsidR="0099058F" w:rsidRDefault="0099058F">
            <w:pPr>
              <w:widowControl/>
              <w:jc w:val="left"/>
              <w:rPr>
                <w:rFonts w:ascii="Times New Roman" w:eastAsia="宋体" w:hAnsi="宋体" w:cs="宋体"/>
                <w:kern w:val="0"/>
                <w:sz w:val="24"/>
              </w:rPr>
            </w:pPr>
          </w:p>
        </w:tc>
        <w:tc>
          <w:tcPr>
            <w:tcW w:w="2030" w:type="pct"/>
            <w:tcBorders>
              <w:top w:val="nil"/>
              <w:left w:val="nil"/>
              <w:bottom w:val="nil"/>
              <w:right w:val="nil"/>
            </w:tcBorders>
            <w:shd w:val="clear" w:color="auto" w:fill="auto"/>
            <w:vAlign w:val="bottom"/>
          </w:tcPr>
          <w:p w14:paraId="4B76182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24"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182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2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2A" w14:textId="77777777" w:rsidR="0099058F" w:rsidRDefault="0099058F">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4B76182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2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2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30"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18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3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3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3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36" w14:textId="77777777" w:rsidR="0099058F" w:rsidRDefault="0099058F">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B7618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38" w14:textId="77777777" w:rsidR="0099058F" w:rsidRDefault="0099058F">
            <w:pPr>
              <w:widowControl/>
              <w:jc w:val="left"/>
              <w:rPr>
                <w:rFonts w:ascii="Times New Roman" w:eastAsia="宋体" w:hAnsi="宋体" w:cs="宋体"/>
                <w:kern w:val="0"/>
                <w:sz w:val="24"/>
              </w:rPr>
            </w:pPr>
          </w:p>
        </w:tc>
      </w:tr>
      <w:tr w:rsidR="0099058F" w14:paraId="4B7618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3A"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183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3C"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183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84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3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Gross</w:t>
            </w:r>
            <w:r>
              <w:rPr>
                <w:rFonts w:ascii="Arial" w:eastAsia="宋体" w:hAnsi="Arial" w:cs="Arial"/>
                <w:b/>
                <w:bCs/>
                <w:color w:val="000000"/>
                <w:kern w:val="0"/>
                <w:sz w:val="20"/>
                <w:szCs w:val="20"/>
                <w:lang w:bidi="ar"/>
              </w:rPr>
              <w:b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84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Accumulated</w:t>
            </w:r>
            <w:r>
              <w:rPr>
                <w:rFonts w:ascii="Arial" w:eastAsia="宋体" w:hAnsi="Arial" w:cs="Arial"/>
                <w:b/>
                <w:bCs/>
                <w:color w:val="000000"/>
                <w:kern w:val="0"/>
                <w:sz w:val="20"/>
                <w:szCs w:val="20"/>
                <w:lang w:bidi="ar"/>
              </w:rPr>
              <w:br/>
              <w:t>Amortization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84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Gross</w:t>
            </w:r>
            <w:r>
              <w:rPr>
                <w:rFonts w:ascii="Arial" w:eastAsia="宋体" w:hAnsi="Arial" w:cs="Arial"/>
                <w:color w:val="000000"/>
                <w:kern w:val="0"/>
                <w:sz w:val="20"/>
                <w:szCs w:val="20"/>
                <w:lang w:bidi="ar"/>
              </w:rPr>
              <w:b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84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Accumulated</w:t>
            </w:r>
            <w:r>
              <w:rPr>
                <w:rFonts w:ascii="Arial" w:eastAsia="宋体" w:hAnsi="Arial" w:cs="Arial"/>
                <w:color w:val="000000"/>
                <w:kern w:val="0"/>
                <w:sz w:val="20"/>
                <w:szCs w:val="20"/>
                <w:lang w:bidi="ar"/>
              </w:rPr>
              <w:br/>
              <w:t>Amortization</w:t>
            </w:r>
          </w:p>
        </w:tc>
      </w:tr>
      <w:tr w:rsidR="0099058F" w14:paraId="4B76185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84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Distribution rights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8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84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84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8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84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84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8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85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85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8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853" w14:textId="77777777" w:rsidR="0099058F" w:rsidRDefault="0099058F">
            <w:pPr>
              <w:widowControl/>
              <w:jc w:val="left"/>
              <w:rPr>
                <w:rFonts w:ascii="Times New Roman" w:eastAsia="宋体" w:hAnsi="宋体" w:cs="宋体"/>
                <w:kern w:val="0"/>
                <w:sz w:val="24"/>
              </w:rPr>
            </w:pPr>
          </w:p>
        </w:tc>
      </w:tr>
      <w:tr w:rsidR="0099058F" w14:paraId="4B7618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85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Product know-how</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5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5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5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5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5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5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60" w14:textId="77777777" w:rsidR="0099058F" w:rsidRDefault="0099058F">
            <w:pPr>
              <w:widowControl/>
              <w:jc w:val="right"/>
              <w:rPr>
                <w:rFonts w:ascii="Times New Roman" w:eastAsia="宋体" w:hAnsi="宋体" w:cs="宋体"/>
                <w:kern w:val="0"/>
                <w:sz w:val="24"/>
              </w:rPr>
            </w:pPr>
          </w:p>
        </w:tc>
      </w:tr>
      <w:tr w:rsidR="0099058F" w14:paraId="4B7618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86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base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6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6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6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6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6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6D" w14:textId="77777777" w:rsidR="0099058F" w:rsidRDefault="0099058F">
            <w:pPr>
              <w:widowControl/>
              <w:jc w:val="right"/>
              <w:rPr>
                <w:rFonts w:ascii="Times New Roman" w:eastAsia="宋体" w:hAnsi="宋体" w:cs="宋体"/>
                <w:kern w:val="0"/>
                <w:sz w:val="24"/>
              </w:rPr>
            </w:pPr>
          </w:p>
        </w:tc>
      </w:tr>
      <w:tr w:rsidR="0099058F" w14:paraId="4B7618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86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Developed technology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7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7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7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7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87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8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87A" w14:textId="77777777" w:rsidR="0099058F" w:rsidRDefault="0099058F">
            <w:pPr>
              <w:widowControl/>
              <w:jc w:val="right"/>
              <w:rPr>
                <w:rFonts w:ascii="Times New Roman" w:eastAsia="宋体" w:hAnsi="宋体" w:cs="宋体"/>
                <w:kern w:val="0"/>
                <w:sz w:val="24"/>
              </w:rPr>
            </w:pPr>
          </w:p>
        </w:tc>
      </w:tr>
      <w:tr w:rsidR="0099058F" w14:paraId="4B76188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87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7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7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8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8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8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88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88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887" w14:textId="77777777" w:rsidR="0099058F" w:rsidRDefault="0099058F">
            <w:pPr>
              <w:widowControl/>
              <w:jc w:val="right"/>
              <w:rPr>
                <w:rFonts w:ascii="Times New Roman" w:eastAsia="宋体" w:hAnsi="宋体" w:cs="宋体"/>
                <w:kern w:val="0"/>
                <w:sz w:val="24"/>
              </w:rPr>
            </w:pPr>
          </w:p>
        </w:tc>
      </w:tr>
      <w:tr w:rsidR="0099058F" w14:paraId="4B76189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88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8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$5,351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88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88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8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88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88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8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89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89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8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894" w14:textId="77777777" w:rsidR="0099058F" w:rsidRDefault="0099058F">
            <w:pPr>
              <w:widowControl/>
              <w:jc w:val="left"/>
              <w:rPr>
                <w:rFonts w:ascii="Times New Roman" w:eastAsia="宋体" w:hAnsi="宋体" w:cs="宋体"/>
                <w:kern w:val="0"/>
                <w:sz w:val="24"/>
              </w:rPr>
            </w:pPr>
          </w:p>
        </w:tc>
      </w:tr>
    </w:tbl>
    <w:p w14:paraId="4B761896"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During 2020, we recorded impairments of $178 within Cost of Sales related to our distribution rights, primarily driven by airlines' dec</w:t>
      </w:r>
      <w:r>
        <w:rPr>
          <w:rFonts w:ascii="Arial" w:eastAsia="宋体" w:hAnsi="Arial" w:cs="Arial"/>
          <w:color w:val="000000"/>
          <w:kern w:val="0"/>
          <w:sz w:val="20"/>
          <w:szCs w:val="20"/>
          <w:lang w:bidi="ar"/>
        </w:rPr>
        <w:t>isions to retire certain aircraft. Amortization expense for acquired finite-lived intangible assets for the years ended December 31, 2022 and 2021 was $241 and $284. Estimated amortization expense for the five succeeding years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59"/>
        <w:gridCol w:w="3858"/>
        <w:gridCol w:w="36"/>
        <w:gridCol w:w="59"/>
        <w:gridCol w:w="700"/>
        <w:gridCol w:w="36"/>
        <w:gridCol w:w="36"/>
        <w:gridCol w:w="36"/>
        <w:gridCol w:w="36"/>
        <w:gridCol w:w="54"/>
        <w:gridCol w:w="695"/>
        <w:gridCol w:w="36"/>
        <w:gridCol w:w="36"/>
        <w:gridCol w:w="36"/>
        <w:gridCol w:w="36"/>
        <w:gridCol w:w="54"/>
        <w:gridCol w:w="695"/>
        <w:gridCol w:w="36"/>
        <w:gridCol w:w="36"/>
        <w:gridCol w:w="36"/>
        <w:gridCol w:w="36"/>
        <w:gridCol w:w="54"/>
        <w:gridCol w:w="695"/>
        <w:gridCol w:w="36"/>
        <w:gridCol w:w="36"/>
        <w:gridCol w:w="36"/>
        <w:gridCol w:w="36"/>
        <w:gridCol w:w="54"/>
        <w:gridCol w:w="698"/>
        <w:gridCol w:w="36"/>
      </w:tblGrid>
      <w:tr w:rsidR="0099058F" w14:paraId="4B7618B5" w14:textId="77777777">
        <w:trPr>
          <w:jc w:val="center"/>
        </w:trPr>
        <w:tc>
          <w:tcPr>
            <w:tcW w:w="50" w:type="pct"/>
            <w:tcBorders>
              <w:top w:val="nil"/>
              <w:left w:val="nil"/>
              <w:bottom w:val="nil"/>
              <w:right w:val="nil"/>
            </w:tcBorders>
            <w:shd w:val="clear" w:color="auto" w:fill="auto"/>
            <w:vAlign w:val="bottom"/>
          </w:tcPr>
          <w:p w14:paraId="4B761897" w14:textId="77777777" w:rsidR="0099058F" w:rsidRDefault="0099058F">
            <w:pPr>
              <w:widowControl/>
              <w:jc w:val="left"/>
              <w:rPr>
                <w:rFonts w:ascii="Times New Roman" w:eastAsia="宋体" w:hAnsi="宋体" w:cs="宋体"/>
                <w:kern w:val="0"/>
                <w:sz w:val="24"/>
              </w:rPr>
            </w:pPr>
          </w:p>
        </w:tc>
        <w:tc>
          <w:tcPr>
            <w:tcW w:w="2326" w:type="pct"/>
            <w:tcBorders>
              <w:top w:val="nil"/>
              <w:left w:val="nil"/>
              <w:bottom w:val="nil"/>
              <w:right w:val="nil"/>
            </w:tcBorders>
            <w:shd w:val="clear" w:color="auto" w:fill="auto"/>
            <w:vAlign w:val="bottom"/>
          </w:tcPr>
          <w:p w14:paraId="4B76189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9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9A"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89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9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9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9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9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A0"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8A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A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A6"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8A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A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AC"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8A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A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B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B2"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18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B4" w14:textId="77777777" w:rsidR="0099058F" w:rsidRDefault="0099058F">
            <w:pPr>
              <w:widowControl/>
              <w:jc w:val="left"/>
              <w:rPr>
                <w:rFonts w:ascii="Times New Roman" w:eastAsia="宋体" w:hAnsi="宋体" w:cs="宋体"/>
                <w:kern w:val="0"/>
                <w:sz w:val="24"/>
              </w:rPr>
            </w:pPr>
          </w:p>
        </w:tc>
      </w:tr>
      <w:tr w:rsidR="0099058F" w14:paraId="4B7618C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B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B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B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B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2027</w:t>
            </w:r>
          </w:p>
        </w:tc>
      </w:tr>
      <w:tr w:rsidR="0099058F" w14:paraId="4B7618D0" w14:textId="77777777">
        <w:trPr>
          <w:jc w:val="center"/>
        </w:trPr>
        <w:tc>
          <w:tcPr>
            <w:tcW w:w="0" w:type="auto"/>
            <w:gridSpan w:val="3"/>
            <w:tcBorders>
              <w:top w:val="single" w:sz="8" w:space="0" w:color="000000"/>
              <w:left w:val="nil"/>
              <w:bottom w:val="single" w:sz="8" w:space="0" w:color="000000"/>
              <w:right w:val="nil"/>
            </w:tcBorders>
            <w:shd w:val="clear" w:color="auto" w:fill="CCEEFF"/>
            <w:tcMar>
              <w:top w:w="40" w:type="dxa"/>
              <w:left w:w="20" w:type="dxa"/>
              <w:bottom w:w="40" w:type="dxa"/>
              <w:right w:w="20" w:type="dxa"/>
            </w:tcMar>
          </w:tcPr>
          <w:p w14:paraId="4B7618C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amortization expense</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18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8C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B7618C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18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8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B7618C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18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8C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B7618C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18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8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B7618C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18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8CF" w14:textId="77777777" w:rsidR="0099058F" w:rsidRDefault="0099058F">
            <w:pPr>
              <w:widowControl/>
              <w:jc w:val="left"/>
              <w:rPr>
                <w:rFonts w:ascii="Times New Roman" w:eastAsia="宋体" w:hAnsi="宋体" w:cs="宋体"/>
                <w:kern w:val="0"/>
                <w:sz w:val="24"/>
              </w:rPr>
            </w:pPr>
          </w:p>
        </w:tc>
      </w:tr>
    </w:tbl>
    <w:p w14:paraId="4B7618D1"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Earnings Per Share</w:t>
      </w:r>
    </w:p>
    <w:p w14:paraId="4B7618D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 an earnings allocation method that determine</w:t>
      </w:r>
      <w:r>
        <w:rPr>
          <w:rFonts w:ascii="Arial" w:eastAsia="宋体" w:hAnsi="Arial" w:cs="Arial"/>
          <w:color w:val="000000"/>
          <w:kern w:val="0"/>
          <w:sz w:val="20"/>
          <w:szCs w:val="20"/>
          <w:lang w:bidi="ar"/>
        </w:rPr>
        <w:t xml:space="preserve">s earnings per share for common shares and participating securities. The undistributed earnings are allocated between common shares and participating securities as if all earnings had been distributed during the period. Participating securities and common </w:t>
      </w:r>
      <w:r>
        <w:rPr>
          <w:rFonts w:ascii="Arial" w:eastAsia="宋体" w:hAnsi="Arial" w:cs="Arial"/>
          <w:color w:val="000000"/>
          <w:kern w:val="0"/>
          <w:sz w:val="20"/>
          <w:szCs w:val="20"/>
          <w:lang w:bidi="ar"/>
        </w:rPr>
        <w:t>shares have equal rights to undistributed earnings.</w:t>
      </w:r>
    </w:p>
    <w:p w14:paraId="4B7618D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70</w:t>
      </w:r>
    </w:p>
    <w:p w14:paraId="4B7618D4" w14:textId="77777777" w:rsidR="0099058F" w:rsidRDefault="00EB2559">
      <w:pPr>
        <w:widowControl/>
        <w:jc w:val="center"/>
      </w:pPr>
      <w:r>
        <w:rPr>
          <w:rFonts w:ascii="宋体" w:eastAsia="宋体" w:hAnsi="宋体" w:cs="宋体"/>
          <w:kern w:val="0"/>
          <w:sz w:val="24"/>
        </w:rPr>
        <w:pict w14:anchorId="4B763C3D">
          <v:rect id="_x0000_i1096" style="width:6in;height:1.5pt" o:hralign="center" o:hrstd="t" o:hr="t" fillcolor="#a0a0a0" stroked="f"/>
        </w:pict>
      </w:r>
    </w:p>
    <w:p w14:paraId="4B7618D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8D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Basic earnings per share is calculated by taking net </w:t>
      </w:r>
      <w:r>
        <w:rPr>
          <w:rFonts w:ascii="Arial" w:eastAsia="宋体" w:hAnsi="Arial" w:cs="Arial"/>
          <w:color w:val="000000"/>
          <w:kern w:val="0"/>
          <w:sz w:val="20"/>
          <w:szCs w:val="20"/>
          <w:lang w:bidi="ar"/>
        </w:rPr>
        <w:t>earnings, less earnings available to participating securities, divided by the basic weighted average common shares outstanding.</w:t>
      </w:r>
    </w:p>
    <w:p w14:paraId="4B7618D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Diluted earnings per share is calculated by taking net earnings, less earnings available to participating securities, divided by the diluted weighted average common shares outstanding. </w:t>
      </w:r>
    </w:p>
    <w:p w14:paraId="4B7618D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w:t>
      </w:r>
      <w:r>
        <w:rPr>
          <w:rFonts w:ascii="Arial" w:eastAsia="宋体" w:hAnsi="Arial" w:cs="Arial"/>
          <w:color w:val="000000"/>
          <w:kern w:val="0"/>
          <w:sz w:val="20"/>
          <w:szCs w:val="20"/>
          <w:lang w:bidi="ar"/>
        </w:rPr>
        <w:t xml:space="preserve"> share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0"/>
        <w:gridCol w:w="5081"/>
        <w:gridCol w:w="37"/>
        <w:gridCol w:w="65"/>
        <w:gridCol w:w="876"/>
        <w:gridCol w:w="36"/>
        <w:gridCol w:w="36"/>
        <w:gridCol w:w="36"/>
        <w:gridCol w:w="36"/>
        <w:gridCol w:w="65"/>
        <w:gridCol w:w="868"/>
        <w:gridCol w:w="36"/>
        <w:gridCol w:w="36"/>
        <w:gridCol w:w="36"/>
        <w:gridCol w:w="36"/>
        <w:gridCol w:w="75"/>
        <w:gridCol w:w="858"/>
        <w:gridCol w:w="36"/>
      </w:tblGrid>
      <w:tr w:rsidR="0099058F" w14:paraId="4B7618EB" w14:textId="77777777">
        <w:tc>
          <w:tcPr>
            <w:tcW w:w="50" w:type="pct"/>
            <w:tcBorders>
              <w:top w:val="nil"/>
              <w:left w:val="nil"/>
              <w:bottom w:val="nil"/>
              <w:right w:val="nil"/>
            </w:tcBorders>
            <w:shd w:val="clear" w:color="auto" w:fill="auto"/>
            <w:vAlign w:val="bottom"/>
          </w:tcPr>
          <w:p w14:paraId="4B7618D9" w14:textId="77777777" w:rsidR="0099058F" w:rsidRDefault="0099058F">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B7618D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D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DC"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18D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D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D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E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E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E2"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18E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E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E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8E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E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8E8"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18E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8EA" w14:textId="77777777" w:rsidR="0099058F" w:rsidRDefault="0099058F">
            <w:pPr>
              <w:widowControl/>
              <w:jc w:val="left"/>
              <w:rPr>
                <w:rFonts w:ascii="Times New Roman" w:eastAsia="宋体" w:hAnsi="宋体" w:cs="宋体"/>
                <w:kern w:val="0"/>
                <w:sz w:val="24"/>
              </w:rPr>
            </w:pPr>
          </w:p>
        </w:tc>
      </w:tr>
      <w:tr w:rsidR="0099058F" w14:paraId="4B7618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8EC"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r>
              <w:rPr>
                <w:rFonts w:ascii="Arial" w:eastAsia="宋体" w:hAnsi="Arial" w:cs="Arial"/>
                <w:color w:val="000000"/>
                <w:kern w:val="0"/>
                <w:sz w:val="20"/>
                <w:szCs w:val="20"/>
                <w:lang w:bidi="ar"/>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E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E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F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8F1" w14:textId="77777777" w:rsidR="0099058F" w:rsidRDefault="0099058F">
            <w:pPr>
              <w:widowControl/>
              <w:jc w:val="left"/>
              <w:rPr>
                <w:rFonts w:ascii="Times New Roman" w:eastAsia="宋体" w:hAnsi="宋体" w:cs="宋体"/>
                <w:kern w:val="0"/>
                <w:sz w:val="24"/>
              </w:rPr>
            </w:pPr>
          </w:p>
        </w:tc>
      </w:tr>
      <w:tr w:rsidR="0099058F" w14:paraId="4B7618F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F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8F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8F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8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900" w14:textId="77777777">
        <w:trPr>
          <w:hidden/>
        </w:trPr>
        <w:tc>
          <w:tcPr>
            <w:tcW w:w="0" w:type="auto"/>
            <w:gridSpan w:val="3"/>
            <w:tcBorders>
              <w:top w:val="nil"/>
              <w:left w:val="nil"/>
              <w:bottom w:val="nil"/>
              <w:right w:val="nil"/>
            </w:tcBorders>
            <w:shd w:val="clear" w:color="auto" w:fill="auto"/>
            <w:vAlign w:val="bottom"/>
          </w:tcPr>
          <w:p w14:paraId="4B7618F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F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F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F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F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8FF" w14:textId="77777777" w:rsidR="0099058F" w:rsidRDefault="0099058F">
            <w:pPr>
              <w:widowControl/>
              <w:jc w:val="left"/>
              <w:rPr>
                <w:rFonts w:ascii="Times New Roman" w:eastAsia="宋体" w:hAnsi="宋体" w:cs="宋体"/>
                <w:vanish/>
                <w:kern w:val="0"/>
                <w:sz w:val="24"/>
              </w:rPr>
            </w:pPr>
          </w:p>
        </w:tc>
      </w:tr>
      <w:tr w:rsidR="0099058F" w14:paraId="4B761907" w14:textId="77777777">
        <w:trPr>
          <w:hidden/>
        </w:trPr>
        <w:tc>
          <w:tcPr>
            <w:tcW w:w="0" w:type="auto"/>
            <w:gridSpan w:val="3"/>
            <w:tcBorders>
              <w:top w:val="nil"/>
              <w:left w:val="nil"/>
              <w:bottom w:val="nil"/>
              <w:right w:val="nil"/>
            </w:tcBorders>
            <w:shd w:val="clear" w:color="auto" w:fill="auto"/>
            <w:vAlign w:val="bottom"/>
          </w:tcPr>
          <w:p w14:paraId="4B76190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0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0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0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0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06" w14:textId="77777777" w:rsidR="0099058F" w:rsidRDefault="0099058F">
            <w:pPr>
              <w:widowControl/>
              <w:jc w:val="left"/>
              <w:rPr>
                <w:rFonts w:ascii="Times New Roman" w:eastAsia="宋体" w:hAnsi="宋体" w:cs="宋体"/>
                <w:vanish/>
                <w:kern w:val="0"/>
                <w:sz w:val="24"/>
              </w:rPr>
            </w:pPr>
          </w:p>
        </w:tc>
      </w:tr>
      <w:tr w:rsidR="0099058F" w14:paraId="4B76191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0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0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0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10" w14:textId="77777777" w:rsidR="0099058F" w:rsidRDefault="0099058F">
            <w:pPr>
              <w:widowControl/>
              <w:jc w:val="left"/>
              <w:rPr>
                <w:rFonts w:ascii="Times New Roman" w:eastAsia="宋体" w:hAnsi="宋体" w:cs="宋体"/>
                <w:kern w:val="0"/>
                <w:sz w:val="24"/>
              </w:rPr>
            </w:pPr>
          </w:p>
        </w:tc>
      </w:tr>
      <w:tr w:rsidR="0099058F" w14:paraId="4B761918"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B76191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1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1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1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1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17" w14:textId="77777777" w:rsidR="0099058F" w:rsidRDefault="0099058F">
            <w:pPr>
              <w:widowControl/>
              <w:jc w:val="left"/>
              <w:rPr>
                <w:rFonts w:ascii="Times New Roman" w:eastAsia="宋体" w:hAnsi="宋体" w:cs="宋体"/>
                <w:kern w:val="0"/>
                <w:sz w:val="24"/>
              </w:rPr>
            </w:pPr>
          </w:p>
        </w:tc>
      </w:tr>
      <w:tr w:rsidR="0099058F" w14:paraId="4B76192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1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1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1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1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1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21" w14:textId="77777777" w:rsidR="0099058F" w:rsidRDefault="0099058F">
            <w:pPr>
              <w:widowControl/>
              <w:jc w:val="left"/>
              <w:rPr>
                <w:rFonts w:ascii="Times New Roman" w:eastAsia="宋体" w:hAnsi="宋体" w:cs="宋体"/>
                <w:kern w:val="0"/>
                <w:sz w:val="24"/>
              </w:rPr>
            </w:pPr>
          </w:p>
        </w:tc>
      </w:tr>
      <w:tr w:rsidR="0099058F" w14:paraId="4B7619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92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2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2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2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2B" w14:textId="77777777" w:rsidR="0099058F" w:rsidRDefault="0099058F">
            <w:pPr>
              <w:widowControl/>
              <w:jc w:val="left"/>
              <w:rPr>
                <w:rFonts w:ascii="Times New Roman" w:eastAsia="宋体" w:hAnsi="宋体" w:cs="宋体"/>
                <w:kern w:val="0"/>
                <w:sz w:val="24"/>
              </w:rPr>
            </w:pPr>
          </w:p>
        </w:tc>
      </w:tr>
      <w:tr w:rsidR="0099058F" w14:paraId="4B76193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2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9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3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93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3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935" w14:textId="77777777" w:rsidR="0099058F" w:rsidRDefault="0099058F">
            <w:pPr>
              <w:widowControl/>
              <w:jc w:val="left"/>
              <w:rPr>
                <w:rFonts w:ascii="Times New Roman" w:eastAsia="宋体" w:hAnsi="宋体" w:cs="宋体"/>
                <w:kern w:val="0"/>
                <w:sz w:val="24"/>
              </w:rPr>
            </w:pPr>
          </w:p>
        </w:tc>
      </w:tr>
      <w:tr w:rsidR="0099058F" w14:paraId="4B76193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193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93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93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93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93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93C" w14:textId="77777777" w:rsidR="0099058F" w:rsidRDefault="0099058F">
            <w:pPr>
              <w:widowControl/>
              <w:jc w:val="left"/>
              <w:rPr>
                <w:rFonts w:ascii="Times New Roman" w:eastAsia="宋体" w:hAnsi="宋体" w:cs="宋体"/>
                <w:kern w:val="0"/>
                <w:sz w:val="24"/>
              </w:rPr>
            </w:pPr>
          </w:p>
        </w:tc>
      </w:tr>
      <w:tr w:rsidR="0099058F" w14:paraId="4B76194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3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40"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4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43"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4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46" w14:textId="77777777" w:rsidR="0099058F" w:rsidRDefault="0099058F">
            <w:pPr>
              <w:widowControl/>
              <w:jc w:val="right"/>
              <w:rPr>
                <w:rFonts w:ascii="Times New Roman" w:eastAsia="宋体" w:hAnsi="宋体" w:cs="宋体"/>
                <w:kern w:val="0"/>
                <w:sz w:val="24"/>
              </w:rPr>
            </w:pPr>
          </w:p>
        </w:tc>
      </w:tr>
      <w:tr w:rsidR="0099058F" w14:paraId="4B7619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94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4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4D" w14:textId="77777777" w:rsidR="0099058F" w:rsidRDefault="0099058F">
            <w:pPr>
              <w:widowControl/>
              <w:jc w:val="left"/>
              <w:rPr>
                <w:rFonts w:ascii="Times New Roman" w:eastAsia="宋体" w:hAnsi="宋体" w:cs="宋体"/>
                <w:kern w:val="0"/>
                <w:sz w:val="24"/>
              </w:rPr>
            </w:pPr>
          </w:p>
        </w:tc>
      </w:tr>
      <w:tr w:rsidR="0099058F" w14:paraId="4B76195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4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51"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5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54"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5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57" w14:textId="77777777" w:rsidR="0099058F" w:rsidRDefault="0099058F">
            <w:pPr>
              <w:widowControl/>
              <w:jc w:val="right"/>
              <w:rPr>
                <w:rFonts w:ascii="Times New Roman" w:eastAsia="宋体" w:hAnsi="宋体" w:cs="宋体"/>
                <w:kern w:val="0"/>
                <w:sz w:val="24"/>
              </w:rPr>
            </w:pPr>
          </w:p>
        </w:tc>
      </w:tr>
      <w:tr w:rsidR="0099058F" w14:paraId="4B7619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95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5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5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5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5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61" w14:textId="77777777" w:rsidR="0099058F" w:rsidRDefault="0099058F">
            <w:pPr>
              <w:widowControl/>
              <w:jc w:val="right"/>
              <w:rPr>
                <w:rFonts w:ascii="Times New Roman" w:eastAsia="宋体" w:hAnsi="宋体" w:cs="宋体"/>
                <w:kern w:val="0"/>
                <w:sz w:val="24"/>
              </w:rPr>
            </w:pPr>
          </w:p>
        </w:tc>
      </w:tr>
      <w:tr w:rsidR="0099058F" w14:paraId="4B76196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6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65"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68"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6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96B" w14:textId="77777777" w:rsidR="0099058F" w:rsidRDefault="0099058F">
            <w:pPr>
              <w:widowControl/>
              <w:jc w:val="right"/>
              <w:rPr>
                <w:rFonts w:ascii="Times New Roman" w:eastAsia="宋体" w:hAnsi="宋体" w:cs="宋体"/>
                <w:kern w:val="0"/>
                <w:sz w:val="24"/>
              </w:rPr>
            </w:pPr>
          </w:p>
        </w:tc>
      </w:tr>
      <w:tr w:rsidR="0099058F" w14:paraId="4B761973"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B76196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6E"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6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70"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7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972" w14:textId="77777777" w:rsidR="0099058F" w:rsidRDefault="0099058F">
            <w:pPr>
              <w:widowControl/>
              <w:jc w:val="left"/>
              <w:rPr>
                <w:rFonts w:ascii="Times New Roman" w:eastAsia="宋体" w:hAnsi="宋体" w:cs="宋体"/>
                <w:kern w:val="0"/>
                <w:sz w:val="24"/>
              </w:rPr>
            </w:pPr>
          </w:p>
        </w:tc>
      </w:tr>
      <w:tr w:rsidR="0099058F" w14:paraId="4B76197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74" w14:textId="77777777" w:rsidR="0099058F" w:rsidRDefault="00EB2559">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7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7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7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7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7C" w14:textId="77777777" w:rsidR="0099058F" w:rsidRDefault="0099058F">
            <w:pPr>
              <w:widowControl/>
              <w:jc w:val="left"/>
              <w:rPr>
                <w:rFonts w:ascii="Times New Roman" w:eastAsia="宋体" w:hAnsi="宋体" w:cs="宋体"/>
                <w:kern w:val="0"/>
                <w:sz w:val="24"/>
              </w:rPr>
            </w:pPr>
          </w:p>
        </w:tc>
      </w:tr>
      <w:tr w:rsidR="0099058F" w14:paraId="4B761987"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B76197E" w14:textId="77777777" w:rsidR="0099058F" w:rsidRDefault="00EB2559">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19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19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198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19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198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198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19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1986" w14:textId="77777777" w:rsidR="0099058F" w:rsidRDefault="0099058F">
            <w:pPr>
              <w:widowControl/>
              <w:jc w:val="left"/>
              <w:rPr>
                <w:rFonts w:ascii="Times New Roman" w:eastAsia="宋体" w:hAnsi="宋体" w:cs="宋体"/>
                <w:kern w:val="0"/>
                <w:sz w:val="24"/>
              </w:rPr>
            </w:pPr>
          </w:p>
        </w:tc>
      </w:tr>
    </w:tbl>
    <w:p w14:paraId="4B761988"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Diluted loss per share includes any dilutive impact of stock options, restricted stock units, </w:t>
      </w:r>
      <w:r>
        <w:rPr>
          <w:rFonts w:ascii="Arial" w:eastAsia="宋体" w:hAnsi="Arial" w:cs="Arial"/>
          <w:color w:val="000000"/>
          <w:kern w:val="0"/>
          <w:sz w:val="20"/>
          <w:szCs w:val="20"/>
          <w:lang w:bidi="ar"/>
        </w:rPr>
        <w:t>performance-based restricted stock units and performance awards.</w:t>
      </w:r>
    </w:p>
    <w:p w14:paraId="4B761989"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Participating securities include certain instruments in our deferred compensation plan.</w:t>
      </w:r>
    </w:p>
    <w:p w14:paraId="4B76198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As a result of incurring a net loss in 2022, 2021 and 2020, potential common shares of 3.5 million, </w:t>
      </w:r>
      <w:r>
        <w:rPr>
          <w:rFonts w:ascii="Arial" w:eastAsia="宋体" w:hAnsi="Arial" w:cs="Arial"/>
          <w:color w:val="000000"/>
          <w:kern w:val="0"/>
          <w:sz w:val="20"/>
          <w:szCs w:val="20"/>
          <w:lang w:bidi="ar"/>
        </w:rPr>
        <w:t>2.6 million and 1.6 million, respectively, were excluded from diluted loss per share because the effect would have been antidilutive. The following table represents all shares that were excluded from the calculation of diluted loss per share during the res</w:t>
      </w:r>
      <w:r>
        <w:rPr>
          <w:rFonts w:ascii="Arial" w:eastAsia="宋体" w:hAnsi="Arial" w:cs="Arial"/>
          <w:color w:val="000000"/>
          <w:kern w:val="0"/>
          <w:sz w:val="20"/>
          <w:szCs w:val="20"/>
          <w:lang w:bidi="ar"/>
        </w:rPr>
        <w:t>pective period but may be dilutive potential common shares in future periods. This includes potential common shares that were excluded because the effect was either antidilutive or the performance condition was not met.</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8"/>
        <w:gridCol w:w="60"/>
        <w:gridCol w:w="701"/>
        <w:gridCol w:w="36"/>
        <w:gridCol w:w="36"/>
        <w:gridCol w:w="36"/>
        <w:gridCol w:w="36"/>
        <w:gridCol w:w="53"/>
        <w:gridCol w:w="702"/>
        <w:gridCol w:w="36"/>
        <w:gridCol w:w="36"/>
        <w:gridCol w:w="36"/>
        <w:gridCol w:w="36"/>
        <w:gridCol w:w="53"/>
        <w:gridCol w:w="705"/>
        <w:gridCol w:w="36"/>
      </w:tblGrid>
      <w:tr w:rsidR="0099058F" w14:paraId="4B76199D" w14:textId="77777777">
        <w:tc>
          <w:tcPr>
            <w:tcW w:w="50" w:type="pct"/>
            <w:tcBorders>
              <w:top w:val="nil"/>
              <w:left w:val="nil"/>
              <w:bottom w:val="nil"/>
              <w:right w:val="nil"/>
            </w:tcBorders>
            <w:shd w:val="clear" w:color="auto" w:fill="auto"/>
            <w:vAlign w:val="bottom"/>
          </w:tcPr>
          <w:p w14:paraId="4B76198B"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19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8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8E"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9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9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94"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99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99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9A"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199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9C" w14:textId="77777777" w:rsidR="0099058F" w:rsidRDefault="0099058F">
            <w:pPr>
              <w:widowControl/>
              <w:jc w:val="left"/>
              <w:rPr>
                <w:rFonts w:ascii="Times New Roman" w:eastAsia="宋体" w:hAnsi="宋体" w:cs="宋体"/>
                <w:kern w:val="0"/>
                <w:sz w:val="24"/>
              </w:rPr>
            </w:pPr>
          </w:p>
        </w:tc>
      </w:tr>
      <w:tr w:rsidR="0099058F" w14:paraId="4B7619A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99E" w14:textId="77777777" w:rsidR="0099058F" w:rsidRDefault="00EB255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(Shares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A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A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A3" w14:textId="77777777" w:rsidR="0099058F" w:rsidRDefault="0099058F">
            <w:pPr>
              <w:widowControl/>
              <w:jc w:val="left"/>
              <w:rPr>
                <w:rFonts w:ascii="Times New Roman" w:eastAsia="宋体" w:hAnsi="宋体" w:cs="宋体"/>
                <w:kern w:val="0"/>
                <w:sz w:val="24"/>
              </w:rPr>
            </w:pPr>
          </w:p>
        </w:tc>
      </w:tr>
      <w:tr w:rsidR="0099058F" w14:paraId="4B7619A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9A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9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9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9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9A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9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9B2" w14:textId="77777777">
        <w:trPr>
          <w:hidden/>
        </w:trPr>
        <w:tc>
          <w:tcPr>
            <w:tcW w:w="0" w:type="auto"/>
            <w:gridSpan w:val="3"/>
            <w:tcBorders>
              <w:top w:val="nil"/>
              <w:left w:val="nil"/>
              <w:bottom w:val="nil"/>
              <w:right w:val="nil"/>
            </w:tcBorders>
            <w:shd w:val="clear" w:color="auto" w:fill="auto"/>
            <w:vAlign w:val="bottom"/>
          </w:tcPr>
          <w:p w14:paraId="4B7619A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A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A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A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B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9B1" w14:textId="77777777" w:rsidR="0099058F" w:rsidRDefault="0099058F">
            <w:pPr>
              <w:widowControl/>
              <w:jc w:val="left"/>
              <w:rPr>
                <w:rFonts w:ascii="Times New Roman" w:eastAsia="宋体" w:hAnsi="宋体" w:cs="宋体"/>
                <w:vanish/>
                <w:kern w:val="0"/>
                <w:sz w:val="24"/>
              </w:rPr>
            </w:pPr>
          </w:p>
        </w:tc>
      </w:tr>
      <w:tr w:rsidR="0099058F" w14:paraId="4B7619B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9B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B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B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B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BB" w14:textId="77777777" w:rsidR="0099058F" w:rsidRDefault="0099058F">
            <w:pPr>
              <w:widowControl/>
              <w:jc w:val="left"/>
              <w:rPr>
                <w:rFonts w:ascii="Times New Roman" w:eastAsia="宋体" w:hAnsi="宋体" w:cs="宋体"/>
                <w:kern w:val="0"/>
                <w:sz w:val="24"/>
              </w:rPr>
            </w:pPr>
          </w:p>
        </w:tc>
      </w:tr>
      <w:tr w:rsidR="0099058F" w14:paraId="4B7619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9B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C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9C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9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9C5" w14:textId="77777777" w:rsidR="0099058F" w:rsidRDefault="0099058F">
            <w:pPr>
              <w:widowControl/>
              <w:jc w:val="left"/>
              <w:rPr>
                <w:rFonts w:ascii="Times New Roman" w:eastAsia="宋体" w:hAnsi="宋体" w:cs="宋体"/>
                <w:kern w:val="0"/>
                <w:sz w:val="24"/>
              </w:rPr>
            </w:pPr>
          </w:p>
        </w:tc>
      </w:tr>
      <w:tr w:rsidR="0099058F" w14:paraId="4B7619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9C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9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9C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9C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9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9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9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9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9CF" w14:textId="77777777" w:rsidR="0099058F" w:rsidRDefault="0099058F">
            <w:pPr>
              <w:widowControl/>
              <w:jc w:val="left"/>
              <w:rPr>
                <w:rFonts w:ascii="Times New Roman" w:eastAsia="宋体" w:hAnsi="宋体" w:cs="宋体"/>
                <w:kern w:val="0"/>
                <w:sz w:val="24"/>
              </w:rPr>
            </w:pPr>
          </w:p>
        </w:tc>
      </w:tr>
      <w:tr w:rsidR="0099058F" w14:paraId="4B7619D9"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19D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19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19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19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19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19D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19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19D8" w14:textId="77777777" w:rsidR="0099058F" w:rsidRDefault="0099058F">
            <w:pPr>
              <w:widowControl/>
              <w:jc w:val="left"/>
              <w:rPr>
                <w:rFonts w:ascii="Times New Roman" w:eastAsia="宋体" w:hAnsi="宋体" w:cs="宋体"/>
                <w:kern w:val="0"/>
                <w:sz w:val="24"/>
              </w:rPr>
            </w:pPr>
          </w:p>
        </w:tc>
      </w:tr>
    </w:tbl>
    <w:p w14:paraId="4B7619D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71</w:t>
      </w:r>
    </w:p>
    <w:p w14:paraId="4B7619DB" w14:textId="77777777" w:rsidR="0099058F" w:rsidRDefault="00EB2559">
      <w:pPr>
        <w:widowControl/>
        <w:jc w:val="center"/>
      </w:pPr>
      <w:r>
        <w:rPr>
          <w:rFonts w:ascii="宋体" w:eastAsia="宋体" w:hAnsi="宋体" w:cs="宋体"/>
          <w:kern w:val="0"/>
          <w:sz w:val="24"/>
        </w:rPr>
        <w:pict w14:anchorId="4B763C3E">
          <v:rect id="_x0000_i1097" style="width:6in;height:1.5pt" o:hralign="center" o:hrstd="t" o:hr="t" fillcolor="#a0a0a0" stroked="f"/>
        </w:pict>
      </w:r>
    </w:p>
    <w:p w14:paraId="4B7619D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9D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Income Taxes</w:t>
      </w:r>
    </w:p>
    <w:p w14:paraId="4B7619D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components of Loss before income taxes were: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15"/>
        <w:gridCol w:w="36"/>
        <w:gridCol w:w="67"/>
        <w:gridCol w:w="847"/>
        <w:gridCol w:w="36"/>
        <w:gridCol w:w="36"/>
        <w:gridCol w:w="36"/>
        <w:gridCol w:w="36"/>
        <w:gridCol w:w="69"/>
        <w:gridCol w:w="809"/>
        <w:gridCol w:w="36"/>
        <w:gridCol w:w="36"/>
        <w:gridCol w:w="36"/>
        <w:gridCol w:w="36"/>
        <w:gridCol w:w="77"/>
        <w:gridCol w:w="831"/>
        <w:gridCol w:w="36"/>
      </w:tblGrid>
      <w:tr w:rsidR="0099058F" w14:paraId="4B7619F1" w14:textId="77777777">
        <w:tc>
          <w:tcPr>
            <w:tcW w:w="50" w:type="pct"/>
            <w:tcBorders>
              <w:top w:val="nil"/>
              <w:left w:val="nil"/>
              <w:bottom w:val="nil"/>
              <w:right w:val="nil"/>
            </w:tcBorders>
            <w:shd w:val="clear" w:color="auto" w:fill="auto"/>
            <w:vAlign w:val="bottom"/>
          </w:tcPr>
          <w:p w14:paraId="4B7619DF" w14:textId="77777777" w:rsidR="0099058F" w:rsidRDefault="0099058F">
            <w:pPr>
              <w:widowControl/>
              <w:jc w:val="left"/>
              <w:rPr>
                <w:rFonts w:ascii="Times New Roman" w:eastAsia="宋体" w:hAnsi="宋体" w:cs="宋体"/>
                <w:kern w:val="0"/>
                <w:sz w:val="24"/>
              </w:rPr>
            </w:pPr>
          </w:p>
        </w:tc>
        <w:tc>
          <w:tcPr>
            <w:tcW w:w="3139" w:type="pct"/>
            <w:tcBorders>
              <w:top w:val="nil"/>
              <w:left w:val="nil"/>
              <w:bottom w:val="nil"/>
              <w:right w:val="nil"/>
            </w:tcBorders>
            <w:shd w:val="clear" w:color="auto" w:fill="auto"/>
            <w:vAlign w:val="bottom"/>
          </w:tcPr>
          <w:p w14:paraId="4B7619E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E2" w14:textId="77777777" w:rsidR="0099058F" w:rsidRDefault="0099058F">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B7619E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9E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E8" w14:textId="77777777" w:rsidR="0099058F" w:rsidRDefault="0099058F">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4B7619E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9E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E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9EE" w14:textId="77777777" w:rsidR="0099058F" w:rsidRDefault="0099058F">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B7619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9F0" w14:textId="77777777" w:rsidR="0099058F" w:rsidRDefault="0099058F">
            <w:pPr>
              <w:widowControl/>
              <w:jc w:val="left"/>
              <w:rPr>
                <w:rFonts w:ascii="Times New Roman" w:eastAsia="宋体" w:hAnsi="宋体" w:cs="宋体"/>
                <w:kern w:val="0"/>
                <w:sz w:val="24"/>
              </w:rPr>
            </w:pPr>
          </w:p>
        </w:tc>
      </w:tr>
      <w:tr w:rsidR="0099058F" w14:paraId="4B7619F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9F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9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9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9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9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A0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9F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F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F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9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9F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9F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A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A01" w14:textId="77777777" w:rsidR="0099058F" w:rsidRDefault="0099058F">
            <w:pPr>
              <w:widowControl/>
              <w:jc w:val="left"/>
              <w:rPr>
                <w:rFonts w:ascii="Times New Roman" w:eastAsia="宋体" w:hAnsi="宋体" w:cs="宋体"/>
                <w:kern w:val="0"/>
                <w:sz w:val="24"/>
              </w:rPr>
            </w:pPr>
          </w:p>
        </w:tc>
      </w:tr>
      <w:tr w:rsidR="0099058F" w14:paraId="4B761A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A0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0B" w14:textId="77777777" w:rsidR="0099058F" w:rsidRDefault="0099058F">
            <w:pPr>
              <w:widowControl/>
              <w:jc w:val="right"/>
              <w:rPr>
                <w:rFonts w:ascii="Times New Roman" w:eastAsia="宋体" w:hAnsi="宋体" w:cs="宋体"/>
                <w:kern w:val="0"/>
                <w:sz w:val="24"/>
              </w:rPr>
            </w:pPr>
          </w:p>
        </w:tc>
      </w:tr>
      <w:tr w:rsidR="0099058F" w14:paraId="4B761A1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A0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($5,022)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0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A1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1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A1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15" w14:textId="77777777" w:rsidR="0099058F" w:rsidRDefault="0099058F">
            <w:pPr>
              <w:widowControl/>
              <w:jc w:val="left"/>
              <w:rPr>
                <w:rFonts w:ascii="Times New Roman" w:eastAsia="宋体" w:hAnsi="宋体" w:cs="宋体"/>
                <w:kern w:val="0"/>
                <w:sz w:val="24"/>
              </w:rPr>
            </w:pPr>
          </w:p>
        </w:tc>
      </w:tr>
    </w:tbl>
    <w:p w14:paraId="4B761A17"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Income tax (benefit)/expense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186"/>
        <w:gridCol w:w="37"/>
        <w:gridCol w:w="61"/>
        <w:gridCol w:w="853"/>
        <w:gridCol w:w="36"/>
        <w:gridCol w:w="36"/>
        <w:gridCol w:w="36"/>
        <w:gridCol w:w="36"/>
        <w:gridCol w:w="53"/>
        <w:gridCol w:w="853"/>
        <w:gridCol w:w="36"/>
        <w:gridCol w:w="36"/>
        <w:gridCol w:w="36"/>
        <w:gridCol w:w="36"/>
        <w:gridCol w:w="67"/>
        <w:gridCol w:w="841"/>
        <w:gridCol w:w="36"/>
      </w:tblGrid>
      <w:tr w:rsidR="0099058F" w14:paraId="4B761A2A" w14:textId="77777777">
        <w:tc>
          <w:tcPr>
            <w:tcW w:w="50" w:type="pct"/>
            <w:tcBorders>
              <w:top w:val="nil"/>
              <w:left w:val="nil"/>
              <w:bottom w:val="nil"/>
              <w:right w:val="nil"/>
            </w:tcBorders>
            <w:shd w:val="clear" w:color="auto" w:fill="auto"/>
            <w:vAlign w:val="bottom"/>
          </w:tcPr>
          <w:p w14:paraId="4B761A18" w14:textId="77777777" w:rsidR="0099058F" w:rsidRDefault="0099058F">
            <w:pPr>
              <w:widowControl/>
              <w:jc w:val="left"/>
              <w:rPr>
                <w:rFonts w:ascii="Times New Roman" w:eastAsia="宋体" w:hAnsi="宋体" w:cs="宋体"/>
                <w:kern w:val="0"/>
                <w:sz w:val="24"/>
              </w:rPr>
            </w:pPr>
          </w:p>
        </w:tc>
        <w:tc>
          <w:tcPr>
            <w:tcW w:w="3123" w:type="pct"/>
            <w:tcBorders>
              <w:top w:val="nil"/>
              <w:left w:val="nil"/>
              <w:bottom w:val="nil"/>
              <w:right w:val="nil"/>
            </w:tcBorders>
            <w:shd w:val="clear" w:color="auto" w:fill="auto"/>
            <w:vAlign w:val="bottom"/>
          </w:tcPr>
          <w:p w14:paraId="4B761A1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1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1B" w14:textId="77777777" w:rsidR="0099058F" w:rsidRDefault="0099058F">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B761A1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1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1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A1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2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21" w14:textId="77777777" w:rsidR="0099058F" w:rsidRDefault="0099058F">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B761A2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2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A2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2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27" w14:textId="77777777" w:rsidR="0099058F" w:rsidRDefault="0099058F">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B761A2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29" w14:textId="77777777" w:rsidR="0099058F" w:rsidRDefault="0099058F">
            <w:pPr>
              <w:widowControl/>
              <w:jc w:val="left"/>
              <w:rPr>
                <w:rFonts w:ascii="Times New Roman" w:eastAsia="宋体" w:hAnsi="宋体" w:cs="宋体"/>
                <w:kern w:val="0"/>
                <w:sz w:val="24"/>
              </w:rPr>
            </w:pPr>
          </w:p>
        </w:tc>
      </w:tr>
      <w:tr w:rsidR="0099058F" w14:paraId="4B761A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A2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A2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A2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A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A2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A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A3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A3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 tax (benefit)/expense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3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3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3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3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37" w14:textId="77777777" w:rsidR="0099058F" w:rsidRDefault="0099058F">
            <w:pPr>
              <w:widowControl/>
              <w:jc w:val="left"/>
              <w:rPr>
                <w:rFonts w:ascii="Times New Roman" w:eastAsia="宋体" w:hAnsi="宋体" w:cs="宋体"/>
                <w:kern w:val="0"/>
                <w:sz w:val="24"/>
              </w:rPr>
            </w:pPr>
          </w:p>
        </w:tc>
      </w:tr>
      <w:tr w:rsidR="0099058F" w14:paraId="4B761A4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A3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federal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3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3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3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3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41" w14:textId="77777777" w:rsidR="0099058F" w:rsidRDefault="0099058F">
            <w:pPr>
              <w:widowControl/>
              <w:jc w:val="left"/>
              <w:rPr>
                <w:rFonts w:ascii="Times New Roman" w:eastAsia="宋体" w:hAnsi="宋体" w:cs="宋体"/>
                <w:kern w:val="0"/>
                <w:sz w:val="24"/>
              </w:rPr>
            </w:pPr>
          </w:p>
        </w:tc>
      </w:tr>
      <w:tr w:rsidR="0099058F" w14:paraId="4B761A4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A4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4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4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4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4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4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4B" w14:textId="77777777" w:rsidR="0099058F" w:rsidRDefault="0099058F">
            <w:pPr>
              <w:widowControl/>
              <w:jc w:val="right"/>
              <w:rPr>
                <w:rFonts w:ascii="Times New Roman" w:eastAsia="宋体" w:hAnsi="宋体" w:cs="宋体"/>
                <w:kern w:val="0"/>
                <w:sz w:val="24"/>
              </w:rPr>
            </w:pPr>
          </w:p>
        </w:tc>
      </w:tr>
      <w:tr w:rsidR="0099058F" w14:paraId="4B761A5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A4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state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4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5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5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55" w14:textId="77777777" w:rsidR="0099058F" w:rsidRDefault="0099058F">
            <w:pPr>
              <w:widowControl/>
              <w:jc w:val="right"/>
              <w:rPr>
                <w:rFonts w:ascii="Times New Roman" w:eastAsia="宋体" w:hAnsi="宋体" w:cs="宋体"/>
                <w:kern w:val="0"/>
                <w:sz w:val="24"/>
              </w:rPr>
            </w:pPr>
          </w:p>
        </w:tc>
      </w:tr>
      <w:tr w:rsidR="0099058F" w14:paraId="4B761A6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A5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current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A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A59"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5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A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A5C"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A5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A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1A5F" w14:textId="77777777" w:rsidR="0099058F" w:rsidRDefault="0099058F">
            <w:pPr>
              <w:widowControl/>
              <w:jc w:val="right"/>
              <w:rPr>
                <w:rFonts w:ascii="Times New Roman" w:eastAsia="宋体" w:hAnsi="宋体" w:cs="宋体"/>
                <w:kern w:val="0"/>
                <w:sz w:val="24"/>
              </w:rPr>
            </w:pPr>
          </w:p>
        </w:tc>
      </w:tr>
      <w:tr w:rsidR="0099058F" w14:paraId="4B761A6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A6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tax (benefit)/expense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6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6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6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6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66" w14:textId="77777777" w:rsidR="0099058F" w:rsidRDefault="0099058F">
            <w:pPr>
              <w:widowControl/>
              <w:jc w:val="left"/>
              <w:rPr>
                <w:rFonts w:ascii="Times New Roman" w:eastAsia="宋体" w:hAnsi="宋体" w:cs="宋体"/>
                <w:kern w:val="0"/>
                <w:sz w:val="24"/>
              </w:rPr>
            </w:pPr>
          </w:p>
        </w:tc>
      </w:tr>
      <w:tr w:rsidR="0099058F" w14:paraId="4B761A7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A6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federal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6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6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6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70" w14:textId="77777777" w:rsidR="0099058F" w:rsidRDefault="0099058F">
            <w:pPr>
              <w:widowControl/>
              <w:jc w:val="right"/>
              <w:rPr>
                <w:rFonts w:ascii="Times New Roman" w:eastAsia="宋体" w:hAnsi="宋体" w:cs="宋体"/>
                <w:kern w:val="0"/>
                <w:sz w:val="24"/>
              </w:rPr>
            </w:pPr>
          </w:p>
        </w:tc>
      </w:tr>
      <w:tr w:rsidR="0099058F" w14:paraId="4B761A7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A7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7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7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7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7A" w14:textId="77777777" w:rsidR="0099058F" w:rsidRDefault="0099058F">
            <w:pPr>
              <w:widowControl/>
              <w:jc w:val="right"/>
              <w:rPr>
                <w:rFonts w:ascii="Times New Roman" w:eastAsia="宋体" w:hAnsi="宋体" w:cs="宋体"/>
                <w:kern w:val="0"/>
                <w:sz w:val="24"/>
              </w:rPr>
            </w:pPr>
          </w:p>
        </w:tc>
      </w:tr>
      <w:tr w:rsidR="0099058F" w14:paraId="4B761A8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A7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state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7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7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8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8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84" w14:textId="77777777" w:rsidR="0099058F" w:rsidRDefault="0099058F">
            <w:pPr>
              <w:widowControl/>
              <w:jc w:val="right"/>
              <w:rPr>
                <w:rFonts w:ascii="Times New Roman" w:eastAsia="宋体" w:hAnsi="宋体" w:cs="宋体"/>
                <w:kern w:val="0"/>
                <w:sz w:val="24"/>
              </w:rPr>
            </w:pPr>
          </w:p>
        </w:tc>
      </w:tr>
      <w:tr w:rsidR="0099058F" w14:paraId="4B761A8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A8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deferred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88"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8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8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8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8E" w14:textId="77777777" w:rsidR="0099058F" w:rsidRDefault="0099058F">
            <w:pPr>
              <w:widowControl/>
              <w:jc w:val="right"/>
              <w:rPr>
                <w:rFonts w:ascii="Times New Roman" w:eastAsia="宋体" w:hAnsi="宋体" w:cs="宋体"/>
                <w:kern w:val="0"/>
                <w:sz w:val="24"/>
              </w:rPr>
            </w:pPr>
          </w:p>
        </w:tc>
      </w:tr>
      <w:tr w:rsidR="0099058F" w14:paraId="4B761A9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A9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Total income tax </w:t>
            </w:r>
            <w:r>
              <w:rPr>
                <w:rFonts w:ascii="Arial" w:eastAsia="宋体" w:hAnsi="Arial" w:cs="Arial"/>
                <w:color w:val="000000"/>
                <w:kern w:val="0"/>
                <w:sz w:val="20"/>
                <w:szCs w:val="20"/>
                <w:lang w:bidi="ar"/>
              </w:rPr>
              <w:t>expense/(benefit)</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9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A9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9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A9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A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A98" w14:textId="77777777" w:rsidR="0099058F" w:rsidRDefault="0099058F">
            <w:pPr>
              <w:widowControl/>
              <w:jc w:val="left"/>
              <w:rPr>
                <w:rFonts w:ascii="Times New Roman" w:eastAsia="宋体" w:hAnsi="宋体" w:cs="宋体"/>
                <w:kern w:val="0"/>
                <w:sz w:val="24"/>
              </w:rPr>
            </w:pPr>
          </w:p>
        </w:tc>
      </w:tr>
    </w:tbl>
    <w:p w14:paraId="4B761A9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Net income tax (refunds)/payments were ($1,317), ($1,480) and $37 in 2022, 2021 and 2020, respectively.</w:t>
      </w:r>
    </w:p>
    <w:p w14:paraId="4B761A9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72</w:t>
      </w:r>
    </w:p>
    <w:p w14:paraId="4B761A9C" w14:textId="77777777" w:rsidR="0099058F" w:rsidRDefault="00EB2559">
      <w:pPr>
        <w:widowControl/>
        <w:jc w:val="center"/>
      </w:pPr>
      <w:r>
        <w:rPr>
          <w:rFonts w:ascii="宋体" w:eastAsia="宋体" w:hAnsi="宋体" w:cs="宋体"/>
          <w:kern w:val="0"/>
          <w:sz w:val="24"/>
        </w:rPr>
        <w:pict w14:anchorId="4B763C3F">
          <v:rect id="_x0000_i1098" style="width:6in;height:1.5pt" o:hralign="center" o:hrstd="t" o:hr="t" fillcolor="#a0a0a0" stroked="f"/>
        </w:pict>
      </w:r>
    </w:p>
    <w:p w14:paraId="4B761A9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A9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is a reconciliation of the U.S. federal statutory tax to actual income tax </w:t>
      </w:r>
      <w:r>
        <w:rPr>
          <w:rFonts w:ascii="Arial" w:eastAsia="宋体" w:hAnsi="Arial" w:cs="Arial"/>
          <w:color w:val="000000"/>
          <w:kern w:val="0"/>
          <w:sz w:val="20"/>
          <w:szCs w:val="20"/>
          <w:lang w:bidi="ar"/>
        </w:rPr>
        <w:t>(benefit)/expense: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014"/>
        <w:gridCol w:w="37"/>
        <w:gridCol w:w="83"/>
        <w:gridCol w:w="705"/>
        <w:gridCol w:w="37"/>
        <w:gridCol w:w="54"/>
        <w:gridCol w:w="642"/>
        <w:gridCol w:w="198"/>
        <w:gridCol w:w="36"/>
        <w:gridCol w:w="36"/>
        <w:gridCol w:w="36"/>
        <w:gridCol w:w="81"/>
        <w:gridCol w:w="684"/>
        <w:gridCol w:w="37"/>
        <w:gridCol w:w="54"/>
        <w:gridCol w:w="573"/>
        <w:gridCol w:w="198"/>
        <w:gridCol w:w="36"/>
        <w:gridCol w:w="36"/>
        <w:gridCol w:w="36"/>
        <w:gridCol w:w="76"/>
        <w:gridCol w:w="689"/>
        <w:gridCol w:w="37"/>
        <w:gridCol w:w="54"/>
        <w:gridCol w:w="627"/>
        <w:gridCol w:w="198"/>
      </w:tblGrid>
      <w:tr w:rsidR="0099058F" w14:paraId="4B761ABA" w14:textId="77777777">
        <w:tc>
          <w:tcPr>
            <w:tcW w:w="50" w:type="pct"/>
            <w:tcBorders>
              <w:top w:val="nil"/>
              <w:left w:val="nil"/>
              <w:bottom w:val="nil"/>
              <w:right w:val="nil"/>
            </w:tcBorders>
            <w:shd w:val="clear" w:color="auto" w:fill="auto"/>
            <w:vAlign w:val="bottom"/>
          </w:tcPr>
          <w:p w14:paraId="4B761A9F" w14:textId="77777777" w:rsidR="0099058F" w:rsidRDefault="0099058F">
            <w:pPr>
              <w:widowControl/>
              <w:jc w:val="left"/>
              <w:rPr>
                <w:rFonts w:ascii="Times New Roman" w:eastAsia="宋体" w:hAnsi="宋体" w:cs="宋体"/>
                <w:kern w:val="0"/>
                <w:sz w:val="24"/>
              </w:rPr>
            </w:pPr>
          </w:p>
        </w:tc>
        <w:tc>
          <w:tcPr>
            <w:tcW w:w="1845" w:type="pct"/>
            <w:tcBorders>
              <w:top w:val="nil"/>
              <w:left w:val="nil"/>
              <w:bottom w:val="nil"/>
              <w:right w:val="nil"/>
            </w:tcBorders>
            <w:shd w:val="clear" w:color="auto" w:fill="auto"/>
            <w:vAlign w:val="bottom"/>
          </w:tcPr>
          <w:p w14:paraId="4B761AA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A2" w14:textId="77777777" w:rsidR="0099058F" w:rsidRDefault="0099058F">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B761AA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A5" w14:textId="77777777" w:rsidR="0099058F" w:rsidRDefault="0099058F">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B761AA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AA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AB" w14:textId="77777777" w:rsidR="0099058F" w:rsidRDefault="0099058F">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B761AA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A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AE" w14:textId="77777777" w:rsidR="0099058F" w:rsidRDefault="0099058F">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B761AA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B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AB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B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B4" w14:textId="77777777" w:rsidR="0099058F" w:rsidRDefault="0099058F">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B761AB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B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AB7" w14:textId="77777777" w:rsidR="0099058F" w:rsidRDefault="0099058F">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B761AB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AB9" w14:textId="77777777" w:rsidR="0099058F" w:rsidRDefault="0099058F">
            <w:pPr>
              <w:widowControl/>
              <w:jc w:val="left"/>
              <w:rPr>
                <w:rFonts w:ascii="Times New Roman" w:eastAsia="宋体" w:hAnsi="宋体" w:cs="宋体"/>
                <w:kern w:val="0"/>
                <w:sz w:val="24"/>
              </w:rPr>
            </w:pPr>
          </w:p>
        </w:tc>
      </w:tr>
      <w:tr w:rsidR="0099058F" w14:paraId="4B761AC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AB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1AB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ABD"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1AB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ABF"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1AC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AC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AC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3"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Rate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AC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Rate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AC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Rate</w:t>
            </w:r>
          </w:p>
        </w:tc>
      </w:tr>
      <w:tr w:rsidR="0099058F" w14:paraId="4B761AD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AC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federal statutory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C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D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D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D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AD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D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D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A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A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1A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AD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D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E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E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E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AE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E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EA" w14:textId="77777777" w:rsidR="0099058F" w:rsidRDefault="0099058F">
            <w:pPr>
              <w:widowControl/>
              <w:jc w:val="right"/>
              <w:rPr>
                <w:rFonts w:ascii="Times New Roman" w:eastAsia="宋体" w:hAnsi="宋体" w:cs="宋体"/>
                <w:kern w:val="0"/>
                <w:sz w:val="24"/>
              </w:rPr>
            </w:pPr>
          </w:p>
        </w:tc>
      </w:tr>
      <w:tr w:rsidR="0099058F" w14:paraId="4B761A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AE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E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F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F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F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F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AF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F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A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AFA" w14:textId="77777777" w:rsidR="0099058F" w:rsidRDefault="0099058F">
            <w:pPr>
              <w:widowControl/>
              <w:jc w:val="right"/>
              <w:rPr>
                <w:rFonts w:ascii="Times New Roman" w:eastAsia="宋体" w:hAnsi="宋体" w:cs="宋体"/>
                <w:kern w:val="0"/>
                <w:sz w:val="24"/>
              </w:rPr>
            </w:pPr>
          </w:p>
        </w:tc>
      </w:tr>
      <w:tr w:rsidR="0099058F" w14:paraId="4B761B0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AF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State income tax provision, net of effects on U.S. federal tax</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AF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A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0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0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0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0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0A" w14:textId="77777777" w:rsidR="0099058F" w:rsidRDefault="0099058F">
            <w:pPr>
              <w:widowControl/>
              <w:jc w:val="right"/>
              <w:rPr>
                <w:rFonts w:ascii="Times New Roman" w:eastAsia="宋体" w:hAnsi="宋体" w:cs="宋体"/>
                <w:kern w:val="0"/>
                <w:sz w:val="24"/>
              </w:rPr>
            </w:pPr>
          </w:p>
        </w:tc>
      </w:tr>
      <w:tr w:rsidR="0099058F" w14:paraId="4B761B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B0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Tax on non-U.S.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0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1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1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1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1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1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1A" w14:textId="77777777" w:rsidR="0099058F" w:rsidRDefault="0099058F">
            <w:pPr>
              <w:widowControl/>
              <w:jc w:val="right"/>
              <w:rPr>
                <w:rFonts w:ascii="Times New Roman" w:eastAsia="宋体" w:hAnsi="宋体" w:cs="宋体"/>
                <w:kern w:val="0"/>
                <w:sz w:val="24"/>
              </w:rPr>
            </w:pPr>
          </w:p>
        </w:tc>
      </w:tr>
      <w:tr w:rsidR="0099058F" w14:paraId="4B761B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1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Impact of CARES Act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1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2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2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2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2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2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2A" w14:textId="77777777" w:rsidR="0099058F" w:rsidRDefault="0099058F">
            <w:pPr>
              <w:widowControl/>
              <w:jc w:val="right"/>
              <w:rPr>
                <w:rFonts w:ascii="Times New Roman" w:eastAsia="宋体" w:hAnsi="宋体" w:cs="宋体"/>
                <w:kern w:val="0"/>
                <w:sz w:val="24"/>
              </w:rPr>
            </w:pPr>
          </w:p>
        </w:tc>
      </w:tr>
      <w:tr w:rsidR="0099058F" w14:paraId="4B761B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B2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provision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2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3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3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3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3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3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3A" w14:textId="77777777" w:rsidR="0099058F" w:rsidRDefault="0099058F">
            <w:pPr>
              <w:widowControl/>
              <w:jc w:val="right"/>
              <w:rPr>
                <w:rFonts w:ascii="Times New Roman" w:eastAsia="宋体" w:hAnsi="宋体" w:cs="宋体"/>
                <w:kern w:val="0"/>
                <w:sz w:val="24"/>
              </w:rPr>
            </w:pPr>
          </w:p>
        </w:tc>
      </w:tr>
      <w:tr w:rsidR="0099058F" w14:paraId="4B761B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3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Audit settlements</w:t>
            </w:r>
            <w:r>
              <w:rPr>
                <w:rFonts w:ascii="Arial" w:eastAsia="宋体" w:hAnsi="Arial" w:cs="Arial"/>
                <w:color w:val="000000"/>
                <w:kern w:val="0"/>
                <w:sz w:val="13"/>
                <w:szCs w:val="13"/>
                <w:lang w:bidi="ar"/>
              </w:rPr>
              <w:t>(2)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3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4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4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46" w14:textId="77777777" w:rsidR="0099058F" w:rsidRDefault="0099058F">
            <w:pPr>
              <w:widowControl/>
              <w:jc w:val="right"/>
              <w:rPr>
                <w:rFonts w:ascii="Times New Roman" w:eastAsia="宋体" w:hAnsi="宋体" w:cs="宋体"/>
                <w:kern w:val="0"/>
                <w:sz w:val="24"/>
              </w:rPr>
            </w:pPr>
          </w:p>
        </w:tc>
      </w:tr>
      <w:tr w:rsidR="0099058F" w14:paraId="4B761B51" w14:textId="77777777">
        <w:trPr>
          <w:hidden/>
        </w:trPr>
        <w:tc>
          <w:tcPr>
            <w:tcW w:w="0" w:type="auto"/>
            <w:gridSpan w:val="3"/>
            <w:tcBorders>
              <w:top w:val="nil"/>
              <w:left w:val="nil"/>
              <w:bottom w:val="nil"/>
              <w:right w:val="nil"/>
            </w:tcBorders>
            <w:shd w:val="clear" w:color="auto" w:fill="auto"/>
            <w:vAlign w:val="bottom"/>
          </w:tcPr>
          <w:p w14:paraId="4B761B4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0" w14:textId="77777777" w:rsidR="0099058F" w:rsidRDefault="0099058F">
            <w:pPr>
              <w:widowControl/>
              <w:jc w:val="left"/>
              <w:rPr>
                <w:rFonts w:ascii="Times New Roman" w:eastAsia="宋体" w:hAnsi="宋体" w:cs="宋体"/>
                <w:vanish/>
                <w:kern w:val="0"/>
                <w:sz w:val="24"/>
              </w:rPr>
            </w:pPr>
          </w:p>
        </w:tc>
      </w:tr>
      <w:tr w:rsidR="0099058F" w14:paraId="4B761B5B" w14:textId="77777777">
        <w:trPr>
          <w:hidden/>
        </w:trPr>
        <w:tc>
          <w:tcPr>
            <w:tcW w:w="0" w:type="auto"/>
            <w:gridSpan w:val="3"/>
            <w:tcBorders>
              <w:top w:val="nil"/>
              <w:left w:val="nil"/>
              <w:bottom w:val="nil"/>
              <w:right w:val="nil"/>
            </w:tcBorders>
            <w:shd w:val="clear" w:color="auto" w:fill="auto"/>
            <w:vAlign w:val="bottom"/>
          </w:tcPr>
          <w:p w14:paraId="4B761B5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B5A" w14:textId="77777777" w:rsidR="0099058F" w:rsidRDefault="0099058F">
            <w:pPr>
              <w:widowControl/>
              <w:jc w:val="left"/>
              <w:rPr>
                <w:rFonts w:ascii="Times New Roman" w:eastAsia="宋体" w:hAnsi="宋体" w:cs="宋体"/>
                <w:vanish/>
                <w:kern w:val="0"/>
                <w:sz w:val="24"/>
              </w:rPr>
            </w:pPr>
          </w:p>
        </w:tc>
      </w:tr>
      <w:tr w:rsidR="0099058F" w14:paraId="4B761B6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B5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5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B6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6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B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6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1B6C"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On March 27, 2020, the CARES Act was enacted, which includes a five year net operating loss (NOL) carryback provision which enabled us </w:t>
      </w:r>
      <w:r>
        <w:rPr>
          <w:rFonts w:ascii="Arial" w:eastAsia="宋体" w:hAnsi="Arial" w:cs="Arial"/>
          <w:color w:val="000000"/>
          <w:kern w:val="0"/>
          <w:sz w:val="20"/>
          <w:szCs w:val="20"/>
          <w:lang w:bidi="ar"/>
        </w:rPr>
        <w:t>to benefit from the 2020 U.S. federal tax NOL at the former federal tax rate of 35%. In 2022, 2021, and 2020, we recorded tax benefits of $5, tax expense of $3, and tax benefits of $1,175 related to the NOL carryback provision.</w:t>
      </w:r>
    </w:p>
    <w:p w14:paraId="4B761B6D"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In the fourth quarter</w:t>
      </w:r>
      <w:r>
        <w:rPr>
          <w:rFonts w:ascii="Arial" w:eastAsia="宋体" w:hAnsi="Arial" w:cs="Arial"/>
          <w:color w:val="000000"/>
          <w:kern w:val="0"/>
          <w:sz w:val="20"/>
          <w:szCs w:val="20"/>
          <w:lang w:bidi="ar"/>
        </w:rPr>
        <w:t xml:space="preserve"> of 2020, we recorded a tax benefit of $587 related to the settlement of the 2015-2017 federal tax audit. </w:t>
      </w:r>
    </w:p>
    <w:p w14:paraId="4B761B6E" w14:textId="77777777" w:rsidR="0099058F" w:rsidRDefault="00EB2559">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Significant components of our deferred tax assets/(liabilities) at December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9"/>
        <w:gridCol w:w="71"/>
        <w:gridCol w:w="792"/>
        <w:gridCol w:w="36"/>
        <w:gridCol w:w="36"/>
        <w:gridCol w:w="36"/>
        <w:gridCol w:w="36"/>
        <w:gridCol w:w="71"/>
        <w:gridCol w:w="786"/>
        <w:gridCol w:w="36"/>
      </w:tblGrid>
      <w:tr w:rsidR="0099058F" w14:paraId="4B761B7B" w14:textId="77777777">
        <w:tc>
          <w:tcPr>
            <w:tcW w:w="50" w:type="pct"/>
            <w:tcBorders>
              <w:top w:val="nil"/>
              <w:left w:val="nil"/>
              <w:bottom w:val="nil"/>
              <w:right w:val="nil"/>
            </w:tcBorders>
            <w:shd w:val="clear" w:color="auto" w:fill="auto"/>
            <w:vAlign w:val="bottom"/>
          </w:tcPr>
          <w:p w14:paraId="4B761B6F"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1B7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7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B72"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1B7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7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7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B7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7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B78"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1B7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7A" w14:textId="77777777" w:rsidR="0099058F" w:rsidRDefault="0099058F">
            <w:pPr>
              <w:widowControl/>
              <w:jc w:val="left"/>
              <w:rPr>
                <w:rFonts w:ascii="Times New Roman" w:eastAsia="宋体" w:hAnsi="宋体" w:cs="宋体"/>
                <w:kern w:val="0"/>
                <w:sz w:val="24"/>
              </w:rPr>
            </w:pPr>
          </w:p>
        </w:tc>
      </w:tr>
      <w:tr w:rsidR="0099058F" w14:paraId="4B761B8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B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B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B7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B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B8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B8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Inventory and </w:t>
            </w:r>
            <w:r>
              <w:rPr>
                <w:rFonts w:ascii="Arial" w:eastAsia="宋体" w:hAnsi="Arial" w:cs="Arial"/>
                <w:color w:val="000000"/>
                <w:kern w:val="0"/>
                <w:sz w:val="20"/>
                <w:szCs w:val="20"/>
                <w:lang w:bidi="ar"/>
              </w:rPr>
              <w:t>long-term contract methods of income recognition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B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($4,369)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B8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B8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B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B86" w14:textId="77777777" w:rsidR="0099058F" w:rsidRDefault="0099058F">
            <w:pPr>
              <w:widowControl/>
              <w:jc w:val="left"/>
              <w:rPr>
                <w:rFonts w:ascii="Times New Roman" w:eastAsia="宋体" w:hAnsi="宋体" w:cs="宋体"/>
                <w:kern w:val="0"/>
                <w:sz w:val="24"/>
              </w:rPr>
            </w:pPr>
          </w:p>
        </w:tc>
      </w:tr>
      <w:tr w:rsidR="0099058F" w14:paraId="4B761B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B8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Federal net operating loss, credit, interest and other carryovers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8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8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8D" w14:textId="77777777" w:rsidR="0099058F" w:rsidRDefault="0099058F">
            <w:pPr>
              <w:widowControl/>
              <w:jc w:val="left"/>
              <w:rPr>
                <w:rFonts w:ascii="Times New Roman" w:eastAsia="宋体" w:hAnsi="宋体" w:cs="宋体"/>
                <w:kern w:val="0"/>
                <w:sz w:val="24"/>
              </w:rPr>
            </w:pPr>
          </w:p>
        </w:tc>
      </w:tr>
      <w:tr w:rsidR="0099058F" w14:paraId="4B761B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8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assets, intangibles and goodwill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9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9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94" w14:textId="77777777" w:rsidR="0099058F" w:rsidRDefault="0099058F">
            <w:pPr>
              <w:widowControl/>
              <w:jc w:val="left"/>
              <w:rPr>
                <w:rFonts w:ascii="Times New Roman" w:eastAsia="宋体" w:hAnsi="宋体" w:cs="宋体"/>
                <w:kern w:val="0"/>
                <w:sz w:val="24"/>
              </w:rPr>
            </w:pPr>
          </w:p>
        </w:tc>
      </w:tr>
      <w:tr w:rsidR="0099058F" w14:paraId="4B761B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B9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expenditures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9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9A" w14:textId="77777777" w:rsidR="0099058F" w:rsidRDefault="0099058F">
            <w:pPr>
              <w:widowControl/>
              <w:jc w:val="left"/>
              <w:rPr>
                <w:rFonts w:ascii="Times New Roman" w:eastAsia="宋体" w:hAnsi="宋体" w:cs="宋体"/>
                <w:kern w:val="0"/>
                <w:sz w:val="24"/>
              </w:rPr>
            </w:pPr>
          </w:p>
        </w:tc>
      </w:tr>
      <w:tr w:rsidR="0099058F" w14:paraId="4B761B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9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benefits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9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A1" w14:textId="77777777" w:rsidR="0099058F" w:rsidRDefault="0099058F">
            <w:pPr>
              <w:widowControl/>
              <w:jc w:val="right"/>
              <w:rPr>
                <w:rFonts w:ascii="Times New Roman" w:eastAsia="宋体" w:hAnsi="宋体" w:cs="宋体"/>
                <w:kern w:val="0"/>
                <w:sz w:val="24"/>
              </w:rPr>
            </w:pPr>
          </w:p>
        </w:tc>
      </w:tr>
      <w:tr w:rsidR="0099058F" w14:paraId="4B761B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B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employee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A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A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A8" w14:textId="77777777" w:rsidR="0099058F" w:rsidRDefault="0099058F">
            <w:pPr>
              <w:widowControl/>
              <w:jc w:val="right"/>
              <w:rPr>
                <w:rFonts w:ascii="Times New Roman" w:eastAsia="宋体" w:hAnsi="宋体" w:cs="宋体"/>
                <w:kern w:val="0"/>
                <w:sz w:val="24"/>
              </w:rPr>
            </w:pPr>
          </w:p>
        </w:tc>
      </w:tr>
      <w:tr w:rsidR="0099058F" w14:paraId="4B761BB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A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State net operating loss, credit, interest and other carryovers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A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A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AF" w14:textId="77777777" w:rsidR="0099058F" w:rsidRDefault="0099058F">
            <w:pPr>
              <w:widowControl/>
              <w:jc w:val="left"/>
              <w:rPr>
                <w:rFonts w:ascii="Times New Roman" w:eastAsia="宋体" w:hAnsi="宋体" w:cs="宋体"/>
                <w:kern w:val="0"/>
                <w:sz w:val="24"/>
              </w:rPr>
            </w:pPr>
          </w:p>
        </w:tc>
      </w:tr>
      <w:tr w:rsidR="0099058F" w14:paraId="4B761BB7"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B761BB1"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Accrued expenses and reserves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B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B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B6" w14:textId="77777777" w:rsidR="0099058F" w:rsidRDefault="0099058F">
            <w:pPr>
              <w:widowControl/>
              <w:jc w:val="right"/>
              <w:rPr>
                <w:rFonts w:ascii="Times New Roman" w:eastAsia="宋体" w:hAnsi="宋体" w:cs="宋体"/>
                <w:kern w:val="0"/>
                <w:sz w:val="24"/>
              </w:rPr>
            </w:pPr>
          </w:p>
        </w:tc>
      </w:tr>
      <w:tr w:rsidR="0099058F" w14:paraId="4B761BB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B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 obligations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B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B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BD" w14:textId="77777777" w:rsidR="0099058F" w:rsidRDefault="0099058F">
            <w:pPr>
              <w:widowControl/>
              <w:jc w:val="left"/>
              <w:rPr>
                <w:rFonts w:ascii="Times New Roman" w:eastAsia="宋体" w:hAnsi="宋体" w:cs="宋体"/>
                <w:kern w:val="0"/>
                <w:sz w:val="24"/>
              </w:rPr>
            </w:pPr>
          </w:p>
        </w:tc>
      </w:tr>
      <w:tr w:rsidR="0099058F" w14:paraId="4B761B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BB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737 MAX customer concessions and other considerations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BC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B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BC4" w14:textId="77777777" w:rsidR="0099058F" w:rsidRDefault="0099058F">
            <w:pPr>
              <w:widowControl/>
              <w:jc w:val="left"/>
              <w:rPr>
                <w:rFonts w:ascii="Times New Roman" w:eastAsia="宋体" w:hAnsi="宋体" w:cs="宋体"/>
                <w:kern w:val="0"/>
                <w:sz w:val="24"/>
              </w:rPr>
            </w:pPr>
          </w:p>
        </w:tc>
      </w:tr>
      <w:tr w:rsidR="0099058F" w14:paraId="4B761B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C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C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C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CB" w14:textId="77777777" w:rsidR="0099058F" w:rsidRDefault="0099058F">
            <w:pPr>
              <w:widowControl/>
              <w:jc w:val="right"/>
              <w:rPr>
                <w:rFonts w:ascii="Times New Roman" w:eastAsia="宋体" w:hAnsi="宋体" w:cs="宋体"/>
                <w:kern w:val="0"/>
                <w:sz w:val="24"/>
              </w:rPr>
            </w:pPr>
          </w:p>
        </w:tc>
      </w:tr>
      <w:tr w:rsidR="0099058F" w14:paraId="4B761BD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1BC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deferred tax assets/(liabilities) before valuation allowance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B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$2,995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B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BD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B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BD2" w14:textId="77777777" w:rsidR="0099058F" w:rsidRDefault="0099058F">
            <w:pPr>
              <w:widowControl/>
              <w:jc w:val="left"/>
              <w:rPr>
                <w:rFonts w:ascii="Times New Roman" w:eastAsia="宋体" w:hAnsi="宋体" w:cs="宋体"/>
                <w:kern w:val="0"/>
                <w:sz w:val="24"/>
              </w:rPr>
            </w:pPr>
          </w:p>
        </w:tc>
      </w:tr>
      <w:tr w:rsidR="0099058F" w14:paraId="4B761BD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BD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D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B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B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BD9" w14:textId="77777777" w:rsidR="0099058F" w:rsidRDefault="0099058F">
            <w:pPr>
              <w:widowControl/>
              <w:jc w:val="right"/>
              <w:rPr>
                <w:rFonts w:ascii="Times New Roman" w:eastAsia="宋体" w:hAnsi="宋体" w:cs="宋体"/>
                <w:kern w:val="0"/>
                <w:sz w:val="24"/>
              </w:rPr>
            </w:pPr>
          </w:p>
        </w:tc>
      </w:tr>
      <w:tr w:rsidR="0099058F" w14:paraId="4B761BE1"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1BD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deferred tax </w:t>
            </w:r>
            <w:r>
              <w:rPr>
                <w:rFonts w:ascii="Arial" w:eastAsia="宋体" w:hAnsi="Arial" w:cs="Arial"/>
                <w:color w:val="000000"/>
                <w:kern w:val="0"/>
                <w:sz w:val="20"/>
                <w:szCs w:val="20"/>
                <w:lang w:bidi="ar"/>
              </w:rPr>
              <w:t>assets/(liabilities) after valuation allowance</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D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BD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B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BE0" w14:textId="77777777" w:rsidR="0099058F" w:rsidRDefault="0099058F">
            <w:pPr>
              <w:widowControl/>
              <w:jc w:val="left"/>
              <w:rPr>
                <w:rFonts w:ascii="Times New Roman" w:eastAsia="宋体" w:hAnsi="宋体" w:cs="宋体"/>
                <w:kern w:val="0"/>
                <w:sz w:val="24"/>
              </w:rPr>
            </w:pPr>
          </w:p>
        </w:tc>
      </w:tr>
    </w:tbl>
    <w:p w14:paraId="4B761BE2" w14:textId="77777777" w:rsidR="0099058F" w:rsidRDefault="00EB2559">
      <w:pPr>
        <w:widowControl/>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Of the deferred tax asset for federal net operating loss, credit, interest and other carryovers, $742 expires on or before December 31, 2042 and $1,340 may be carried over </w:t>
      </w:r>
      <w:r>
        <w:rPr>
          <w:rFonts w:ascii="Arial" w:eastAsia="宋体" w:hAnsi="Arial" w:cs="Arial"/>
          <w:color w:val="000000"/>
          <w:kern w:val="0"/>
          <w:sz w:val="20"/>
          <w:szCs w:val="20"/>
          <w:lang w:bidi="ar"/>
        </w:rPr>
        <w:t>indefinitely.</w:t>
      </w:r>
    </w:p>
    <w:p w14:paraId="4B761BE3" w14:textId="77777777" w:rsidR="0099058F" w:rsidRDefault="00EB2559">
      <w:pPr>
        <w:widowControl/>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Of the deferred tax asset for state net operating loss, credit, interest and other carryovers, $514 expires on or before December 31, 2042 and $507 may be carried over indefinitely.</w:t>
      </w:r>
    </w:p>
    <w:p w14:paraId="4B761BE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73</w:t>
      </w:r>
    </w:p>
    <w:p w14:paraId="4B761BE5" w14:textId="77777777" w:rsidR="0099058F" w:rsidRDefault="00EB2559">
      <w:pPr>
        <w:widowControl/>
        <w:jc w:val="center"/>
      </w:pPr>
      <w:r>
        <w:rPr>
          <w:rFonts w:ascii="宋体" w:eastAsia="宋体" w:hAnsi="宋体" w:cs="宋体"/>
          <w:kern w:val="0"/>
          <w:sz w:val="24"/>
        </w:rPr>
        <w:pict w14:anchorId="4B763C40">
          <v:rect id="_x0000_i1099" style="width:6in;height:1.5pt" o:hralign="center" o:hrstd="t" o:hr="t" fillcolor="#a0a0a0" stroked="f"/>
        </w:pict>
      </w:r>
    </w:p>
    <w:p w14:paraId="4B761BE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BE7" w14:textId="77777777" w:rsidR="0099058F" w:rsidRDefault="00EB2559">
      <w:pPr>
        <w:widowControl/>
        <w:spacing w:after="100"/>
        <w:rPr>
          <w:rFonts w:ascii="宋体" w:eastAsia="宋体" w:hAnsi="宋体" w:cs="宋体"/>
          <w:kern w:val="0"/>
          <w:sz w:val="24"/>
        </w:rPr>
      </w:pPr>
      <w:r>
        <w:rPr>
          <w:rFonts w:ascii="宋体" w:eastAsia="宋体" w:hAnsi="宋体" w:cs="宋体" w:hint="eastAsia"/>
          <w:kern w:val="0"/>
          <w:sz w:val="24"/>
          <w:lang w:bidi="ar"/>
        </w:rPr>
        <w:t xml:space="preserve"> </w:t>
      </w:r>
    </w:p>
    <w:p w14:paraId="4B761BE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Net deferred tax assets/(liabilities)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379"/>
        <w:gridCol w:w="38"/>
        <w:gridCol w:w="77"/>
        <w:gridCol w:w="757"/>
        <w:gridCol w:w="36"/>
        <w:gridCol w:w="36"/>
        <w:gridCol w:w="36"/>
        <w:gridCol w:w="36"/>
        <w:gridCol w:w="77"/>
        <w:gridCol w:w="752"/>
        <w:gridCol w:w="36"/>
      </w:tblGrid>
      <w:tr w:rsidR="0099058F" w14:paraId="4B761BF5" w14:textId="77777777">
        <w:tc>
          <w:tcPr>
            <w:tcW w:w="50" w:type="pct"/>
            <w:tcBorders>
              <w:top w:val="nil"/>
              <w:left w:val="nil"/>
              <w:bottom w:val="nil"/>
              <w:right w:val="nil"/>
            </w:tcBorders>
            <w:shd w:val="clear" w:color="auto" w:fill="auto"/>
            <w:vAlign w:val="bottom"/>
          </w:tcPr>
          <w:p w14:paraId="4B761BE9" w14:textId="77777777" w:rsidR="0099058F" w:rsidRDefault="0099058F">
            <w:pPr>
              <w:widowControl/>
              <w:jc w:val="left"/>
              <w:rPr>
                <w:rFonts w:ascii="Times New Roman" w:eastAsia="宋体" w:hAnsi="宋体" w:cs="宋体"/>
                <w:kern w:val="0"/>
                <w:sz w:val="24"/>
              </w:rPr>
            </w:pPr>
          </w:p>
        </w:tc>
        <w:tc>
          <w:tcPr>
            <w:tcW w:w="3840" w:type="pct"/>
            <w:tcBorders>
              <w:top w:val="nil"/>
              <w:left w:val="nil"/>
              <w:bottom w:val="nil"/>
              <w:right w:val="nil"/>
            </w:tcBorders>
            <w:shd w:val="clear" w:color="auto" w:fill="auto"/>
            <w:vAlign w:val="bottom"/>
          </w:tcPr>
          <w:p w14:paraId="4B761BE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E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BEC"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1BE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E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BF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F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BF2"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1BF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BF4" w14:textId="77777777" w:rsidR="0099058F" w:rsidRDefault="0099058F">
            <w:pPr>
              <w:widowControl/>
              <w:jc w:val="left"/>
              <w:rPr>
                <w:rFonts w:ascii="Times New Roman" w:eastAsia="宋体" w:hAnsi="宋体" w:cs="宋体"/>
                <w:kern w:val="0"/>
                <w:sz w:val="24"/>
              </w:rPr>
            </w:pPr>
          </w:p>
        </w:tc>
      </w:tr>
      <w:tr w:rsidR="0099058F" w14:paraId="4B761B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B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B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BF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B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C0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BF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tax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B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$12,301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BF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BF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B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00" w14:textId="77777777" w:rsidR="0099058F" w:rsidRDefault="0099058F">
            <w:pPr>
              <w:widowControl/>
              <w:jc w:val="left"/>
              <w:rPr>
                <w:rFonts w:ascii="Times New Roman" w:eastAsia="宋体" w:hAnsi="宋体" w:cs="宋体"/>
                <w:kern w:val="0"/>
                <w:sz w:val="24"/>
              </w:rPr>
            </w:pPr>
          </w:p>
        </w:tc>
      </w:tr>
      <w:tr w:rsidR="0099058F" w14:paraId="4B761C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C0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Deferred tax </w:t>
            </w:r>
            <w:r>
              <w:rPr>
                <w:rFonts w:ascii="Arial" w:eastAsia="宋体" w:hAnsi="Arial" w:cs="Arial"/>
                <w:color w:val="000000"/>
                <w:kern w:val="0"/>
                <w:sz w:val="20"/>
                <w:szCs w:val="20"/>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0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0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0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07" w14:textId="77777777" w:rsidR="0099058F" w:rsidRDefault="0099058F">
            <w:pPr>
              <w:widowControl/>
              <w:jc w:val="right"/>
              <w:rPr>
                <w:rFonts w:ascii="Times New Roman" w:eastAsia="宋体" w:hAnsi="宋体" w:cs="宋体"/>
                <w:kern w:val="0"/>
                <w:sz w:val="24"/>
              </w:rPr>
            </w:pPr>
          </w:p>
        </w:tc>
      </w:tr>
      <w:tr w:rsidR="0099058F" w14:paraId="4B761C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C0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0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0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0E" w14:textId="77777777" w:rsidR="0099058F" w:rsidRDefault="0099058F">
            <w:pPr>
              <w:widowControl/>
              <w:jc w:val="right"/>
              <w:rPr>
                <w:rFonts w:ascii="Times New Roman" w:eastAsia="宋体" w:hAnsi="宋体" w:cs="宋体"/>
                <w:kern w:val="0"/>
                <w:sz w:val="24"/>
              </w:rPr>
            </w:pPr>
          </w:p>
        </w:tc>
      </w:tr>
      <w:tr w:rsidR="0099058F" w14:paraId="4B761C1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C1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deferred tax assets/(liabilities)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C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C1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C1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C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C15" w14:textId="77777777" w:rsidR="0099058F" w:rsidRDefault="0099058F">
            <w:pPr>
              <w:widowControl/>
              <w:jc w:val="left"/>
              <w:rPr>
                <w:rFonts w:ascii="Times New Roman" w:eastAsia="宋体" w:hAnsi="宋体" w:cs="宋体"/>
                <w:kern w:val="0"/>
                <w:sz w:val="24"/>
              </w:rPr>
            </w:pPr>
          </w:p>
        </w:tc>
      </w:tr>
    </w:tbl>
    <w:p w14:paraId="4B761C1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Company’s deferred income tax assets of $12,301 can be used in future years to offset taxable income and reduce income </w:t>
      </w:r>
      <w:r>
        <w:rPr>
          <w:rFonts w:ascii="Arial" w:eastAsia="宋体" w:hAnsi="Arial" w:cs="Arial"/>
          <w:color w:val="000000"/>
          <w:kern w:val="0"/>
          <w:sz w:val="20"/>
          <w:szCs w:val="20"/>
          <w:lang w:bidi="ar"/>
        </w:rPr>
        <w:t>taxes payable. The Company’s deferred income tax liabilities of $9,306 will partially offset deferred income tax assets and result in higher taxable income in future years and increase income taxes payable. Tax law determines whether future reversals of te</w:t>
      </w:r>
      <w:r>
        <w:rPr>
          <w:rFonts w:ascii="Arial" w:eastAsia="宋体" w:hAnsi="Arial" w:cs="Arial"/>
          <w:color w:val="000000"/>
          <w:kern w:val="0"/>
          <w:sz w:val="20"/>
          <w:szCs w:val="20"/>
          <w:lang w:bidi="ar"/>
        </w:rPr>
        <w:t xml:space="preserve">mporary differences will result in taxable and deductible amounts that offset each other in future years. The particular years in which temporary differences result in taxable or deductible amounts generally are determined by the timing of the recovery of </w:t>
      </w:r>
      <w:r>
        <w:rPr>
          <w:rFonts w:ascii="Arial" w:eastAsia="宋体" w:hAnsi="Arial" w:cs="Arial"/>
          <w:color w:val="000000"/>
          <w:kern w:val="0"/>
          <w:sz w:val="20"/>
          <w:szCs w:val="20"/>
          <w:lang w:bidi="ar"/>
        </w:rPr>
        <w:t>the related asset or settlement of the related liability. The deferred income tax assets and liabilities relate primarily to U.S. federal and state tax jurisdictions. From a U.S. federal tax perspective, the Company generated a tax NOL in 2020 that was car</w:t>
      </w:r>
      <w:r>
        <w:rPr>
          <w:rFonts w:ascii="Arial" w:eastAsia="宋体" w:hAnsi="Arial" w:cs="Arial"/>
          <w:color w:val="000000"/>
          <w:kern w:val="0"/>
          <w:sz w:val="20"/>
          <w:szCs w:val="20"/>
          <w:lang w:bidi="ar"/>
        </w:rPr>
        <w:t>ried back to prior years when the tax rate was 35% due to the CARES Act benefit as described above. The Company generated tax NOL in 2021 and interest carryovers in 2021 and 2022 that can be carried forward indefinitely and federal research and development</w:t>
      </w:r>
      <w:r>
        <w:rPr>
          <w:rFonts w:ascii="Arial" w:eastAsia="宋体" w:hAnsi="Arial" w:cs="Arial"/>
          <w:color w:val="000000"/>
          <w:kern w:val="0"/>
          <w:sz w:val="20"/>
          <w:szCs w:val="20"/>
          <w:lang w:bidi="ar"/>
        </w:rPr>
        <w:t xml:space="preserve"> credits that can be carried forward 20 years.</w:t>
      </w:r>
    </w:p>
    <w:p w14:paraId="4B761C1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fourth quarter of 2020 and throughout 2021 and 2022, the Company was in a three-year cumulative pre-tax loss position. We also normalized earnings and other comprehensive income (OCI) for certain non-re</w:t>
      </w:r>
      <w:r>
        <w:rPr>
          <w:rFonts w:ascii="Arial" w:eastAsia="宋体" w:hAnsi="Arial" w:cs="Arial"/>
          <w:color w:val="000000"/>
          <w:kern w:val="0"/>
          <w:sz w:val="20"/>
          <w:szCs w:val="20"/>
          <w:lang w:bidi="ar"/>
        </w:rPr>
        <w:t xml:space="preserve">curring items and reached a normalized three-year cumulative loss position in 2021. Adjustments to normalize earnings included non-recurring items for certain 737 MAX expenses, an agreement with the Department of Justice, severance costs and remeasurement </w:t>
      </w:r>
      <w:r>
        <w:rPr>
          <w:rFonts w:ascii="Arial" w:eastAsia="宋体" w:hAnsi="Arial" w:cs="Arial"/>
          <w:color w:val="000000"/>
          <w:kern w:val="0"/>
          <w:sz w:val="20"/>
          <w:szCs w:val="20"/>
          <w:lang w:bidi="ar"/>
        </w:rPr>
        <w:t>gains and losses from the annual remeasurement of pension and other postretirement benefit obligations. For purposes of assessing the recoverability of deferred tax assets, the Company determined that it could not include future projected earnings in the a</w:t>
      </w:r>
      <w:r>
        <w:rPr>
          <w:rFonts w:ascii="Arial" w:eastAsia="宋体" w:hAnsi="Arial" w:cs="Arial"/>
          <w:color w:val="000000"/>
          <w:kern w:val="0"/>
          <w:sz w:val="20"/>
          <w:szCs w:val="20"/>
          <w:lang w:bidi="ar"/>
        </w:rPr>
        <w:t>nalysis due to recent history of losses.</w:t>
      </w:r>
    </w:p>
    <w:p w14:paraId="4B761C1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2022 and 2021, the Company has recorded valuation allowances of $3,162 and $2,423 primarily for certain federal deferred tax assets, as well as for certain federal and state net operating loss and</w:t>
      </w:r>
      <w:r>
        <w:rPr>
          <w:rFonts w:ascii="Arial" w:eastAsia="宋体" w:hAnsi="Arial" w:cs="Arial"/>
          <w:color w:val="000000"/>
          <w:kern w:val="0"/>
          <w:sz w:val="20"/>
          <w:szCs w:val="20"/>
          <w:lang w:bidi="ar"/>
        </w:rPr>
        <w:t xml:space="preserve"> tax credit carryforwards. To measure the valuation allowance, the Company estimated in what year each of its deferred tax assets and liabilities would reverse using systematic and logical methods to estimate the reversal patterns. Based on these methods, </w:t>
      </w:r>
      <w:r>
        <w:rPr>
          <w:rFonts w:ascii="Arial" w:eastAsia="宋体" w:hAnsi="Arial" w:cs="Arial"/>
          <w:color w:val="000000"/>
          <w:kern w:val="0"/>
          <w:sz w:val="20"/>
          <w:szCs w:val="20"/>
          <w:lang w:bidi="ar"/>
        </w:rPr>
        <w:t>deferred tax liabilities are assumed to reverse and generate taxable income over the next 5 to 10 years while deferred tax assets related to pension and other postretirement benefit obligations are assumed to reverse and generate tax deductions over the ne</w:t>
      </w:r>
      <w:r>
        <w:rPr>
          <w:rFonts w:ascii="Arial" w:eastAsia="宋体" w:hAnsi="Arial" w:cs="Arial"/>
          <w:color w:val="000000"/>
          <w:kern w:val="0"/>
          <w:sz w:val="20"/>
          <w:szCs w:val="20"/>
          <w:lang w:bidi="ar"/>
        </w:rPr>
        <w:t>xt 15 to 20 years. The valuation allowance primarily results from not having sufficient income from deferred tax liability reversals in the appropriate future periods to support the realization of deferred tax assets.</w:t>
      </w:r>
    </w:p>
    <w:p w14:paraId="4B761C1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the valuation allowanc</w:t>
      </w:r>
      <w:r>
        <w:rPr>
          <w:rFonts w:ascii="Arial" w:eastAsia="宋体" w:hAnsi="Arial" w:cs="Arial"/>
          <w:color w:val="000000"/>
          <w:kern w:val="0"/>
          <w:sz w:val="20"/>
          <w:szCs w:val="20"/>
          <w:lang w:bidi="ar"/>
        </w:rPr>
        <w:t>e during 2022 is primarily due to tax credits and other carryforwards generated in 2022 that cannot be realized in 2022. During 2022, the Company increased the valuation allowance by $739. This reflects a tax expense of $1,199 recorded in continuing operat</w:t>
      </w:r>
      <w:r>
        <w:rPr>
          <w:rFonts w:ascii="Arial" w:eastAsia="宋体" w:hAnsi="Arial" w:cs="Arial"/>
          <w:color w:val="000000"/>
          <w:kern w:val="0"/>
          <w:sz w:val="20"/>
          <w:szCs w:val="20"/>
          <w:lang w:bidi="ar"/>
        </w:rPr>
        <w:t>ions and an increase of $18 related to the associated federal benefit of state impacts. This was partially offset by a tax benefit of $478 included in OCI primarily due to the net actuarial gains that resulted from the annual remeasurement of pension asset</w:t>
      </w:r>
      <w:r>
        <w:rPr>
          <w:rFonts w:ascii="Arial" w:eastAsia="宋体" w:hAnsi="Arial" w:cs="Arial"/>
          <w:color w:val="000000"/>
          <w:kern w:val="0"/>
          <w:sz w:val="20"/>
          <w:szCs w:val="20"/>
          <w:lang w:bidi="ar"/>
        </w:rPr>
        <w:t>s and liabilities.</w:t>
      </w:r>
    </w:p>
    <w:p w14:paraId="4B761C1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Until the Company generates sustained levels of profitability, additional valuation allowances may have to be recorded with corresponding adverse impacts on earnings and/or OCI.</w:t>
      </w:r>
    </w:p>
    <w:p w14:paraId="4B761C1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74</w:t>
      </w:r>
    </w:p>
    <w:p w14:paraId="4B761C1D" w14:textId="77777777" w:rsidR="0099058F" w:rsidRDefault="00EB2559">
      <w:pPr>
        <w:widowControl/>
        <w:jc w:val="center"/>
      </w:pPr>
      <w:r>
        <w:rPr>
          <w:rFonts w:ascii="宋体" w:eastAsia="宋体" w:hAnsi="宋体" w:cs="宋体"/>
          <w:kern w:val="0"/>
          <w:sz w:val="24"/>
        </w:rPr>
        <w:pict w14:anchorId="4B763C41">
          <v:rect id="_x0000_i1100" style="width:6in;height:1.5pt" o:hralign="center" o:hrstd="t" o:hr="t" fillcolor="#a0a0a0" stroked="f"/>
        </w:pict>
      </w:r>
    </w:p>
    <w:p w14:paraId="4B761C1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C1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Tax Cuts and Jobs Act (TCJA) one-time repatriation tax and Global Intangible Low Tax Income liabilities effectively </w:t>
      </w:r>
      <w:r>
        <w:rPr>
          <w:rFonts w:ascii="Arial" w:eastAsia="宋体" w:hAnsi="Arial" w:cs="Arial"/>
          <w:color w:val="000000"/>
          <w:kern w:val="0"/>
          <w:sz w:val="20"/>
          <w:szCs w:val="20"/>
          <w:lang w:bidi="ar"/>
        </w:rPr>
        <w:t>taxed the undistributed earnings previously deferred from U.S. income taxes.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We have not provided for deferred income taxes on the undistributed earnings from certain non-U.S. subsidiaries because such earnings are considered to be indefinitely reinvested.</w:t>
      </w:r>
      <w:r>
        <w:rPr>
          <w:rFonts w:ascii="Arial" w:eastAsia="宋体" w:hAnsi="Arial" w:cs="Arial"/>
          <w:color w:val="000000"/>
          <w:kern w:val="0"/>
          <w:sz w:val="20"/>
          <w:szCs w:val="20"/>
          <w:lang w:bidi="ar"/>
        </w:rPr>
        <w:t xml:space="preserve"> If such earnings were to be distributed, any deferred income taxes would not be significant.</w:t>
      </w:r>
      <w:r>
        <w:rPr>
          <w:rFonts w:ascii="Arial" w:eastAsia="宋体" w:hAnsi="Arial" w:cs="Arial"/>
          <w:color w:val="000000"/>
          <w:kern w:val="0"/>
          <w:sz w:val="24"/>
          <w:lang w:bidi="ar"/>
        </w:rPr>
        <w:t xml:space="preserve"> </w:t>
      </w:r>
    </w:p>
    <w:p w14:paraId="4B761C2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2022 and 2021, the amounts accrued for the payment of income tax-related interest and penalties included in the Consolidated Statements of Fin</w:t>
      </w:r>
      <w:r>
        <w:rPr>
          <w:rFonts w:ascii="Arial" w:eastAsia="宋体" w:hAnsi="Arial" w:cs="Arial"/>
          <w:color w:val="000000"/>
          <w:kern w:val="0"/>
          <w:sz w:val="20"/>
          <w:szCs w:val="20"/>
          <w:lang w:bidi="ar"/>
        </w:rPr>
        <w:t>ancial Position were not significant. The amounts of interest included in the Consolidated Statements of Operations were not significant for 2022, 2021 and 2020.</w:t>
      </w:r>
    </w:p>
    <w:p w14:paraId="4B761C2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 reconciliation of the beginning and ending amount of unrecognized tax benefits is as follows</w:t>
      </w:r>
      <w:r>
        <w:rPr>
          <w:rFonts w:ascii="Arial" w:eastAsia="宋体" w:hAnsi="Arial" w:cs="Arial"/>
          <w:color w:val="000000"/>
          <w:kern w:val="0"/>
          <w:sz w:val="20"/>
          <w:szCs w:val="20"/>
          <w:lang w:bidi="ar"/>
        </w:rPr>
        <w:t>:</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7"/>
        <w:gridCol w:w="60"/>
        <w:gridCol w:w="702"/>
        <w:gridCol w:w="36"/>
        <w:gridCol w:w="36"/>
        <w:gridCol w:w="36"/>
        <w:gridCol w:w="36"/>
        <w:gridCol w:w="54"/>
        <w:gridCol w:w="701"/>
        <w:gridCol w:w="36"/>
        <w:gridCol w:w="36"/>
        <w:gridCol w:w="36"/>
        <w:gridCol w:w="36"/>
        <w:gridCol w:w="71"/>
        <w:gridCol w:w="687"/>
        <w:gridCol w:w="36"/>
      </w:tblGrid>
      <w:tr w:rsidR="0099058F" w14:paraId="4B761C34" w14:textId="77777777">
        <w:tc>
          <w:tcPr>
            <w:tcW w:w="50" w:type="pct"/>
            <w:tcBorders>
              <w:top w:val="nil"/>
              <w:left w:val="nil"/>
              <w:bottom w:val="nil"/>
              <w:right w:val="nil"/>
            </w:tcBorders>
            <w:shd w:val="clear" w:color="auto" w:fill="auto"/>
            <w:vAlign w:val="bottom"/>
          </w:tcPr>
          <w:p w14:paraId="4B761C22"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1C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2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C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C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2B"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C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2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C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3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31"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1C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33" w14:textId="77777777" w:rsidR="0099058F" w:rsidRDefault="0099058F">
            <w:pPr>
              <w:widowControl/>
              <w:jc w:val="left"/>
              <w:rPr>
                <w:rFonts w:ascii="Times New Roman" w:eastAsia="宋体" w:hAnsi="宋体" w:cs="宋体"/>
                <w:kern w:val="0"/>
                <w:sz w:val="24"/>
              </w:rPr>
            </w:pPr>
          </w:p>
        </w:tc>
      </w:tr>
      <w:tr w:rsidR="0099058F" w14:paraId="4B761C3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C4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C3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tax benefits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3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C3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4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C4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44" w14:textId="77777777" w:rsidR="0099058F" w:rsidRDefault="0099058F">
            <w:pPr>
              <w:widowControl/>
              <w:jc w:val="left"/>
              <w:rPr>
                <w:rFonts w:ascii="Times New Roman" w:eastAsia="宋体" w:hAnsi="宋体" w:cs="宋体"/>
                <w:kern w:val="0"/>
                <w:sz w:val="24"/>
              </w:rPr>
            </w:pPr>
          </w:p>
        </w:tc>
      </w:tr>
      <w:tr w:rsidR="0099058F" w14:paraId="4B761C4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C4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increases – tax positions in prior periods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4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4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4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4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4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4E" w14:textId="77777777" w:rsidR="0099058F" w:rsidRDefault="0099058F">
            <w:pPr>
              <w:widowControl/>
              <w:jc w:val="right"/>
              <w:rPr>
                <w:rFonts w:ascii="Times New Roman" w:eastAsia="宋体" w:hAnsi="宋体" w:cs="宋体"/>
                <w:kern w:val="0"/>
                <w:sz w:val="24"/>
              </w:rPr>
            </w:pPr>
          </w:p>
        </w:tc>
      </w:tr>
      <w:tr w:rsidR="0099058F" w14:paraId="4B761C5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C5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decreases – tax positions in prior periods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5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5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5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58" w14:textId="77777777" w:rsidR="0099058F" w:rsidRDefault="0099058F">
            <w:pPr>
              <w:widowControl/>
              <w:jc w:val="right"/>
              <w:rPr>
                <w:rFonts w:ascii="Times New Roman" w:eastAsia="宋体" w:hAnsi="宋体" w:cs="宋体"/>
                <w:kern w:val="0"/>
                <w:sz w:val="24"/>
              </w:rPr>
            </w:pPr>
          </w:p>
        </w:tc>
      </w:tr>
      <w:tr w:rsidR="0099058F" w14:paraId="4B761C6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C5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Gross </w:t>
            </w:r>
            <w:r>
              <w:rPr>
                <w:rFonts w:ascii="Arial" w:eastAsia="宋体" w:hAnsi="Arial" w:cs="Arial"/>
                <w:color w:val="000000"/>
                <w:kern w:val="0"/>
                <w:sz w:val="20"/>
                <w:szCs w:val="20"/>
                <w:lang w:bidi="ar"/>
              </w:rPr>
              <w:t>increases – current period tax positions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5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5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5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6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62" w14:textId="77777777" w:rsidR="0099058F" w:rsidRDefault="0099058F">
            <w:pPr>
              <w:widowControl/>
              <w:jc w:val="right"/>
              <w:rPr>
                <w:rFonts w:ascii="Times New Roman" w:eastAsia="宋体" w:hAnsi="宋体" w:cs="宋体"/>
                <w:kern w:val="0"/>
                <w:sz w:val="24"/>
              </w:rPr>
            </w:pPr>
          </w:p>
        </w:tc>
      </w:tr>
      <w:tr w:rsidR="0099058F" w14:paraId="4B761C6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C6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decreases – current period tax positions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6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6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6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69" w14:textId="77777777" w:rsidR="0099058F" w:rsidRDefault="0099058F">
            <w:pPr>
              <w:widowControl/>
              <w:jc w:val="left"/>
              <w:rPr>
                <w:rFonts w:ascii="Times New Roman" w:eastAsia="宋体" w:hAnsi="宋体" w:cs="宋体"/>
                <w:kern w:val="0"/>
                <w:sz w:val="24"/>
              </w:rPr>
            </w:pPr>
          </w:p>
        </w:tc>
      </w:tr>
      <w:tr w:rsidR="0099058F" w14:paraId="4B761C7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C6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Settlements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6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6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6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71" w14:textId="77777777" w:rsidR="0099058F" w:rsidRDefault="0099058F">
            <w:pPr>
              <w:widowControl/>
              <w:jc w:val="right"/>
              <w:rPr>
                <w:rFonts w:ascii="Times New Roman" w:eastAsia="宋体" w:hAnsi="宋体" w:cs="宋体"/>
                <w:kern w:val="0"/>
                <w:sz w:val="24"/>
              </w:rPr>
            </w:pPr>
          </w:p>
        </w:tc>
      </w:tr>
      <w:tr w:rsidR="0099058F" w14:paraId="4B761C79" w14:textId="77777777">
        <w:trPr>
          <w:hidden/>
        </w:trPr>
        <w:tc>
          <w:tcPr>
            <w:tcW w:w="0" w:type="auto"/>
            <w:gridSpan w:val="3"/>
            <w:tcBorders>
              <w:top w:val="nil"/>
              <w:left w:val="nil"/>
              <w:bottom w:val="nil"/>
              <w:right w:val="nil"/>
            </w:tcBorders>
            <w:shd w:val="clear" w:color="auto" w:fill="auto"/>
            <w:vAlign w:val="bottom"/>
          </w:tcPr>
          <w:p w14:paraId="4B761C7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C7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C7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C7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C7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C78" w14:textId="77777777" w:rsidR="0099058F" w:rsidRDefault="0099058F">
            <w:pPr>
              <w:widowControl/>
              <w:jc w:val="left"/>
              <w:rPr>
                <w:rFonts w:ascii="Times New Roman" w:eastAsia="宋体" w:hAnsi="宋体" w:cs="宋体"/>
                <w:vanish/>
                <w:kern w:val="0"/>
                <w:sz w:val="24"/>
              </w:rPr>
            </w:pPr>
          </w:p>
        </w:tc>
      </w:tr>
      <w:tr w:rsidR="0099058F" w14:paraId="4B761C8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C7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tax benefits – 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C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C7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C7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C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C7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C8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C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C82" w14:textId="77777777" w:rsidR="0099058F" w:rsidRDefault="0099058F">
            <w:pPr>
              <w:widowControl/>
              <w:jc w:val="left"/>
              <w:rPr>
                <w:rFonts w:ascii="Times New Roman" w:eastAsia="宋体" w:hAnsi="宋体" w:cs="宋体"/>
                <w:kern w:val="0"/>
                <w:sz w:val="24"/>
              </w:rPr>
            </w:pPr>
          </w:p>
        </w:tc>
      </w:tr>
    </w:tbl>
    <w:p w14:paraId="4B761C8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2022, 2021 and 2020, the </w:t>
      </w:r>
      <w:r>
        <w:rPr>
          <w:rFonts w:ascii="Arial" w:eastAsia="宋体" w:hAnsi="Arial" w:cs="Arial"/>
          <w:color w:val="000000"/>
          <w:kern w:val="0"/>
          <w:sz w:val="20"/>
          <w:szCs w:val="20"/>
          <w:lang w:bidi="ar"/>
        </w:rPr>
        <w:t>total amount of unrecognized tax benefits include $878, $790 and $734, respectively, that would affect the effective tax rate, if recognized. As of December 31, 2022, these amounts are primarily associated with the amount of research tax credits claimed an</w:t>
      </w:r>
      <w:r>
        <w:rPr>
          <w:rFonts w:ascii="Arial" w:eastAsia="宋体" w:hAnsi="Arial" w:cs="Arial"/>
          <w:color w:val="000000"/>
          <w:kern w:val="0"/>
          <w:sz w:val="20"/>
          <w:szCs w:val="20"/>
          <w:lang w:bidi="ar"/>
        </w:rPr>
        <w:t>d various other matters.</w:t>
      </w:r>
    </w:p>
    <w:p w14:paraId="4B761C85"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Federal income tax audits have been settled for all years prior to 2018. The Internal Revenue Service (IRS) began the 2018-2019 federal tax audit in the first quarter of 2021 and added tax year 2020 to the audit in the fourth quart</w:t>
      </w:r>
      <w:r>
        <w:rPr>
          <w:rFonts w:ascii="Arial" w:eastAsia="宋体" w:hAnsi="Arial" w:cs="Arial"/>
          <w:color w:val="000000"/>
          <w:kern w:val="0"/>
          <w:sz w:val="20"/>
          <w:szCs w:val="20"/>
          <w:lang w:bidi="ar"/>
        </w:rPr>
        <w:t>er of 2021. We are also subject to examination in major state and international jurisdictions for the 2008-2021 tax years. We believe appropriate provisions for all outstanding tax issues have been made for all jurisdictions and all open years.</w:t>
      </w:r>
    </w:p>
    <w:p w14:paraId="4B761C86"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5 – Ac</w:t>
      </w:r>
      <w:r>
        <w:rPr>
          <w:rFonts w:ascii="Arial" w:eastAsia="宋体" w:hAnsi="Arial" w:cs="Arial"/>
          <w:b/>
          <w:bCs/>
          <w:color w:val="000000"/>
          <w:kern w:val="0"/>
          <w:sz w:val="20"/>
          <w:szCs w:val="20"/>
          <w:lang w:bidi="ar"/>
        </w:rPr>
        <w:t>counts Receivable, net</w:t>
      </w:r>
    </w:p>
    <w:p w14:paraId="4B761C87"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Accounts receivable at December 31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379"/>
        <w:gridCol w:w="36"/>
        <w:gridCol w:w="66"/>
        <w:gridCol w:w="768"/>
        <w:gridCol w:w="36"/>
        <w:gridCol w:w="36"/>
        <w:gridCol w:w="36"/>
        <w:gridCol w:w="36"/>
        <w:gridCol w:w="66"/>
        <w:gridCol w:w="765"/>
        <w:gridCol w:w="36"/>
      </w:tblGrid>
      <w:tr w:rsidR="0099058F" w14:paraId="4B761C94" w14:textId="77777777">
        <w:tc>
          <w:tcPr>
            <w:tcW w:w="50" w:type="pct"/>
            <w:tcBorders>
              <w:top w:val="nil"/>
              <w:left w:val="nil"/>
              <w:bottom w:val="nil"/>
              <w:right w:val="nil"/>
            </w:tcBorders>
            <w:shd w:val="clear" w:color="auto" w:fill="auto"/>
            <w:vAlign w:val="bottom"/>
          </w:tcPr>
          <w:p w14:paraId="4B761C88" w14:textId="77777777" w:rsidR="0099058F" w:rsidRDefault="0099058F">
            <w:pPr>
              <w:widowControl/>
              <w:jc w:val="left"/>
              <w:rPr>
                <w:rFonts w:ascii="Times New Roman" w:eastAsia="宋体" w:hAnsi="宋体" w:cs="宋体"/>
                <w:kern w:val="0"/>
                <w:sz w:val="24"/>
              </w:rPr>
            </w:pPr>
          </w:p>
        </w:tc>
        <w:tc>
          <w:tcPr>
            <w:tcW w:w="3840" w:type="pct"/>
            <w:tcBorders>
              <w:top w:val="nil"/>
              <w:left w:val="nil"/>
              <w:bottom w:val="nil"/>
              <w:right w:val="nil"/>
            </w:tcBorders>
            <w:shd w:val="clear" w:color="auto" w:fill="auto"/>
            <w:vAlign w:val="bottom"/>
          </w:tcPr>
          <w:p w14:paraId="4B761C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8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8B"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1C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8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C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9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91"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1C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93" w14:textId="77777777" w:rsidR="0099058F" w:rsidRDefault="0099058F">
            <w:pPr>
              <w:widowControl/>
              <w:jc w:val="left"/>
              <w:rPr>
                <w:rFonts w:ascii="Times New Roman" w:eastAsia="宋体" w:hAnsi="宋体" w:cs="宋体"/>
                <w:kern w:val="0"/>
                <w:sz w:val="24"/>
              </w:rPr>
            </w:pPr>
          </w:p>
        </w:tc>
      </w:tr>
      <w:tr w:rsidR="0099058F" w14:paraId="4B761C9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9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CA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C9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government contracts</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9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C9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9F" w14:textId="77777777" w:rsidR="0099058F" w:rsidRDefault="0099058F">
            <w:pPr>
              <w:widowControl/>
              <w:jc w:val="left"/>
              <w:rPr>
                <w:rFonts w:ascii="Times New Roman" w:eastAsia="宋体" w:hAnsi="宋体" w:cs="宋体"/>
                <w:kern w:val="0"/>
                <w:sz w:val="24"/>
              </w:rPr>
            </w:pPr>
          </w:p>
        </w:tc>
      </w:tr>
      <w:tr w:rsidR="0099058F" w14:paraId="4B761C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CA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A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A6" w14:textId="77777777" w:rsidR="0099058F" w:rsidRDefault="0099058F">
            <w:pPr>
              <w:widowControl/>
              <w:jc w:val="left"/>
              <w:rPr>
                <w:rFonts w:ascii="Times New Roman" w:eastAsia="宋体" w:hAnsi="宋体" w:cs="宋体"/>
                <w:kern w:val="0"/>
                <w:sz w:val="24"/>
              </w:rPr>
            </w:pPr>
          </w:p>
        </w:tc>
      </w:tr>
      <w:tr w:rsidR="0099058F" w14:paraId="4B761CA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CA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A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A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AD" w14:textId="77777777" w:rsidR="0099058F" w:rsidRDefault="0099058F">
            <w:pPr>
              <w:widowControl/>
              <w:jc w:val="left"/>
              <w:rPr>
                <w:rFonts w:ascii="Times New Roman" w:eastAsia="宋体" w:hAnsi="宋体" w:cs="宋体"/>
                <w:kern w:val="0"/>
                <w:sz w:val="24"/>
              </w:rPr>
            </w:pPr>
          </w:p>
        </w:tc>
      </w:tr>
      <w:tr w:rsidR="0099058F" w14:paraId="4B761C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CA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Defense, Space, &amp; </w:t>
            </w:r>
            <w:r>
              <w:rPr>
                <w:rFonts w:ascii="Arial" w:eastAsia="宋体" w:hAnsi="Arial" w:cs="Arial"/>
                <w:color w:val="000000"/>
                <w:kern w:val="0"/>
                <w:sz w:val="20"/>
                <w:szCs w:val="20"/>
                <w:lang w:bidi="ar"/>
              </w:rPr>
              <w:t>Security</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B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B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B4" w14:textId="77777777" w:rsidR="0099058F" w:rsidRDefault="0099058F">
            <w:pPr>
              <w:widowControl/>
              <w:jc w:val="right"/>
              <w:rPr>
                <w:rFonts w:ascii="Times New Roman" w:eastAsia="宋体" w:hAnsi="宋体" w:cs="宋体"/>
                <w:kern w:val="0"/>
                <w:sz w:val="24"/>
              </w:rPr>
            </w:pPr>
          </w:p>
        </w:tc>
      </w:tr>
      <w:tr w:rsidR="0099058F" w14:paraId="4B761CB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CB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B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CB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C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CBB" w14:textId="77777777" w:rsidR="0099058F" w:rsidRDefault="0099058F">
            <w:pPr>
              <w:widowControl/>
              <w:jc w:val="right"/>
              <w:rPr>
                <w:rFonts w:ascii="Times New Roman" w:eastAsia="宋体" w:hAnsi="宋体" w:cs="宋体"/>
                <w:kern w:val="0"/>
                <w:sz w:val="24"/>
              </w:rPr>
            </w:pPr>
          </w:p>
        </w:tc>
      </w:tr>
      <w:tr w:rsidR="0099058F" w14:paraId="4B761C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CB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valuation allowance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B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CC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C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CC2" w14:textId="77777777" w:rsidR="0099058F" w:rsidRDefault="0099058F">
            <w:pPr>
              <w:widowControl/>
              <w:jc w:val="right"/>
              <w:rPr>
                <w:rFonts w:ascii="Times New Roman" w:eastAsia="宋体" w:hAnsi="宋体" w:cs="宋体"/>
                <w:kern w:val="0"/>
                <w:sz w:val="24"/>
              </w:rPr>
            </w:pPr>
          </w:p>
        </w:tc>
      </w:tr>
      <w:tr w:rsidR="0099058F" w14:paraId="4B761CC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CC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C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C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CC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C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$2,641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CC9" w14:textId="77777777" w:rsidR="0099058F" w:rsidRDefault="0099058F">
            <w:pPr>
              <w:widowControl/>
              <w:jc w:val="left"/>
              <w:rPr>
                <w:rFonts w:ascii="Times New Roman" w:eastAsia="宋体" w:hAnsi="宋体" w:cs="宋体"/>
                <w:kern w:val="0"/>
                <w:sz w:val="24"/>
              </w:rPr>
            </w:pPr>
          </w:p>
        </w:tc>
      </w:tr>
    </w:tbl>
    <w:p w14:paraId="4B761CCB"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foreign military sales through the U.S. government</w:t>
      </w:r>
    </w:p>
    <w:p w14:paraId="4B761CCC" w14:textId="77777777" w:rsidR="0099058F" w:rsidRDefault="00EB255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Excludes U.S. government contracts</w:t>
      </w:r>
    </w:p>
    <w:p w14:paraId="4B761CC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75</w:t>
      </w:r>
    </w:p>
    <w:p w14:paraId="4B761CCE" w14:textId="77777777" w:rsidR="0099058F" w:rsidRDefault="00EB2559">
      <w:pPr>
        <w:widowControl/>
        <w:jc w:val="center"/>
      </w:pPr>
      <w:r>
        <w:rPr>
          <w:rFonts w:ascii="宋体" w:eastAsia="宋体" w:hAnsi="宋体" w:cs="宋体"/>
          <w:kern w:val="0"/>
          <w:sz w:val="24"/>
        </w:rPr>
        <w:pict w14:anchorId="4B763C42">
          <v:rect id="_x0000_i1101" style="width:6in;height:1.5pt" o:hralign="center" o:hrstd="t" o:hr="t" fillcolor="#a0a0a0" stroked="f"/>
        </w:pict>
      </w:r>
    </w:p>
    <w:p w14:paraId="4B761CC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CD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6 – Allowances for Losses on Financial Assets</w:t>
      </w:r>
    </w:p>
    <w:p w14:paraId="4B761CD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change in allowances for expected credit losses for the </w:t>
      </w:r>
      <w:r>
        <w:rPr>
          <w:rFonts w:ascii="Arial" w:eastAsia="宋体" w:hAnsi="Arial" w:cs="Arial"/>
          <w:color w:val="000000"/>
          <w:kern w:val="0"/>
          <w:sz w:val="20"/>
          <w:szCs w:val="20"/>
          <w:lang w:bidi="ar"/>
        </w:rPr>
        <w:t>years ended December 31, 2022 and 2021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33"/>
        <w:gridCol w:w="38"/>
        <w:gridCol w:w="77"/>
        <w:gridCol w:w="886"/>
        <w:gridCol w:w="36"/>
        <w:gridCol w:w="83"/>
        <w:gridCol w:w="930"/>
        <w:gridCol w:w="36"/>
        <w:gridCol w:w="60"/>
        <w:gridCol w:w="1030"/>
        <w:gridCol w:w="36"/>
        <w:gridCol w:w="78"/>
        <w:gridCol w:w="832"/>
        <w:gridCol w:w="36"/>
        <w:gridCol w:w="68"/>
        <w:gridCol w:w="682"/>
        <w:gridCol w:w="36"/>
        <w:gridCol w:w="73"/>
        <w:gridCol w:w="582"/>
        <w:gridCol w:w="36"/>
      </w:tblGrid>
      <w:tr w:rsidR="0099058F" w14:paraId="4B761CE7" w14:textId="77777777">
        <w:trPr>
          <w:jc w:val="center"/>
        </w:trPr>
        <w:tc>
          <w:tcPr>
            <w:tcW w:w="50" w:type="pct"/>
            <w:tcBorders>
              <w:top w:val="nil"/>
              <w:left w:val="nil"/>
              <w:bottom w:val="nil"/>
              <w:right w:val="nil"/>
            </w:tcBorders>
            <w:shd w:val="clear" w:color="auto" w:fill="auto"/>
            <w:vAlign w:val="bottom"/>
          </w:tcPr>
          <w:p w14:paraId="4B761CD2" w14:textId="77777777" w:rsidR="0099058F" w:rsidRDefault="0099058F">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4B761CD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D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D5" w14:textId="77777777" w:rsidR="0099058F" w:rsidRDefault="0099058F">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B761C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D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D8" w14:textId="77777777" w:rsidR="0099058F" w:rsidRDefault="0099058F">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4B761CD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D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DB" w14:textId="77777777" w:rsidR="0099058F" w:rsidRDefault="0099058F">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vAlign w:val="bottom"/>
          </w:tcPr>
          <w:p w14:paraId="4B761CD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D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DE" w14:textId="77777777" w:rsidR="0099058F" w:rsidRDefault="0099058F">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B761CD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E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E1" w14:textId="77777777" w:rsidR="0099058F" w:rsidRDefault="0099058F">
            <w:pPr>
              <w:widowControl/>
              <w:jc w:val="left"/>
              <w:rPr>
                <w:rFonts w:ascii="Times New Roman" w:eastAsia="宋体" w:hAnsi="宋体" w:cs="宋体"/>
                <w:kern w:val="0"/>
                <w:sz w:val="24"/>
              </w:rPr>
            </w:pPr>
          </w:p>
        </w:tc>
        <w:tc>
          <w:tcPr>
            <w:tcW w:w="417" w:type="pct"/>
            <w:tcBorders>
              <w:top w:val="nil"/>
              <w:left w:val="nil"/>
              <w:bottom w:val="nil"/>
              <w:right w:val="nil"/>
            </w:tcBorders>
            <w:shd w:val="clear" w:color="auto" w:fill="auto"/>
            <w:vAlign w:val="bottom"/>
          </w:tcPr>
          <w:p w14:paraId="4B761CE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E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CE4" w14:textId="77777777" w:rsidR="0099058F" w:rsidRDefault="0099058F">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4B761CE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CE6" w14:textId="77777777" w:rsidR="0099058F" w:rsidRDefault="0099058F">
            <w:pPr>
              <w:widowControl/>
              <w:jc w:val="left"/>
              <w:rPr>
                <w:rFonts w:ascii="Times New Roman" w:eastAsia="宋体" w:hAnsi="宋体" w:cs="宋体"/>
                <w:kern w:val="0"/>
                <w:sz w:val="24"/>
              </w:rPr>
            </w:pPr>
          </w:p>
        </w:tc>
      </w:tr>
      <w:tr w:rsidR="0099058F" w14:paraId="4B761CE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C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Accounts receivable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Unbilled receivables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Current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Customer financing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CE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Total</w:t>
            </w:r>
          </w:p>
        </w:tc>
      </w:tr>
      <w:tr w:rsidR="0099058F" w14:paraId="4B761CF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CF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Balance at January 1, </w:t>
            </w:r>
            <w:r>
              <w:rPr>
                <w:rFonts w:ascii="Arial" w:eastAsia="宋体" w:hAnsi="Arial" w:cs="Arial"/>
                <w:color w:val="000000"/>
                <w:kern w:val="0"/>
                <w:sz w:val="20"/>
                <w:szCs w:val="20"/>
                <w:lang w:bidi="ar"/>
              </w:rPr>
              <w:t>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C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CFC" w14:textId="77777777" w:rsidR="0099058F" w:rsidRDefault="0099058F">
            <w:pPr>
              <w:widowControl/>
              <w:jc w:val="left"/>
              <w:rPr>
                <w:rFonts w:ascii="Times New Roman" w:eastAsia="宋体" w:hAnsi="宋体" w:cs="宋体"/>
                <w:kern w:val="0"/>
                <w:sz w:val="24"/>
              </w:rPr>
            </w:pPr>
          </w:p>
        </w:tc>
      </w:tr>
      <w:tr w:rsidR="0099058F" w14:paraId="4B761D0B" w14:textId="77777777">
        <w:trPr>
          <w:jc w:val="center"/>
        </w:trPr>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tcPr>
          <w:p w14:paraId="4B761CF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C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0"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2"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4"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6"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8"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0A" w14:textId="77777777" w:rsidR="0099058F" w:rsidRDefault="0099058F">
            <w:pPr>
              <w:widowControl/>
              <w:jc w:val="right"/>
              <w:rPr>
                <w:rFonts w:ascii="Times New Roman" w:eastAsia="宋体" w:hAnsi="宋体" w:cs="宋体"/>
                <w:kern w:val="0"/>
                <w:sz w:val="24"/>
              </w:rPr>
            </w:pPr>
          </w:p>
        </w:tc>
      </w:tr>
      <w:tr w:rsidR="0099058F" w14:paraId="4B761D18"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B761D0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0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10"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1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D1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15"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17" w14:textId="77777777" w:rsidR="0099058F" w:rsidRDefault="0099058F">
            <w:pPr>
              <w:widowControl/>
              <w:jc w:val="right"/>
              <w:rPr>
                <w:rFonts w:ascii="Times New Roman" w:eastAsia="宋体" w:hAnsi="宋体" w:cs="宋体"/>
                <w:kern w:val="0"/>
                <w:sz w:val="24"/>
              </w:rPr>
            </w:pPr>
          </w:p>
        </w:tc>
      </w:tr>
      <w:tr w:rsidR="0099058F" w14:paraId="4B761D20" w14:textId="77777777">
        <w:trPr>
          <w:jc w:val="center"/>
          <w:hidden/>
        </w:trPr>
        <w:tc>
          <w:tcPr>
            <w:tcW w:w="0" w:type="auto"/>
            <w:gridSpan w:val="3"/>
            <w:tcBorders>
              <w:top w:val="nil"/>
              <w:left w:val="nil"/>
              <w:bottom w:val="nil"/>
              <w:right w:val="nil"/>
            </w:tcBorders>
            <w:shd w:val="clear" w:color="auto" w:fill="auto"/>
            <w:vAlign w:val="bottom"/>
          </w:tcPr>
          <w:p w14:paraId="4B761D1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1F" w14:textId="77777777" w:rsidR="0099058F" w:rsidRDefault="0099058F">
            <w:pPr>
              <w:widowControl/>
              <w:jc w:val="left"/>
              <w:rPr>
                <w:rFonts w:ascii="Times New Roman" w:eastAsia="宋体" w:hAnsi="宋体" w:cs="宋体"/>
                <w:vanish/>
                <w:kern w:val="0"/>
                <w:sz w:val="24"/>
              </w:rPr>
            </w:pPr>
          </w:p>
        </w:tc>
      </w:tr>
      <w:tr w:rsidR="0099058F" w14:paraId="4B761D2A"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B761D2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2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2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2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29" w14:textId="77777777" w:rsidR="0099058F" w:rsidRDefault="0099058F">
            <w:pPr>
              <w:widowControl/>
              <w:jc w:val="right"/>
              <w:rPr>
                <w:rFonts w:ascii="Times New Roman" w:eastAsia="宋体" w:hAnsi="宋体" w:cs="宋体"/>
                <w:kern w:val="0"/>
                <w:sz w:val="24"/>
              </w:rPr>
            </w:pPr>
          </w:p>
        </w:tc>
      </w:tr>
      <w:tr w:rsidR="0099058F" w14:paraId="4B761D3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D2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December 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2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2D"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2F"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31"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33"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35"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37" w14:textId="77777777" w:rsidR="0099058F" w:rsidRDefault="0099058F">
            <w:pPr>
              <w:widowControl/>
              <w:jc w:val="right"/>
              <w:rPr>
                <w:rFonts w:ascii="Times New Roman" w:eastAsia="宋体" w:hAnsi="宋体" w:cs="宋体"/>
                <w:kern w:val="0"/>
                <w:sz w:val="24"/>
              </w:rPr>
            </w:pPr>
          </w:p>
        </w:tc>
      </w:tr>
      <w:tr w:rsidR="0099058F" w14:paraId="4B761D40" w14:textId="77777777">
        <w:trPr>
          <w:trHeight w:val="30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D"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E"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1D3F" w14:textId="77777777" w:rsidR="0099058F" w:rsidRDefault="0099058F">
            <w:pPr>
              <w:widowControl/>
              <w:jc w:val="left"/>
              <w:rPr>
                <w:rFonts w:ascii="Times New Roman" w:eastAsia="宋体" w:hAnsi="宋体" w:cs="宋体"/>
                <w:kern w:val="0"/>
                <w:sz w:val="24"/>
              </w:rPr>
            </w:pPr>
          </w:p>
        </w:tc>
      </w:tr>
      <w:tr w:rsidR="0099058F" w14:paraId="4B761D4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D4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Balance at </w:t>
            </w:r>
            <w:r>
              <w:rPr>
                <w:rFonts w:ascii="Arial" w:eastAsia="宋体" w:hAnsi="Arial" w:cs="Arial"/>
                <w:color w:val="000000"/>
                <w:kern w:val="0"/>
                <w:sz w:val="20"/>
                <w:szCs w:val="20"/>
                <w:lang w:bidi="ar"/>
              </w:rPr>
              <w:t>January 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3"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5"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7"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9"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B"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4D" w14:textId="77777777" w:rsidR="0099058F" w:rsidRDefault="0099058F">
            <w:pPr>
              <w:widowControl/>
              <w:jc w:val="right"/>
              <w:rPr>
                <w:rFonts w:ascii="Times New Roman" w:eastAsia="宋体" w:hAnsi="宋体" w:cs="宋体"/>
                <w:kern w:val="0"/>
                <w:sz w:val="24"/>
              </w:rPr>
            </w:pPr>
          </w:p>
        </w:tc>
      </w:tr>
      <w:tr w:rsidR="0099058F" w14:paraId="4B761D5C" w14:textId="77777777">
        <w:trPr>
          <w:jc w:val="center"/>
        </w:trPr>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tcPr>
          <w:p w14:paraId="4B761D4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1"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3"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5"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7"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9"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D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D5B" w14:textId="77777777" w:rsidR="0099058F" w:rsidRDefault="0099058F">
            <w:pPr>
              <w:widowControl/>
              <w:jc w:val="right"/>
              <w:rPr>
                <w:rFonts w:ascii="Times New Roman" w:eastAsia="宋体" w:hAnsi="宋体" w:cs="宋体"/>
                <w:kern w:val="0"/>
                <w:sz w:val="24"/>
              </w:rPr>
            </w:pPr>
          </w:p>
        </w:tc>
      </w:tr>
      <w:tr w:rsidR="0099058F" w14:paraId="4B761D69"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B761D5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5F"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61"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6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D6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66"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68" w14:textId="77777777" w:rsidR="0099058F" w:rsidRDefault="0099058F">
            <w:pPr>
              <w:widowControl/>
              <w:jc w:val="right"/>
              <w:rPr>
                <w:rFonts w:ascii="Times New Roman" w:eastAsia="宋体" w:hAnsi="宋体" w:cs="宋体"/>
                <w:kern w:val="0"/>
                <w:sz w:val="24"/>
              </w:rPr>
            </w:pPr>
          </w:p>
        </w:tc>
      </w:tr>
      <w:tr w:rsidR="0099058F" w14:paraId="4B761D71" w14:textId="77777777">
        <w:trPr>
          <w:jc w:val="center"/>
          <w:hidden/>
        </w:trPr>
        <w:tc>
          <w:tcPr>
            <w:tcW w:w="0" w:type="auto"/>
            <w:gridSpan w:val="3"/>
            <w:tcBorders>
              <w:top w:val="nil"/>
              <w:left w:val="nil"/>
              <w:bottom w:val="nil"/>
              <w:right w:val="nil"/>
            </w:tcBorders>
            <w:shd w:val="clear" w:color="auto" w:fill="auto"/>
            <w:vAlign w:val="bottom"/>
          </w:tcPr>
          <w:p w14:paraId="4B761D6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6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6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6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6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6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D70" w14:textId="77777777" w:rsidR="0099058F" w:rsidRDefault="0099058F">
            <w:pPr>
              <w:widowControl/>
              <w:jc w:val="left"/>
              <w:rPr>
                <w:rFonts w:ascii="Times New Roman" w:eastAsia="宋体" w:hAnsi="宋体" w:cs="宋体"/>
                <w:vanish/>
                <w:kern w:val="0"/>
                <w:sz w:val="24"/>
              </w:rPr>
            </w:pPr>
          </w:p>
        </w:tc>
      </w:tr>
      <w:tr w:rsidR="0099058F" w14:paraId="4B761D7B"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B761D7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7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7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7A" w14:textId="77777777" w:rsidR="0099058F" w:rsidRDefault="0099058F">
            <w:pPr>
              <w:widowControl/>
              <w:jc w:val="right"/>
              <w:rPr>
                <w:rFonts w:ascii="Times New Roman" w:eastAsia="宋体" w:hAnsi="宋体" w:cs="宋体"/>
                <w:kern w:val="0"/>
                <w:sz w:val="24"/>
              </w:rPr>
            </w:pPr>
          </w:p>
        </w:tc>
      </w:tr>
      <w:tr w:rsidR="0099058F" w14:paraId="4B761D89"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D7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December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7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8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8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8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8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88" w14:textId="77777777" w:rsidR="0099058F" w:rsidRDefault="0099058F">
            <w:pPr>
              <w:widowControl/>
              <w:jc w:val="left"/>
              <w:rPr>
                <w:rFonts w:ascii="Times New Roman" w:eastAsia="宋体" w:hAnsi="宋体" w:cs="宋体"/>
                <w:kern w:val="0"/>
                <w:sz w:val="24"/>
              </w:rPr>
            </w:pPr>
          </w:p>
        </w:tc>
      </w:tr>
    </w:tbl>
    <w:p w14:paraId="4B761D8A"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Inventories</w:t>
      </w:r>
    </w:p>
    <w:p w14:paraId="4B761D8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Inventories at December 31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7"/>
        <w:gridCol w:w="74"/>
        <w:gridCol w:w="789"/>
        <w:gridCol w:w="36"/>
        <w:gridCol w:w="36"/>
        <w:gridCol w:w="36"/>
        <w:gridCol w:w="36"/>
        <w:gridCol w:w="74"/>
        <w:gridCol w:w="785"/>
        <w:gridCol w:w="36"/>
      </w:tblGrid>
      <w:tr w:rsidR="0099058F" w14:paraId="4B761D98" w14:textId="77777777">
        <w:tc>
          <w:tcPr>
            <w:tcW w:w="50" w:type="pct"/>
            <w:tcBorders>
              <w:top w:val="nil"/>
              <w:left w:val="nil"/>
              <w:bottom w:val="nil"/>
              <w:right w:val="nil"/>
            </w:tcBorders>
            <w:shd w:val="clear" w:color="auto" w:fill="auto"/>
            <w:vAlign w:val="bottom"/>
          </w:tcPr>
          <w:p w14:paraId="4B761D8C"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1D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8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8F"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1D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9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D9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9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95"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1D9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97" w14:textId="77777777" w:rsidR="0099058F" w:rsidRDefault="0099058F">
            <w:pPr>
              <w:widowControl/>
              <w:jc w:val="left"/>
              <w:rPr>
                <w:rFonts w:ascii="Times New Roman" w:eastAsia="宋体" w:hAnsi="宋体" w:cs="宋体"/>
                <w:kern w:val="0"/>
                <w:sz w:val="24"/>
              </w:rPr>
            </w:pPr>
          </w:p>
        </w:tc>
      </w:tr>
      <w:tr w:rsidR="0099058F" w14:paraId="4B761D9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D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D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D9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D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DA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D9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A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DA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A3" w14:textId="77777777" w:rsidR="0099058F" w:rsidRDefault="0099058F">
            <w:pPr>
              <w:widowControl/>
              <w:jc w:val="left"/>
              <w:rPr>
                <w:rFonts w:ascii="Times New Roman" w:eastAsia="宋体" w:hAnsi="宋体" w:cs="宋体"/>
                <w:kern w:val="0"/>
                <w:sz w:val="24"/>
              </w:rPr>
            </w:pPr>
          </w:p>
        </w:tc>
      </w:tr>
      <w:tr w:rsidR="0099058F" w14:paraId="4B761D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DA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Commercial aircraft </w:t>
            </w:r>
            <w:r>
              <w:rPr>
                <w:rFonts w:ascii="Arial" w:eastAsia="宋体" w:hAnsi="Arial" w:cs="Arial"/>
                <w:color w:val="000000"/>
                <w:kern w:val="0"/>
                <w:sz w:val="20"/>
                <w:szCs w:val="20"/>
                <w:lang w:bidi="ar"/>
              </w:rPr>
              <w:t>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67,702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A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A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AA" w14:textId="77777777" w:rsidR="0099058F" w:rsidRDefault="0099058F">
            <w:pPr>
              <w:widowControl/>
              <w:jc w:val="right"/>
              <w:rPr>
                <w:rFonts w:ascii="Times New Roman" w:eastAsia="宋体" w:hAnsi="宋体" w:cs="宋体"/>
                <w:kern w:val="0"/>
                <w:sz w:val="24"/>
              </w:rPr>
            </w:pPr>
          </w:p>
        </w:tc>
      </w:tr>
      <w:tr w:rsidR="0099058F" w14:paraId="4B761D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DA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Capitalized precontract costs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A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DA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D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DB1" w14:textId="77777777" w:rsidR="0099058F" w:rsidRDefault="0099058F">
            <w:pPr>
              <w:widowControl/>
              <w:jc w:val="right"/>
              <w:rPr>
                <w:rFonts w:ascii="Times New Roman" w:eastAsia="宋体" w:hAnsi="宋体" w:cs="宋体"/>
                <w:kern w:val="0"/>
                <w:sz w:val="24"/>
              </w:rPr>
            </w:pPr>
          </w:p>
        </w:tc>
      </w:tr>
      <w:tr w:rsidR="0099058F" w14:paraId="4B761D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DB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B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DB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D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DB8" w14:textId="77777777" w:rsidR="0099058F" w:rsidRDefault="0099058F">
            <w:pPr>
              <w:widowControl/>
              <w:jc w:val="right"/>
              <w:rPr>
                <w:rFonts w:ascii="Times New Roman" w:eastAsia="宋体" w:hAnsi="宋体" w:cs="宋体"/>
                <w:kern w:val="0"/>
                <w:sz w:val="24"/>
              </w:rPr>
            </w:pPr>
          </w:p>
        </w:tc>
      </w:tr>
      <w:tr w:rsidR="0099058F" w14:paraId="4B761DC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DB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$78,151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B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DB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D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DBF" w14:textId="77777777" w:rsidR="0099058F" w:rsidRDefault="0099058F">
            <w:pPr>
              <w:widowControl/>
              <w:jc w:val="left"/>
              <w:rPr>
                <w:rFonts w:ascii="Times New Roman" w:eastAsia="宋体" w:hAnsi="宋体" w:cs="宋体"/>
                <w:kern w:val="0"/>
                <w:sz w:val="24"/>
              </w:rPr>
            </w:pPr>
          </w:p>
        </w:tc>
      </w:tr>
    </w:tbl>
    <w:p w14:paraId="4B761DC1" w14:textId="77777777" w:rsidR="0099058F" w:rsidRDefault="00EB2559">
      <w:pPr>
        <w:widowControl/>
        <w:spacing w:before="60" w:after="18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Capitalized precontract costs at December 31, 2022 </w:t>
      </w:r>
      <w:r>
        <w:rPr>
          <w:rFonts w:ascii="Arial" w:eastAsia="宋体" w:hAnsi="Arial" w:cs="Arial"/>
          <w:color w:val="000000"/>
          <w:kern w:val="0"/>
          <w:sz w:val="20"/>
          <w:szCs w:val="20"/>
          <w:lang w:bidi="ar"/>
        </w:rPr>
        <w:t>includes amounts related to KC-46A Tanker, Commercial Crew, and T-7 Production Options. See Note 13.</w:t>
      </w:r>
    </w:p>
    <w:p w14:paraId="4B761DC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4B761DC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decrease in commercial aircraft programs inventory during 2022 reflects a decrease in 737 and 787 inventory, offset by gro</w:t>
      </w:r>
      <w:r>
        <w:rPr>
          <w:rFonts w:ascii="Arial" w:eastAsia="宋体" w:hAnsi="Arial" w:cs="Arial"/>
          <w:color w:val="000000"/>
          <w:kern w:val="0"/>
          <w:sz w:val="20"/>
          <w:szCs w:val="20"/>
          <w:lang w:bidi="ar"/>
        </w:rPr>
        <w:t>wth in 777X inventory. Commercial aircraft programs inventory includes approximately 250 737 aircraft and 100 787 aircraft at December 31, 2022 as compared with 335 737 aircraft and 110 787 aircraft at December 31, 2021.</w:t>
      </w:r>
    </w:p>
    <w:p w14:paraId="4B761DC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December 31, 2022 and 2021, </w:t>
      </w:r>
      <w:r>
        <w:rPr>
          <w:rFonts w:ascii="Arial" w:eastAsia="宋体" w:hAnsi="Arial" w:cs="Arial"/>
          <w:color w:val="000000"/>
          <w:kern w:val="0"/>
          <w:sz w:val="20"/>
          <w:szCs w:val="20"/>
          <w:lang w:bidi="ar"/>
        </w:rPr>
        <w:t>commercial aircraft programs inventory included the following amounts related to the 737 program: deferred production costs of $2,955 and $1,296 and unamortized tooling and other non-recurring costs of $626 and $617. At December 31, 2022, $3,555 of 737 def</w:t>
      </w:r>
      <w:r>
        <w:rPr>
          <w:rFonts w:ascii="Arial" w:eastAsia="宋体" w:hAnsi="Arial" w:cs="Arial"/>
          <w:color w:val="000000"/>
          <w:kern w:val="0"/>
          <w:sz w:val="20"/>
          <w:szCs w:val="20"/>
          <w:lang w:bidi="ar"/>
        </w:rPr>
        <w:t>erred production costs, unamortized tooling and other non-recurring costs are expected to be recovered from units included in the program accounting quantity that have firm orders, and $26 is expected to be recovered from units included in the program acco</w:t>
      </w:r>
      <w:r>
        <w:rPr>
          <w:rFonts w:ascii="Arial" w:eastAsia="宋体" w:hAnsi="Arial" w:cs="Arial"/>
          <w:color w:val="000000"/>
          <w:kern w:val="0"/>
          <w:sz w:val="20"/>
          <w:szCs w:val="20"/>
          <w:lang w:bidi="ar"/>
        </w:rPr>
        <w:t>unting quantity that represent expected future orders.</w:t>
      </w:r>
    </w:p>
    <w:p w14:paraId="4B761DC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2022 and 2021,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$4,059 and $3,363 of work in process, $1,330 and $652 of </w:t>
      </w:r>
    </w:p>
    <w:p w14:paraId="4B761DC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76</w:t>
      </w:r>
    </w:p>
    <w:p w14:paraId="4B761DC7" w14:textId="77777777" w:rsidR="0099058F" w:rsidRDefault="00EB2559">
      <w:pPr>
        <w:widowControl/>
        <w:jc w:val="center"/>
      </w:pPr>
      <w:r>
        <w:rPr>
          <w:rFonts w:ascii="宋体" w:eastAsia="宋体" w:hAnsi="宋体" w:cs="宋体"/>
          <w:kern w:val="0"/>
          <w:sz w:val="24"/>
        </w:rPr>
        <w:pict w14:anchorId="4B763C43">
          <v:rect id="_x0000_i1102" style="width:6in;height:1.5pt" o:hralign="center" o:hrstd="t" o:hr="t" fillcolor="#a0a0a0" stroked="f"/>
        </w:pict>
      </w:r>
    </w:p>
    <w:p w14:paraId="4B761DC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DC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deferred production costs, and $3,774 and $3,521</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of unamortized tooling and other non-recurring costs. In April 2022, we decided</w:t>
      </w:r>
      <w:r>
        <w:rPr>
          <w:rFonts w:ascii="Arial" w:eastAsia="宋体" w:hAnsi="Arial" w:cs="Arial"/>
          <w:color w:val="000000"/>
          <w:kern w:val="0"/>
          <w:sz w:val="20"/>
          <w:szCs w:val="20"/>
          <w:lang w:bidi="ar"/>
        </w:rPr>
        <w:t xml:space="preserve"> to pause production of the 777X-9 during 2022 and 2023. The production pause is resulting in abnormal production costs that are being expensed as incurred until 777X-9 production resumes. We expensed abnormal production costs of $325 during the year ended</w:t>
      </w:r>
      <w:r>
        <w:rPr>
          <w:rFonts w:ascii="Arial" w:eastAsia="宋体" w:hAnsi="Arial" w:cs="Arial"/>
          <w:color w:val="000000"/>
          <w:kern w:val="0"/>
          <w:sz w:val="20"/>
          <w:szCs w:val="20"/>
          <w:lang w:bidi="ar"/>
        </w:rPr>
        <w:t xml:space="preserve"> December 31, 2022. The 777X program has near break-even margins at December 31, 2022. </w:t>
      </w:r>
    </w:p>
    <w:p w14:paraId="4B761DC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determined that estimated costs to complete the 787 program plus costs already included in 787 inventory exceed estimated revenues</w:t>
      </w:r>
      <w:r>
        <w:rPr>
          <w:rFonts w:ascii="Arial" w:eastAsia="宋体" w:hAnsi="Arial" w:cs="Arial"/>
          <w:color w:val="000000"/>
          <w:kern w:val="0"/>
          <w:sz w:val="20"/>
          <w:szCs w:val="20"/>
          <w:lang w:bidi="ar"/>
        </w:rPr>
        <w:t xml:space="preserve"> from the program. The resulting reach-forward loss of $3,460 was recorded as a reduction to deferred production costs.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At December 31, 2022 and 2021, commercial aircraft programs inventory included the following amounts related to the 787 program: deferred production costs of $12,689 and $11,693, $1,831 and $1,907 of supplier advances, and $1,722 and $1,815 of unamortized </w:t>
      </w:r>
      <w:r>
        <w:rPr>
          <w:rFonts w:ascii="Arial" w:eastAsia="宋体" w:hAnsi="Arial" w:cs="Arial"/>
          <w:color w:val="000000"/>
          <w:kern w:val="0"/>
          <w:sz w:val="20"/>
          <w:szCs w:val="20"/>
          <w:lang w:bidi="ar"/>
        </w:rPr>
        <w:t>tooling and other non-recurring costs. At December 31, 2022, $9,881 of 787 deferred production costs, unamortized tooling and other non-recurring costs are expected to be recovered from units included in the program accounting quantity that have firm order</w:t>
      </w:r>
      <w:r>
        <w:rPr>
          <w:rFonts w:ascii="Arial" w:eastAsia="宋体" w:hAnsi="Arial" w:cs="Arial"/>
          <w:color w:val="000000"/>
          <w:kern w:val="0"/>
          <w:sz w:val="20"/>
          <w:szCs w:val="20"/>
          <w:lang w:bidi="ar"/>
        </w:rPr>
        <w:t>s, and $4,530 is expected to be recovered from units included in the program accounting quantity that represent expected future orders. We are currently producing at abnormally low rates resulting in abnormal production costs that are being expensed as inc</w:t>
      </w:r>
      <w:r>
        <w:rPr>
          <w:rFonts w:ascii="Arial" w:eastAsia="宋体" w:hAnsi="Arial" w:cs="Arial"/>
          <w:color w:val="000000"/>
          <w:kern w:val="0"/>
          <w:sz w:val="20"/>
          <w:szCs w:val="20"/>
          <w:lang w:bidi="ar"/>
        </w:rPr>
        <w:t xml:space="preserve">urred. We expensed abnormal production costs of $1,240 and $468 during the years ended December 31, 2022 and 2021. </w:t>
      </w:r>
    </w:p>
    <w:p w14:paraId="4B761DCB"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included amounts credited in cash or other consideration (early issue sales consideration) to airline</w:t>
      </w:r>
      <w:r>
        <w:rPr>
          <w:rFonts w:ascii="Arial" w:eastAsia="宋体" w:hAnsi="Arial" w:cs="Arial"/>
          <w:color w:val="000000"/>
          <w:kern w:val="0"/>
          <w:sz w:val="20"/>
          <w:szCs w:val="20"/>
          <w:lang w:bidi="ar"/>
        </w:rPr>
        <w:t xml:space="preserve"> customers totaling $3,586 and $3,290 at December 31, 2022 and 2021.</w:t>
      </w:r>
    </w:p>
    <w:p w14:paraId="4B761DCC"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8 – Contracts with Customers</w:t>
      </w:r>
    </w:p>
    <w:p w14:paraId="4B761DC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Unbilled receivables increased from $8,620 at December 31, 2021 to $8,634 at December 31, 2022, primarily driven by revenue recognized in excess of billi</w:t>
      </w:r>
      <w:r>
        <w:rPr>
          <w:rFonts w:ascii="Arial" w:eastAsia="宋体" w:hAnsi="Arial" w:cs="Arial"/>
          <w:color w:val="000000"/>
          <w:kern w:val="0"/>
          <w:sz w:val="20"/>
          <w:szCs w:val="20"/>
          <w:lang w:bidi="ar"/>
        </w:rPr>
        <w:t>ngs at BGS, partially offset by billings in excess of revenue recognized at BDS.</w:t>
      </w:r>
    </w:p>
    <w:p w14:paraId="4B761DC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increased from $52,980 at December 31, 2021 to $53,081 at December 31, 2022, primarily driven by advances on orders received at BCA, partially o</w:t>
      </w:r>
      <w:r>
        <w:rPr>
          <w:rFonts w:ascii="Arial" w:eastAsia="宋体" w:hAnsi="Arial" w:cs="Arial"/>
          <w:color w:val="000000"/>
          <w:kern w:val="0"/>
          <w:sz w:val="20"/>
          <w:szCs w:val="20"/>
          <w:lang w:bidi="ar"/>
        </w:rPr>
        <w:t>ffset by revenue recognized at BDS and BGS.</w:t>
      </w:r>
    </w:p>
    <w:p w14:paraId="4B761DC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recognized for the years ended December 31, 2022 and 2021 from amounts recorded as Advances and progress billings at the beginning of each year were $12,087 and $11,336.</w:t>
      </w:r>
    </w:p>
    <w:p w14:paraId="4B761DD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ou</w:t>
      </w:r>
      <w:r>
        <w:rPr>
          <w:rFonts w:ascii="Arial" w:eastAsia="宋体" w:hAnsi="Arial" w:cs="Arial"/>
          <w:color w:val="000000"/>
          <w:kern w:val="0"/>
          <w:sz w:val="20"/>
          <w:szCs w:val="20"/>
          <w:lang w:bidi="ar"/>
        </w:rPr>
        <w:t>r contract assets under long-term contracts that were unbillable or related to outstanding claims as of December 31:</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9"/>
        <w:gridCol w:w="4423"/>
        <w:gridCol w:w="36"/>
        <w:gridCol w:w="66"/>
        <w:gridCol w:w="762"/>
        <w:gridCol w:w="37"/>
        <w:gridCol w:w="37"/>
        <w:gridCol w:w="36"/>
        <w:gridCol w:w="36"/>
        <w:gridCol w:w="66"/>
        <w:gridCol w:w="753"/>
        <w:gridCol w:w="36"/>
        <w:gridCol w:w="36"/>
        <w:gridCol w:w="36"/>
        <w:gridCol w:w="36"/>
        <w:gridCol w:w="51"/>
        <w:gridCol w:w="770"/>
        <w:gridCol w:w="37"/>
        <w:gridCol w:w="37"/>
        <w:gridCol w:w="37"/>
        <w:gridCol w:w="37"/>
        <w:gridCol w:w="51"/>
        <w:gridCol w:w="770"/>
        <w:gridCol w:w="36"/>
      </w:tblGrid>
      <w:tr w:rsidR="0099058F" w14:paraId="4B761DE9" w14:textId="77777777">
        <w:tc>
          <w:tcPr>
            <w:tcW w:w="50" w:type="pct"/>
            <w:tcBorders>
              <w:top w:val="nil"/>
              <w:left w:val="nil"/>
              <w:bottom w:val="nil"/>
              <w:right w:val="nil"/>
            </w:tcBorders>
            <w:shd w:val="clear" w:color="auto" w:fill="auto"/>
            <w:vAlign w:val="bottom"/>
          </w:tcPr>
          <w:p w14:paraId="4B761DD1" w14:textId="77777777" w:rsidR="0099058F" w:rsidRDefault="0099058F">
            <w:pPr>
              <w:widowControl/>
              <w:jc w:val="left"/>
              <w:rPr>
                <w:rFonts w:ascii="Times New Roman" w:eastAsia="宋体" w:hAnsi="宋体" w:cs="宋体"/>
                <w:kern w:val="0"/>
                <w:sz w:val="24"/>
              </w:rPr>
            </w:pPr>
          </w:p>
        </w:tc>
        <w:tc>
          <w:tcPr>
            <w:tcW w:w="2683" w:type="pct"/>
            <w:tcBorders>
              <w:top w:val="nil"/>
              <w:left w:val="nil"/>
              <w:bottom w:val="nil"/>
              <w:right w:val="nil"/>
            </w:tcBorders>
            <w:shd w:val="clear" w:color="auto" w:fill="auto"/>
            <w:vAlign w:val="bottom"/>
          </w:tcPr>
          <w:p w14:paraId="4B761DD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D4"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1DD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7"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1DD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DA"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1DD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D"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1DD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D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E0"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1DE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E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E3"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1DE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E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DE6"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1DE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DE8" w14:textId="77777777" w:rsidR="0099058F" w:rsidRDefault="0099058F">
            <w:pPr>
              <w:widowControl/>
              <w:jc w:val="left"/>
              <w:rPr>
                <w:rFonts w:ascii="Times New Roman" w:eastAsia="宋体" w:hAnsi="宋体" w:cs="宋体"/>
                <w:kern w:val="0"/>
                <w:sz w:val="24"/>
              </w:rPr>
            </w:pPr>
          </w:p>
        </w:tc>
      </w:tr>
      <w:tr w:rsidR="0099058F" w14:paraId="4B761D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DEA"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1DE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Unbilled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DEC"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1DE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Claims</w:t>
            </w:r>
          </w:p>
        </w:tc>
      </w:tr>
      <w:tr w:rsidR="0099058F" w14:paraId="4B761DF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DE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D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DF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D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DF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D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1DF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1D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E0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DF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F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DF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D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DF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DF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DF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0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E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E02" w14:textId="77777777" w:rsidR="0099058F" w:rsidRDefault="0099058F">
            <w:pPr>
              <w:widowControl/>
              <w:jc w:val="left"/>
              <w:rPr>
                <w:rFonts w:ascii="Times New Roman" w:eastAsia="宋体" w:hAnsi="宋体" w:cs="宋体"/>
                <w:kern w:val="0"/>
                <w:sz w:val="24"/>
              </w:rPr>
            </w:pPr>
          </w:p>
        </w:tc>
      </w:tr>
      <w:tr w:rsidR="0099058F" w14:paraId="4B761E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E0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Expect</w:t>
            </w:r>
            <w:r>
              <w:rPr>
                <w:rFonts w:ascii="Arial" w:eastAsia="宋体" w:hAnsi="Arial" w:cs="Arial"/>
                <w:color w:val="000000"/>
                <w:kern w:val="0"/>
                <w:sz w:val="20"/>
                <w:szCs w:val="20"/>
                <w:lang w:bidi="ar"/>
              </w:rPr>
              <w:t>ed to be collected after one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0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0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0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0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0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0F" w14:textId="77777777" w:rsidR="0099058F" w:rsidRDefault="0099058F">
            <w:pPr>
              <w:widowControl/>
              <w:jc w:val="left"/>
              <w:rPr>
                <w:rFonts w:ascii="Times New Roman" w:eastAsia="宋体" w:hAnsi="宋体" w:cs="宋体"/>
                <w:kern w:val="0"/>
                <w:sz w:val="24"/>
              </w:rPr>
            </w:pPr>
          </w:p>
        </w:tc>
      </w:tr>
      <w:tr w:rsidR="0099058F" w14:paraId="4B761E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E1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1A" w14:textId="77777777" w:rsidR="0099058F" w:rsidRDefault="0099058F">
            <w:pPr>
              <w:widowControl/>
              <w:jc w:val="left"/>
              <w:rPr>
                <w:rFonts w:ascii="Times New Roman" w:eastAsia="宋体" w:hAnsi="宋体" w:cs="宋体"/>
                <w:kern w:val="0"/>
                <w:sz w:val="24"/>
              </w:rPr>
            </w:pPr>
          </w:p>
        </w:tc>
      </w:tr>
      <w:tr w:rsidR="0099058F" w14:paraId="4B761E2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1E1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1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E1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2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E2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2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E2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27" w14:textId="77777777" w:rsidR="0099058F" w:rsidRDefault="0099058F">
            <w:pPr>
              <w:widowControl/>
              <w:jc w:val="left"/>
              <w:rPr>
                <w:rFonts w:ascii="Times New Roman" w:eastAsia="宋体" w:hAnsi="宋体" w:cs="宋体"/>
                <w:kern w:val="0"/>
                <w:sz w:val="24"/>
              </w:rPr>
            </w:pPr>
          </w:p>
        </w:tc>
      </w:tr>
    </w:tbl>
    <w:p w14:paraId="4B761E29"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Unbilled receivables related to commercial customer incentives expected to be collected after one year were $117 and $131 at December 31, 2022 and 2021. Unbilled receivables related to claims are items that we b</w:t>
      </w:r>
      <w:r>
        <w:rPr>
          <w:rFonts w:ascii="Arial" w:eastAsia="宋体" w:hAnsi="Arial" w:cs="Arial"/>
          <w:color w:val="000000"/>
          <w:kern w:val="0"/>
          <w:sz w:val="20"/>
          <w:szCs w:val="20"/>
          <w:lang w:bidi="ar"/>
        </w:rPr>
        <w:t>elieve are earned, but are subject to uncertainty concerning their determination or ultimate realization.</w:t>
      </w:r>
    </w:p>
    <w:p w14:paraId="4B761E2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77</w:t>
      </w:r>
    </w:p>
    <w:p w14:paraId="4B761E2B" w14:textId="77777777" w:rsidR="0099058F" w:rsidRDefault="00EB2559">
      <w:pPr>
        <w:widowControl/>
        <w:jc w:val="center"/>
      </w:pPr>
      <w:r>
        <w:rPr>
          <w:rFonts w:ascii="宋体" w:eastAsia="宋体" w:hAnsi="宋体" w:cs="宋体"/>
          <w:kern w:val="0"/>
          <w:sz w:val="24"/>
        </w:rPr>
        <w:pict w14:anchorId="4B763C44">
          <v:rect id="_x0000_i1103" style="width:6in;height:1.5pt" o:hralign="center" o:hrstd="t" o:hr="t" fillcolor="#a0a0a0" stroked="f"/>
        </w:pict>
      </w:r>
    </w:p>
    <w:p w14:paraId="4B761E2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E2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9 – </w:t>
      </w:r>
      <w:r>
        <w:rPr>
          <w:rFonts w:ascii="Arial" w:eastAsia="宋体" w:hAnsi="Arial" w:cs="Arial"/>
          <w:b/>
          <w:bCs/>
          <w:color w:val="000000"/>
          <w:kern w:val="0"/>
          <w:sz w:val="20"/>
          <w:szCs w:val="20"/>
          <w:lang w:bidi="ar"/>
        </w:rPr>
        <w:t>Customer Financing</w:t>
      </w:r>
    </w:p>
    <w:p w14:paraId="4B761E2E"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Customer financing primarily relates to our BCC segment. Financing arrangements typically range in terms from 1 to 12 years and may include options to extend or terminate the lease. Certain leases include provisions to allow the </w:t>
      </w:r>
      <w:r>
        <w:rPr>
          <w:rFonts w:ascii="Arial" w:eastAsia="宋体" w:hAnsi="Arial" w:cs="Arial"/>
          <w:color w:val="000000"/>
          <w:kern w:val="0"/>
          <w:sz w:val="20"/>
          <w:szCs w:val="20"/>
          <w:lang w:bidi="ar"/>
        </w:rPr>
        <w:t>lessee to purchase the underlying aircraft at a specified price.</w:t>
      </w:r>
    </w:p>
    <w:p w14:paraId="4B761E2F"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Customer financing consisted of the following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635"/>
        <w:gridCol w:w="37"/>
        <w:gridCol w:w="77"/>
        <w:gridCol w:w="635"/>
        <w:gridCol w:w="36"/>
        <w:gridCol w:w="36"/>
        <w:gridCol w:w="36"/>
        <w:gridCol w:w="36"/>
        <w:gridCol w:w="77"/>
        <w:gridCol w:w="632"/>
        <w:gridCol w:w="36"/>
      </w:tblGrid>
      <w:tr w:rsidR="0099058F" w14:paraId="4B761E3C" w14:textId="77777777">
        <w:tc>
          <w:tcPr>
            <w:tcW w:w="50" w:type="pct"/>
            <w:tcBorders>
              <w:top w:val="nil"/>
              <w:left w:val="nil"/>
              <w:bottom w:val="nil"/>
              <w:right w:val="nil"/>
            </w:tcBorders>
            <w:shd w:val="clear" w:color="auto" w:fill="auto"/>
            <w:vAlign w:val="bottom"/>
          </w:tcPr>
          <w:p w14:paraId="4B761E30" w14:textId="77777777" w:rsidR="0099058F" w:rsidRDefault="0099058F">
            <w:pPr>
              <w:widowControl/>
              <w:jc w:val="left"/>
              <w:rPr>
                <w:rFonts w:ascii="Times New Roman" w:eastAsia="宋体" w:hAnsi="宋体" w:cs="宋体"/>
                <w:kern w:val="0"/>
                <w:sz w:val="24"/>
              </w:rPr>
            </w:pPr>
          </w:p>
        </w:tc>
        <w:tc>
          <w:tcPr>
            <w:tcW w:w="3989" w:type="pct"/>
            <w:tcBorders>
              <w:top w:val="nil"/>
              <w:left w:val="nil"/>
              <w:bottom w:val="nil"/>
              <w:right w:val="nil"/>
            </w:tcBorders>
            <w:shd w:val="clear" w:color="auto" w:fill="auto"/>
            <w:vAlign w:val="bottom"/>
          </w:tcPr>
          <w:p w14:paraId="4B761E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3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33"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1E3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3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3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E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3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39"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1E3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3B" w14:textId="77777777" w:rsidR="0099058F" w:rsidRDefault="0099058F">
            <w:pPr>
              <w:widowControl/>
              <w:jc w:val="left"/>
              <w:rPr>
                <w:rFonts w:ascii="Times New Roman" w:eastAsia="宋体" w:hAnsi="宋体" w:cs="宋体"/>
                <w:kern w:val="0"/>
                <w:sz w:val="24"/>
              </w:rPr>
            </w:pPr>
          </w:p>
        </w:tc>
      </w:tr>
      <w:tr w:rsidR="0099058F" w14:paraId="4B761E4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E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E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E4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E4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4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4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45" w14:textId="77777777" w:rsidR="0099058F" w:rsidRDefault="0099058F">
            <w:pPr>
              <w:widowControl/>
              <w:jc w:val="left"/>
              <w:rPr>
                <w:rFonts w:ascii="Times New Roman" w:eastAsia="宋体" w:hAnsi="宋体" w:cs="宋体"/>
                <w:kern w:val="0"/>
                <w:sz w:val="24"/>
              </w:rPr>
            </w:pPr>
          </w:p>
        </w:tc>
      </w:tr>
      <w:tr w:rsidR="0099058F" w14:paraId="4B761E4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1E4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4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4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4C" w14:textId="77777777" w:rsidR="0099058F" w:rsidRDefault="0099058F">
            <w:pPr>
              <w:widowControl/>
              <w:jc w:val="left"/>
              <w:rPr>
                <w:rFonts w:ascii="Times New Roman" w:eastAsia="宋体" w:hAnsi="宋体" w:cs="宋体"/>
                <w:kern w:val="0"/>
                <w:sz w:val="24"/>
              </w:rPr>
            </w:pPr>
          </w:p>
        </w:tc>
      </w:tr>
      <w:tr w:rsidR="0099058F" w14:paraId="4B761E5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1E4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5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5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53" w14:textId="77777777" w:rsidR="0099058F" w:rsidRDefault="0099058F">
            <w:pPr>
              <w:widowControl/>
              <w:jc w:val="right"/>
              <w:rPr>
                <w:rFonts w:ascii="Times New Roman" w:eastAsia="宋体" w:hAnsi="宋体" w:cs="宋体"/>
                <w:kern w:val="0"/>
                <w:sz w:val="24"/>
              </w:rPr>
            </w:pPr>
          </w:p>
        </w:tc>
      </w:tr>
      <w:tr w:rsidR="0099058F" w14:paraId="4B761E5B"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1E5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E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E57"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E5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E5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E5A" w14:textId="77777777" w:rsidR="0099058F" w:rsidRDefault="0099058F">
            <w:pPr>
              <w:widowControl/>
              <w:jc w:val="right"/>
              <w:rPr>
                <w:rFonts w:ascii="Times New Roman" w:eastAsia="宋体" w:hAnsi="宋体" w:cs="宋体"/>
                <w:kern w:val="0"/>
                <w:sz w:val="24"/>
              </w:rPr>
            </w:pPr>
          </w:p>
        </w:tc>
      </w:tr>
      <w:tr w:rsidR="0099058F" w14:paraId="4B761E6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E5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5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5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61" w14:textId="77777777" w:rsidR="0099058F" w:rsidRDefault="0099058F">
            <w:pPr>
              <w:widowControl/>
              <w:jc w:val="right"/>
              <w:rPr>
                <w:rFonts w:ascii="Times New Roman" w:eastAsia="宋体" w:hAnsi="宋体" w:cs="宋体"/>
                <w:kern w:val="0"/>
                <w:sz w:val="24"/>
              </w:rPr>
            </w:pPr>
          </w:p>
        </w:tc>
      </w:tr>
      <w:tr w:rsidR="0099058F" w14:paraId="4B761E6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1E6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E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E65"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1E6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1E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1E68" w14:textId="77777777" w:rsidR="0099058F" w:rsidRDefault="0099058F">
            <w:pPr>
              <w:widowControl/>
              <w:jc w:val="right"/>
              <w:rPr>
                <w:rFonts w:ascii="Times New Roman" w:eastAsia="宋体" w:hAnsi="宋体" w:cs="宋体"/>
                <w:kern w:val="0"/>
                <w:sz w:val="24"/>
              </w:rPr>
            </w:pPr>
          </w:p>
        </w:tc>
      </w:tr>
      <w:tr w:rsidR="0099058F" w14:paraId="4B761E7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E6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$76 and $58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6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6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6F" w14:textId="77777777" w:rsidR="0099058F" w:rsidRDefault="0099058F">
            <w:pPr>
              <w:widowControl/>
              <w:jc w:val="right"/>
              <w:rPr>
                <w:rFonts w:ascii="Times New Roman" w:eastAsia="宋体" w:hAnsi="宋体" w:cs="宋体"/>
                <w:kern w:val="0"/>
                <w:sz w:val="24"/>
              </w:rPr>
            </w:pPr>
          </w:p>
        </w:tc>
      </w:tr>
      <w:tr w:rsidR="0099058F" w14:paraId="4B761E75" w14:textId="77777777">
        <w:trPr>
          <w:hidden/>
        </w:trPr>
        <w:tc>
          <w:tcPr>
            <w:tcW w:w="0" w:type="auto"/>
            <w:gridSpan w:val="3"/>
            <w:tcBorders>
              <w:top w:val="nil"/>
              <w:left w:val="nil"/>
              <w:bottom w:val="nil"/>
              <w:right w:val="nil"/>
            </w:tcBorders>
            <w:shd w:val="clear" w:color="auto" w:fill="auto"/>
            <w:vAlign w:val="bottom"/>
          </w:tcPr>
          <w:p w14:paraId="4B761E7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E7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E7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E74" w14:textId="77777777" w:rsidR="0099058F" w:rsidRDefault="0099058F">
            <w:pPr>
              <w:widowControl/>
              <w:jc w:val="left"/>
              <w:rPr>
                <w:rFonts w:ascii="Times New Roman" w:eastAsia="宋体" w:hAnsi="宋体" w:cs="宋体"/>
                <w:vanish/>
                <w:kern w:val="0"/>
                <w:sz w:val="24"/>
              </w:rPr>
            </w:pPr>
          </w:p>
        </w:tc>
      </w:tr>
      <w:tr w:rsidR="0099058F" w14:paraId="4B761E7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E7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7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E7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7B" w14:textId="77777777" w:rsidR="0099058F" w:rsidRDefault="0099058F">
            <w:pPr>
              <w:widowControl/>
              <w:jc w:val="left"/>
              <w:rPr>
                <w:rFonts w:ascii="Times New Roman" w:eastAsia="宋体" w:hAnsi="宋体" w:cs="宋体"/>
                <w:kern w:val="0"/>
                <w:sz w:val="24"/>
              </w:rPr>
            </w:pPr>
          </w:p>
        </w:tc>
      </w:tr>
    </w:tbl>
    <w:p w14:paraId="4B761E7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components of investment in sales-type/finance leases at December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525"/>
        <w:gridCol w:w="36"/>
        <w:gridCol w:w="63"/>
        <w:gridCol w:w="705"/>
        <w:gridCol w:w="36"/>
        <w:gridCol w:w="36"/>
        <w:gridCol w:w="36"/>
        <w:gridCol w:w="36"/>
        <w:gridCol w:w="72"/>
        <w:gridCol w:w="692"/>
        <w:gridCol w:w="36"/>
      </w:tblGrid>
      <w:tr w:rsidR="0099058F" w14:paraId="4B761E8A" w14:textId="77777777">
        <w:tc>
          <w:tcPr>
            <w:tcW w:w="50" w:type="pct"/>
            <w:tcBorders>
              <w:top w:val="nil"/>
              <w:left w:val="nil"/>
              <w:bottom w:val="nil"/>
              <w:right w:val="nil"/>
            </w:tcBorders>
            <w:shd w:val="clear" w:color="auto" w:fill="auto"/>
            <w:vAlign w:val="bottom"/>
          </w:tcPr>
          <w:p w14:paraId="4B761E7E" w14:textId="77777777" w:rsidR="0099058F" w:rsidRDefault="0099058F">
            <w:pPr>
              <w:widowControl/>
              <w:jc w:val="left"/>
              <w:rPr>
                <w:rFonts w:ascii="Times New Roman" w:eastAsia="宋体" w:hAnsi="宋体" w:cs="宋体"/>
                <w:kern w:val="0"/>
                <w:sz w:val="24"/>
              </w:rPr>
            </w:pPr>
          </w:p>
        </w:tc>
        <w:tc>
          <w:tcPr>
            <w:tcW w:w="3923" w:type="pct"/>
            <w:tcBorders>
              <w:top w:val="nil"/>
              <w:left w:val="nil"/>
              <w:bottom w:val="nil"/>
              <w:right w:val="nil"/>
            </w:tcBorders>
            <w:shd w:val="clear" w:color="auto" w:fill="auto"/>
            <w:vAlign w:val="bottom"/>
          </w:tcPr>
          <w:p w14:paraId="4B761E7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8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81"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E8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8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E8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8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87"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E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89" w14:textId="77777777" w:rsidR="0099058F" w:rsidRDefault="0099058F">
            <w:pPr>
              <w:widowControl/>
              <w:jc w:val="left"/>
              <w:rPr>
                <w:rFonts w:ascii="Times New Roman" w:eastAsia="宋体" w:hAnsi="宋体" w:cs="宋体"/>
                <w:kern w:val="0"/>
                <w:sz w:val="24"/>
              </w:rPr>
            </w:pPr>
          </w:p>
        </w:tc>
      </w:tr>
      <w:tr w:rsidR="0099058F" w14:paraId="4B761E8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E8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E8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E9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E9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Minimum lease payments receivable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E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E9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9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E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E95" w14:textId="77777777" w:rsidR="0099058F" w:rsidRDefault="0099058F">
            <w:pPr>
              <w:widowControl/>
              <w:jc w:val="left"/>
              <w:rPr>
                <w:rFonts w:ascii="Times New Roman" w:eastAsia="宋体" w:hAnsi="宋体" w:cs="宋体"/>
                <w:kern w:val="0"/>
                <w:sz w:val="24"/>
              </w:rPr>
            </w:pPr>
          </w:p>
        </w:tc>
      </w:tr>
      <w:tr w:rsidR="0099058F" w14:paraId="4B761E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E9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residual value of leased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9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9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9C" w14:textId="77777777" w:rsidR="0099058F" w:rsidRDefault="0099058F">
            <w:pPr>
              <w:widowControl/>
              <w:jc w:val="right"/>
              <w:rPr>
                <w:rFonts w:ascii="Times New Roman" w:eastAsia="宋体" w:hAnsi="宋体" w:cs="宋体"/>
                <w:kern w:val="0"/>
                <w:sz w:val="24"/>
              </w:rPr>
            </w:pPr>
          </w:p>
        </w:tc>
      </w:tr>
      <w:tr w:rsidR="0099058F" w14:paraId="4B761E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1E9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A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A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A3" w14:textId="77777777" w:rsidR="0099058F" w:rsidRDefault="0099058F">
            <w:pPr>
              <w:widowControl/>
              <w:jc w:val="right"/>
              <w:rPr>
                <w:rFonts w:ascii="Times New Roman" w:eastAsia="宋体" w:hAnsi="宋体" w:cs="宋体"/>
                <w:kern w:val="0"/>
                <w:sz w:val="24"/>
              </w:rPr>
            </w:pPr>
          </w:p>
        </w:tc>
      </w:tr>
      <w:tr w:rsidR="0099058F" w14:paraId="4B761EA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1EA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1EA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1E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1EAA" w14:textId="77777777" w:rsidR="0099058F" w:rsidRDefault="0099058F">
            <w:pPr>
              <w:widowControl/>
              <w:jc w:val="left"/>
              <w:rPr>
                <w:rFonts w:ascii="Times New Roman" w:eastAsia="宋体" w:hAnsi="宋体" w:cs="宋体"/>
                <w:kern w:val="0"/>
                <w:sz w:val="24"/>
              </w:rPr>
            </w:pPr>
          </w:p>
        </w:tc>
      </w:tr>
    </w:tbl>
    <w:p w14:paraId="4B761EA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December 31, 2022 and 2021, $405 and $378 were determined to be uncollectible financing receivables and placed on non-accrual status. The increase in allowance for losses on receivables during the </w:t>
      </w:r>
      <w:r>
        <w:rPr>
          <w:rFonts w:ascii="Arial" w:eastAsia="宋体" w:hAnsi="Arial" w:cs="Arial"/>
          <w:color w:val="000000"/>
          <w:kern w:val="0"/>
          <w:sz w:val="20"/>
          <w:szCs w:val="20"/>
          <w:lang w:bidi="ar"/>
        </w:rPr>
        <w:t>year ended December 31, 2022 was primarily due to impacts of the war in Ukraine. Customer financing interest income received for the years ended December 31, 2022 and 2021 was $13 and $18.</w:t>
      </w:r>
    </w:p>
    <w:p w14:paraId="4B761EA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There were no past due customer financing receivables as of Decembe</w:t>
      </w:r>
      <w:r>
        <w:rPr>
          <w:rFonts w:ascii="Arial" w:eastAsia="宋体" w:hAnsi="Arial" w:cs="Arial"/>
          <w:color w:val="000000"/>
          <w:kern w:val="0"/>
          <w:sz w:val="20"/>
          <w:szCs w:val="20"/>
          <w:lang w:bidi="ar"/>
        </w:rPr>
        <w:t>r 31, 2022.</w:t>
      </w:r>
    </w:p>
    <w:p w14:paraId="4B761EA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78</w:t>
      </w:r>
    </w:p>
    <w:p w14:paraId="4B761EAF" w14:textId="77777777" w:rsidR="0099058F" w:rsidRDefault="00EB2559">
      <w:pPr>
        <w:widowControl/>
        <w:jc w:val="center"/>
      </w:pPr>
      <w:r>
        <w:rPr>
          <w:rFonts w:ascii="宋体" w:eastAsia="宋体" w:hAnsi="宋体" w:cs="宋体"/>
          <w:kern w:val="0"/>
          <w:sz w:val="24"/>
        </w:rPr>
        <w:pict w14:anchorId="4B763C45">
          <v:rect id="_x0000_i1104" style="width:6in;height:1.5pt" o:hralign="center" o:hrstd="t" o:hr="t" fillcolor="#a0a0a0" stroked="f"/>
        </w:pict>
      </w:r>
    </w:p>
    <w:p w14:paraId="4B761EB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EB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Our financing receivable balances at December 31, 2022 by internal credit rating category and year of </w:t>
      </w:r>
      <w:r>
        <w:rPr>
          <w:rFonts w:ascii="Arial" w:eastAsia="宋体" w:hAnsi="Arial" w:cs="Arial"/>
          <w:color w:val="000000"/>
          <w:kern w:val="0"/>
          <w:sz w:val="20"/>
          <w:szCs w:val="20"/>
          <w:lang w:bidi="ar"/>
        </w:rPr>
        <w:t>origination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585"/>
        <w:gridCol w:w="37"/>
        <w:gridCol w:w="74"/>
        <w:gridCol w:w="696"/>
        <w:gridCol w:w="36"/>
        <w:gridCol w:w="69"/>
        <w:gridCol w:w="701"/>
        <w:gridCol w:w="36"/>
        <w:gridCol w:w="69"/>
        <w:gridCol w:w="701"/>
        <w:gridCol w:w="36"/>
        <w:gridCol w:w="69"/>
        <w:gridCol w:w="701"/>
        <w:gridCol w:w="36"/>
        <w:gridCol w:w="69"/>
        <w:gridCol w:w="701"/>
        <w:gridCol w:w="36"/>
        <w:gridCol w:w="69"/>
        <w:gridCol w:w="701"/>
        <w:gridCol w:w="36"/>
        <w:gridCol w:w="72"/>
        <w:gridCol w:w="701"/>
        <w:gridCol w:w="36"/>
      </w:tblGrid>
      <w:tr w:rsidR="0099058F" w14:paraId="4B761ECA" w14:textId="77777777">
        <w:tc>
          <w:tcPr>
            <w:tcW w:w="50" w:type="pct"/>
            <w:tcBorders>
              <w:top w:val="nil"/>
              <w:left w:val="nil"/>
              <w:bottom w:val="nil"/>
              <w:right w:val="nil"/>
            </w:tcBorders>
            <w:shd w:val="clear" w:color="auto" w:fill="auto"/>
            <w:vAlign w:val="bottom"/>
          </w:tcPr>
          <w:p w14:paraId="4B761EB2" w14:textId="77777777" w:rsidR="0099058F" w:rsidRDefault="0099058F">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B761E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B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B5"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B8"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B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BB"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B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BE"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C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C1"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C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C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C4" w14:textId="77777777" w:rsidR="0099058F" w:rsidRDefault="0099058F">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B761EC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C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EC7" w14:textId="77777777" w:rsidR="0099058F" w:rsidRDefault="0099058F">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4B761EC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EC9" w14:textId="77777777" w:rsidR="0099058F" w:rsidRDefault="0099058F">
            <w:pPr>
              <w:widowControl/>
              <w:jc w:val="left"/>
              <w:rPr>
                <w:rFonts w:ascii="Times New Roman" w:eastAsia="宋体" w:hAnsi="宋体" w:cs="宋体"/>
                <w:kern w:val="0"/>
                <w:sz w:val="24"/>
              </w:rPr>
            </w:pPr>
          </w:p>
        </w:tc>
      </w:tr>
      <w:tr w:rsidR="0099058F" w14:paraId="4B761ED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C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C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C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C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C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D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D1"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ED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99058F" w14:paraId="4B761ED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ED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D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D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D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D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ED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E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ED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E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EDD" w14:textId="77777777" w:rsidR="0099058F" w:rsidRDefault="0099058F">
            <w:pPr>
              <w:widowControl/>
              <w:jc w:val="left"/>
              <w:rPr>
                <w:rFonts w:ascii="Times New Roman" w:eastAsia="宋体" w:hAnsi="宋体" w:cs="宋体"/>
                <w:kern w:val="0"/>
                <w:sz w:val="24"/>
              </w:rPr>
            </w:pPr>
          </w:p>
        </w:tc>
      </w:tr>
      <w:tr w:rsidR="0099058F" w14:paraId="4B761E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ED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B"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EED" w14:textId="77777777" w:rsidR="0099058F" w:rsidRDefault="0099058F">
            <w:pPr>
              <w:widowControl/>
              <w:jc w:val="right"/>
              <w:rPr>
                <w:rFonts w:ascii="Times New Roman" w:eastAsia="宋体" w:hAnsi="宋体" w:cs="宋体"/>
                <w:kern w:val="0"/>
                <w:sz w:val="24"/>
              </w:rPr>
            </w:pPr>
          </w:p>
        </w:tc>
      </w:tr>
      <w:tr w:rsidR="0099058F" w14:paraId="4B761EF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EE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F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F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EF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F7"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E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EF9" w14:textId="77777777" w:rsidR="0099058F" w:rsidRDefault="0099058F">
            <w:pPr>
              <w:widowControl/>
              <w:jc w:val="right"/>
              <w:rPr>
                <w:rFonts w:ascii="Times New Roman" w:eastAsia="宋体" w:hAnsi="宋体" w:cs="宋体"/>
                <w:kern w:val="0"/>
                <w:sz w:val="24"/>
              </w:rPr>
            </w:pPr>
          </w:p>
        </w:tc>
      </w:tr>
      <w:tr w:rsidR="0099058F" w14:paraId="4B761F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EF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F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F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EF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E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0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0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0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05" w14:textId="77777777" w:rsidR="0099058F" w:rsidRDefault="0099058F">
            <w:pPr>
              <w:widowControl/>
              <w:jc w:val="right"/>
              <w:rPr>
                <w:rFonts w:ascii="Times New Roman" w:eastAsia="宋体" w:hAnsi="宋体" w:cs="宋体"/>
                <w:kern w:val="0"/>
                <w:sz w:val="24"/>
              </w:rPr>
            </w:pPr>
          </w:p>
        </w:tc>
      </w:tr>
      <w:tr w:rsidR="0099058F" w14:paraId="4B761F0F" w14:textId="77777777">
        <w:trPr>
          <w:hidden/>
        </w:trPr>
        <w:tc>
          <w:tcPr>
            <w:tcW w:w="0" w:type="auto"/>
            <w:gridSpan w:val="3"/>
            <w:tcBorders>
              <w:top w:val="nil"/>
              <w:left w:val="nil"/>
              <w:bottom w:val="nil"/>
              <w:right w:val="nil"/>
            </w:tcBorders>
            <w:shd w:val="clear" w:color="auto" w:fill="auto"/>
            <w:vAlign w:val="bottom"/>
          </w:tcPr>
          <w:p w14:paraId="4B761F0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0E" w14:textId="77777777" w:rsidR="0099058F" w:rsidRDefault="0099058F">
            <w:pPr>
              <w:widowControl/>
              <w:jc w:val="left"/>
              <w:rPr>
                <w:rFonts w:ascii="Times New Roman" w:eastAsia="宋体" w:hAnsi="宋体" w:cs="宋体"/>
                <w:vanish/>
                <w:kern w:val="0"/>
                <w:sz w:val="24"/>
              </w:rPr>
            </w:pPr>
          </w:p>
        </w:tc>
      </w:tr>
      <w:tr w:rsidR="0099058F" w14:paraId="4B761F18" w14:textId="77777777">
        <w:trPr>
          <w:hidden/>
        </w:trPr>
        <w:tc>
          <w:tcPr>
            <w:tcW w:w="0" w:type="auto"/>
            <w:gridSpan w:val="3"/>
            <w:tcBorders>
              <w:top w:val="nil"/>
              <w:left w:val="nil"/>
              <w:bottom w:val="nil"/>
              <w:right w:val="nil"/>
            </w:tcBorders>
            <w:shd w:val="clear" w:color="auto" w:fill="auto"/>
            <w:vAlign w:val="bottom"/>
          </w:tcPr>
          <w:p w14:paraId="4B761F1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1F17" w14:textId="77777777" w:rsidR="0099058F" w:rsidRDefault="0099058F">
            <w:pPr>
              <w:widowControl/>
              <w:jc w:val="left"/>
              <w:rPr>
                <w:rFonts w:ascii="Times New Roman" w:eastAsia="宋体" w:hAnsi="宋体" w:cs="宋体"/>
                <w:vanish/>
                <w:kern w:val="0"/>
                <w:sz w:val="24"/>
              </w:rPr>
            </w:pPr>
          </w:p>
        </w:tc>
      </w:tr>
      <w:tr w:rsidR="0099058F" w14:paraId="4B761F2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1F1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1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1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2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2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2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27" w14:textId="77777777" w:rsidR="0099058F" w:rsidRDefault="0099058F">
            <w:pPr>
              <w:widowControl/>
              <w:jc w:val="left"/>
              <w:rPr>
                <w:rFonts w:ascii="Times New Roman" w:eastAsia="宋体" w:hAnsi="宋体" w:cs="宋体"/>
                <w:kern w:val="0"/>
                <w:sz w:val="24"/>
              </w:rPr>
            </w:pPr>
          </w:p>
        </w:tc>
      </w:tr>
    </w:tbl>
    <w:p w14:paraId="4B761F2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2022, our allowance for losses related to receivables with ratings of CCC, B, BB and BBB. We applied default rates th</w:t>
      </w:r>
      <w:r>
        <w:rPr>
          <w:rFonts w:ascii="Arial" w:eastAsia="宋体" w:hAnsi="Arial" w:cs="Arial"/>
          <w:color w:val="000000"/>
          <w:kern w:val="0"/>
          <w:sz w:val="20"/>
          <w:szCs w:val="20"/>
          <w:lang w:bidi="ar"/>
        </w:rPr>
        <w:t>at averaged 100.0%, 31.5%, 2.9% and 0.1%, respectively, to the exposure associated with those receivables.</w:t>
      </w:r>
    </w:p>
    <w:p w14:paraId="4B761F2A"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4B761F2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majority of our customer financing portfolio is concentrated in the following aircraft models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525"/>
        <w:gridCol w:w="37"/>
        <w:gridCol w:w="63"/>
        <w:gridCol w:w="704"/>
        <w:gridCol w:w="36"/>
        <w:gridCol w:w="36"/>
        <w:gridCol w:w="36"/>
        <w:gridCol w:w="36"/>
        <w:gridCol w:w="59"/>
        <w:gridCol w:w="705"/>
        <w:gridCol w:w="36"/>
      </w:tblGrid>
      <w:tr w:rsidR="0099058F" w14:paraId="4B761F38" w14:textId="77777777">
        <w:tc>
          <w:tcPr>
            <w:tcW w:w="50" w:type="pct"/>
            <w:tcBorders>
              <w:top w:val="nil"/>
              <w:left w:val="nil"/>
              <w:bottom w:val="nil"/>
              <w:right w:val="nil"/>
            </w:tcBorders>
            <w:shd w:val="clear" w:color="auto" w:fill="auto"/>
            <w:vAlign w:val="bottom"/>
          </w:tcPr>
          <w:p w14:paraId="4B761F2C" w14:textId="77777777" w:rsidR="0099058F" w:rsidRDefault="0099058F">
            <w:pPr>
              <w:widowControl/>
              <w:jc w:val="left"/>
              <w:rPr>
                <w:rFonts w:ascii="Times New Roman" w:eastAsia="宋体" w:hAnsi="宋体" w:cs="宋体"/>
                <w:kern w:val="0"/>
                <w:sz w:val="24"/>
              </w:rPr>
            </w:pPr>
          </w:p>
        </w:tc>
        <w:tc>
          <w:tcPr>
            <w:tcW w:w="3923" w:type="pct"/>
            <w:tcBorders>
              <w:top w:val="nil"/>
              <w:left w:val="nil"/>
              <w:bottom w:val="nil"/>
              <w:right w:val="nil"/>
            </w:tcBorders>
            <w:shd w:val="clear" w:color="auto" w:fill="auto"/>
            <w:vAlign w:val="bottom"/>
          </w:tcPr>
          <w:p w14:paraId="4B761F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2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2F"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F3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3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F3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3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3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F3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37" w14:textId="77777777" w:rsidR="0099058F" w:rsidRDefault="0099058F">
            <w:pPr>
              <w:widowControl/>
              <w:jc w:val="left"/>
              <w:rPr>
                <w:rFonts w:ascii="Times New Roman" w:eastAsia="宋体" w:hAnsi="宋体" w:cs="宋体"/>
                <w:kern w:val="0"/>
                <w:sz w:val="24"/>
              </w:rPr>
            </w:pPr>
          </w:p>
        </w:tc>
      </w:tr>
      <w:tr w:rsidR="0099058F" w14:paraId="4B761F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3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1F4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F3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($45 and $62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4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F4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43" w14:textId="77777777" w:rsidR="0099058F" w:rsidRDefault="0099058F">
            <w:pPr>
              <w:widowControl/>
              <w:jc w:val="left"/>
              <w:rPr>
                <w:rFonts w:ascii="Times New Roman" w:eastAsia="宋体" w:hAnsi="宋体" w:cs="宋体"/>
                <w:kern w:val="0"/>
                <w:sz w:val="24"/>
              </w:rPr>
            </w:pPr>
          </w:p>
        </w:tc>
      </w:tr>
      <w:tr w:rsidR="0099058F" w14:paraId="4B761F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F4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747-8 Aircraft (Accounted for as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4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4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4A" w14:textId="77777777" w:rsidR="0099058F" w:rsidRDefault="0099058F">
            <w:pPr>
              <w:widowControl/>
              <w:jc w:val="right"/>
              <w:rPr>
                <w:rFonts w:ascii="Times New Roman" w:eastAsia="宋体" w:hAnsi="宋体" w:cs="宋体"/>
                <w:kern w:val="0"/>
                <w:sz w:val="24"/>
              </w:rPr>
            </w:pPr>
          </w:p>
        </w:tc>
      </w:tr>
      <w:tr w:rsidR="0099058F" w14:paraId="4B761F5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F4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($174 and $145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4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51" w14:textId="77777777" w:rsidR="0099058F" w:rsidRDefault="0099058F">
            <w:pPr>
              <w:widowControl/>
              <w:jc w:val="right"/>
              <w:rPr>
                <w:rFonts w:ascii="Times New Roman" w:eastAsia="宋体" w:hAnsi="宋体" w:cs="宋体"/>
                <w:kern w:val="0"/>
                <w:sz w:val="24"/>
              </w:rPr>
            </w:pPr>
          </w:p>
        </w:tc>
      </w:tr>
      <w:tr w:rsidR="0099058F" w14:paraId="4B761F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F5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777 </w:t>
            </w:r>
            <w:r>
              <w:rPr>
                <w:rFonts w:ascii="Arial" w:eastAsia="宋体" w:hAnsi="Arial" w:cs="Arial"/>
                <w:color w:val="000000"/>
                <w:kern w:val="0"/>
                <w:sz w:val="20"/>
                <w:szCs w:val="20"/>
                <w:lang w:bidi="ar"/>
              </w:rPr>
              <w:t>Aircraft ($209 and $225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5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5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58" w14:textId="77777777" w:rsidR="0099058F" w:rsidRDefault="0099058F">
            <w:pPr>
              <w:widowControl/>
              <w:jc w:val="right"/>
              <w:rPr>
                <w:rFonts w:ascii="Times New Roman" w:eastAsia="宋体" w:hAnsi="宋体" w:cs="宋体"/>
                <w:kern w:val="0"/>
                <w:sz w:val="24"/>
              </w:rPr>
            </w:pPr>
          </w:p>
        </w:tc>
      </w:tr>
      <w:tr w:rsidR="0099058F" w14:paraId="4B761F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F5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5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5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5F" w14:textId="77777777" w:rsidR="0099058F" w:rsidRDefault="0099058F">
            <w:pPr>
              <w:widowControl/>
              <w:jc w:val="right"/>
              <w:rPr>
                <w:rFonts w:ascii="Times New Roman" w:eastAsia="宋体" w:hAnsi="宋体" w:cs="宋体"/>
                <w:kern w:val="0"/>
                <w:sz w:val="24"/>
              </w:rPr>
            </w:pPr>
          </w:p>
        </w:tc>
      </w:tr>
      <w:tr w:rsidR="0099058F" w14:paraId="4B761F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F6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(Accounted for as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6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6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66" w14:textId="77777777" w:rsidR="0099058F" w:rsidRDefault="0099058F">
            <w:pPr>
              <w:widowControl/>
              <w:jc w:val="right"/>
              <w:rPr>
                <w:rFonts w:ascii="Times New Roman" w:eastAsia="宋体" w:hAnsi="宋体" w:cs="宋体"/>
                <w:kern w:val="0"/>
                <w:sz w:val="24"/>
              </w:rPr>
            </w:pPr>
          </w:p>
        </w:tc>
      </w:tr>
      <w:tr w:rsidR="0099058F" w14:paraId="4B761F6E"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61F6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747-400 Aircraft ($0 and $1 </w:t>
            </w:r>
            <w:r>
              <w:rPr>
                <w:rFonts w:ascii="Arial" w:eastAsia="宋体" w:hAnsi="Arial" w:cs="Arial"/>
                <w:color w:val="000000"/>
                <w:kern w:val="0"/>
                <w:sz w:val="20"/>
                <w:szCs w:val="20"/>
                <w:lang w:bidi="ar"/>
              </w:rPr>
              <w:t>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1F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1F6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1F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1F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1F6D" w14:textId="77777777" w:rsidR="0099058F" w:rsidRDefault="0099058F">
            <w:pPr>
              <w:widowControl/>
              <w:jc w:val="right"/>
              <w:rPr>
                <w:rFonts w:ascii="Times New Roman" w:eastAsia="宋体" w:hAnsi="宋体" w:cs="宋体"/>
                <w:kern w:val="0"/>
                <w:sz w:val="24"/>
              </w:rPr>
            </w:pPr>
          </w:p>
        </w:tc>
      </w:tr>
    </w:tbl>
    <w:p w14:paraId="4B761F6F" w14:textId="77777777" w:rsidR="0099058F" w:rsidRDefault="00EB2559">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Operating lease equipment primarily includes large commercial jet aircraft.</w:t>
      </w:r>
    </w:p>
    <w:p w14:paraId="4B761F7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Impairment charges related to customer financing operating lease assets for the years ended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61"/>
        <w:gridCol w:w="702"/>
        <w:gridCol w:w="36"/>
        <w:gridCol w:w="36"/>
        <w:gridCol w:w="36"/>
        <w:gridCol w:w="36"/>
        <w:gridCol w:w="53"/>
        <w:gridCol w:w="702"/>
        <w:gridCol w:w="36"/>
        <w:gridCol w:w="36"/>
        <w:gridCol w:w="36"/>
        <w:gridCol w:w="36"/>
        <w:gridCol w:w="53"/>
        <w:gridCol w:w="705"/>
        <w:gridCol w:w="36"/>
      </w:tblGrid>
      <w:tr w:rsidR="0099058F" w14:paraId="4B761F83" w14:textId="77777777">
        <w:tc>
          <w:tcPr>
            <w:tcW w:w="50" w:type="pct"/>
            <w:tcBorders>
              <w:top w:val="nil"/>
              <w:left w:val="nil"/>
              <w:bottom w:val="nil"/>
              <w:right w:val="nil"/>
            </w:tcBorders>
            <w:shd w:val="clear" w:color="auto" w:fill="auto"/>
            <w:vAlign w:val="bottom"/>
          </w:tcPr>
          <w:p w14:paraId="4B761F71"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1F7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74"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F7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F7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7A"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1F7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F7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7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80"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1F8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82" w14:textId="77777777" w:rsidR="0099058F" w:rsidRDefault="0099058F">
            <w:pPr>
              <w:widowControl/>
              <w:jc w:val="left"/>
              <w:rPr>
                <w:rFonts w:ascii="Times New Roman" w:eastAsia="宋体" w:hAnsi="宋体" w:cs="宋体"/>
                <w:kern w:val="0"/>
                <w:sz w:val="24"/>
              </w:rPr>
            </w:pPr>
          </w:p>
        </w:tc>
      </w:tr>
      <w:tr w:rsidR="0099058F" w14:paraId="4B761F8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8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1F9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1F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8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F8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9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F9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93" w14:textId="77777777" w:rsidR="0099058F" w:rsidRDefault="0099058F">
            <w:pPr>
              <w:widowControl/>
              <w:jc w:val="left"/>
              <w:rPr>
                <w:rFonts w:ascii="Times New Roman" w:eastAsia="宋体" w:hAnsi="宋体" w:cs="宋体"/>
                <w:kern w:val="0"/>
                <w:sz w:val="24"/>
              </w:rPr>
            </w:pPr>
          </w:p>
        </w:tc>
      </w:tr>
      <w:tr w:rsidR="0099058F" w14:paraId="4B761F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1F9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Boeing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9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9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9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9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9D" w14:textId="77777777" w:rsidR="0099058F" w:rsidRDefault="0099058F">
            <w:pPr>
              <w:widowControl/>
              <w:jc w:val="right"/>
              <w:rPr>
                <w:rFonts w:ascii="Times New Roman" w:eastAsia="宋体" w:hAnsi="宋体" w:cs="宋体"/>
                <w:kern w:val="0"/>
                <w:sz w:val="24"/>
              </w:rPr>
            </w:pPr>
          </w:p>
        </w:tc>
      </w:tr>
      <w:tr w:rsidR="0099058F" w14:paraId="4B761FA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1F9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A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FA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A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1FA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1F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1FA7" w14:textId="77777777" w:rsidR="0099058F" w:rsidRDefault="0099058F">
            <w:pPr>
              <w:widowControl/>
              <w:jc w:val="left"/>
              <w:rPr>
                <w:rFonts w:ascii="Times New Roman" w:eastAsia="宋体" w:hAnsi="宋体" w:cs="宋体"/>
                <w:kern w:val="0"/>
                <w:sz w:val="24"/>
              </w:rPr>
            </w:pPr>
          </w:p>
        </w:tc>
      </w:tr>
    </w:tbl>
    <w:p w14:paraId="4B761FA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Consolidated Statements of Operations for the years ended December 31, 2022 and 2021 </w:t>
      </w:r>
      <w:r>
        <w:rPr>
          <w:rFonts w:ascii="Arial" w:eastAsia="宋体" w:hAnsi="Arial" w:cs="Arial"/>
          <w:color w:val="000000"/>
          <w:kern w:val="0"/>
          <w:sz w:val="20"/>
          <w:szCs w:val="20"/>
          <w:lang w:bidi="ar"/>
        </w:rPr>
        <w:t>included $69 and $54 from sales-type/finance leases, and $65 and $68 from operating leases. Profit at the commencement of sales-type leases was recorded in revenue for the years ended December 31, 2022 and 2021 in the amount of $28 and $78.</w:t>
      </w:r>
    </w:p>
    <w:p w14:paraId="4B761FA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79</w:t>
      </w:r>
    </w:p>
    <w:p w14:paraId="4B761FAB" w14:textId="77777777" w:rsidR="0099058F" w:rsidRDefault="00EB2559">
      <w:pPr>
        <w:widowControl/>
        <w:jc w:val="center"/>
      </w:pPr>
      <w:r>
        <w:rPr>
          <w:rFonts w:ascii="宋体" w:eastAsia="宋体" w:hAnsi="宋体" w:cs="宋体"/>
          <w:kern w:val="0"/>
          <w:sz w:val="24"/>
        </w:rPr>
        <w:pict w14:anchorId="4B763C46">
          <v:rect id="_x0000_i1105" style="width:6in;height:1.5pt" o:hralign="center" o:hrstd="t" o:hr="t" fillcolor="#a0a0a0" stroked="f"/>
        </w:pict>
      </w:r>
    </w:p>
    <w:p w14:paraId="4B761FA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1FA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As of December 31, 2022, undiscounted cash flows for notes receivable, sales-type/finance and operating leases over the next </w:t>
      </w:r>
      <w:r>
        <w:rPr>
          <w:rFonts w:ascii="Arial" w:eastAsia="宋体" w:hAnsi="Arial" w:cs="Arial"/>
          <w:color w:val="000000"/>
          <w:kern w:val="0"/>
          <w:sz w:val="20"/>
          <w:szCs w:val="20"/>
          <w:lang w:bidi="ar"/>
        </w:rPr>
        <w:t>five years and thereafter are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9"/>
        <w:gridCol w:w="4393"/>
        <w:gridCol w:w="37"/>
        <w:gridCol w:w="80"/>
        <w:gridCol w:w="865"/>
        <w:gridCol w:w="36"/>
        <w:gridCol w:w="36"/>
        <w:gridCol w:w="36"/>
        <w:gridCol w:w="36"/>
        <w:gridCol w:w="136"/>
        <w:gridCol w:w="1537"/>
        <w:gridCol w:w="36"/>
        <w:gridCol w:w="36"/>
        <w:gridCol w:w="36"/>
        <w:gridCol w:w="36"/>
        <w:gridCol w:w="71"/>
        <w:gridCol w:w="841"/>
        <w:gridCol w:w="36"/>
      </w:tblGrid>
      <w:tr w:rsidR="0099058F" w14:paraId="4B761FC0" w14:textId="77777777">
        <w:tc>
          <w:tcPr>
            <w:tcW w:w="50" w:type="pct"/>
            <w:tcBorders>
              <w:top w:val="nil"/>
              <w:left w:val="nil"/>
              <w:bottom w:val="nil"/>
              <w:right w:val="nil"/>
            </w:tcBorders>
            <w:shd w:val="clear" w:color="auto" w:fill="auto"/>
            <w:vAlign w:val="bottom"/>
          </w:tcPr>
          <w:p w14:paraId="4B761FAE" w14:textId="77777777" w:rsidR="0099058F" w:rsidRDefault="0099058F">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4B761FA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B1"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1FB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4" w14:textId="77777777" w:rsidR="0099058F" w:rsidRDefault="0099058F">
            <w:pPr>
              <w:widowControl/>
              <w:jc w:val="left"/>
              <w:rPr>
                <w:rFonts w:ascii="Times New Roman" w:eastAsia="宋体" w:hAnsi="宋体" w:cs="宋体"/>
                <w:kern w:val="0"/>
                <w:sz w:val="24"/>
              </w:rPr>
            </w:pPr>
          </w:p>
        </w:tc>
        <w:tc>
          <w:tcPr>
            <w:tcW w:w="55" w:type="pct"/>
            <w:tcBorders>
              <w:top w:val="nil"/>
              <w:left w:val="nil"/>
              <w:bottom w:val="nil"/>
              <w:right w:val="nil"/>
            </w:tcBorders>
            <w:shd w:val="clear" w:color="auto" w:fill="auto"/>
            <w:vAlign w:val="bottom"/>
          </w:tcPr>
          <w:p w14:paraId="4B761FB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B7" w14:textId="77777777" w:rsidR="0099058F" w:rsidRDefault="0099058F">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B761FB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1FB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1FBD"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1FB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1FBF" w14:textId="77777777" w:rsidR="0099058F" w:rsidRDefault="0099058F">
            <w:pPr>
              <w:widowControl/>
              <w:jc w:val="left"/>
              <w:rPr>
                <w:rFonts w:ascii="Times New Roman" w:eastAsia="宋体" w:hAnsi="宋体" w:cs="宋体"/>
                <w:kern w:val="0"/>
                <w:sz w:val="24"/>
              </w:rPr>
            </w:pPr>
          </w:p>
        </w:tc>
      </w:tr>
      <w:tr w:rsidR="0099058F" w14:paraId="4B761FC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Sales-type/finance 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1F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1F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r>
      <w:tr w:rsidR="0099058F" w14:paraId="4B761FD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1FC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FC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1FC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1F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1FD0" w14:textId="77777777" w:rsidR="0099058F" w:rsidRDefault="0099058F">
            <w:pPr>
              <w:widowControl/>
              <w:jc w:val="left"/>
              <w:rPr>
                <w:rFonts w:ascii="Times New Roman" w:eastAsia="宋体" w:hAnsi="宋体" w:cs="宋体"/>
                <w:kern w:val="0"/>
                <w:sz w:val="24"/>
              </w:rPr>
            </w:pPr>
          </w:p>
        </w:tc>
      </w:tr>
      <w:tr w:rsidR="0099058F" w14:paraId="4B761F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FD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D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D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D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DA" w14:textId="77777777" w:rsidR="0099058F" w:rsidRDefault="0099058F">
            <w:pPr>
              <w:widowControl/>
              <w:jc w:val="left"/>
              <w:rPr>
                <w:rFonts w:ascii="Times New Roman" w:eastAsia="宋体" w:hAnsi="宋体" w:cs="宋体"/>
                <w:kern w:val="0"/>
                <w:sz w:val="24"/>
              </w:rPr>
            </w:pPr>
          </w:p>
        </w:tc>
      </w:tr>
      <w:tr w:rsidR="0099058F" w14:paraId="4B761F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FD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D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E4" w14:textId="77777777" w:rsidR="0099058F" w:rsidRDefault="0099058F">
            <w:pPr>
              <w:widowControl/>
              <w:jc w:val="right"/>
              <w:rPr>
                <w:rFonts w:ascii="Times New Roman" w:eastAsia="宋体" w:hAnsi="宋体" w:cs="宋体"/>
                <w:kern w:val="0"/>
                <w:sz w:val="24"/>
              </w:rPr>
            </w:pPr>
          </w:p>
        </w:tc>
      </w:tr>
      <w:tr w:rsidR="0099058F" w14:paraId="4B761F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FE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E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E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E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E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EE" w14:textId="77777777" w:rsidR="0099058F" w:rsidRDefault="0099058F">
            <w:pPr>
              <w:widowControl/>
              <w:jc w:val="right"/>
              <w:rPr>
                <w:rFonts w:ascii="Times New Roman" w:eastAsia="宋体" w:hAnsi="宋体" w:cs="宋体"/>
                <w:kern w:val="0"/>
                <w:sz w:val="24"/>
              </w:rPr>
            </w:pPr>
          </w:p>
        </w:tc>
      </w:tr>
      <w:tr w:rsidR="0099058F" w14:paraId="4B761F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1FF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F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F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F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1FF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1F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1FF8" w14:textId="77777777" w:rsidR="0099058F" w:rsidRDefault="0099058F">
            <w:pPr>
              <w:widowControl/>
              <w:jc w:val="right"/>
              <w:rPr>
                <w:rFonts w:ascii="Times New Roman" w:eastAsia="宋体" w:hAnsi="宋体" w:cs="宋体"/>
                <w:kern w:val="0"/>
                <w:sz w:val="24"/>
              </w:rPr>
            </w:pPr>
          </w:p>
        </w:tc>
      </w:tr>
      <w:tr w:rsidR="0099058F" w14:paraId="4B7620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1FF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F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1F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1F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1FF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02" w14:textId="77777777" w:rsidR="0099058F" w:rsidRDefault="0099058F">
            <w:pPr>
              <w:widowControl/>
              <w:jc w:val="right"/>
              <w:rPr>
                <w:rFonts w:ascii="Times New Roman" w:eastAsia="宋体" w:hAnsi="宋体" w:cs="宋体"/>
                <w:kern w:val="0"/>
                <w:sz w:val="24"/>
              </w:rPr>
            </w:pPr>
          </w:p>
        </w:tc>
      </w:tr>
      <w:tr w:rsidR="0099058F" w14:paraId="4B76200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00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receipts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0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0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0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0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0C" w14:textId="77777777" w:rsidR="0099058F" w:rsidRDefault="0099058F">
            <w:pPr>
              <w:widowControl/>
              <w:jc w:val="left"/>
              <w:rPr>
                <w:rFonts w:ascii="Times New Roman" w:eastAsia="宋体" w:hAnsi="宋体" w:cs="宋体"/>
                <w:kern w:val="0"/>
                <w:sz w:val="24"/>
              </w:rPr>
            </w:pPr>
          </w:p>
        </w:tc>
      </w:tr>
      <w:tr w:rsidR="0099058F" w14:paraId="4B7620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00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imputed interest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1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14" w14:textId="77777777" w:rsidR="0099058F" w:rsidRDefault="0099058F">
            <w:pPr>
              <w:widowControl/>
              <w:jc w:val="left"/>
              <w:rPr>
                <w:rFonts w:ascii="Times New Roman" w:eastAsia="宋体" w:hAnsi="宋体" w:cs="宋体"/>
                <w:kern w:val="0"/>
                <w:sz w:val="24"/>
              </w:rPr>
            </w:pPr>
          </w:p>
        </w:tc>
      </w:tr>
      <w:tr w:rsidR="0099058F" w14:paraId="4B7620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01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unguaranteed residual values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1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0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0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1C" w14:textId="77777777" w:rsidR="0099058F" w:rsidRDefault="0099058F">
            <w:pPr>
              <w:widowControl/>
              <w:jc w:val="left"/>
              <w:rPr>
                <w:rFonts w:ascii="Times New Roman" w:eastAsia="宋体" w:hAnsi="宋体" w:cs="宋体"/>
                <w:kern w:val="0"/>
                <w:sz w:val="24"/>
              </w:rPr>
            </w:pPr>
          </w:p>
        </w:tc>
      </w:tr>
      <w:tr w:rsidR="0099058F" w14:paraId="4B76202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201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0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02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02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0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02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02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0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026" w14:textId="77777777" w:rsidR="0099058F" w:rsidRDefault="0099058F">
            <w:pPr>
              <w:widowControl/>
              <w:jc w:val="left"/>
              <w:rPr>
                <w:rFonts w:ascii="Times New Roman" w:eastAsia="宋体" w:hAnsi="宋体" w:cs="宋体"/>
                <w:kern w:val="0"/>
                <w:sz w:val="24"/>
              </w:rPr>
            </w:pPr>
          </w:p>
        </w:tc>
      </w:tr>
    </w:tbl>
    <w:p w14:paraId="4B762028"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At December 31, 2022 and December 31, 2021, unguaranteed residual values were $86 and $110. Guaranteed residual values at December 31, 2022 were not significant. </w:t>
      </w:r>
    </w:p>
    <w:p w14:paraId="4B762029"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Property, Plant and Equipment</w:t>
      </w:r>
    </w:p>
    <w:p w14:paraId="4B76202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Property, plant and equipment at December 31 consiste</w:t>
      </w:r>
      <w:r>
        <w:rPr>
          <w:rFonts w:ascii="Arial" w:eastAsia="宋体" w:hAnsi="Arial" w:cs="Arial"/>
          <w:color w:val="000000"/>
          <w:kern w:val="0"/>
          <w:sz w:val="20"/>
          <w:szCs w:val="20"/>
          <w:lang w:bidi="ar"/>
        </w:rPr>
        <w:t>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99058F" w14:paraId="4B762037" w14:textId="77777777">
        <w:tc>
          <w:tcPr>
            <w:tcW w:w="50" w:type="pct"/>
            <w:tcBorders>
              <w:top w:val="nil"/>
              <w:left w:val="nil"/>
              <w:bottom w:val="nil"/>
              <w:right w:val="nil"/>
            </w:tcBorders>
            <w:shd w:val="clear" w:color="auto" w:fill="auto"/>
            <w:vAlign w:val="bottom"/>
          </w:tcPr>
          <w:p w14:paraId="4B76202B"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20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2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2E"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0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3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3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0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3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34"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03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36" w14:textId="77777777" w:rsidR="0099058F" w:rsidRDefault="0099058F">
            <w:pPr>
              <w:widowControl/>
              <w:jc w:val="left"/>
              <w:rPr>
                <w:rFonts w:ascii="Times New Roman" w:eastAsia="宋体" w:hAnsi="宋体" w:cs="宋体"/>
                <w:kern w:val="0"/>
                <w:sz w:val="24"/>
              </w:rPr>
            </w:pPr>
          </w:p>
        </w:tc>
      </w:tr>
      <w:tr w:rsidR="0099058F" w14:paraId="4B7620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0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0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03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0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0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03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Land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3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4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42" w14:textId="77777777" w:rsidR="0099058F" w:rsidRDefault="0099058F">
            <w:pPr>
              <w:widowControl/>
              <w:jc w:val="left"/>
              <w:rPr>
                <w:rFonts w:ascii="Times New Roman" w:eastAsia="宋体" w:hAnsi="宋体" w:cs="宋体"/>
                <w:kern w:val="0"/>
                <w:sz w:val="24"/>
              </w:rPr>
            </w:pPr>
          </w:p>
        </w:tc>
      </w:tr>
      <w:tr w:rsidR="0099058F" w14:paraId="4B7620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04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Buildings and land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4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4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49" w14:textId="77777777" w:rsidR="0099058F" w:rsidRDefault="0099058F">
            <w:pPr>
              <w:widowControl/>
              <w:jc w:val="right"/>
              <w:rPr>
                <w:rFonts w:ascii="Times New Roman" w:eastAsia="宋体" w:hAnsi="宋体" w:cs="宋体"/>
                <w:kern w:val="0"/>
                <w:sz w:val="24"/>
              </w:rPr>
            </w:pPr>
          </w:p>
        </w:tc>
      </w:tr>
      <w:tr w:rsidR="0099058F" w14:paraId="4B7620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04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Machinery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0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04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4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0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050" w14:textId="77777777" w:rsidR="0099058F" w:rsidRDefault="0099058F">
            <w:pPr>
              <w:widowControl/>
              <w:jc w:val="right"/>
              <w:rPr>
                <w:rFonts w:ascii="Times New Roman" w:eastAsia="宋体" w:hAnsi="宋体" w:cs="宋体"/>
                <w:kern w:val="0"/>
                <w:sz w:val="24"/>
              </w:rPr>
            </w:pPr>
          </w:p>
        </w:tc>
      </w:tr>
      <w:tr w:rsidR="0099058F" w14:paraId="4B7620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05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Construction in progress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5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57" w14:textId="77777777" w:rsidR="0099058F" w:rsidRDefault="0099058F">
            <w:pPr>
              <w:widowControl/>
              <w:jc w:val="right"/>
              <w:rPr>
                <w:rFonts w:ascii="Times New Roman" w:eastAsia="宋体" w:hAnsi="宋体" w:cs="宋体"/>
                <w:kern w:val="0"/>
                <w:sz w:val="24"/>
              </w:rPr>
            </w:pPr>
          </w:p>
        </w:tc>
      </w:tr>
      <w:tr w:rsidR="0099058F" w14:paraId="4B76205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05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property, plant and equipment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31,992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5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5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5E" w14:textId="77777777" w:rsidR="0099058F" w:rsidRDefault="0099058F">
            <w:pPr>
              <w:widowControl/>
              <w:jc w:val="right"/>
              <w:rPr>
                <w:rFonts w:ascii="Times New Roman" w:eastAsia="宋体" w:hAnsi="宋体" w:cs="宋体"/>
                <w:kern w:val="0"/>
                <w:sz w:val="24"/>
              </w:rPr>
            </w:pPr>
          </w:p>
        </w:tc>
      </w:tr>
      <w:tr w:rsidR="0099058F" w14:paraId="4B7620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06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accumulated depreciation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(21,442)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6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6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65" w14:textId="77777777" w:rsidR="0099058F" w:rsidRDefault="0099058F">
            <w:pPr>
              <w:widowControl/>
              <w:jc w:val="right"/>
              <w:rPr>
                <w:rFonts w:ascii="Times New Roman" w:eastAsia="宋体" w:hAnsi="宋体" w:cs="宋体"/>
                <w:kern w:val="0"/>
                <w:sz w:val="24"/>
              </w:rPr>
            </w:pPr>
          </w:p>
        </w:tc>
      </w:tr>
      <w:tr w:rsidR="0099058F" w14:paraId="4B76206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06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0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0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06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0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06C" w14:textId="77777777" w:rsidR="0099058F" w:rsidRDefault="0099058F">
            <w:pPr>
              <w:widowControl/>
              <w:jc w:val="left"/>
              <w:rPr>
                <w:rFonts w:ascii="Times New Roman" w:eastAsia="宋体" w:hAnsi="宋体" w:cs="宋体"/>
                <w:kern w:val="0"/>
                <w:sz w:val="24"/>
              </w:rPr>
            </w:pPr>
          </w:p>
        </w:tc>
      </w:tr>
    </w:tbl>
    <w:p w14:paraId="4B76206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Depreciation expense was $1,396, $1,488 and $1,533 for 2022, 2021 and 2020, respectively. Interest capitalized in 2022, 2021 and 2020 totaled $89, $76 and $81, </w:t>
      </w:r>
      <w:r>
        <w:rPr>
          <w:rFonts w:ascii="Arial" w:eastAsia="宋体" w:hAnsi="Arial" w:cs="Arial"/>
          <w:color w:val="000000"/>
          <w:kern w:val="0"/>
          <w:sz w:val="20"/>
          <w:szCs w:val="20"/>
          <w:lang w:bidi="ar"/>
        </w:rPr>
        <w:t>respectively.</w:t>
      </w:r>
    </w:p>
    <w:p w14:paraId="4B76206F"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2022 and 2021, we acquired $101 and $46 of property, plant and equipment through non-cash investing and financing transactions. Accounts payable related to purchases of property, plant and equipment were $396 and $295 for the </w:t>
      </w:r>
      <w:r>
        <w:rPr>
          <w:rFonts w:ascii="Arial" w:eastAsia="宋体" w:hAnsi="Arial" w:cs="Arial"/>
          <w:color w:val="000000"/>
          <w:kern w:val="0"/>
          <w:sz w:val="20"/>
          <w:szCs w:val="20"/>
          <w:lang w:bidi="ar"/>
        </w:rPr>
        <w:t>years ended December 31, 2022 and 2021.</w:t>
      </w:r>
    </w:p>
    <w:p w14:paraId="4B76207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80</w:t>
      </w:r>
    </w:p>
    <w:p w14:paraId="4B762071" w14:textId="77777777" w:rsidR="0099058F" w:rsidRDefault="00EB2559">
      <w:pPr>
        <w:widowControl/>
        <w:jc w:val="center"/>
      </w:pPr>
      <w:r>
        <w:rPr>
          <w:rFonts w:ascii="宋体" w:eastAsia="宋体" w:hAnsi="宋体" w:cs="宋体"/>
          <w:kern w:val="0"/>
          <w:sz w:val="24"/>
        </w:rPr>
        <w:pict w14:anchorId="4B763C47">
          <v:rect id="_x0000_i1106" style="width:6in;height:1.5pt" o:hralign="center" o:hrstd="t" o:hr="t" fillcolor="#a0a0a0" stroked="f"/>
        </w:pict>
      </w:r>
    </w:p>
    <w:p w14:paraId="4B76207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073"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Investments</w:t>
      </w:r>
    </w:p>
    <w:p w14:paraId="4B762074" w14:textId="77777777" w:rsidR="0099058F" w:rsidRDefault="00EB2559">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w:t>
      </w:r>
      <w:r>
        <w:rPr>
          <w:rFonts w:ascii="Arial" w:eastAsia="宋体" w:hAnsi="Arial" w:cs="Arial"/>
          <w:color w:val="000000"/>
          <w:kern w:val="0"/>
          <w:sz w:val="20"/>
          <w:szCs w:val="20"/>
          <w:lang w:bidi="ar"/>
        </w:rPr>
        <w:t xml:space="preserve"> other investments or Investments, consisted of the following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525"/>
        <w:gridCol w:w="36"/>
        <w:gridCol w:w="72"/>
        <w:gridCol w:w="696"/>
        <w:gridCol w:w="36"/>
        <w:gridCol w:w="36"/>
        <w:gridCol w:w="36"/>
        <w:gridCol w:w="36"/>
        <w:gridCol w:w="72"/>
        <w:gridCol w:w="692"/>
        <w:gridCol w:w="36"/>
      </w:tblGrid>
      <w:tr w:rsidR="0099058F" w14:paraId="4B762081" w14:textId="77777777">
        <w:tc>
          <w:tcPr>
            <w:tcW w:w="50" w:type="pct"/>
            <w:tcBorders>
              <w:top w:val="nil"/>
              <w:left w:val="nil"/>
              <w:bottom w:val="nil"/>
              <w:right w:val="nil"/>
            </w:tcBorders>
            <w:shd w:val="clear" w:color="auto" w:fill="auto"/>
            <w:vAlign w:val="bottom"/>
          </w:tcPr>
          <w:p w14:paraId="4B762075" w14:textId="77777777" w:rsidR="0099058F" w:rsidRDefault="0099058F">
            <w:pPr>
              <w:widowControl/>
              <w:jc w:val="left"/>
              <w:rPr>
                <w:rFonts w:ascii="Times New Roman" w:eastAsia="宋体" w:hAnsi="宋体" w:cs="宋体"/>
                <w:kern w:val="0"/>
                <w:sz w:val="24"/>
              </w:rPr>
            </w:pPr>
          </w:p>
        </w:tc>
        <w:tc>
          <w:tcPr>
            <w:tcW w:w="3923" w:type="pct"/>
            <w:tcBorders>
              <w:top w:val="nil"/>
              <w:left w:val="nil"/>
              <w:bottom w:val="single" w:sz="8" w:space="0" w:color="000000"/>
              <w:right w:val="nil"/>
            </w:tcBorders>
            <w:shd w:val="clear" w:color="auto" w:fill="auto"/>
            <w:vAlign w:val="bottom"/>
          </w:tcPr>
          <w:p w14:paraId="4B76207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207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78"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single" w:sz="8" w:space="0" w:color="000000"/>
              <w:right w:val="nil"/>
            </w:tcBorders>
            <w:shd w:val="clear" w:color="auto" w:fill="auto"/>
            <w:vAlign w:val="bottom"/>
          </w:tcPr>
          <w:p w14:paraId="4B76207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207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7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B76207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207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7E"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single" w:sz="8" w:space="0" w:color="000000"/>
              <w:right w:val="nil"/>
            </w:tcBorders>
            <w:shd w:val="clear" w:color="auto" w:fill="auto"/>
            <w:vAlign w:val="bottom"/>
          </w:tcPr>
          <w:p w14:paraId="4B76207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2080" w14:textId="77777777" w:rsidR="0099058F" w:rsidRDefault="0099058F">
            <w:pPr>
              <w:widowControl/>
              <w:jc w:val="left"/>
              <w:rPr>
                <w:rFonts w:ascii="Times New Roman" w:eastAsia="宋体" w:hAnsi="宋体" w:cs="宋体"/>
                <w:kern w:val="0"/>
                <w:sz w:val="24"/>
              </w:rPr>
            </w:pPr>
          </w:p>
        </w:tc>
      </w:tr>
      <w:tr w:rsidR="0099058F" w14:paraId="4B76208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08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8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08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2087"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08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$948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08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8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08B"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$930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08C" w14:textId="77777777" w:rsidR="0099058F" w:rsidRDefault="0099058F">
            <w:pPr>
              <w:widowControl/>
              <w:jc w:val="left"/>
              <w:rPr>
                <w:rFonts w:ascii="Times New Roman" w:eastAsia="宋体" w:hAnsi="宋体" w:cs="宋体"/>
                <w:kern w:val="0"/>
                <w:sz w:val="24"/>
              </w:rPr>
            </w:pPr>
          </w:p>
        </w:tc>
      </w:tr>
      <w:tr w:rsidR="0099058F" w14:paraId="4B7620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208E"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208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2,093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209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9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2092"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7,676 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2093" w14:textId="77777777" w:rsidR="0099058F" w:rsidRDefault="0099058F">
            <w:pPr>
              <w:widowControl/>
              <w:jc w:val="left"/>
              <w:rPr>
                <w:rFonts w:ascii="Times New Roman" w:eastAsia="宋体" w:hAnsi="宋体" w:cs="宋体"/>
                <w:kern w:val="0"/>
                <w:sz w:val="24"/>
              </w:rPr>
            </w:pPr>
          </w:p>
        </w:tc>
      </w:tr>
      <w:tr w:rsidR="0099058F" w14:paraId="4B76209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2095"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Available for sale debt </w:t>
            </w:r>
            <w:r>
              <w:rPr>
                <w:rFonts w:ascii="Arial" w:eastAsia="宋体" w:hAnsi="Arial" w:cs="Arial"/>
                <w:color w:val="000000"/>
                <w:kern w:val="0"/>
                <w:sz w:val="20"/>
                <w:szCs w:val="20"/>
                <w:lang w:bidi="ar"/>
              </w:rPr>
              <w:t>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2096"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479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209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9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2099"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209A" w14:textId="77777777" w:rsidR="0099058F" w:rsidRDefault="0099058F">
            <w:pPr>
              <w:widowControl/>
              <w:jc w:val="right"/>
              <w:rPr>
                <w:rFonts w:ascii="Times New Roman" w:eastAsia="宋体" w:hAnsi="宋体" w:cs="宋体"/>
                <w:kern w:val="0"/>
                <w:sz w:val="24"/>
              </w:rPr>
            </w:pPr>
          </w:p>
        </w:tc>
      </w:tr>
      <w:tr w:rsidR="0099058F" w14:paraId="4B7620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209C"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209D"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209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20A0"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20A1" w14:textId="77777777" w:rsidR="0099058F" w:rsidRDefault="0099058F">
            <w:pPr>
              <w:widowControl/>
              <w:jc w:val="right"/>
              <w:rPr>
                <w:rFonts w:ascii="Times New Roman" w:eastAsia="宋体" w:hAnsi="宋体" w:cs="宋体"/>
                <w:kern w:val="0"/>
                <w:sz w:val="24"/>
              </w:rPr>
            </w:pPr>
          </w:p>
        </w:tc>
      </w:tr>
      <w:tr w:rsidR="0099058F" w14:paraId="4B7620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B7620A3"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Restricted cash &amp; cash equivalents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20A4"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20A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0A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B7620A7"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B7620A8" w14:textId="77777777" w:rsidR="0099058F" w:rsidRDefault="0099058F">
            <w:pPr>
              <w:widowControl/>
              <w:jc w:val="left"/>
              <w:rPr>
                <w:rFonts w:ascii="Times New Roman" w:eastAsia="宋体" w:hAnsi="宋体" w:cs="宋体"/>
                <w:kern w:val="0"/>
                <w:sz w:val="24"/>
              </w:rPr>
            </w:pPr>
          </w:p>
        </w:tc>
      </w:tr>
      <w:tr w:rsidR="0099058F" w14:paraId="4B7620B0"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center"/>
          </w:tcPr>
          <w:p w14:paraId="4B7620AA"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4B7620AB"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$3,589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4B7620A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0A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4B7620A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$9,167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4B7620AF" w14:textId="77777777" w:rsidR="0099058F" w:rsidRDefault="0099058F">
            <w:pPr>
              <w:widowControl/>
              <w:jc w:val="left"/>
              <w:rPr>
                <w:rFonts w:ascii="Times New Roman" w:eastAsia="宋体" w:hAnsi="宋体" w:cs="宋体"/>
                <w:kern w:val="0"/>
                <w:sz w:val="24"/>
              </w:rPr>
            </w:pPr>
          </w:p>
        </w:tc>
      </w:tr>
    </w:tbl>
    <w:p w14:paraId="4B7620B1"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4"/>
          <w:szCs w:val="14"/>
          <w:lang w:bidi="ar"/>
        </w:rPr>
        <w:t>(1)</w:t>
      </w:r>
      <w:r>
        <w:rPr>
          <w:rFonts w:ascii="Arial" w:eastAsia="宋体" w:hAnsi="Arial" w:cs="Arial"/>
          <w:color w:val="000000"/>
          <w:kern w:val="0"/>
          <w:sz w:val="20"/>
          <w:szCs w:val="20"/>
          <w:lang w:bidi="ar"/>
        </w:rPr>
        <w:t xml:space="preserve">Dividends received were $111 and $77 during 2022 and 2021. Retained earnings at December 31, 2022 </w:t>
      </w:r>
      <w:r>
        <w:rPr>
          <w:rFonts w:ascii="Arial" w:eastAsia="宋体" w:hAnsi="Arial" w:cs="Arial"/>
          <w:color w:val="000000"/>
          <w:kern w:val="0"/>
          <w:sz w:val="20"/>
          <w:szCs w:val="20"/>
          <w:lang w:bidi="ar"/>
        </w:rPr>
        <w:t>include undistributed earnings from our equity method investments of $141. During the third quarter of 2021, Boeing and AE Industrial Partners announced a strategic partnership to establish a dedicated aerospace venture fund. This transaction resulted in t</w:t>
      </w:r>
      <w:r>
        <w:rPr>
          <w:rFonts w:ascii="Arial" w:eastAsia="宋体" w:hAnsi="Arial" w:cs="Arial"/>
          <w:color w:val="000000"/>
          <w:kern w:val="0"/>
          <w:sz w:val="20"/>
          <w:szCs w:val="20"/>
          <w:lang w:bidi="ar"/>
        </w:rPr>
        <w:t>he deconsolidation of HorizonX and generated a gain of $117 which is included in (Loss)/income from operating investments, net.</w:t>
      </w:r>
    </w:p>
    <w:p w14:paraId="4B7620B2"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property sales, workers’ compensation programs and insurance premiums.</w:t>
      </w:r>
    </w:p>
    <w:p w14:paraId="4B7620B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Allowanc</w:t>
      </w:r>
      <w:r>
        <w:rPr>
          <w:rFonts w:ascii="Arial" w:eastAsia="宋体" w:hAnsi="Arial" w:cs="Arial"/>
          <w:color w:val="000000"/>
          <w:kern w:val="0"/>
          <w:sz w:val="20"/>
          <w:szCs w:val="20"/>
          <w:lang w:bidi="ar"/>
        </w:rPr>
        <w:t>e for losses on available for sale debt instruments are assessed quarterly. All instruments are considered investment grade and we have not recognized an allowance for credit losses as of December 31, 2022.</w:t>
      </w:r>
    </w:p>
    <w:p w14:paraId="4B7620B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Equity Method Investments</w:t>
      </w:r>
    </w:p>
    <w:p w14:paraId="4B7620B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Our equity method </w:t>
      </w:r>
      <w:r>
        <w:rPr>
          <w:rFonts w:ascii="Arial" w:eastAsia="宋体" w:hAnsi="Arial" w:cs="Arial"/>
          <w:color w:val="000000"/>
          <w:kern w:val="0"/>
          <w:sz w:val="20"/>
          <w:szCs w:val="20"/>
          <w:lang w:bidi="ar"/>
        </w:rPr>
        <w:t>investments consisted of the following at December 31: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7"/>
        <w:gridCol w:w="1858"/>
        <w:gridCol w:w="36"/>
        <w:gridCol w:w="57"/>
        <w:gridCol w:w="3305"/>
        <w:gridCol w:w="36"/>
        <w:gridCol w:w="84"/>
        <w:gridCol w:w="1071"/>
        <w:gridCol w:w="36"/>
        <w:gridCol w:w="36"/>
        <w:gridCol w:w="36"/>
        <w:gridCol w:w="36"/>
        <w:gridCol w:w="54"/>
        <w:gridCol w:w="690"/>
        <w:gridCol w:w="37"/>
        <w:gridCol w:w="37"/>
        <w:gridCol w:w="37"/>
        <w:gridCol w:w="37"/>
        <w:gridCol w:w="54"/>
        <w:gridCol w:w="693"/>
        <w:gridCol w:w="36"/>
      </w:tblGrid>
      <w:tr w:rsidR="0099058F" w14:paraId="4B7620CB" w14:textId="77777777">
        <w:tc>
          <w:tcPr>
            <w:tcW w:w="50" w:type="pct"/>
            <w:tcBorders>
              <w:top w:val="nil"/>
              <w:left w:val="nil"/>
              <w:bottom w:val="nil"/>
              <w:right w:val="nil"/>
            </w:tcBorders>
            <w:shd w:val="clear" w:color="auto" w:fill="auto"/>
            <w:vAlign w:val="bottom"/>
          </w:tcPr>
          <w:p w14:paraId="4B7620B6" w14:textId="77777777" w:rsidR="0099058F" w:rsidRDefault="0099058F">
            <w:pPr>
              <w:widowControl/>
              <w:jc w:val="left"/>
              <w:rPr>
                <w:rFonts w:ascii="Times New Roman" w:eastAsia="宋体" w:hAnsi="宋体" w:cs="宋体"/>
                <w:kern w:val="0"/>
                <w:sz w:val="24"/>
              </w:rPr>
            </w:pPr>
          </w:p>
        </w:tc>
        <w:tc>
          <w:tcPr>
            <w:tcW w:w="1131" w:type="pct"/>
            <w:tcBorders>
              <w:top w:val="nil"/>
              <w:left w:val="nil"/>
              <w:bottom w:val="nil"/>
              <w:right w:val="nil"/>
            </w:tcBorders>
            <w:shd w:val="clear" w:color="auto" w:fill="auto"/>
            <w:vAlign w:val="bottom"/>
          </w:tcPr>
          <w:p w14:paraId="4B7620B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B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B9" w14:textId="77777777" w:rsidR="0099058F" w:rsidRDefault="0099058F">
            <w:pPr>
              <w:widowControl/>
              <w:jc w:val="left"/>
              <w:rPr>
                <w:rFonts w:ascii="Times New Roman" w:eastAsia="宋体" w:hAnsi="宋体" w:cs="宋体"/>
                <w:kern w:val="0"/>
                <w:sz w:val="24"/>
              </w:rPr>
            </w:pPr>
          </w:p>
        </w:tc>
        <w:tc>
          <w:tcPr>
            <w:tcW w:w="1999" w:type="pct"/>
            <w:tcBorders>
              <w:top w:val="nil"/>
              <w:left w:val="nil"/>
              <w:bottom w:val="nil"/>
              <w:right w:val="nil"/>
            </w:tcBorders>
            <w:shd w:val="clear" w:color="auto" w:fill="auto"/>
            <w:vAlign w:val="bottom"/>
          </w:tcPr>
          <w:p w14:paraId="4B7620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B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BC" w14:textId="77777777" w:rsidR="0099058F" w:rsidRDefault="0099058F">
            <w:pPr>
              <w:widowControl/>
              <w:jc w:val="left"/>
              <w:rPr>
                <w:rFonts w:ascii="Times New Roman" w:eastAsia="宋体" w:hAnsi="宋体" w:cs="宋体"/>
                <w:kern w:val="0"/>
                <w:sz w:val="24"/>
              </w:rPr>
            </w:pPr>
          </w:p>
        </w:tc>
        <w:tc>
          <w:tcPr>
            <w:tcW w:w="640" w:type="pct"/>
            <w:tcBorders>
              <w:top w:val="nil"/>
              <w:left w:val="nil"/>
              <w:bottom w:val="nil"/>
              <w:right w:val="nil"/>
            </w:tcBorders>
            <w:shd w:val="clear" w:color="auto" w:fill="auto"/>
            <w:vAlign w:val="bottom"/>
          </w:tcPr>
          <w:p w14:paraId="4B7620B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B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B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0C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C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C2"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0C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C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C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0C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C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0C8"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0C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0CA" w14:textId="77777777" w:rsidR="0099058F" w:rsidRDefault="0099058F">
            <w:pPr>
              <w:widowControl/>
              <w:jc w:val="left"/>
              <w:rPr>
                <w:rFonts w:ascii="Times New Roman" w:eastAsia="宋体" w:hAnsi="宋体" w:cs="宋体"/>
                <w:kern w:val="0"/>
                <w:sz w:val="24"/>
              </w:rPr>
            </w:pPr>
          </w:p>
        </w:tc>
      </w:tr>
      <w:tr w:rsidR="0099058F" w14:paraId="4B7620D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0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0C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Segment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0C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Ownership Percentages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0CF"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0D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Investment Balance</w:t>
            </w:r>
          </w:p>
        </w:tc>
      </w:tr>
      <w:tr w:rsidR="0099058F" w14:paraId="4B7620D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0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0D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0D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0D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D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0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0E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20DA"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United Launch Alliance</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20DB" w14:textId="77777777" w:rsidR="0099058F" w:rsidRDefault="00EB2559">
            <w:pPr>
              <w:widowControl/>
              <w:spacing w:after="100"/>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BDS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0D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D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0DE"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0D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0E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0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0E2" w14:textId="77777777" w:rsidR="0099058F" w:rsidRDefault="0099058F">
            <w:pPr>
              <w:widowControl/>
              <w:jc w:val="left"/>
              <w:rPr>
                <w:rFonts w:ascii="Times New Roman" w:eastAsia="宋体" w:hAnsi="宋体" w:cs="宋体"/>
                <w:kern w:val="0"/>
                <w:sz w:val="24"/>
              </w:rPr>
            </w:pPr>
          </w:p>
        </w:tc>
      </w:tr>
      <w:tr w:rsidR="0099058F" w14:paraId="4B7620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B7620E4"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center"/>
          </w:tcPr>
          <w:p w14:paraId="4B7620E5"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BCA, BDS, BGS and Other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E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B7620E8"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361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B7620E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0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0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0EC" w14:textId="77777777" w:rsidR="0099058F" w:rsidRDefault="0099058F">
            <w:pPr>
              <w:widowControl/>
              <w:jc w:val="right"/>
              <w:rPr>
                <w:rFonts w:ascii="Times New Roman" w:eastAsia="宋体" w:hAnsi="宋体" w:cs="宋体"/>
                <w:kern w:val="0"/>
                <w:sz w:val="24"/>
              </w:rPr>
            </w:pPr>
          </w:p>
        </w:tc>
      </w:tr>
      <w:tr w:rsidR="0099058F" w14:paraId="4B7620F6" w14:textId="77777777">
        <w:tc>
          <w:tcPr>
            <w:tcW w:w="0" w:type="auto"/>
            <w:gridSpan w:val="6"/>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0E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equity method investments</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0E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0F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0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0F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0F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0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0F5" w14:textId="77777777" w:rsidR="0099058F" w:rsidRDefault="0099058F">
            <w:pPr>
              <w:widowControl/>
              <w:jc w:val="left"/>
              <w:rPr>
                <w:rFonts w:ascii="Times New Roman" w:eastAsia="宋体" w:hAnsi="宋体" w:cs="宋体"/>
                <w:kern w:val="0"/>
                <w:sz w:val="24"/>
              </w:rPr>
            </w:pPr>
          </w:p>
        </w:tc>
      </w:tr>
    </w:tbl>
    <w:p w14:paraId="4B7620F7"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Leases</w:t>
      </w:r>
    </w:p>
    <w:p w14:paraId="4B7620F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operating lease assets primarily represent manufacturing and research and development facilities, warehouses and offices. Total </w:t>
      </w:r>
      <w:r>
        <w:rPr>
          <w:rFonts w:ascii="Arial" w:eastAsia="宋体" w:hAnsi="Arial" w:cs="Arial"/>
          <w:color w:val="000000"/>
          <w:kern w:val="0"/>
          <w:sz w:val="20"/>
          <w:szCs w:val="20"/>
          <w:lang w:bidi="ar"/>
        </w:rPr>
        <w:t>operating lease expense was $421 and $380 for the years ended December 31, 2022 and 2021, of which $75 and $73 was attributable to variable lease expenses.</w:t>
      </w:r>
    </w:p>
    <w:p w14:paraId="4B7620F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the years ended December 31, 2022 and 2021, cash payments against operating lease </w:t>
      </w:r>
      <w:r>
        <w:rPr>
          <w:rFonts w:ascii="Arial" w:eastAsia="宋体" w:hAnsi="Arial" w:cs="Arial"/>
          <w:color w:val="000000"/>
          <w:kern w:val="0"/>
          <w:sz w:val="20"/>
          <w:szCs w:val="20"/>
          <w:lang w:bidi="ar"/>
        </w:rPr>
        <w:t>liabilities totaled $294 and $301 and non-cash transactions totaled $245 and $443 to recognize operating assets and liabilities for new leases.</w:t>
      </w:r>
    </w:p>
    <w:p w14:paraId="4B7620F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81</w:t>
      </w:r>
    </w:p>
    <w:p w14:paraId="4B7620FB" w14:textId="77777777" w:rsidR="0099058F" w:rsidRDefault="00EB2559">
      <w:pPr>
        <w:widowControl/>
        <w:jc w:val="center"/>
      </w:pPr>
      <w:r>
        <w:rPr>
          <w:rFonts w:ascii="宋体" w:eastAsia="宋体" w:hAnsi="宋体" w:cs="宋体"/>
          <w:kern w:val="0"/>
          <w:sz w:val="24"/>
        </w:rPr>
        <w:pict w14:anchorId="4B763C48">
          <v:rect id="_x0000_i1107" style="width:6in;height:1.5pt" o:hralign="center" o:hrstd="t" o:hr="t" fillcolor="#a0a0a0" stroked="f"/>
        </w:pict>
      </w:r>
    </w:p>
    <w:p w14:paraId="4B7620F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0FD" w14:textId="77777777" w:rsidR="0099058F" w:rsidRDefault="00EB2559">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Supplemental Consolidated Statement of Financial Position information related to leases consisted of the following at De</w:t>
      </w:r>
      <w:r>
        <w:rPr>
          <w:rFonts w:ascii="Arial" w:eastAsia="宋体" w:hAnsi="Arial" w:cs="Arial"/>
          <w:color w:val="000000"/>
          <w:kern w:val="0"/>
          <w:sz w:val="20"/>
          <w:szCs w:val="20"/>
          <w:lang w:bidi="ar"/>
        </w:rPr>
        <w:t>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698"/>
        <w:gridCol w:w="37"/>
        <w:gridCol w:w="69"/>
        <w:gridCol w:w="1160"/>
        <w:gridCol w:w="36"/>
        <w:gridCol w:w="70"/>
        <w:gridCol w:w="1161"/>
        <w:gridCol w:w="36"/>
      </w:tblGrid>
      <w:tr w:rsidR="0099058F" w14:paraId="4B762107" w14:textId="77777777">
        <w:tc>
          <w:tcPr>
            <w:tcW w:w="50" w:type="pct"/>
            <w:tcBorders>
              <w:top w:val="nil"/>
              <w:left w:val="nil"/>
              <w:bottom w:val="nil"/>
              <w:right w:val="nil"/>
            </w:tcBorders>
            <w:shd w:val="clear" w:color="auto" w:fill="auto"/>
            <w:vAlign w:val="bottom"/>
          </w:tcPr>
          <w:p w14:paraId="4B7620FE" w14:textId="77777777" w:rsidR="0099058F" w:rsidRDefault="0099058F">
            <w:pPr>
              <w:widowControl/>
              <w:jc w:val="left"/>
              <w:rPr>
                <w:rFonts w:ascii="Times New Roman" w:eastAsia="宋体" w:hAnsi="宋体" w:cs="宋体"/>
                <w:kern w:val="0"/>
                <w:sz w:val="24"/>
              </w:rPr>
            </w:pPr>
          </w:p>
        </w:tc>
        <w:tc>
          <w:tcPr>
            <w:tcW w:w="3425" w:type="pct"/>
            <w:tcBorders>
              <w:top w:val="nil"/>
              <w:left w:val="nil"/>
              <w:bottom w:val="nil"/>
              <w:right w:val="nil"/>
            </w:tcBorders>
            <w:shd w:val="clear" w:color="auto" w:fill="auto"/>
            <w:vAlign w:val="bottom"/>
          </w:tcPr>
          <w:p w14:paraId="4B7620F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0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01" w14:textId="77777777" w:rsidR="0099058F" w:rsidRDefault="0099058F">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B76210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0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04" w14:textId="77777777" w:rsidR="0099058F" w:rsidRDefault="0099058F">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B76210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06" w14:textId="77777777" w:rsidR="0099058F" w:rsidRDefault="0099058F">
            <w:pPr>
              <w:widowControl/>
              <w:jc w:val="left"/>
              <w:rPr>
                <w:rFonts w:ascii="Times New Roman" w:eastAsia="宋体" w:hAnsi="宋体" w:cs="宋体"/>
                <w:kern w:val="0"/>
                <w:sz w:val="24"/>
              </w:rPr>
            </w:pPr>
          </w:p>
        </w:tc>
      </w:tr>
      <w:tr w:rsidR="0099058F" w14:paraId="4B7621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10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10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0E" w14:textId="77777777" w:rsidR="0099058F" w:rsidRDefault="0099058F">
            <w:pPr>
              <w:widowControl/>
              <w:jc w:val="left"/>
              <w:rPr>
                <w:rFonts w:ascii="Times New Roman" w:eastAsia="宋体" w:hAnsi="宋体" w:cs="宋体"/>
                <w:kern w:val="0"/>
                <w:sz w:val="24"/>
              </w:rPr>
            </w:pPr>
          </w:p>
        </w:tc>
      </w:tr>
      <w:tr w:rsidR="0099058F" w14:paraId="4B762113"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B76211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right-of-use assets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B7621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$1,451</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B7621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$1,437</w:t>
            </w:r>
          </w:p>
        </w:tc>
      </w:tr>
      <w:tr w:rsidR="0099058F" w14:paraId="4B762117" w14:textId="77777777">
        <w:trPr>
          <w:trHeight w:val="12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1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1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16" w14:textId="77777777" w:rsidR="0099058F" w:rsidRDefault="0099058F">
            <w:pPr>
              <w:widowControl/>
              <w:jc w:val="left"/>
              <w:rPr>
                <w:rFonts w:ascii="Times New Roman" w:eastAsia="宋体" w:hAnsi="宋体" w:cs="宋体"/>
                <w:kern w:val="0"/>
                <w:sz w:val="24"/>
              </w:rPr>
            </w:pPr>
          </w:p>
        </w:tc>
      </w:tr>
      <w:tr w:rsidR="0099058F" w14:paraId="4B76211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211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lease liabilities</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B7621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276</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B7621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r>
      <w:tr w:rsidR="0099058F" w14:paraId="4B76211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211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Non-current portion of lease liabilities</w:t>
            </w: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4B7621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1,305</w:t>
            </w: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4B7621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1,271</w:t>
            </w:r>
          </w:p>
        </w:tc>
      </w:tr>
      <w:tr w:rsidR="0099058F" w14:paraId="4B762123"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B76212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operating lease liabilities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B7621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$1,581</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B7621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w:t>
            </w:r>
          </w:p>
        </w:tc>
      </w:tr>
      <w:tr w:rsidR="0099058F" w14:paraId="4B762127" w14:textId="77777777">
        <w:trPr>
          <w:trHeight w:val="12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12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12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126" w14:textId="77777777" w:rsidR="0099058F" w:rsidRDefault="0099058F">
            <w:pPr>
              <w:widowControl/>
              <w:jc w:val="left"/>
              <w:rPr>
                <w:rFonts w:ascii="Times New Roman" w:eastAsia="宋体" w:hAnsi="宋体" w:cs="宋体"/>
                <w:kern w:val="0"/>
                <w:sz w:val="24"/>
              </w:rPr>
            </w:pPr>
          </w:p>
        </w:tc>
      </w:tr>
      <w:tr w:rsidR="0099058F" w14:paraId="4B7621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2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lease term </w:t>
            </w:r>
            <w:r>
              <w:rPr>
                <w:rFonts w:ascii="Arial" w:eastAsia="宋体" w:hAnsi="Arial" w:cs="Arial"/>
                <w:i/>
                <w:iCs/>
                <w:color w:val="000000"/>
                <w:kern w:val="0"/>
                <w:sz w:val="20"/>
                <w:szCs w:val="20"/>
                <w:lang w:bidi="ar"/>
              </w:rPr>
              <w:t>(years)</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B7621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B7621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r>
      <w:tr w:rsidR="0099058F" w14:paraId="4B76212F" w14:textId="77777777">
        <w:tc>
          <w:tcPr>
            <w:tcW w:w="0" w:type="auto"/>
            <w:gridSpan w:val="3"/>
            <w:tcBorders>
              <w:top w:val="nil"/>
              <w:left w:val="nil"/>
              <w:bottom w:val="single" w:sz="8" w:space="0" w:color="000000"/>
              <w:right w:val="nil"/>
            </w:tcBorders>
            <w:shd w:val="clear" w:color="auto" w:fill="CCEEFF"/>
            <w:tcMar>
              <w:top w:w="40" w:type="dxa"/>
              <w:left w:w="245" w:type="dxa"/>
              <w:bottom w:w="40" w:type="dxa"/>
              <w:right w:w="20" w:type="dxa"/>
            </w:tcMar>
            <w:vAlign w:val="bottom"/>
          </w:tcPr>
          <w:p w14:paraId="4B76212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discount rate</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140" w:type="dxa"/>
            </w:tcMar>
            <w:vAlign w:val="bottom"/>
          </w:tcPr>
          <w:p w14:paraId="4B7621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140" w:type="dxa"/>
            </w:tcMar>
            <w:vAlign w:val="bottom"/>
          </w:tcPr>
          <w:p w14:paraId="4B7621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3.82%</w:t>
            </w:r>
          </w:p>
        </w:tc>
      </w:tr>
    </w:tbl>
    <w:p w14:paraId="4B76213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Maturities of operating lease liabilities for the next five years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7080"/>
        <w:gridCol w:w="36"/>
        <w:gridCol w:w="36"/>
        <w:gridCol w:w="36"/>
        <w:gridCol w:w="36"/>
        <w:gridCol w:w="72"/>
        <w:gridCol w:w="943"/>
        <w:gridCol w:w="36"/>
      </w:tblGrid>
      <w:tr w:rsidR="0099058F" w14:paraId="4B76213A" w14:textId="77777777">
        <w:tc>
          <w:tcPr>
            <w:tcW w:w="50" w:type="pct"/>
            <w:tcBorders>
              <w:top w:val="nil"/>
              <w:left w:val="nil"/>
              <w:bottom w:val="nil"/>
              <w:right w:val="nil"/>
            </w:tcBorders>
            <w:shd w:val="clear" w:color="auto" w:fill="auto"/>
            <w:vAlign w:val="bottom"/>
          </w:tcPr>
          <w:p w14:paraId="4B762131" w14:textId="77777777" w:rsidR="0099058F" w:rsidRDefault="0099058F">
            <w:pPr>
              <w:widowControl/>
              <w:jc w:val="left"/>
              <w:rPr>
                <w:rFonts w:ascii="Times New Roman" w:eastAsia="宋体" w:hAnsi="宋体" w:cs="宋体"/>
                <w:kern w:val="0"/>
                <w:sz w:val="24"/>
              </w:rPr>
            </w:pPr>
          </w:p>
        </w:tc>
        <w:tc>
          <w:tcPr>
            <w:tcW w:w="4258" w:type="pct"/>
            <w:tcBorders>
              <w:top w:val="nil"/>
              <w:left w:val="nil"/>
              <w:bottom w:val="nil"/>
              <w:right w:val="nil"/>
            </w:tcBorders>
            <w:shd w:val="clear" w:color="auto" w:fill="auto"/>
            <w:vAlign w:val="bottom"/>
          </w:tcPr>
          <w:p w14:paraId="4B7621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3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3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13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3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37" w14:textId="77777777" w:rsidR="0099058F" w:rsidRDefault="0099058F">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4B76213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39" w14:textId="77777777" w:rsidR="0099058F" w:rsidRDefault="0099058F">
            <w:pPr>
              <w:widowControl/>
              <w:jc w:val="left"/>
              <w:rPr>
                <w:rFonts w:ascii="Times New Roman" w:eastAsia="宋体" w:hAnsi="宋体" w:cs="宋体"/>
                <w:kern w:val="0"/>
                <w:sz w:val="24"/>
              </w:rPr>
            </w:pPr>
          </w:p>
        </w:tc>
      </w:tr>
      <w:tr w:rsidR="0099058F" w14:paraId="4B7621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3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3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r>
      <w:tr w:rsidR="0099058F" w14:paraId="4B7621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13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4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42" w14:textId="77777777" w:rsidR="0099058F" w:rsidRDefault="0099058F">
            <w:pPr>
              <w:widowControl/>
              <w:jc w:val="left"/>
              <w:rPr>
                <w:rFonts w:ascii="Times New Roman" w:eastAsia="宋体" w:hAnsi="宋体" w:cs="宋体"/>
                <w:kern w:val="0"/>
                <w:sz w:val="24"/>
              </w:rPr>
            </w:pPr>
          </w:p>
        </w:tc>
      </w:tr>
      <w:tr w:rsidR="0099058F" w14:paraId="4B7621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4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4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47" w14:textId="77777777" w:rsidR="0099058F" w:rsidRDefault="0099058F">
            <w:pPr>
              <w:widowControl/>
              <w:jc w:val="right"/>
              <w:rPr>
                <w:rFonts w:ascii="Times New Roman" w:eastAsia="宋体" w:hAnsi="宋体" w:cs="宋体"/>
                <w:kern w:val="0"/>
                <w:sz w:val="24"/>
              </w:rPr>
            </w:pPr>
          </w:p>
        </w:tc>
      </w:tr>
      <w:tr w:rsidR="0099058F" w14:paraId="4B76214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14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4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4C" w14:textId="77777777" w:rsidR="0099058F" w:rsidRDefault="0099058F">
            <w:pPr>
              <w:widowControl/>
              <w:jc w:val="right"/>
              <w:rPr>
                <w:rFonts w:ascii="Times New Roman" w:eastAsia="宋体" w:hAnsi="宋体" w:cs="宋体"/>
                <w:kern w:val="0"/>
                <w:sz w:val="24"/>
              </w:rPr>
            </w:pPr>
          </w:p>
        </w:tc>
      </w:tr>
      <w:tr w:rsidR="0099058F" w14:paraId="4B7621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4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51" w14:textId="77777777" w:rsidR="0099058F" w:rsidRDefault="0099058F">
            <w:pPr>
              <w:widowControl/>
              <w:jc w:val="right"/>
              <w:rPr>
                <w:rFonts w:ascii="Times New Roman" w:eastAsia="宋体" w:hAnsi="宋体" w:cs="宋体"/>
                <w:kern w:val="0"/>
                <w:sz w:val="24"/>
              </w:rPr>
            </w:pPr>
          </w:p>
        </w:tc>
      </w:tr>
      <w:tr w:rsidR="0099058F" w14:paraId="4B76215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15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56" w14:textId="77777777" w:rsidR="0099058F" w:rsidRDefault="0099058F">
            <w:pPr>
              <w:widowControl/>
              <w:jc w:val="right"/>
              <w:rPr>
                <w:rFonts w:ascii="Times New Roman" w:eastAsia="宋体" w:hAnsi="宋体" w:cs="宋体"/>
                <w:kern w:val="0"/>
                <w:sz w:val="24"/>
              </w:rPr>
            </w:pPr>
          </w:p>
        </w:tc>
      </w:tr>
      <w:tr w:rsidR="0099058F" w14:paraId="4B7621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5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5B" w14:textId="77777777" w:rsidR="0099058F" w:rsidRDefault="0099058F">
            <w:pPr>
              <w:widowControl/>
              <w:jc w:val="right"/>
              <w:rPr>
                <w:rFonts w:ascii="Times New Roman" w:eastAsia="宋体" w:hAnsi="宋体" w:cs="宋体"/>
                <w:kern w:val="0"/>
                <w:sz w:val="24"/>
              </w:rPr>
            </w:pPr>
          </w:p>
        </w:tc>
      </w:tr>
      <w:tr w:rsidR="0099058F" w14:paraId="4B76216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15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lease payments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5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60" w14:textId="77777777" w:rsidR="0099058F" w:rsidRDefault="0099058F">
            <w:pPr>
              <w:widowControl/>
              <w:jc w:val="right"/>
              <w:rPr>
                <w:rFonts w:ascii="Times New Roman" w:eastAsia="宋体" w:hAnsi="宋体" w:cs="宋体"/>
                <w:kern w:val="0"/>
                <w:sz w:val="24"/>
              </w:rPr>
            </w:pPr>
          </w:p>
        </w:tc>
      </w:tr>
      <w:tr w:rsidR="0099058F" w14:paraId="4B7621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6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imputed interest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6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65" w14:textId="77777777" w:rsidR="0099058F" w:rsidRDefault="0099058F">
            <w:pPr>
              <w:widowControl/>
              <w:jc w:val="right"/>
              <w:rPr>
                <w:rFonts w:ascii="Times New Roman" w:eastAsia="宋体" w:hAnsi="宋体" w:cs="宋体"/>
                <w:kern w:val="0"/>
                <w:sz w:val="24"/>
              </w:rPr>
            </w:pPr>
          </w:p>
        </w:tc>
      </w:tr>
      <w:tr w:rsidR="0099058F" w14:paraId="4B76216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16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16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1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16A" w14:textId="77777777" w:rsidR="0099058F" w:rsidRDefault="0099058F">
            <w:pPr>
              <w:widowControl/>
              <w:jc w:val="left"/>
              <w:rPr>
                <w:rFonts w:ascii="Times New Roman" w:eastAsia="宋体" w:hAnsi="宋体" w:cs="宋体"/>
                <w:kern w:val="0"/>
                <w:sz w:val="24"/>
              </w:rPr>
            </w:pPr>
          </w:p>
        </w:tc>
      </w:tr>
    </w:tbl>
    <w:p w14:paraId="4B76216C"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 of December 31, 2022, we have entered into leases that have not yet commenced of $420, primarily for a </w:t>
      </w:r>
      <w:r>
        <w:rPr>
          <w:rFonts w:ascii="Arial" w:eastAsia="宋体" w:hAnsi="Arial" w:cs="Arial"/>
          <w:color w:val="000000"/>
          <w:kern w:val="0"/>
          <w:sz w:val="20"/>
          <w:szCs w:val="20"/>
          <w:lang w:bidi="ar"/>
        </w:rPr>
        <w:t>maintenance, repair and overhaul hangar that will support military aircraft programs. These leases will commence in 2023 with lease terms of 3 years to 25 years.</w:t>
      </w:r>
    </w:p>
    <w:p w14:paraId="4B76216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82</w:t>
      </w:r>
    </w:p>
    <w:p w14:paraId="4B76216E" w14:textId="77777777" w:rsidR="0099058F" w:rsidRDefault="00EB2559">
      <w:pPr>
        <w:widowControl/>
        <w:jc w:val="center"/>
      </w:pPr>
      <w:r>
        <w:rPr>
          <w:rFonts w:ascii="宋体" w:eastAsia="宋体" w:hAnsi="宋体" w:cs="宋体"/>
          <w:kern w:val="0"/>
          <w:sz w:val="24"/>
        </w:rPr>
        <w:pict w14:anchorId="4B763C49">
          <v:rect id="_x0000_i1108" style="width:6in;height:1.5pt" o:hralign="center" o:hrstd="t" o:hr="t" fillcolor="#a0a0a0" stroked="f"/>
        </w:pict>
      </w:r>
    </w:p>
    <w:p w14:paraId="4B76216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170"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Liabilities, Commitments and Contingencies</w:t>
      </w:r>
    </w:p>
    <w:p w14:paraId="4B76217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Accrued Liabilities</w:t>
      </w:r>
    </w:p>
    <w:p w14:paraId="4B762172"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Accrued liabilities at December 31 consisted of</w:t>
      </w:r>
      <w:r>
        <w:rPr>
          <w:rFonts w:ascii="Arial" w:eastAsia="宋体" w:hAnsi="Arial" w:cs="Arial"/>
          <w:color w:val="000000"/>
          <w:kern w:val="0"/>
          <w:sz w:val="20"/>
          <w:szCs w:val="20"/>
          <w:lang w:bidi="ar"/>
        </w:rPr>
        <w:t xml:space="preserve">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99058F" w14:paraId="4B76217F" w14:textId="77777777">
        <w:tc>
          <w:tcPr>
            <w:tcW w:w="50" w:type="pct"/>
            <w:tcBorders>
              <w:top w:val="nil"/>
              <w:left w:val="nil"/>
              <w:bottom w:val="nil"/>
              <w:right w:val="nil"/>
            </w:tcBorders>
            <w:shd w:val="clear" w:color="auto" w:fill="auto"/>
            <w:vAlign w:val="bottom"/>
          </w:tcPr>
          <w:p w14:paraId="4B762173"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217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7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76"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17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7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7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17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7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7C"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17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7E" w14:textId="77777777" w:rsidR="0099058F" w:rsidRDefault="0099058F">
            <w:pPr>
              <w:widowControl/>
              <w:jc w:val="left"/>
              <w:rPr>
                <w:rFonts w:ascii="Times New Roman" w:eastAsia="宋体" w:hAnsi="宋体" w:cs="宋体"/>
                <w:kern w:val="0"/>
                <w:sz w:val="24"/>
              </w:rPr>
            </w:pPr>
          </w:p>
        </w:tc>
      </w:tr>
      <w:tr w:rsidR="0099058F" w14:paraId="4B76218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18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18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compensation and employee benefit costs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8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$6,351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8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8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8A" w14:textId="77777777" w:rsidR="0099058F" w:rsidRDefault="0099058F">
            <w:pPr>
              <w:widowControl/>
              <w:jc w:val="left"/>
              <w:rPr>
                <w:rFonts w:ascii="Times New Roman" w:eastAsia="宋体" w:hAnsi="宋体" w:cs="宋体"/>
                <w:kern w:val="0"/>
                <w:sz w:val="24"/>
              </w:rPr>
            </w:pPr>
          </w:p>
        </w:tc>
      </w:tr>
      <w:tr w:rsidR="0099058F" w14:paraId="4B7621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8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MAX grounding customer concessions and other considerations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8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8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91" w14:textId="77777777" w:rsidR="0099058F" w:rsidRDefault="0099058F">
            <w:pPr>
              <w:widowControl/>
              <w:jc w:val="right"/>
              <w:rPr>
                <w:rFonts w:ascii="Times New Roman" w:eastAsia="宋体" w:hAnsi="宋体" w:cs="宋体"/>
                <w:kern w:val="0"/>
                <w:sz w:val="24"/>
              </w:rPr>
            </w:pPr>
          </w:p>
        </w:tc>
      </w:tr>
      <w:tr w:rsidR="0099058F" w14:paraId="4B7621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19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customer concessions and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9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9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98" w14:textId="77777777" w:rsidR="0099058F" w:rsidRDefault="0099058F">
            <w:pPr>
              <w:widowControl/>
              <w:jc w:val="right"/>
              <w:rPr>
                <w:rFonts w:ascii="Times New Roman" w:eastAsia="宋体" w:hAnsi="宋体" w:cs="宋体"/>
                <w:kern w:val="0"/>
                <w:sz w:val="24"/>
              </w:rPr>
            </w:pPr>
          </w:p>
        </w:tc>
      </w:tr>
      <w:tr w:rsidR="0099058F" w14:paraId="4B7621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19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Environmental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9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9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9F" w14:textId="77777777" w:rsidR="0099058F" w:rsidRDefault="0099058F">
            <w:pPr>
              <w:widowControl/>
              <w:jc w:val="right"/>
              <w:rPr>
                <w:rFonts w:ascii="Times New Roman" w:eastAsia="宋体" w:hAnsi="宋体" w:cs="宋体"/>
                <w:kern w:val="0"/>
                <w:sz w:val="24"/>
              </w:rPr>
            </w:pPr>
          </w:p>
        </w:tc>
      </w:tr>
      <w:tr w:rsidR="0099058F" w14:paraId="4B7621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1A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Product warranties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A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A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A6" w14:textId="77777777" w:rsidR="0099058F" w:rsidRDefault="0099058F">
            <w:pPr>
              <w:widowControl/>
              <w:jc w:val="right"/>
              <w:rPr>
                <w:rFonts w:ascii="Times New Roman" w:eastAsia="宋体" w:hAnsi="宋体" w:cs="宋体"/>
                <w:kern w:val="0"/>
                <w:sz w:val="24"/>
              </w:rPr>
            </w:pPr>
          </w:p>
        </w:tc>
      </w:tr>
      <w:tr w:rsidR="0099058F" w14:paraId="4B7621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A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Forward loss recognition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A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A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AD" w14:textId="77777777" w:rsidR="0099058F" w:rsidRDefault="0099058F">
            <w:pPr>
              <w:widowControl/>
              <w:jc w:val="right"/>
              <w:rPr>
                <w:rFonts w:ascii="Times New Roman" w:eastAsia="宋体" w:hAnsi="宋体" w:cs="宋体"/>
                <w:kern w:val="0"/>
                <w:sz w:val="24"/>
              </w:rPr>
            </w:pPr>
          </w:p>
        </w:tc>
      </w:tr>
      <w:tr w:rsidR="0099058F" w14:paraId="4B7621B3" w14:textId="77777777">
        <w:trPr>
          <w:hidden/>
        </w:trPr>
        <w:tc>
          <w:tcPr>
            <w:tcW w:w="0" w:type="auto"/>
            <w:gridSpan w:val="3"/>
            <w:tcBorders>
              <w:top w:val="nil"/>
              <w:left w:val="nil"/>
              <w:bottom w:val="nil"/>
              <w:right w:val="nil"/>
            </w:tcBorders>
            <w:shd w:val="clear" w:color="auto" w:fill="auto"/>
            <w:vAlign w:val="bottom"/>
          </w:tcPr>
          <w:p w14:paraId="4B7621A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2" w14:textId="77777777" w:rsidR="0099058F" w:rsidRDefault="0099058F">
            <w:pPr>
              <w:widowControl/>
              <w:jc w:val="left"/>
              <w:rPr>
                <w:rFonts w:ascii="Times New Roman" w:eastAsia="宋体" w:hAnsi="宋体" w:cs="宋体"/>
                <w:vanish/>
                <w:kern w:val="0"/>
                <w:sz w:val="24"/>
              </w:rPr>
            </w:pPr>
          </w:p>
        </w:tc>
      </w:tr>
      <w:tr w:rsidR="0099058F" w14:paraId="4B7621B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1B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interest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B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B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B9" w14:textId="77777777" w:rsidR="0099058F" w:rsidRDefault="0099058F">
            <w:pPr>
              <w:widowControl/>
              <w:jc w:val="right"/>
              <w:rPr>
                <w:rFonts w:ascii="Times New Roman" w:eastAsia="宋体" w:hAnsi="宋体" w:cs="宋体"/>
                <w:kern w:val="0"/>
                <w:sz w:val="24"/>
              </w:rPr>
            </w:pPr>
          </w:p>
        </w:tc>
      </w:tr>
      <w:tr w:rsidR="0099058F" w14:paraId="4B7621BF" w14:textId="77777777">
        <w:trPr>
          <w:hidden/>
        </w:trPr>
        <w:tc>
          <w:tcPr>
            <w:tcW w:w="0" w:type="auto"/>
            <w:gridSpan w:val="3"/>
            <w:tcBorders>
              <w:top w:val="nil"/>
              <w:left w:val="nil"/>
              <w:bottom w:val="nil"/>
              <w:right w:val="nil"/>
            </w:tcBorders>
            <w:shd w:val="clear" w:color="auto" w:fill="auto"/>
            <w:vAlign w:val="bottom"/>
          </w:tcPr>
          <w:p w14:paraId="4B7621B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BE" w14:textId="77777777" w:rsidR="0099058F" w:rsidRDefault="0099058F">
            <w:pPr>
              <w:widowControl/>
              <w:jc w:val="left"/>
              <w:rPr>
                <w:rFonts w:ascii="Times New Roman" w:eastAsia="宋体" w:hAnsi="宋体" w:cs="宋体"/>
                <w:vanish/>
                <w:kern w:val="0"/>
                <w:sz w:val="24"/>
              </w:rPr>
            </w:pPr>
          </w:p>
        </w:tc>
      </w:tr>
      <w:tr w:rsidR="0099058F" w14:paraId="4B7621C4" w14:textId="77777777">
        <w:trPr>
          <w:hidden/>
        </w:trPr>
        <w:tc>
          <w:tcPr>
            <w:tcW w:w="0" w:type="auto"/>
            <w:gridSpan w:val="3"/>
            <w:tcBorders>
              <w:top w:val="nil"/>
              <w:left w:val="nil"/>
              <w:bottom w:val="nil"/>
              <w:right w:val="nil"/>
            </w:tcBorders>
            <w:shd w:val="clear" w:color="auto" w:fill="auto"/>
            <w:vAlign w:val="bottom"/>
          </w:tcPr>
          <w:p w14:paraId="4B7621C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3" w14:textId="77777777" w:rsidR="0099058F" w:rsidRDefault="0099058F">
            <w:pPr>
              <w:widowControl/>
              <w:jc w:val="left"/>
              <w:rPr>
                <w:rFonts w:ascii="Times New Roman" w:eastAsia="宋体" w:hAnsi="宋体" w:cs="宋体"/>
                <w:vanish/>
                <w:kern w:val="0"/>
                <w:sz w:val="24"/>
              </w:rPr>
            </w:pPr>
          </w:p>
        </w:tc>
      </w:tr>
      <w:tr w:rsidR="0099058F" w14:paraId="4B7621C9" w14:textId="77777777">
        <w:trPr>
          <w:hidden/>
        </w:trPr>
        <w:tc>
          <w:tcPr>
            <w:tcW w:w="0" w:type="auto"/>
            <w:gridSpan w:val="3"/>
            <w:tcBorders>
              <w:top w:val="nil"/>
              <w:left w:val="nil"/>
              <w:bottom w:val="nil"/>
              <w:right w:val="nil"/>
            </w:tcBorders>
            <w:shd w:val="clear" w:color="auto" w:fill="auto"/>
            <w:vAlign w:val="bottom"/>
          </w:tcPr>
          <w:p w14:paraId="4B7621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1C8" w14:textId="77777777" w:rsidR="0099058F" w:rsidRDefault="0099058F">
            <w:pPr>
              <w:widowControl/>
              <w:jc w:val="left"/>
              <w:rPr>
                <w:rFonts w:ascii="Times New Roman" w:eastAsia="宋体" w:hAnsi="宋体" w:cs="宋体"/>
                <w:vanish/>
                <w:kern w:val="0"/>
                <w:sz w:val="24"/>
              </w:rPr>
            </w:pPr>
          </w:p>
        </w:tc>
      </w:tr>
      <w:tr w:rsidR="0099058F" w14:paraId="4B7621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C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lease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C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CF" w14:textId="77777777" w:rsidR="0099058F" w:rsidRDefault="0099058F">
            <w:pPr>
              <w:widowControl/>
              <w:jc w:val="right"/>
              <w:rPr>
                <w:rFonts w:ascii="Times New Roman" w:eastAsia="宋体" w:hAnsi="宋体" w:cs="宋体"/>
                <w:kern w:val="0"/>
                <w:sz w:val="24"/>
              </w:rPr>
            </w:pPr>
          </w:p>
        </w:tc>
      </w:tr>
      <w:tr w:rsidR="0099058F" w14:paraId="4B7621D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1D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Current portion of retiree </w:t>
            </w:r>
            <w:r>
              <w:rPr>
                <w:rFonts w:ascii="Arial" w:eastAsia="宋体" w:hAnsi="Arial" w:cs="Arial"/>
                <w:color w:val="000000"/>
                <w:kern w:val="0"/>
                <w:sz w:val="20"/>
                <w:szCs w:val="20"/>
                <w:lang w:bidi="ar"/>
              </w:rPr>
              <w:t>healthcare and pension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1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1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1D6" w14:textId="77777777" w:rsidR="0099058F" w:rsidRDefault="0099058F">
            <w:pPr>
              <w:widowControl/>
              <w:jc w:val="right"/>
              <w:rPr>
                <w:rFonts w:ascii="Times New Roman" w:eastAsia="宋体" w:hAnsi="宋体" w:cs="宋体"/>
                <w:kern w:val="0"/>
                <w:sz w:val="24"/>
              </w:rPr>
            </w:pPr>
          </w:p>
        </w:tc>
      </w:tr>
      <w:tr w:rsidR="0099058F" w14:paraId="4B7621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1D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D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1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1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1DD" w14:textId="77777777" w:rsidR="0099058F" w:rsidRDefault="0099058F">
            <w:pPr>
              <w:widowControl/>
              <w:jc w:val="right"/>
              <w:rPr>
                <w:rFonts w:ascii="Times New Roman" w:eastAsia="宋体" w:hAnsi="宋体" w:cs="宋体"/>
                <w:kern w:val="0"/>
                <w:sz w:val="24"/>
              </w:rPr>
            </w:pPr>
          </w:p>
        </w:tc>
      </w:tr>
      <w:tr w:rsidR="0099058F" w14:paraId="4B7621E5"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1D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1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$21,581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1E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1E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1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1E4" w14:textId="77777777" w:rsidR="0099058F" w:rsidRDefault="0099058F">
            <w:pPr>
              <w:widowControl/>
              <w:jc w:val="left"/>
              <w:rPr>
                <w:rFonts w:ascii="Times New Roman" w:eastAsia="宋体" w:hAnsi="宋体" w:cs="宋体"/>
                <w:kern w:val="0"/>
                <w:sz w:val="24"/>
              </w:rPr>
            </w:pPr>
          </w:p>
        </w:tc>
      </w:tr>
    </w:tbl>
    <w:p w14:paraId="4B7621E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w:t>
      </w:r>
    </w:p>
    <w:p w14:paraId="4B7621E7"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2022 and 2021.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8"/>
        <w:gridCol w:w="63"/>
        <w:gridCol w:w="882"/>
        <w:gridCol w:w="36"/>
        <w:gridCol w:w="36"/>
        <w:gridCol w:w="36"/>
        <w:gridCol w:w="36"/>
        <w:gridCol w:w="59"/>
        <w:gridCol w:w="882"/>
        <w:gridCol w:w="36"/>
      </w:tblGrid>
      <w:tr w:rsidR="0099058F" w14:paraId="4B7621F4" w14:textId="77777777">
        <w:tc>
          <w:tcPr>
            <w:tcW w:w="50" w:type="pct"/>
            <w:tcBorders>
              <w:top w:val="nil"/>
              <w:left w:val="nil"/>
              <w:bottom w:val="nil"/>
              <w:right w:val="nil"/>
            </w:tcBorders>
            <w:shd w:val="clear" w:color="auto" w:fill="auto"/>
            <w:vAlign w:val="bottom"/>
          </w:tcPr>
          <w:p w14:paraId="4B7621E8"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21E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E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EB"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1E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E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E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1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F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1F1"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1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1F3" w14:textId="77777777" w:rsidR="0099058F" w:rsidRDefault="0099058F">
            <w:pPr>
              <w:widowControl/>
              <w:jc w:val="left"/>
              <w:rPr>
                <w:rFonts w:ascii="Times New Roman" w:eastAsia="宋体" w:hAnsi="宋体" w:cs="宋体"/>
                <w:kern w:val="0"/>
                <w:sz w:val="24"/>
              </w:rPr>
            </w:pPr>
          </w:p>
        </w:tc>
      </w:tr>
      <w:tr w:rsidR="0099058F" w14:paraId="4B7621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F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1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1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2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1F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F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1F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1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1FF" w14:textId="77777777" w:rsidR="0099058F" w:rsidRDefault="0099058F">
            <w:pPr>
              <w:widowControl/>
              <w:jc w:val="left"/>
              <w:rPr>
                <w:rFonts w:ascii="Times New Roman" w:eastAsia="宋体" w:hAnsi="宋体" w:cs="宋体"/>
                <w:kern w:val="0"/>
                <w:sz w:val="24"/>
              </w:rPr>
            </w:pPr>
          </w:p>
        </w:tc>
      </w:tr>
      <w:tr w:rsidR="0099058F" w14:paraId="4B762205" w14:textId="77777777">
        <w:trPr>
          <w:hidden/>
        </w:trPr>
        <w:tc>
          <w:tcPr>
            <w:tcW w:w="0" w:type="auto"/>
            <w:gridSpan w:val="3"/>
            <w:tcBorders>
              <w:top w:val="nil"/>
              <w:left w:val="nil"/>
              <w:bottom w:val="nil"/>
              <w:right w:val="nil"/>
            </w:tcBorders>
            <w:shd w:val="clear" w:color="auto" w:fill="auto"/>
            <w:vAlign w:val="bottom"/>
          </w:tcPr>
          <w:p w14:paraId="4B76220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20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20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204" w14:textId="77777777" w:rsidR="0099058F" w:rsidRDefault="0099058F">
            <w:pPr>
              <w:widowControl/>
              <w:jc w:val="left"/>
              <w:rPr>
                <w:rFonts w:ascii="Times New Roman" w:eastAsia="宋体" w:hAnsi="宋体" w:cs="宋体"/>
                <w:vanish/>
                <w:kern w:val="0"/>
                <w:sz w:val="24"/>
              </w:rPr>
            </w:pPr>
          </w:p>
        </w:tc>
      </w:tr>
      <w:tr w:rsidR="0099058F" w14:paraId="4B76220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20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2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0B" w14:textId="77777777" w:rsidR="0099058F" w:rsidRDefault="0099058F">
            <w:pPr>
              <w:widowControl/>
              <w:jc w:val="left"/>
              <w:rPr>
                <w:rFonts w:ascii="Times New Roman" w:eastAsia="宋体" w:hAnsi="宋体" w:cs="宋体"/>
                <w:kern w:val="0"/>
                <w:sz w:val="24"/>
              </w:rPr>
            </w:pPr>
          </w:p>
        </w:tc>
      </w:tr>
      <w:tr w:rsidR="0099058F" w14:paraId="4B76221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20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0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2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12" w14:textId="77777777" w:rsidR="0099058F" w:rsidRDefault="0099058F">
            <w:pPr>
              <w:widowControl/>
              <w:jc w:val="right"/>
              <w:rPr>
                <w:rFonts w:ascii="Times New Roman" w:eastAsia="宋体" w:hAnsi="宋体" w:cs="宋体"/>
                <w:kern w:val="0"/>
                <w:sz w:val="24"/>
              </w:rPr>
            </w:pPr>
          </w:p>
        </w:tc>
      </w:tr>
      <w:tr w:rsidR="0099058F" w14:paraId="4B76221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21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21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19" w14:textId="77777777" w:rsidR="0099058F" w:rsidRDefault="0099058F">
            <w:pPr>
              <w:widowControl/>
              <w:jc w:val="left"/>
              <w:rPr>
                <w:rFonts w:ascii="Times New Roman" w:eastAsia="宋体" w:hAnsi="宋体" w:cs="宋体"/>
                <w:kern w:val="0"/>
                <w:sz w:val="24"/>
              </w:rPr>
            </w:pPr>
          </w:p>
        </w:tc>
      </w:tr>
      <w:tr w:rsidR="0099058F" w14:paraId="4B76222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21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Ending balance – </w:t>
            </w:r>
            <w:r>
              <w:rPr>
                <w:rFonts w:ascii="Arial" w:eastAsia="宋体" w:hAnsi="Arial" w:cs="Arial"/>
                <w:color w:val="000000"/>
                <w:kern w:val="0"/>
                <w:sz w:val="20"/>
                <w:szCs w:val="20"/>
                <w:lang w:bidi="ar"/>
              </w:rPr>
              <w:t>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2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21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21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2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220" w14:textId="77777777" w:rsidR="0099058F" w:rsidRDefault="0099058F">
            <w:pPr>
              <w:widowControl/>
              <w:jc w:val="left"/>
              <w:rPr>
                <w:rFonts w:ascii="Times New Roman" w:eastAsia="宋体" w:hAnsi="宋体" w:cs="宋体"/>
                <w:kern w:val="0"/>
                <w:sz w:val="24"/>
              </w:rPr>
            </w:pPr>
          </w:p>
        </w:tc>
      </w:tr>
    </w:tbl>
    <w:p w14:paraId="4B76222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liability balance of $1.9 billion at December 31, 2022 includes $1.6 billion of contracted customer concessions and other liabilities and $0.3 billion that remains subject to negotiation with customers. The </w:t>
      </w:r>
      <w:r>
        <w:rPr>
          <w:rFonts w:ascii="Arial" w:eastAsia="宋体" w:hAnsi="Arial" w:cs="Arial"/>
          <w:color w:val="000000"/>
          <w:kern w:val="0"/>
          <w:sz w:val="20"/>
          <w:szCs w:val="20"/>
          <w:lang w:bidi="ar"/>
        </w:rPr>
        <w:t xml:space="preserve">contracted amount includes $0.8 billion expected to be liquidated by lower customer delivery payments, $0.7 billion expected to be paid in cash and $0.1 billion in other concessions. Of the cash payments to customers, we expect to pay $0.1 billion in 2023 </w:t>
      </w:r>
      <w:r>
        <w:rPr>
          <w:rFonts w:ascii="Arial" w:eastAsia="宋体" w:hAnsi="Arial" w:cs="Arial"/>
          <w:color w:val="000000"/>
          <w:kern w:val="0"/>
          <w:sz w:val="20"/>
          <w:szCs w:val="20"/>
          <w:lang w:bidi="ar"/>
        </w:rPr>
        <w:t>and the remaining $0.6 billion in future years. The type of consideration to be provided for the remaining $0.3 billion will depend on the outcomes of negotiations with customers.</w:t>
      </w:r>
    </w:p>
    <w:p w14:paraId="4B76222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4B762224"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environmental </w:t>
      </w:r>
      <w:r>
        <w:rPr>
          <w:rFonts w:ascii="Arial" w:eastAsia="宋体" w:hAnsi="Arial" w:cs="Arial"/>
          <w:color w:val="000000"/>
          <w:kern w:val="0"/>
          <w:sz w:val="20"/>
          <w:szCs w:val="20"/>
          <w:lang w:bidi="ar"/>
        </w:rPr>
        <w:t>remediation activity during the years ended December 31, 2022 and 2021.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7"/>
        <w:gridCol w:w="63"/>
        <w:gridCol w:w="882"/>
        <w:gridCol w:w="36"/>
        <w:gridCol w:w="36"/>
        <w:gridCol w:w="36"/>
        <w:gridCol w:w="36"/>
        <w:gridCol w:w="59"/>
        <w:gridCol w:w="883"/>
        <w:gridCol w:w="36"/>
      </w:tblGrid>
      <w:tr w:rsidR="0099058F" w14:paraId="4B762231" w14:textId="77777777">
        <w:tc>
          <w:tcPr>
            <w:tcW w:w="50" w:type="pct"/>
            <w:tcBorders>
              <w:top w:val="nil"/>
              <w:left w:val="nil"/>
              <w:bottom w:val="nil"/>
              <w:right w:val="nil"/>
            </w:tcBorders>
            <w:shd w:val="clear" w:color="auto" w:fill="auto"/>
            <w:vAlign w:val="bottom"/>
          </w:tcPr>
          <w:p w14:paraId="4B762225"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22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2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28"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2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2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2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2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2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2E"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2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30" w14:textId="77777777" w:rsidR="0099058F" w:rsidRDefault="0099058F">
            <w:pPr>
              <w:widowControl/>
              <w:jc w:val="left"/>
              <w:rPr>
                <w:rFonts w:ascii="Times New Roman" w:eastAsia="宋体" w:hAnsi="宋体" w:cs="宋体"/>
                <w:kern w:val="0"/>
                <w:sz w:val="24"/>
              </w:rPr>
            </w:pPr>
          </w:p>
        </w:tc>
      </w:tr>
      <w:tr w:rsidR="0099058F" w14:paraId="4B76223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23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2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2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2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23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23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2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23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23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2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23C" w14:textId="77777777" w:rsidR="0099058F" w:rsidRDefault="0099058F">
            <w:pPr>
              <w:widowControl/>
              <w:jc w:val="left"/>
              <w:rPr>
                <w:rFonts w:ascii="Times New Roman" w:eastAsia="宋体" w:hAnsi="宋体" w:cs="宋体"/>
                <w:kern w:val="0"/>
                <w:sz w:val="24"/>
              </w:rPr>
            </w:pPr>
          </w:p>
        </w:tc>
      </w:tr>
      <w:tr w:rsidR="0099058F" w14:paraId="4B76224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23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 net of 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4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24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43" w14:textId="77777777" w:rsidR="0099058F" w:rsidRDefault="0099058F">
            <w:pPr>
              <w:widowControl/>
              <w:jc w:val="right"/>
              <w:rPr>
                <w:rFonts w:ascii="Times New Roman" w:eastAsia="宋体" w:hAnsi="宋体" w:cs="宋体"/>
                <w:kern w:val="0"/>
                <w:sz w:val="24"/>
              </w:rPr>
            </w:pPr>
          </w:p>
        </w:tc>
      </w:tr>
      <w:tr w:rsidR="0099058F" w14:paraId="4B76224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24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4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24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4A" w14:textId="77777777" w:rsidR="0099058F" w:rsidRDefault="0099058F">
            <w:pPr>
              <w:widowControl/>
              <w:jc w:val="right"/>
              <w:rPr>
                <w:rFonts w:ascii="Times New Roman" w:eastAsia="宋体" w:hAnsi="宋体" w:cs="宋体"/>
                <w:kern w:val="0"/>
                <w:sz w:val="24"/>
              </w:rPr>
            </w:pPr>
          </w:p>
        </w:tc>
      </w:tr>
      <w:tr w:rsidR="0099058F" w14:paraId="4B76225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24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Ending </w:t>
            </w:r>
            <w:r>
              <w:rPr>
                <w:rFonts w:ascii="Arial" w:eastAsia="宋体" w:hAnsi="Arial" w:cs="Arial"/>
                <w:color w:val="000000"/>
                <w:kern w:val="0"/>
                <w:sz w:val="20"/>
                <w:szCs w:val="20"/>
                <w:lang w:bidi="ar"/>
              </w:rPr>
              <w:t>balance – December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2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24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24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2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251" w14:textId="77777777" w:rsidR="0099058F" w:rsidRDefault="0099058F">
            <w:pPr>
              <w:widowControl/>
              <w:jc w:val="left"/>
              <w:rPr>
                <w:rFonts w:ascii="Times New Roman" w:eastAsia="宋体" w:hAnsi="宋体" w:cs="宋体"/>
                <w:kern w:val="0"/>
                <w:sz w:val="24"/>
              </w:rPr>
            </w:pPr>
          </w:p>
        </w:tc>
      </w:tr>
    </w:tbl>
    <w:p w14:paraId="4B76225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83</w:t>
      </w:r>
    </w:p>
    <w:p w14:paraId="4B762254" w14:textId="77777777" w:rsidR="0099058F" w:rsidRDefault="00EB2559">
      <w:pPr>
        <w:widowControl/>
        <w:jc w:val="center"/>
      </w:pPr>
      <w:r>
        <w:rPr>
          <w:rFonts w:ascii="宋体" w:eastAsia="宋体" w:hAnsi="宋体" w:cs="宋体"/>
          <w:kern w:val="0"/>
          <w:sz w:val="24"/>
        </w:rPr>
        <w:pict w14:anchorId="4B763C4A">
          <v:rect id="_x0000_i1109" style="width:6in;height:1.5pt" o:hralign="center" o:hrstd="t" o:hr="t" fillcolor="#a0a0a0" stroked="f"/>
        </w:pict>
      </w:r>
    </w:p>
    <w:p w14:paraId="4B76225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25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represent our best estimate or the low end of a </w:t>
      </w:r>
      <w:r>
        <w:rPr>
          <w:rFonts w:ascii="Arial" w:eastAsia="宋体" w:hAnsi="Arial" w:cs="Arial"/>
          <w:color w:val="000000"/>
          <w:kern w:val="0"/>
          <w:sz w:val="20"/>
          <w:szCs w:val="20"/>
          <w:lang w:bidi="ar"/>
        </w:rPr>
        <w:t xml:space="preserve">range of reasonably possible costs expected to be incurred to remediate sites, including operation and maintenance over periods of up to 30 years. It is reasonably possible that we may incur charges that exceed these recorded amounts because of regulatory </w:t>
      </w:r>
      <w:r>
        <w:rPr>
          <w:rFonts w:ascii="Arial" w:eastAsia="宋体" w:hAnsi="Arial" w:cs="Arial"/>
          <w:color w:val="000000"/>
          <w:kern w:val="0"/>
          <w:sz w:val="20"/>
          <w:szCs w:val="20"/>
          <w:lang w:bidi="ar"/>
        </w:rPr>
        <w:t>agency orders and directives, changes in laws and/or regulations, higher than expected costs and/or the discovery of new or additional contamination. As part of our estimating process, we develop a range of reasonably possible alternate scenarios that incl</w:t>
      </w:r>
      <w:r>
        <w:rPr>
          <w:rFonts w:ascii="Arial" w:eastAsia="宋体" w:hAnsi="Arial" w:cs="Arial"/>
          <w:color w:val="000000"/>
          <w:kern w:val="0"/>
          <w:sz w:val="20"/>
          <w:szCs w:val="20"/>
          <w:lang w:bidi="ar"/>
        </w:rPr>
        <w:t>udes the high end of a range of reasonably possible cost estimates for all remediation sites for which we have sufficient information based on our experience and existing laws and regulations. There are some potential remediation obligations where the cost</w:t>
      </w:r>
      <w:r>
        <w:rPr>
          <w:rFonts w:ascii="Arial" w:eastAsia="宋体" w:hAnsi="Arial" w:cs="Arial"/>
          <w:color w:val="000000"/>
          <w:kern w:val="0"/>
          <w:sz w:val="20"/>
          <w:szCs w:val="20"/>
          <w:lang w:bidi="ar"/>
        </w:rPr>
        <w:t>s of remediation cannot be reasonably estimated. At December 31, 2022 and 2021, the high end of the estimated range of reasonably possible remediation costs exceeded our recorded liabilities by $1,058 and $1,094.</w:t>
      </w:r>
    </w:p>
    <w:p w14:paraId="4B76225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4B76225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 </w:t>
      </w:r>
      <w:r>
        <w:rPr>
          <w:rFonts w:ascii="Arial" w:eastAsia="宋体" w:hAnsi="Arial" w:cs="Arial"/>
          <w:color w:val="000000"/>
          <w:kern w:val="0"/>
          <w:sz w:val="20"/>
          <w:szCs w:val="20"/>
          <w:lang w:bidi="ar"/>
        </w:rPr>
        <w:t>summarizes product warranty activity recorded during the years ended December 31, 2022 and 2021.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8"/>
        <w:gridCol w:w="63"/>
        <w:gridCol w:w="882"/>
        <w:gridCol w:w="36"/>
        <w:gridCol w:w="36"/>
        <w:gridCol w:w="36"/>
        <w:gridCol w:w="36"/>
        <w:gridCol w:w="59"/>
        <w:gridCol w:w="882"/>
        <w:gridCol w:w="36"/>
      </w:tblGrid>
      <w:tr w:rsidR="0099058F" w14:paraId="4B762265" w14:textId="77777777">
        <w:tc>
          <w:tcPr>
            <w:tcW w:w="50" w:type="pct"/>
            <w:tcBorders>
              <w:top w:val="nil"/>
              <w:left w:val="nil"/>
              <w:bottom w:val="nil"/>
              <w:right w:val="nil"/>
            </w:tcBorders>
            <w:shd w:val="clear" w:color="auto" w:fill="auto"/>
            <w:vAlign w:val="bottom"/>
          </w:tcPr>
          <w:p w14:paraId="4B762259" w14:textId="77777777" w:rsidR="0099058F" w:rsidRDefault="0099058F">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B76225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5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5C"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25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5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5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26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6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62" w14:textId="77777777" w:rsidR="0099058F" w:rsidRDefault="0099058F">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B76226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64" w14:textId="77777777" w:rsidR="0099058F" w:rsidRDefault="0099058F">
            <w:pPr>
              <w:widowControl/>
              <w:jc w:val="left"/>
              <w:rPr>
                <w:rFonts w:ascii="Times New Roman" w:eastAsia="宋体" w:hAnsi="宋体" w:cs="宋体"/>
                <w:kern w:val="0"/>
                <w:sz w:val="24"/>
              </w:rPr>
            </w:pPr>
          </w:p>
        </w:tc>
      </w:tr>
      <w:tr w:rsidR="0099058F" w14:paraId="4B7622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26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2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2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26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27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26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2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26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26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2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270" w14:textId="77777777" w:rsidR="0099058F" w:rsidRDefault="0099058F">
            <w:pPr>
              <w:widowControl/>
              <w:jc w:val="left"/>
              <w:rPr>
                <w:rFonts w:ascii="Times New Roman" w:eastAsia="宋体" w:hAnsi="宋体" w:cs="宋体"/>
                <w:kern w:val="0"/>
                <w:sz w:val="24"/>
              </w:rPr>
            </w:pPr>
          </w:p>
        </w:tc>
      </w:tr>
      <w:tr w:rsidR="0099058F" w14:paraId="4B76227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27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27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77" w14:textId="77777777" w:rsidR="0099058F" w:rsidRDefault="0099058F">
            <w:pPr>
              <w:widowControl/>
              <w:jc w:val="right"/>
              <w:rPr>
                <w:rFonts w:ascii="Times New Roman" w:eastAsia="宋体" w:hAnsi="宋体" w:cs="宋体"/>
                <w:kern w:val="0"/>
                <w:sz w:val="24"/>
              </w:rPr>
            </w:pPr>
          </w:p>
        </w:tc>
      </w:tr>
      <w:tr w:rsidR="0099058F" w14:paraId="4B76227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27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Reductions for payments </w:t>
            </w:r>
            <w:r>
              <w:rPr>
                <w:rFonts w:ascii="Arial" w:eastAsia="宋体" w:hAnsi="Arial" w:cs="Arial"/>
                <w:color w:val="000000"/>
                <w:kern w:val="0"/>
                <w:sz w:val="20"/>
                <w:szCs w:val="20"/>
                <w:lang w:bidi="ar"/>
              </w:rPr>
              <w:t>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7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27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7E" w14:textId="77777777" w:rsidR="0099058F" w:rsidRDefault="0099058F">
            <w:pPr>
              <w:widowControl/>
              <w:jc w:val="right"/>
              <w:rPr>
                <w:rFonts w:ascii="Times New Roman" w:eastAsia="宋体" w:hAnsi="宋体" w:cs="宋体"/>
                <w:kern w:val="0"/>
                <w:sz w:val="24"/>
              </w:rPr>
            </w:pPr>
          </w:p>
        </w:tc>
      </w:tr>
      <w:tr w:rsidR="0099058F" w14:paraId="4B76228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28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8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2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85" w14:textId="77777777" w:rsidR="0099058F" w:rsidRDefault="0099058F">
            <w:pPr>
              <w:widowControl/>
              <w:jc w:val="right"/>
              <w:rPr>
                <w:rFonts w:ascii="Times New Roman" w:eastAsia="宋体" w:hAnsi="宋体" w:cs="宋体"/>
                <w:kern w:val="0"/>
                <w:sz w:val="24"/>
              </w:rPr>
            </w:pPr>
          </w:p>
        </w:tc>
      </w:tr>
      <w:tr w:rsidR="0099058F" w14:paraId="4B76228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28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2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28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28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2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28C" w14:textId="77777777" w:rsidR="0099058F" w:rsidRDefault="0099058F">
            <w:pPr>
              <w:widowControl/>
              <w:jc w:val="left"/>
              <w:rPr>
                <w:rFonts w:ascii="Times New Roman" w:eastAsia="宋体" w:hAnsi="宋体" w:cs="宋体"/>
                <w:kern w:val="0"/>
                <w:sz w:val="24"/>
              </w:rPr>
            </w:pPr>
          </w:p>
        </w:tc>
      </w:tr>
    </w:tbl>
    <w:p w14:paraId="4B76228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Trade-In Commitments</w:t>
      </w:r>
    </w:p>
    <w:p w14:paraId="4B76228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definitive agreements for the sale of new aircraft, we have entered into </w:t>
      </w:r>
      <w:r>
        <w:rPr>
          <w:rFonts w:ascii="Arial" w:eastAsia="宋体" w:hAnsi="Arial" w:cs="Arial"/>
          <w:color w:val="000000"/>
          <w:kern w:val="0"/>
          <w:sz w:val="20"/>
          <w:szCs w:val="20"/>
          <w:lang w:bidi="ar"/>
        </w:rPr>
        <w:t>trade-in commitments with certain customers that give them the right to trade in used aircraft at a specified price. The probability that trade-in commitments will be exercised is determined by using both quantitative information from valuation sources and</w:t>
      </w:r>
      <w:r>
        <w:rPr>
          <w:rFonts w:ascii="Arial" w:eastAsia="宋体" w:hAnsi="Arial" w:cs="Arial"/>
          <w:color w:val="000000"/>
          <w:kern w:val="0"/>
          <w:sz w:val="20"/>
          <w:szCs w:val="20"/>
          <w:lang w:bidi="ar"/>
        </w:rPr>
        <w:t xml:space="preserve"> qualitative information from other sources. The probability of exercise is assessed quarterly, or as events trigger a change, and takes into consideration the current economic and airline industry environments. Trade-in commitments, which can be terminate</w:t>
      </w:r>
      <w:r>
        <w:rPr>
          <w:rFonts w:ascii="Arial" w:eastAsia="宋体" w:hAnsi="Arial" w:cs="Arial"/>
          <w:color w:val="000000"/>
          <w:kern w:val="0"/>
          <w:sz w:val="20"/>
          <w:szCs w:val="20"/>
          <w:lang w:bidi="ar"/>
        </w:rPr>
        <w:t>d by mutual consent with the customer, may be exercised only during the period specified in the agreement and require advance notice by the customer.</w:t>
      </w:r>
    </w:p>
    <w:p w14:paraId="4B76229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 agreements at December 31, 2022 have expiration dates from 2023 through 2029. At Decem</w:t>
      </w:r>
      <w:r>
        <w:rPr>
          <w:rFonts w:ascii="Arial" w:eastAsia="宋体" w:hAnsi="Arial" w:cs="Arial"/>
          <w:color w:val="000000"/>
          <w:kern w:val="0"/>
          <w:sz w:val="20"/>
          <w:szCs w:val="20"/>
          <w:lang w:bidi="ar"/>
        </w:rPr>
        <w:t>ber 31, 2022 and 2021, total contractual trade-in commitments were $1,117 and $612. As of December 31, 2022 and 2021, we estimated that it was probable we would be obligated to perform on certain of these commitments with net amounts payable to customers t</w:t>
      </w:r>
      <w:r>
        <w:rPr>
          <w:rFonts w:ascii="Arial" w:eastAsia="宋体" w:hAnsi="Arial" w:cs="Arial"/>
          <w:color w:val="000000"/>
          <w:kern w:val="0"/>
          <w:sz w:val="20"/>
          <w:szCs w:val="20"/>
          <w:lang w:bidi="ar"/>
        </w:rPr>
        <w:t>otaling $286 and $283, and the fair value of the related trade-in aircraft was $286 and $283.</w:t>
      </w:r>
    </w:p>
    <w:p w14:paraId="4B762291"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84</w:t>
      </w:r>
    </w:p>
    <w:p w14:paraId="4B762292" w14:textId="77777777" w:rsidR="0099058F" w:rsidRDefault="00EB2559">
      <w:pPr>
        <w:widowControl/>
        <w:jc w:val="center"/>
      </w:pPr>
      <w:r>
        <w:rPr>
          <w:rFonts w:ascii="宋体" w:eastAsia="宋体" w:hAnsi="宋体" w:cs="宋体"/>
          <w:kern w:val="0"/>
          <w:sz w:val="24"/>
        </w:rPr>
        <w:pict w14:anchorId="4B763C4B">
          <v:rect id="_x0000_i1110" style="width:6in;height:1.5pt" o:hralign="center" o:hrstd="t" o:hr="t" fillcolor="#a0a0a0" stroked="f"/>
        </w:pict>
      </w:r>
    </w:p>
    <w:p w14:paraId="4B762293"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29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4B76229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including options and those proposed in sales campaigns, and refinancing of delivered aircraft, totaled $16,105 an</w:t>
      </w:r>
      <w:r>
        <w:rPr>
          <w:rFonts w:ascii="Arial" w:eastAsia="宋体" w:hAnsi="Arial" w:cs="Arial"/>
          <w:color w:val="000000"/>
          <w:kern w:val="0"/>
          <w:sz w:val="20"/>
          <w:szCs w:val="20"/>
          <w:lang w:bidi="ar"/>
        </w:rPr>
        <w:t>d $12,905 as of December 31, 2022 and 2021. The estimated earliest potential funding dates for these commitments as of December 31, 2022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237"/>
        <w:gridCol w:w="36"/>
        <w:gridCol w:w="69"/>
        <w:gridCol w:w="889"/>
        <w:gridCol w:w="36"/>
      </w:tblGrid>
      <w:tr w:rsidR="0099058F" w14:paraId="4B76229C" w14:textId="77777777">
        <w:tc>
          <w:tcPr>
            <w:tcW w:w="50" w:type="pct"/>
            <w:tcBorders>
              <w:top w:val="nil"/>
              <w:left w:val="nil"/>
              <w:bottom w:val="nil"/>
              <w:right w:val="nil"/>
            </w:tcBorders>
            <w:shd w:val="clear" w:color="auto" w:fill="auto"/>
            <w:vAlign w:val="bottom"/>
          </w:tcPr>
          <w:p w14:paraId="4B762296" w14:textId="77777777" w:rsidR="0099058F" w:rsidRDefault="0099058F">
            <w:pPr>
              <w:widowControl/>
              <w:jc w:val="left"/>
              <w:rPr>
                <w:rFonts w:ascii="Times New Roman" w:eastAsia="宋体" w:hAnsi="宋体" w:cs="宋体"/>
                <w:kern w:val="0"/>
                <w:sz w:val="24"/>
              </w:rPr>
            </w:pPr>
          </w:p>
        </w:tc>
        <w:tc>
          <w:tcPr>
            <w:tcW w:w="4348" w:type="pct"/>
            <w:tcBorders>
              <w:top w:val="nil"/>
              <w:left w:val="nil"/>
              <w:bottom w:val="nil"/>
              <w:right w:val="nil"/>
            </w:tcBorders>
            <w:shd w:val="clear" w:color="auto" w:fill="auto"/>
            <w:vAlign w:val="bottom"/>
          </w:tcPr>
          <w:p w14:paraId="4B7622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9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99" w14:textId="77777777" w:rsidR="0099058F" w:rsidRDefault="0099058F">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vAlign w:val="bottom"/>
          </w:tcPr>
          <w:p w14:paraId="4B7622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9B" w14:textId="77777777" w:rsidR="0099058F" w:rsidRDefault="0099058F">
            <w:pPr>
              <w:widowControl/>
              <w:jc w:val="left"/>
              <w:rPr>
                <w:rFonts w:ascii="Times New Roman" w:eastAsia="宋体" w:hAnsi="宋体" w:cs="宋体"/>
                <w:kern w:val="0"/>
                <w:sz w:val="24"/>
              </w:rPr>
            </w:pPr>
          </w:p>
        </w:tc>
      </w:tr>
      <w:tr w:rsidR="0099058F" w14:paraId="4B76229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29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2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99058F" w14:paraId="4B7622A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2A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2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2A2" w14:textId="77777777" w:rsidR="0099058F" w:rsidRDefault="0099058F">
            <w:pPr>
              <w:widowControl/>
              <w:jc w:val="left"/>
              <w:rPr>
                <w:rFonts w:ascii="Times New Roman" w:eastAsia="宋体" w:hAnsi="宋体" w:cs="宋体"/>
                <w:kern w:val="0"/>
                <w:sz w:val="24"/>
              </w:rPr>
            </w:pPr>
          </w:p>
        </w:tc>
      </w:tr>
      <w:tr w:rsidR="0099058F" w14:paraId="4B7622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2A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A6" w14:textId="77777777" w:rsidR="0099058F" w:rsidRDefault="0099058F">
            <w:pPr>
              <w:widowControl/>
              <w:jc w:val="right"/>
              <w:rPr>
                <w:rFonts w:ascii="Times New Roman" w:eastAsia="宋体" w:hAnsi="宋体" w:cs="宋体"/>
                <w:kern w:val="0"/>
                <w:sz w:val="24"/>
              </w:rPr>
            </w:pPr>
          </w:p>
        </w:tc>
      </w:tr>
      <w:tr w:rsidR="0099058F" w14:paraId="4B7622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2A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AA" w14:textId="77777777" w:rsidR="0099058F" w:rsidRDefault="0099058F">
            <w:pPr>
              <w:widowControl/>
              <w:jc w:val="right"/>
              <w:rPr>
                <w:rFonts w:ascii="Times New Roman" w:eastAsia="宋体" w:hAnsi="宋体" w:cs="宋体"/>
                <w:kern w:val="0"/>
                <w:sz w:val="24"/>
              </w:rPr>
            </w:pPr>
          </w:p>
        </w:tc>
      </w:tr>
      <w:tr w:rsidR="0099058F" w14:paraId="4B7622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2A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AE" w14:textId="77777777" w:rsidR="0099058F" w:rsidRDefault="0099058F">
            <w:pPr>
              <w:widowControl/>
              <w:jc w:val="right"/>
              <w:rPr>
                <w:rFonts w:ascii="Times New Roman" w:eastAsia="宋体" w:hAnsi="宋体" w:cs="宋体"/>
                <w:kern w:val="0"/>
                <w:sz w:val="24"/>
              </w:rPr>
            </w:pPr>
          </w:p>
        </w:tc>
      </w:tr>
      <w:tr w:rsidR="0099058F" w14:paraId="4B7622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2B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2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2B2" w14:textId="77777777" w:rsidR="0099058F" w:rsidRDefault="0099058F">
            <w:pPr>
              <w:widowControl/>
              <w:jc w:val="right"/>
              <w:rPr>
                <w:rFonts w:ascii="Times New Roman" w:eastAsia="宋体" w:hAnsi="宋体" w:cs="宋体"/>
                <w:kern w:val="0"/>
                <w:sz w:val="24"/>
              </w:rPr>
            </w:pPr>
          </w:p>
        </w:tc>
      </w:tr>
      <w:tr w:rsidR="0099058F" w14:paraId="4B7622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2B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2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2B6" w14:textId="77777777" w:rsidR="0099058F" w:rsidRDefault="0099058F">
            <w:pPr>
              <w:widowControl/>
              <w:jc w:val="right"/>
              <w:rPr>
                <w:rFonts w:ascii="Times New Roman" w:eastAsia="宋体" w:hAnsi="宋体" w:cs="宋体"/>
                <w:kern w:val="0"/>
                <w:sz w:val="24"/>
              </w:rPr>
            </w:pPr>
          </w:p>
        </w:tc>
      </w:tr>
      <w:tr w:rsidR="0099058F" w14:paraId="4B7622BB"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2B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2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2BA" w14:textId="77777777" w:rsidR="0099058F" w:rsidRDefault="0099058F">
            <w:pPr>
              <w:widowControl/>
              <w:jc w:val="left"/>
              <w:rPr>
                <w:rFonts w:ascii="Times New Roman" w:eastAsia="宋体" w:hAnsi="宋体" w:cs="宋体"/>
                <w:kern w:val="0"/>
                <w:sz w:val="24"/>
              </w:rPr>
            </w:pPr>
          </w:p>
        </w:tc>
      </w:tr>
    </w:tbl>
    <w:p w14:paraId="4B7622B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2022, all of these financing commitments relate to customers we believe have less than investment-grade credit. We have concluded that no reserve for future potential losses is required for these </w:t>
      </w:r>
      <w:r>
        <w:rPr>
          <w:rFonts w:ascii="Arial" w:eastAsia="宋体" w:hAnsi="Arial" w:cs="Arial"/>
          <w:color w:val="000000"/>
          <w:kern w:val="0"/>
          <w:sz w:val="20"/>
          <w:szCs w:val="20"/>
          <w:lang w:bidi="ar"/>
        </w:rPr>
        <w:t>financing commitments based upon the terms, such as collateralization and interest rates, under which funding would be provided.</w:t>
      </w:r>
    </w:p>
    <w:p w14:paraId="4B7622B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Financial Commitments</w:t>
      </w:r>
    </w:p>
    <w:p w14:paraId="4B7622B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commitments to make additional capital contributions totaling $270 related to cer</w:t>
      </w:r>
      <w:r>
        <w:rPr>
          <w:rFonts w:ascii="Arial" w:eastAsia="宋体" w:hAnsi="Arial" w:cs="Arial"/>
          <w:color w:val="000000"/>
          <w:kern w:val="0"/>
          <w:sz w:val="20"/>
          <w:szCs w:val="20"/>
          <w:lang w:bidi="ar"/>
        </w:rPr>
        <w:t>tain joint ventures over the next five years.</w:t>
      </w:r>
    </w:p>
    <w:p w14:paraId="4B7622B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4B7622C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institutions primarily relating to the guarantee of our future performance on </w:t>
      </w:r>
      <w:r>
        <w:rPr>
          <w:rFonts w:ascii="Arial" w:eastAsia="宋体" w:hAnsi="Arial" w:cs="Arial"/>
          <w:color w:val="000000"/>
          <w:kern w:val="0"/>
          <w:sz w:val="20"/>
          <w:szCs w:val="20"/>
          <w:lang w:bidi="ar"/>
        </w:rPr>
        <w:t>certain contracts and security agreements. Contingent liabilities on outstanding letters of credit agreements and surety bonds aggregated approximately $5,070 and $3,634 as of December 31, 2022 and 2021.</w:t>
      </w:r>
    </w:p>
    <w:p w14:paraId="4B7622C1"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Company Owned Life Insurance</w:t>
      </w:r>
    </w:p>
    <w:p w14:paraId="4B7622C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McDonnell Douglas Corpo</w:t>
      </w:r>
      <w:r>
        <w:rPr>
          <w:rFonts w:ascii="Arial" w:eastAsia="宋体" w:hAnsi="Arial" w:cs="Arial"/>
          <w:color w:val="000000"/>
          <w:kern w:val="0"/>
          <w:sz w:val="20"/>
          <w:szCs w:val="20"/>
          <w:lang w:bidi="ar"/>
        </w:rPr>
        <w:t>ration insured its executives with Company Owned Life Insurance (COLI), which are life insurance policies with a cash surrender value. Although we do not use COLI currently, these obligations from the merger with McDonnell Douglas are still a commitment at</w:t>
      </w:r>
      <w:r>
        <w:rPr>
          <w:rFonts w:ascii="Arial" w:eastAsia="宋体" w:hAnsi="Arial" w:cs="Arial"/>
          <w:color w:val="000000"/>
          <w:kern w:val="0"/>
          <w:sz w:val="20"/>
          <w:szCs w:val="20"/>
          <w:lang w:bidi="ar"/>
        </w:rPr>
        <w:t xml:space="preserve"> this time. We have loans in place to cover costs paid or incurred to carry the underlying life insurance policies. As of December 31, 2022 and 2021, the cash surrender value was $376 and $374 and the total loans were $346 and $360. As we have the right to</w:t>
      </w:r>
      <w:r>
        <w:rPr>
          <w:rFonts w:ascii="Arial" w:eastAsia="宋体" w:hAnsi="Arial" w:cs="Arial"/>
          <w:color w:val="000000"/>
          <w:kern w:val="0"/>
          <w:sz w:val="20"/>
          <w:szCs w:val="20"/>
          <w:lang w:bidi="ar"/>
        </w:rPr>
        <w:t xml:space="preserve"> offset the loans against the cash surrender value of the policies, we present the net asset in Other assets on the Consolidated Statements of Financial Position as of December 31, 2022 and 2021.</w:t>
      </w:r>
    </w:p>
    <w:p w14:paraId="4B7622C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Government Assistance</w:t>
      </w:r>
    </w:p>
    <w:p w14:paraId="4B7622C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2022, we adopted Accounting Standar</w:t>
      </w:r>
      <w:r>
        <w:rPr>
          <w:rFonts w:ascii="Arial" w:eastAsia="宋体" w:hAnsi="Arial" w:cs="Arial"/>
          <w:color w:val="000000"/>
          <w:kern w:val="0"/>
          <w:sz w:val="20"/>
          <w:szCs w:val="20"/>
          <w:lang w:bidi="ar"/>
        </w:rPr>
        <w:t xml:space="preserve">ds Update (ASU) 2021-10, </w:t>
      </w:r>
      <w:r>
        <w:rPr>
          <w:rFonts w:ascii="Arial" w:eastAsia="宋体" w:hAnsi="Arial" w:cs="Arial"/>
          <w:i/>
          <w:iCs/>
          <w:color w:val="000000"/>
          <w:kern w:val="0"/>
          <w:sz w:val="20"/>
          <w:szCs w:val="20"/>
          <w:lang w:bidi="ar"/>
        </w:rPr>
        <w:t>Government Assistance (Topic 832)</w:t>
      </w:r>
      <w:r>
        <w:rPr>
          <w:rFonts w:ascii="Arial" w:eastAsia="宋体" w:hAnsi="Arial" w:cs="Arial"/>
          <w:color w:val="000000"/>
          <w:kern w:val="0"/>
          <w:sz w:val="20"/>
          <w:szCs w:val="20"/>
          <w:lang w:bidi="ar"/>
        </w:rPr>
        <w:t xml:space="preserve">, which requires certain disclosures for those government assistance transactions for which we have applied a grant accounting model. Certain states and localities in which we operate offer or have </w:t>
      </w:r>
      <w:r>
        <w:rPr>
          <w:rFonts w:ascii="Arial" w:eastAsia="宋体" w:hAnsi="Arial" w:cs="Arial"/>
          <w:color w:val="000000"/>
          <w:kern w:val="0"/>
          <w:sz w:val="20"/>
          <w:szCs w:val="20"/>
          <w:lang w:bidi="ar"/>
        </w:rPr>
        <w:t>offered various business incentives related to investment and/or job creation.</w:t>
      </w:r>
    </w:p>
    <w:p w14:paraId="4B7622C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Between 2010 and 2016, we received cash grants totaling $346 related to our investment in operations in South Carolina. The grants were recorded in Other liabilities and are bei</w:t>
      </w:r>
      <w:r>
        <w:rPr>
          <w:rFonts w:ascii="Arial" w:eastAsia="宋体" w:hAnsi="Arial" w:cs="Arial"/>
          <w:color w:val="000000"/>
          <w:kern w:val="0"/>
          <w:sz w:val="20"/>
          <w:szCs w:val="20"/>
          <w:lang w:bidi="ar"/>
        </w:rPr>
        <w:t xml:space="preserve">ng amortized, primarily to </w:t>
      </w:r>
    </w:p>
    <w:p w14:paraId="4B7622C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85</w:t>
      </w:r>
    </w:p>
    <w:p w14:paraId="4B7622C7" w14:textId="77777777" w:rsidR="0099058F" w:rsidRDefault="00EB2559">
      <w:pPr>
        <w:widowControl/>
        <w:jc w:val="center"/>
      </w:pPr>
      <w:r>
        <w:rPr>
          <w:rFonts w:ascii="宋体" w:eastAsia="宋体" w:hAnsi="宋体" w:cs="宋体"/>
          <w:kern w:val="0"/>
          <w:sz w:val="24"/>
        </w:rPr>
        <w:pict w14:anchorId="4B763C4C">
          <v:rect id="_x0000_i1111" style="width:6in;height:1.5pt" o:hralign="center" o:hrstd="t" o:hr="t" fillcolor="#a0a0a0" stroked="f"/>
        </w:pict>
      </w:r>
    </w:p>
    <w:p w14:paraId="4B7622C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2C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inventory, over the useful life of the Property, plant and equipment extending through 2052. During 2022, we amortized $11 to Inventory, and recorded a benefit of $5 in Cost of Sales. At December, 31, 2022, inventory included a benefit of $64 and Accrued l</w:t>
      </w:r>
      <w:r>
        <w:rPr>
          <w:rFonts w:ascii="Arial" w:eastAsia="宋体" w:hAnsi="Arial" w:cs="Arial"/>
          <w:color w:val="000000"/>
          <w:kern w:val="0"/>
          <w:sz w:val="20"/>
          <w:szCs w:val="20"/>
          <w:lang w:bidi="ar"/>
        </w:rPr>
        <w:t xml:space="preserve">iabilities included a balance of $106. </w:t>
      </w:r>
    </w:p>
    <w:p w14:paraId="4B7622C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eligible to claim tax refunds from the State of Missouri and City of Irving, Texas primarily related to job creation and retention through 2031. During 2022, we received $30 in cash and recorded a benefit of $</w:t>
      </w:r>
      <w:r>
        <w:rPr>
          <w:rFonts w:ascii="Arial" w:eastAsia="宋体" w:hAnsi="Arial" w:cs="Arial"/>
          <w:color w:val="000000"/>
          <w:kern w:val="0"/>
          <w:sz w:val="20"/>
          <w:szCs w:val="20"/>
          <w:lang w:bidi="ar"/>
        </w:rPr>
        <w:t>21 in Cost of sales. At December 31, 2022, Other current assets includes receivables of $20. As of December 31, 2022, $56 of refunds, plus interest, is subject to clawback if we fail to meet certain conditions, including employment levels.</w:t>
      </w:r>
    </w:p>
    <w:p w14:paraId="4B7622C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eligible </w:t>
      </w:r>
      <w:r>
        <w:rPr>
          <w:rFonts w:ascii="Arial" w:eastAsia="宋体" w:hAnsi="Arial" w:cs="Arial"/>
          <w:color w:val="000000"/>
          <w:kern w:val="0"/>
          <w:sz w:val="20"/>
          <w:szCs w:val="20"/>
          <w:lang w:bidi="ar"/>
        </w:rPr>
        <w:t>to claim cash grants through 2032 of up to $62, related to operations in Queensland, Australia. During 2022, $7 cash was received and recorded as a benefit in Cost of Sales. At December 31, 2022, $4 is subject to clawback if we fail to meet certain conditi</w:t>
      </w:r>
      <w:r>
        <w:rPr>
          <w:rFonts w:ascii="Arial" w:eastAsia="宋体" w:hAnsi="Arial" w:cs="Arial"/>
          <w:color w:val="000000"/>
          <w:kern w:val="0"/>
          <w:sz w:val="20"/>
          <w:szCs w:val="20"/>
          <w:lang w:bidi="ar"/>
        </w:rPr>
        <w:t>ons, including employment levels.</w:t>
      </w:r>
    </w:p>
    <w:p w14:paraId="4B7622C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Industrial Revenue Bonds (IRB) issued by St. Louis County were used to finance the purchase and/or construction of real and personal property at our St. Louis site. Tax benefits associated with IRBs include a twelve-year p</w:t>
      </w:r>
      <w:r>
        <w:rPr>
          <w:rFonts w:ascii="Arial" w:eastAsia="宋体" w:hAnsi="Arial" w:cs="Arial"/>
          <w:color w:val="000000"/>
          <w:kern w:val="0"/>
          <w:sz w:val="20"/>
          <w:szCs w:val="20"/>
          <w:lang w:bidi="ar"/>
        </w:rPr>
        <w:t>roperty tax abatement and sales tax exemption from St. Louis County. We record these properties on our Consolidated Statements of Financial Position. We have also purchased the IRBs and therefore are the bondholders as well as the borrower/lessee of the pr</w:t>
      </w:r>
      <w:r>
        <w:rPr>
          <w:rFonts w:ascii="Arial" w:eastAsia="宋体" w:hAnsi="Arial" w:cs="Arial"/>
          <w:color w:val="000000"/>
          <w:kern w:val="0"/>
          <w:sz w:val="20"/>
          <w:szCs w:val="20"/>
          <w:lang w:bidi="ar"/>
        </w:rPr>
        <w:t>operties purchased with the IRB proceeds. The liabilities and IRB assets are equal and are reported net in the Consolidated Statements of Financial Position. As of December 31, 2022 and 2021, the assets and liabilities associated with the IRBs were $271.</w:t>
      </w:r>
    </w:p>
    <w:p w14:paraId="4B7622CD"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w:t>
      </w:r>
      <w:r>
        <w:rPr>
          <w:rFonts w:ascii="Arial" w:eastAsia="宋体" w:hAnsi="Arial" w:cs="Arial"/>
          <w:b/>
          <w:bCs/>
          <w:color w:val="000000"/>
          <w:kern w:val="0"/>
          <w:sz w:val="20"/>
          <w:szCs w:val="20"/>
          <w:lang w:bidi="ar"/>
        </w:rPr>
        <w:t>ecoverable Costs on Government Contracts</w:t>
      </w:r>
    </w:p>
    <w:p w14:paraId="4B7622C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final incurred costs for each year are subject to audit and review for allowability by the U.S. government, which can result in payment demands related to costs they believe should be disallowed. We work with th</w:t>
      </w:r>
      <w:r>
        <w:rPr>
          <w:rFonts w:ascii="Arial" w:eastAsia="宋体" w:hAnsi="Arial" w:cs="Arial"/>
          <w:color w:val="000000"/>
          <w:kern w:val="0"/>
          <w:sz w:val="20"/>
          <w:szCs w:val="20"/>
          <w:lang w:bidi="ar"/>
        </w:rPr>
        <w:t>e U.S. government to assess the merits of claims and where appropriate reserve for amounts disputed. If we are unable to satisfactorily resolve disputed costs, we could be required to record an earnings charge and/or provide refunds to the U.S. government.</w:t>
      </w:r>
    </w:p>
    <w:p w14:paraId="4B7622C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Fixed-Price Contracts</w:t>
      </w:r>
    </w:p>
    <w:p w14:paraId="4B7622D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Substantially all contracts at BDS and the majority of contracts at BGS Government are long-term contracts. Long-term contracts that are contracted on a fixed-price basis could result in losses in future periods. Certain of the fixed</w:t>
      </w:r>
      <w:r>
        <w:rPr>
          <w:rFonts w:ascii="Arial" w:eastAsia="宋体" w:hAnsi="Arial" w:cs="Arial"/>
          <w:color w:val="000000"/>
          <w:kern w:val="0"/>
          <w:sz w:val="20"/>
          <w:szCs w:val="20"/>
          <w:lang w:bidi="ar"/>
        </w:rPr>
        <w:t>-price contracts are for the development of new products, services and related technologies. This development work scope is inherently uncertain and subject to significant variability in estimates of the cost and time required to complete the work by us an</w:t>
      </w:r>
      <w:r>
        <w:rPr>
          <w:rFonts w:ascii="Arial" w:eastAsia="宋体" w:hAnsi="Arial" w:cs="Arial"/>
          <w:color w:val="000000"/>
          <w:kern w:val="0"/>
          <w:sz w:val="20"/>
          <w:szCs w:val="20"/>
          <w:lang w:bidi="ar"/>
        </w:rPr>
        <w:t>d our suppliers. The operational and technical complexities of fixed-price development contracts create financial risk, which could trigger additional earnings charges, termination provisions, order cancellations, or other financially significant exposure.</w:t>
      </w:r>
      <w:r>
        <w:rPr>
          <w:rFonts w:ascii="Arial" w:eastAsia="宋体" w:hAnsi="Arial" w:cs="Arial"/>
          <w:color w:val="000000"/>
          <w:kern w:val="0"/>
          <w:sz w:val="20"/>
          <w:szCs w:val="20"/>
          <w:lang w:bidi="ar"/>
        </w:rPr>
        <w:t xml:space="preserve"> </w:t>
      </w:r>
    </w:p>
    <w:p w14:paraId="4B7622D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VC-25B Presidential Aircraft</w:t>
      </w:r>
    </w:p>
    <w:p w14:paraId="4B7622D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Company’s firm fixed-price contract for the Engineering, Manufacturing, and Development (EMD) effort on the U.S. Air Force’s (USAF) VC-25B Presidential Aircraft, commonly known as Air Force One, is a $4.3 billion program </w:t>
      </w:r>
      <w:r>
        <w:rPr>
          <w:rFonts w:ascii="Arial" w:eastAsia="宋体" w:hAnsi="Arial" w:cs="Arial"/>
          <w:color w:val="000000"/>
          <w:kern w:val="0"/>
          <w:sz w:val="20"/>
          <w:szCs w:val="20"/>
          <w:lang w:bidi="ar"/>
        </w:rPr>
        <w:t>to develop and modify two 747-8 commercial aircraft. During the year ended December 31, 2022, we increased the reach-forward loss on the contract by $1,452 primarily driven by increases to cost estimates associated with factory modification labor and suppo</w:t>
      </w:r>
      <w:r>
        <w:rPr>
          <w:rFonts w:ascii="Arial" w:eastAsia="宋体" w:hAnsi="Arial" w:cs="Arial"/>
          <w:color w:val="000000"/>
          <w:kern w:val="0"/>
          <w:sz w:val="20"/>
          <w:szCs w:val="20"/>
          <w:lang w:bidi="ar"/>
        </w:rPr>
        <w:t>rt engineering resources due to labor instability and inefficiencies that we now estimate will persist longer than previously anticipated, higher supplier cost estimates based on ongoing supplier negotiations and higher levels of engineering design changes</w:t>
      </w:r>
      <w:r>
        <w:rPr>
          <w:rFonts w:ascii="Arial" w:eastAsia="宋体" w:hAnsi="Arial" w:cs="Arial"/>
          <w:color w:val="000000"/>
          <w:kern w:val="0"/>
          <w:sz w:val="20"/>
          <w:szCs w:val="20"/>
          <w:lang w:bidi="ar"/>
        </w:rPr>
        <w:t xml:space="preserve"> due to technical requirements which are driving increased rework and schedule delays. Risk remains that we may record additional losses in future periods.</w:t>
      </w:r>
    </w:p>
    <w:p w14:paraId="4B7622D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86</w:t>
      </w:r>
    </w:p>
    <w:p w14:paraId="4B7622D4" w14:textId="77777777" w:rsidR="0099058F" w:rsidRDefault="00EB2559">
      <w:pPr>
        <w:widowControl/>
        <w:jc w:val="center"/>
      </w:pPr>
      <w:r>
        <w:rPr>
          <w:rFonts w:ascii="宋体" w:eastAsia="宋体" w:hAnsi="宋体" w:cs="宋体"/>
          <w:kern w:val="0"/>
          <w:sz w:val="24"/>
        </w:rPr>
        <w:pict w14:anchorId="4B763C4D">
          <v:rect id="_x0000_i1112" style="width:6in;height:1.5pt" o:hralign="center" o:hrstd="t" o:hr="t" fillcolor="#a0a0a0" stroked="f"/>
        </w:pict>
      </w:r>
    </w:p>
    <w:p w14:paraId="4B7622D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2D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4B7622D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2011, we were awarded a contract from the USAF to design, develop, manufacture, and deliver four next generation aerial refueling tankers as well as priced options for 13 </w:t>
      </w:r>
      <w:r>
        <w:rPr>
          <w:rFonts w:ascii="Arial" w:eastAsia="宋体" w:hAnsi="Arial" w:cs="Arial"/>
          <w:color w:val="000000"/>
          <w:kern w:val="0"/>
          <w:sz w:val="20"/>
          <w:szCs w:val="20"/>
          <w:lang w:bidi="ar"/>
        </w:rPr>
        <w:t>annual production lots totaling 179 aircraft. This EMD contract is a fixed-price incentive fee contract and involves highly complex designs and systems integration. Since 2016, the USAF has authorized eight low rate initial production (LRIP) lots for a tot</w:t>
      </w:r>
      <w:r>
        <w:rPr>
          <w:rFonts w:ascii="Arial" w:eastAsia="宋体" w:hAnsi="Arial" w:cs="Arial"/>
          <w:color w:val="000000"/>
          <w:kern w:val="0"/>
          <w:sz w:val="20"/>
          <w:szCs w:val="20"/>
          <w:lang w:bidi="ar"/>
        </w:rPr>
        <w:t>al of 109 aircraft. The EMD contract and authorized LRIP lots total approximately $21 billion as of December 31, 2022. As of December 31, 2022, we had approximately $209 of capitalized precontract costs and $292 of potential termination liabilities to supp</w:t>
      </w:r>
      <w:r>
        <w:rPr>
          <w:rFonts w:ascii="Arial" w:eastAsia="宋体" w:hAnsi="Arial" w:cs="Arial"/>
          <w:color w:val="000000"/>
          <w:kern w:val="0"/>
          <w:sz w:val="20"/>
          <w:szCs w:val="20"/>
          <w:lang w:bidi="ar"/>
        </w:rPr>
        <w:t>liers related to unexercised future lots.</w:t>
      </w:r>
    </w:p>
    <w:p w14:paraId="4B7622D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year ended December 31, 2022, we increased the reach-forward loss on the KC-46A Tanker program by $1,374 primarily reflecting higher production and supply chain costs partially driven by labor instabilit</w:t>
      </w:r>
      <w:r>
        <w:rPr>
          <w:rFonts w:ascii="Arial" w:eastAsia="宋体" w:hAnsi="Arial" w:cs="Arial"/>
          <w:color w:val="000000"/>
          <w:kern w:val="0"/>
          <w:sz w:val="20"/>
          <w:szCs w:val="20"/>
          <w:lang w:bidi="ar"/>
        </w:rPr>
        <w:t>y and supply chain disruption, most of which was recorded during the third quarter of 2022. The increase in production costs was primarily driven by factory unit time performance expectations that assume continued production disruption due to labor instabi</w:t>
      </w:r>
      <w:r>
        <w:rPr>
          <w:rFonts w:ascii="Arial" w:eastAsia="宋体" w:hAnsi="Arial" w:cs="Arial"/>
          <w:color w:val="000000"/>
          <w:kern w:val="0"/>
          <w:sz w:val="20"/>
          <w:szCs w:val="20"/>
          <w:lang w:bidi="ar"/>
        </w:rPr>
        <w:t>lity and supply chain disruption. Factory unit time estimates also reflect reduced benefits from prior investments in productivity enablers and higher factory unit time to produce aircraft for the remaining life of the program. The current year losses also</w:t>
      </w:r>
      <w:r>
        <w:rPr>
          <w:rFonts w:ascii="Arial" w:eastAsia="宋体" w:hAnsi="Arial" w:cs="Arial"/>
          <w:color w:val="000000"/>
          <w:kern w:val="0"/>
          <w:sz w:val="20"/>
          <w:szCs w:val="20"/>
          <w:lang w:bidi="ar"/>
        </w:rPr>
        <w:t xml:space="preserve"> reflect increased estimated change incorporation costs for flight test aircraft as well as schedule delays to complete the Remote Vision System. Risk remains that we may record additional losses in future periods.</w:t>
      </w:r>
    </w:p>
    <w:p w14:paraId="4B7622D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MQ-25</w:t>
      </w:r>
    </w:p>
    <w:p w14:paraId="4B7622D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third quarter of 2018, we we</w:t>
      </w:r>
      <w:r>
        <w:rPr>
          <w:rFonts w:ascii="Arial" w:eastAsia="宋体" w:hAnsi="Arial" w:cs="Arial"/>
          <w:color w:val="000000"/>
          <w:kern w:val="0"/>
          <w:sz w:val="20"/>
          <w:szCs w:val="20"/>
          <w:lang w:bidi="ar"/>
        </w:rPr>
        <w:t>re awarded the MQ-25 EMD contract by the U.S. Navy. The contract is a fixed-price contract that now includes development and delivery of seven aircraft and test articles at a contract price of $890. In connection with winning the competition, we recognized</w:t>
      </w:r>
      <w:r>
        <w:rPr>
          <w:rFonts w:ascii="Arial" w:eastAsia="宋体" w:hAnsi="Arial" w:cs="Arial"/>
          <w:color w:val="000000"/>
          <w:kern w:val="0"/>
          <w:sz w:val="20"/>
          <w:szCs w:val="20"/>
          <w:lang w:bidi="ar"/>
        </w:rPr>
        <w:t xml:space="preserve"> a reach-forward loss of $291 in the third quarter of 2018. During the year ended December 31, 2022, we increased the MQ-25 reach-forward loss by $579 primarily driven by higher than anticipated costs to manufacture the EMD units reflecting recent performa</w:t>
      </w:r>
      <w:r>
        <w:rPr>
          <w:rFonts w:ascii="Arial" w:eastAsia="宋体" w:hAnsi="Arial" w:cs="Arial"/>
          <w:color w:val="000000"/>
          <w:kern w:val="0"/>
          <w:sz w:val="20"/>
          <w:szCs w:val="20"/>
          <w:lang w:bidi="ar"/>
        </w:rPr>
        <w:t>nce which is resulting in additional factory resources and increased engineering costs to address design and supplier quality issues. We also increased costs associated with engineering design challenges, additional testing and certification activities, an</w:t>
      </w:r>
      <w:r>
        <w:rPr>
          <w:rFonts w:ascii="Arial" w:eastAsia="宋体" w:hAnsi="Arial" w:cs="Arial"/>
          <w:color w:val="000000"/>
          <w:kern w:val="0"/>
          <w:sz w:val="20"/>
          <w:szCs w:val="20"/>
          <w:lang w:bidi="ar"/>
        </w:rPr>
        <w:t>d flight test support. Risk remains that we may record additional losses in future periods.</w:t>
      </w:r>
    </w:p>
    <w:p w14:paraId="4B7622D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T-7A Red Hawk EMD Contract &amp; Production Options</w:t>
      </w:r>
    </w:p>
    <w:p w14:paraId="4B7622D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2018, we were awarded the T-7A Red Hawk program. The EMD portion of the contract is a $860 fixed-price contract a</w:t>
      </w:r>
      <w:r>
        <w:rPr>
          <w:rFonts w:ascii="Arial" w:eastAsia="宋体" w:hAnsi="Arial" w:cs="Arial"/>
          <w:color w:val="000000"/>
          <w:kern w:val="0"/>
          <w:sz w:val="20"/>
          <w:szCs w:val="20"/>
          <w:lang w:bidi="ar"/>
        </w:rPr>
        <w:t>nd includes five aircraft and seven simulators. During the year ended December 31, 2022, we recorded earnings charges of $203 related to the T-7A Red Hawk fixed-price EMD contract, which has a reach-forward loss at December 31, 2022. Current year losses we</w:t>
      </w:r>
      <w:r>
        <w:rPr>
          <w:rFonts w:ascii="Arial" w:eastAsia="宋体" w:hAnsi="Arial" w:cs="Arial"/>
          <w:color w:val="000000"/>
          <w:kern w:val="0"/>
          <w:sz w:val="20"/>
          <w:szCs w:val="20"/>
          <w:lang w:bidi="ar"/>
        </w:rPr>
        <w:t>re primarily due to supply chain and hardware qualification issues, as well as schedule delays in achieving Military Flight Release and additional cost growth to resolve technical issues and other engineering design changes identified during 2022. EMD airc</w:t>
      </w:r>
      <w:r>
        <w:rPr>
          <w:rFonts w:ascii="Arial" w:eastAsia="宋体" w:hAnsi="Arial" w:cs="Arial"/>
          <w:color w:val="000000"/>
          <w:kern w:val="0"/>
          <w:sz w:val="20"/>
          <w:szCs w:val="20"/>
          <w:lang w:bidi="ar"/>
        </w:rPr>
        <w:t xml:space="preserve">raft flight testing is now estimated to start in 2023. </w:t>
      </w:r>
    </w:p>
    <w:p w14:paraId="4B7622D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production portion of the contract includes 11 production lots for aircraft and related services. In 2018, we recorded a loss of $400 associated with the 11 production lots and associated support </w:t>
      </w:r>
      <w:r>
        <w:rPr>
          <w:rFonts w:ascii="Arial" w:eastAsia="宋体" w:hAnsi="Arial" w:cs="Arial"/>
          <w:color w:val="000000"/>
          <w:kern w:val="0"/>
          <w:sz w:val="20"/>
          <w:szCs w:val="20"/>
          <w:lang w:bidi="ar"/>
        </w:rPr>
        <w:t>options for 346 T-7A Red Hawk aircraft that we believe are probable of being exercised. The first production and support contract option is expected to be exercised in 2024. We increased the estimated reach-forward loss by $552 during the year ended Decemb</w:t>
      </w:r>
      <w:r>
        <w:rPr>
          <w:rFonts w:ascii="Arial" w:eastAsia="宋体" w:hAnsi="Arial" w:cs="Arial"/>
          <w:color w:val="000000"/>
          <w:kern w:val="0"/>
          <w:sz w:val="20"/>
          <w:szCs w:val="20"/>
          <w:lang w:bidi="ar"/>
        </w:rPr>
        <w:t>er 31, 2022 primarily driven by ongoing supply chain negotiations (which are impacted by supply chain constraints and inflationary pressures), and design revisions, as well as an increase in the number of expected units in the initial production lots. Risk</w:t>
      </w:r>
      <w:r>
        <w:rPr>
          <w:rFonts w:ascii="Arial" w:eastAsia="宋体" w:hAnsi="Arial" w:cs="Arial"/>
          <w:color w:val="000000"/>
          <w:kern w:val="0"/>
          <w:sz w:val="20"/>
          <w:szCs w:val="20"/>
          <w:lang w:bidi="ar"/>
        </w:rPr>
        <w:t xml:space="preserve"> remains that we may record additional losses in future periods. At December 31, 2022, we had approximately $56 of capitalized precontract costs and $283 of potential termination liabilities to suppliers related to future production lots.</w:t>
      </w:r>
    </w:p>
    <w:p w14:paraId="4B7622D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87</w:t>
      </w:r>
    </w:p>
    <w:p w14:paraId="4B7622DF" w14:textId="77777777" w:rsidR="0099058F" w:rsidRDefault="00EB2559">
      <w:pPr>
        <w:widowControl/>
        <w:jc w:val="center"/>
      </w:pPr>
      <w:r>
        <w:rPr>
          <w:rFonts w:ascii="宋体" w:eastAsia="宋体" w:hAnsi="宋体" w:cs="宋体"/>
          <w:kern w:val="0"/>
          <w:sz w:val="24"/>
        </w:rPr>
        <w:pict w14:anchorId="4B763C4E">
          <v:rect id="_x0000_i1113" style="width:6in;height:1.5pt" o:hralign="center" o:hrstd="t" o:hr="t" fillcolor="#a0a0a0" stroked="f"/>
        </w:pict>
      </w:r>
    </w:p>
    <w:p w14:paraId="4B7622E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2E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Crew</w:t>
      </w:r>
    </w:p>
    <w:p w14:paraId="4B7622E2"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NASA has contracted us to design and build the CST-100 Starliner spacecraft to transport crews to the International Space Station. During the second quarter of 2022 we successfully completed the uncrewed Orbital Flight Test. A crewed flight test is now exp</w:t>
      </w:r>
      <w:r>
        <w:rPr>
          <w:rFonts w:ascii="Arial" w:eastAsia="宋体" w:hAnsi="Arial" w:cs="Arial"/>
          <w:color w:val="000000"/>
          <w:kern w:val="0"/>
          <w:sz w:val="20"/>
          <w:szCs w:val="20"/>
          <w:lang w:bidi="ar"/>
        </w:rPr>
        <w:t>ected to be completed in 2023. During the year ended December 31, 2022, we increased the reach-forward loss by $288 primarily reflecting increases to estimated costs related to completing the crewed flight tests and revised schedules for both the crewed fl</w:t>
      </w:r>
      <w:r>
        <w:rPr>
          <w:rFonts w:ascii="Arial" w:eastAsia="宋体" w:hAnsi="Arial" w:cs="Arial"/>
          <w:color w:val="000000"/>
          <w:kern w:val="0"/>
          <w:sz w:val="20"/>
          <w:szCs w:val="20"/>
          <w:lang w:bidi="ar"/>
        </w:rPr>
        <w:t>ight test and three post certification missions. Most of this increase was recorded in the third quarter of 2022, primarily driven by timing of the three future post certification missions which are now assumed to be completed by 2026 based on NASA’s revis</w:t>
      </w:r>
      <w:r>
        <w:rPr>
          <w:rFonts w:ascii="Arial" w:eastAsia="宋体" w:hAnsi="Arial" w:cs="Arial"/>
          <w:color w:val="000000"/>
          <w:kern w:val="0"/>
          <w:sz w:val="20"/>
          <w:szCs w:val="20"/>
          <w:lang w:bidi="ar"/>
        </w:rPr>
        <w:t>ed launch plans. We had previously assumed that the post certification missions would be completed by 2024. Risk remains that we may record additional losses in future periods. At December 31, 2022, we had approximately $180 of capitalized precontract cost</w:t>
      </w:r>
      <w:r>
        <w:rPr>
          <w:rFonts w:ascii="Arial" w:eastAsia="宋体" w:hAnsi="Arial" w:cs="Arial"/>
          <w:color w:val="000000"/>
          <w:kern w:val="0"/>
          <w:sz w:val="20"/>
          <w:szCs w:val="20"/>
          <w:lang w:bidi="ar"/>
        </w:rPr>
        <w:t xml:space="preserve">s and $159 of potential termination liabilities to suppliers related to unauthorized future missions. </w:t>
      </w:r>
    </w:p>
    <w:p w14:paraId="4B7622E3"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Arrangements with Off-Balance Sheet Risk</w:t>
      </w:r>
    </w:p>
    <w:p w14:paraId="4B7622E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enter into arrangements with off-balance sheet risk in the normal course of business, primarily in </w:t>
      </w:r>
      <w:r>
        <w:rPr>
          <w:rFonts w:ascii="Arial" w:eastAsia="宋体" w:hAnsi="Arial" w:cs="Arial"/>
          <w:color w:val="000000"/>
          <w:kern w:val="0"/>
          <w:sz w:val="20"/>
          <w:szCs w:val="20"/>
          <w:lang w:bidi="ar"/>
        </w:rPr>
        <w:t>the form of guarantees.</w:t>
      </w:r>
    </w:p>
    <w:p w14:paraId="4B7622E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quantitative data regarding our third party guarantees. The maximum potential payments represent a “worst-case scenario” and do not necessarily reflect amounts that we expect to pay. The carrying amount </w:t>
      </w:r>
      <w:r>
        <w:rPr>
          <w:rFonts w:ascii="Arial" w:eastAsia="宋体" w:hAnsi="Arial" w:cs="Arial"/>
          <w:color w:val="000000"/>
          <w:kern w:val="0"/>
          <w:sz w:val="20"/>
          <w:szCs w:val="20"/>
          <w:lang w:bidi="ar"/>
        </w:rPr>
        <w:t>of liabilities represents the amount included in Accrued liabilities.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3091"/>
        <w:gridCol w:w="36"/>
        <w:gridCol w:w="63"/>
        <w:gridCol w:w="720"/>
        <w:gridCol w:w="37"/>
        <w:gridCol w:w="64"/>
        <w:gridCol w:w="721"/>
        <w:gridCol w:w="36"/>
        <w:gridCol w:w="36"/>
        <w:gridCol w:w="36"/>
        <w:gridCol w:w="36"/>
        <w:gridCol w:w="59"/>
        <w:gridCol w:w="721"/>
        <w:gridCol w:w="37"/>
        <w:gridCol w:w="64"/>
        <w:gridCol w:w="721"/>
        <w:gridCol w:w="36"/>
        <w:gridCol w:w="36"/>
        <w:gridCol w:w="36"/>
        <w:gridCol w:w="36"/>
        <w:gridCol w:w="59"/>
        <w:gridCol w:w="721"/>
        <w:gridCol w:w="38"/>
        <w:gridCol w:w="64"/>
        <w:gridCol w:w="706"/>
        <w:gridCol w:w="36"/>
      </w:tblGrid>
      <w:tr w:rsidR="0099058F" w14:paraId="4B762301" w14:textId="77777777">
        <w:tc>
          <w:tcPr>
            <w:tcW w:w="50" w:type="pct"/>
            <w:tcBorders>
              <w:top w:val="nil"/>
              <w:left w:val="nil"/>
              <w:bottom w:val="nil"/>
              <w:right w:val="nil"/>
            </w:tcBorders>
            <w:shd w:val="clear" w:color="auto" w:fill="auto"/>
            <w:vAlign w:val="bottom"/>
          </w:tcPr>
          <w:p w14:paraId="4B7622E6" w14:textId="77777777" w:rsidR="0099058F" w:rsidRDefault="0099058F">
            <w:pPr>
              <w:widowControl/>
              <w:jc w:val="left"/>
              <w:rPr>
                <w:rFonts w:ascii="Times New Roman" w:eastAsia="宋体" w:hAnsi="宋体" w:cs="宋体"/>
                <w:kern w:val="0"/>
                <w:sz w:val="24"/>
              </w:rPr>
            </w:pPr>
          </w:p>
        </w:tc>
        <w:tc>
          <w:tcPr>
            <w:tcW w:w="1871" w:type="pct"/>
            <w:tcBorders>
              <w:top w:val="nil"/>
              <w:left w:val="nil"/>
              <w:bottom w:val="nil"/>
              <w:right w:val="nil"/>
            </w:tcBorders>
            <w:shd w:val="clear" w:color="auto" w:fill="auto"/>
            <w:vAlign w:val="bottom"/>
          </w:tcPr>
          <w:p w14:paraId="4B7622E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E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E9" w14:textId="77777777" w:rsidR="0099058F" w:rsidRDefault="0099058F">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B7622E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E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EC" w14:textId="77777777" w:rsidR="0099058F" w:rsidRDefault="0099058F">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B7622E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E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2F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F2" w14:textId="77777777" w:rsidR="0099058F" w:rsidRDefault="0099058F">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B7622F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F5" w14:textId="77777777" w:rsidR="0099058F" w:rsidRDefault="0099058F">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B7622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2F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FB" w14:textId="77777777" w:rsidR="0099058F" w:rsidRDefault="0099058F">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B7622F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2F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2FE"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2F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00" w14:textId="77777777" w:rsidR="0099058F" w:rsidRDefault="0099058F">
            <w:pPr>
              <w:widowControl/>
              <w:jc w:val="left"/>
              <w:rPr>
                <w:rFonts w:ascii="Times New Roman" w:eastAsia="宋体" w:hAnsi="宋体" w:cs="宋体"/>
                <w:kern w:val="0"/>
                <w:sz w:val="24"/>
              </w:rPr>
            </w:pPr>
          </w:p>
        </w:tc>
      </w:tr>
      <w:tr w:rsidR="0099058F" w14:paraId="4B7623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02"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2303"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Maximum</w:t>
            </w:r>
            <w:r>
              <w:rPr>
                <w:rFonts w:ascii="Arial" w:eastAsia="宋体" w:hAnsi="Arial" w:cs="Arial"/>
                <w:color w:val="000000"/>
                <w:kern w:val="0"/>
                <w:sz w:val="20"/>
                <w:szCs w:val="20"/>
                <w:lang w:bidi="ar"/>
              </w:rPr>
              <w:br/>
              <w:t>Potential</w:t>
            </w:r>
            <w:r>
              <w:rPr>
                <w:rFonts w:ascii="Arial" w:eastAsia="宋体" w:hAnsi="Arial" w:cs="Arial"/>
                <w:color w:val="000000"/>
                <w:kern w:val="0"/>
                <w:sz w:val="20"/>
                <w:szCs w:val="20"/>
                <w:lang w:bidi="ar"/>
              </w:rPr>
              <w:br/>
              <w:t>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04"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2305"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Estimated</w:t>
            </w:r>
            <w:r>
              <w:rPr>
                <w:rFonts w:ascii="Arial" w:eastAsia="宋体" w:hAnsi="Arial" w:cs="Arial"/>
                <w:color w:val="000000"/>
                <w:kern w:val="0"/>
                <w:sz w:val="20"/>
                <w:szCs w:val="20"/>
                <w:lang w:bidi="ar"/>
              </w:rPr>
              <w:br/>
              <w:t>Proceeds from</w:t>
            </w:r>
            <w:r>
              <w:rPr>
                <w:rFonts w:ascii="Arial" w:eastAsia="宋体" w:hAnsi="Arial" w:cs="Arial"/>
                <w:color w:val="000000"/>
                <w:kern w:val="0"/>
                <w:sz w:val="20"/>
                <w:szCs w:val="20"/>
                <w:lang w:bidi="ar"/>
              </w:rPr>
              <w:br/>
              <w:t>Collateral/</w:t>
            </w:r>
            <w:r>
              <w:rPr>
                <w:rFonts w:ascii="Arial" w:eastAsia="宋体" w:hAnsi="Arial" w:cs="Arial"/>
                <w:color w:val="000000"/>
                <w:kern w:val="0"/>
                <w:sz w:val="20"/>
                <w:szCs w:val="20"/>
                <w:lang w:bidi="ar"/>
              </w:rPr>
              <w:br/>
              <w:t>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06" w14:textId="77777777" w:rsidR="0099058F" w:rsidRDefault="0099058F">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B76230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 of</w:t>
            </w:r>
            <w:r>
              <w:rPr>
                <w:rFonts w:ascii="Arial" w:eastAsia="宋体" w:hAnsi="Arial" w:cs="Arial"/>
                <w:color w:val="000000"/>
                <w:kern w:val="0"/>
                <w:sz w:val="20"/>
                <w:szCs w:val="20"/>
                <w:lang w:bidi="ar"/>
              </w:rPr>
              <w:br/>
              <w:t>Liabilities</w:t>
            </w:r>
          </w:p>
        </w:tc>
      </w:tr>
      <w:tr w:rsidR="0099058F" w14:paraId="4B76231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0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3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30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3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32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31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1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1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1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1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1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1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1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1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1F" w14:textId="77777777" w:rsidR="0099058F" w:rsidRDefault="0099058F">
            <w:pPr>
              <w:widowControl/>
              <w:jc w:val="left"/>
              <w:rPr>
                <w:rFonts w:ascii="Times New Roman" w:eastAsia="宋体" w:hAnsi="宋体" w:cs="宋体"/>
                <w:kern w:val="0"/>
                <w:sz w:val="24"/>
              </w:rPr>
            </w:pPr>
          </w:p>
        </w:tc>
      </w:tr>
      <w:tr w:rsidR="0099058F" w14:paraId="4B76232A" w14:textId="77777777">
        <w:trPr>
          <w:hidden/>
        </w:trPr>
        <w:tc>
          <w:tcPr>
            <w:tcW w:w="0" w:type="auto"/>
            <w:gridSpan w:val="3"/>
            <w:tcBorders>
              <w:top w:val="nil"/>
              <w:left w:val="nil"/>
              <w:bottom w:val="nil"/>
              <w:right w:val="nil"/>
            </w:tcBorders>
            <w:shd w:val="clear" w:color="auto" w:fill="auto"/>
            <w:vAlign w:val="bottom"/>
          </w:tcPr>
          <w:p w14:paraId="4B76232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9" w14:textId="77777777" w:rsidR="0099058F" w:rsidRDefault="0099058F">
            <w:pPr>
              <w:widowControl/>
              <w:jc w:val="left"/>
              <w:rPr>
                <w:rFonts w:ascii="Times New Roman" w:eastAsia="宋体" w:hAnsi="宋体" w:cs="宋体"/>
                <w:vanish/>
                <w:kern w:val="0"/>
                <w:sz w:val="24"/>
              </w:rPr>
            </w:pPr>
          </w:p>
        </w:tc>
      </w:tr>
      <w:tr w:rsidR="0099058F" w14:paraId="4B762334" w14:textId="77777777">
        <w:trPr>
          <w:hidden/>
        </w:trPr>
        <w:tc>
          <w:tcPr>
            <w:tcW w:w="0" w:type="auto"/>
            <w:gridSpan w:val="3"/>
            <w:tcBorders>
              <w:top w:val="nil"/>
              <w:left w:val="nil"/>
              <w:bottom w:val="nil"/>
              <w:right w:val="nil"/>
            </w:tcBorders>
            <w:shd w:val="clear" w:color="auto" w:fill="auto"/>
            <w:vAlign w:val="bottom"/>
          </w:tcPr>
          <w:p w14:paraId="4B76232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3" w14:textId="77777777" w:rsidR="0099058F" w:rsidRDefault="0099058F">
            <w:pPr>
              <w:widowControl/>
              <w:jc w:val="left"/>
              <w:rPr>
                <w:rFonts w:ascii="Times New Roman" w:eastAsia="宋体" w:hAnsi="宋体" w:cs="宋体"/>
                <w:vanish/>
                <w:kern w:val="0"/>
                <w:sz w:val="24"/>
              </w:rPr>
            </w:pPr>
          </w:p>
        </w:tc>
      </w:tr>
      <w:tr w:rsidR="0099058F" w14:paraId="4B76233E" w14:textId="77777777">
        <w:trPr>
          <w:hidden/>
        </w:trPr>
        <w:tc>
          <w:tcPr>
            <w:tcW w:w="0" w:type="auto"/>
            <w:gridSpan w:val="3"/>
            <w:tcBorders>
              <w:top w:val="nil"/>
              <w:left w:val="nil"/>
              <w:bottom w:val="nil"/>
              <w:right w:val="nil"/>
            </w:tcBorders>
            <w:shd w:val="clear" w:color="auto" w:fill="auto"/>
            <w:vAlign w:val="bottom"/>
          </w:tcPr>
          <w:p w14:paraId="4B76233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3D" w14:textId="77777777" w:rsidR="0099058F" w:rsidRDefault="0099058F">
            <w:pPr>
              <w:widowControl/>
              <w:jc w:val="left"/>
              <w:rPr>
                <w:rFonts w:ascii="Times New Roman" w:eastAsia="宋体" w:hAnsi="宋体" w:cs="宋体"/>
                <w:vanish/>
                <w:kern w:val="0"/>
                <w:sz w:val="24"/>
              </w:rPr>
            </w:pPr>
          </w:p>
        </w:tc>
      </w:tr>
      <w:tr w:rsidR="0099058F" w14:paraId="4B762348" w14:textId="77777777">
        <w:trPr>
          <w:hidden/>
        </w:trPr>
        <w:tc>
          <w:tcPr>
            <w:tcW w:w="0" w:type="auto"/>
            <w:gridSpan w:val="3"/>
            <w:tcBorders>
              <w:top w:val="nil"/>
              <w:left w:val="nil"/>
              <w:bottom w:val="nil"/>
              <w:right w:val="nil"/>
            </w:tcBorders>
            <w:shd w:val="clear" w:color="auto" w:fill="auto"/>
            <w:vAlign w:val="bottom"/>
          </w:tcPr>
          <w:p w14:paraId="4B76233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7" w14:textId="77777777" w:rsidR="0099058F" w:rsidRDefault="0099058F">
            <w:pPr>
              <w:widowControl/>
              <w:jc w:val="left"/>
              <w:rPr>
                <w:rFonts w:ascii="Times New Roman" w:eastAsia="宋体" w:hAnsi="宋体" w:cs="宋体"/>
                <w:vanish/>
                <w:kern w:val="0"/>
                <w:sz w:val="24"/>
              </w:rPr>
            </w:pPr>
          </w:p>
        </w:tc>
      </w:tr>
      <w:tr w:rsidR="0099058F" w14:paraId="4B762352" w14:textId="77777777">
        <w:trPr>
          <w:hidden/>
        </w:trPr>
        <w:tc>
          <w:tcPr>
            <w:tcW w:w="0" w:type="auto"/>
            <w:gridSpan w:val="3"/>
            <w:tcBorders>
              <w:top w:val="nil"/>
              <w:left w:val="nil"/>
              <w:bottom w:val="nil"/>
              <w:right w:val="nil"/>
            </w:tcBorders>
            <w:shd w:val="clear" w:color="auto" w:fill="auto"/>
            <w:vAlign w:val="bottom"/>
          </w:tcPr>
          <w:p w14:paraId="4B76234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5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51" w14:textId="77777777" w:rsidR="0099058F" w:rsidRDefault="0099058F">
            <w:pPr>
              <w:widowControl/>
              <w:jc w:val="left"/>
              <w:rPr>
                <w:rFonts w:ascii="Times New Roman" w:eastAsia="宋体" w:hAnsi="宋体" w:cs="宋体"/>
                <w:vanish/>
                <w:kern w:val="0"/>
                <w:sz w:val="24"/>
              </w:rPr>
            </w:pPr>
          </w:p>
        </w:tc>
      </w:tr>
      <w:tr w:rsidR="0099058F" w14:paraId="4B762361"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B76235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3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355"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3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35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35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3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3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35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35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3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35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3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360" w14:textId="77777777" w:rsidR="0099058F" w:rsidRDefault="0099058F">
            <w:pPr>
              <w:widowControl/>
              <w:jc w:val="left"/>
              <w:rPr>
                <w:rFonts w:ascii="Times New Roman" w:eastAsia="宋体" w:hAnsi="宋体" w:cs="宋体"/>
                <w:kern w:val="0"/>
                <w:sz w:val="24"/>
              </w:rPr>
            </w:pPr>
          </w:p>
        </w:tc>
      </w:tr>
      <w:tr w:rsidR="0099058F" w14:paraId="4B76236B" w14:textId="77777777">
        <w:trPr>
          <w:hidden/>
        </w:trPr>
        <w:tc>
          <w:tcPr>
            <w:tcW w:w="0" w:type="auto"/>
            <w:gridSpan w:val="3"/>
            <w:tcBorders>
              <w:top w:val="nil"/>
              <w:left w:val="nil"/>
              <w:bottom w:val="nil"/>
              <w:right w:val="nil"/>
            </w:tcBorders>
            <w:shd w:val="clear" w:color="auto" w:fill="auto"/>
            <w:vAlign w:val="bottom"/>
          </w:tcPr>
          <w:p w14:paraId="4B76236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6A" w14:textId="77777777" w:rsidR="0099058F" w:rsidRDefault="0099058F">
            <w:pPr>
              <w:widowControl/>
              <w:jc w:val="left"/>
              <w:rPr>
                <w:rFonts w:ascii="Times New Roman" w:eastAsia="宋体" w:hAnsi="宋体" w:cs="宋体"/>
                <w:vanish/>
                <w:kern w:val="0"/>
                <w:sz w:val="24"/>
              </w:rPr>
            </w:pPr>
          </w:p>
        </w:tc>
      </w:tr>
    </w:tbl>
    <w:p w14:paraId="4B76236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In conjunction with signing a definitive agreement for the sale of commercial aircraft, we have entered into contingent repurchase commitments with certain customers wherein we agree to repurchase the sold aircraft at a specified price, generally 10 to 15</w:t>
      </w:r>
      <w:r>
        <w:rPr>
          <w:rFonts w:ascii="Arial" w:eastAsia="宋体" w:hAnsi="Arial" w:cs="Arial"/>
          <w:color w:val="000000"/>
          <w:kern w:val="0"/>
          <w:sz w:val="20"/>
          <w:szCs w:val="20"/>
          <w:lang w:bidi="ar"/>
        </w:rPr>
        <w:t xml:space="preserve"> years after delivery. Our repurchase of the aircraft is contingent upon entering into a mutually acceptable agreement for the sale of additional new aircraft in the future. The commercial aircraft repurchase price specified in contingent repurchase commit</w:t>
      </w:r>
      <w:r>
        <w:rPr>
          <w:rFonts w:ascii="Arial" w:eastAsia="宋体" w:hAnsi="Arial" w:cs="Arial"/>
          <w:color w:val="000000"/>
          <w:kern w:val="0"/>
          <w:sz w:val="20"/>
          <w:szCs w:val="20"/>
          <w:lang w:bidi="ar"/>
        </w:rPr>
        <w:t>ments is generally lower than the expected fair value at the specified repurchase date. Estimated proceeds from collateral/recourse in the table above represent the lower of the contracted repurchase price or the expected fair value of each aircraft at the</w:t>
      </w:r>
      <w:r>
        <w:rPr>
          <w:rFonts w:ascii="Arial" w:eastAsia="宋体" w:hAnsi="Arial" w:cs="Arial"/>
          <w:color w:val="000000"/>
          <w:kern w:val="0"/>
          <w:sz w:val="20"/>
          <w:szCs w:val="20"/>
          <w:lang w:bidi="ar"/>
        </w:rPr>
        <w:t xml:space="preserve"> specified repurchase date.</w:t>
      </w:r>
    </w:p>
    <w:p w14:paraId="4B76236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If a future sale agreement is reached and a customer elects to exercise its right under a contingent repurchase commitment, the contingent repurchase commitment becomes a trade-in commitment. Our historical experience is that co</w:t>
      </w:r>
      <w:r>
        <w:rPr>
          <w:rFonts w:ascii="Arial" w:eastAsia="宋体" w:hAnsi="Arial" w:cs="Arial"/>
          <w:color w:val="000000"/>
          <w:kern w:val="0"/>
          <w:sz w:val="20"/>
          <w:szCs w:val="20"/>
          <w:lang w:bidi="ar"/>
        </w:rPr>
        <w:t>ntingent repurchase commitments infrequently become trade-in commitments.</w:t>
      </w:r>
    </w:p>
    <w:p w14:paraId="4B76236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lessee or debtor does not make payment</w:t>
      </w:r>
      <w:r>
        <w:rPr>
          <w:rFonts w:ascii="Arial" w:eastAsia="宋体" w:hAnsi="Arial" w:cs="Arial"/>
          <w:color w:val="000000"/>
          <w:kern w:val="0"/>
          <w:sz w:val="20"/>
          <w:szCs w:val="20"/>
          <w:lang w:bidi="ar"/>
        </w:rPr>
        <w:t>s or perform certain specified services. Generally, these guarantees have been extended on behalf of guaranteed parties with less than investment-grade credit and are collateralized by certain assets. Current outstanding credit guarantees expire through 20</w:t>
      </w:r>
      <w:r>
        <w:rPr>
          <w:rFonts w:ascii="Arial" w:eastAsia="宋体" w:hAnsi="Arial" w:cs="Arial"/>
          <w:color w:val="000000"/>
          <w:kern w:val="0"/>
          <w:sz w:val="20"/>
          <w:szCs w:val="20"/>
          <w:lang w:bidi="ar"/>
        </w:rPr>
        <w:t>36.</w:t>
      </w:r>
    </w:p>
    <w:p w14:paraId="4B76236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88</w:t>
      </w:r>
    </w:p>
    <w:p w14:paraId="4B762370" w14:textId="77777777" w:rsidR="0099058F" w:rsidRDefault="00EB2559">
      <w:pPr>
        <w:widowControl/>
        <w:jc w:val="center"/>
      </w:pPr>
      <w:r>
        <w:rPr>
          <w:rFonts w:ascii="宋体" w:eastAsia="宋体" w:hAnsi="宋体" w:cs="宋体"/>
          <w:kern w:val="0"/>
          <w:sz w:val="24"/>
        </w:rPr>
        <w:pict w14:anchorId="4B763C4F">
          <v:rect id="_x0000_i1114" style="width:6in;height:1.5pt" o:hralign="center" o:hrstd="t" o:hr="t" fillcolor="#a0a0a0" stroked="f"/>
        </w:pict>
      </w:r>
    </w:p>
    <w:p w14:paraId="4B76237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372" w14:textId="77777777" w:rsidR="0099058F" w:rsidRDefault="00EB2559">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Rocketdyne Propulsion and Power businesses and our BCA facilities in Wichita, Kansas and Tulsa and McAlester, Oklahoma, we agreed to indemnify, for an indefinite period, the buyers for co</w:t>
      </w:r>
      <w:r>
        <w:rPr>
          <w:rFonts w:ascii="Arial" w:eastAsia="宋体" w:hAnsi="Arial" w:cs="Arial"/>
          <w:color w:val="000000"/>
          <w:kern w:val="0"/>
          <w:sz w:val="20"/>
          <w:szCs w:val="20"/>
          <w:lang w:bidi="ar"/>
        </w:rPr>
        <w:t>sts relating to pre-closing environmental conditions and certain other items. We are unable to assess the potential number of future claims that may be asserted under these indemnifications, nor the amounts thereof (if any). As a result, we cannot estimate</w:t>
      </w:r>
      <w:r>
        <w:rPr>
          <w:rFonts w:ascii="Arial" w:eastAsia="宋体" w:hAnsi="Arial" w:cs="Arial"/>
          <w:color w:val="000000"/>
          <w:kern w:val="0"/>
          <w:sz w:val="20"/>
          <w:szCs w:val="20"/>
          <w:lang w:bidi="ar"/>
        </w:rPr>
        <w:t xml:space="preserve"> the maximum potential amount of future payments under these indemnities and therefore, no liability has been recorded. To the extent that claims have been made under these indemnities and/or are probable and reasonably estimable, liabilities associated wi</w:t>
      </w:r>
      <w:r>
        <w:rPr>
          <w:rFonts w:ascii="Arial" w:eastAsia="宋体" w:hAnsi="Arial" w:cs="Arial"/>
          <w:color w:val="000000"/>
          <w:kern w:val="0"/>
          <w:sz w:val="20"/>
          <w:szCs w:val="20"/>
          <w:lang w:bidi="ar"/>
        </w:rPr>
        <w:t>th these indemnities are included in the environmental liability disclosure in Note 13.</w:t>
      </w:r>
    </w:p>
    <w:p w14:paraId="4B762373"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15 – Debt</w:t>
      </w:r>
    </w:p>
    <w:p w14:paraId="4B76237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third quarter of 2022, we entered into a $5,800 364-day revolving credit agreement expiring in August 2023, a $3,000 three-year revolving credit a</w:t>
      </w:r>
      <w:r>
        <w:rPr>
          <w:rFonts w:ascii="Arial" w:eastAsia="宋体" w:hAnsi="Arial" w:cs="Arial"/>
          <w:color w:val="000000"/>
          <w:kern w:val="0"/>
          <w:sz w:val="20"/>
          <w:szCs w:val="20"/>
          <w:lang w:bidi="ar"/>
        </w:rPr>
        <w:t>greement expiring in August 2025, and amended our $3,200 five-year revolving credit agreement, which expires in October 2024, primarily to incorporate a LIBOR successor rate. The 364-day credit facility has a one-year term out option which allows us to ext</w:t>
      </w:r>
      <w:r>
        <w:rPr>
          <w:rFonts w:ascii="Arial" w:eastAsia="宋体" w:hAnsi="Arial" w:cs="Arial"/>
          <w:color w:val="000000"/>
          <w:kern w:val="0"/>
          <w:sz w:val="20"/>
          <w:szCs w:val="20"/>
          <w:lang w:bidi="ar"/>
        </w:rPr>
        <w:t>end the maturity of any borrowings one year beyond the aforementioned expiration date. As of December 31, 2022, we had $12,000 currently available under credit line agreements. We continue to be in full compliance with all covenants contained in our debt o</w:t>
      </w:r>
      <w:r>
        <w:rPr>
          <w:rFonts w:ascii="Arial" w:eastAsia="宋体" w:hAnsi="Arial" w:cs="Arial"/>
          <w:color w:val="000000"/>
          <w:kern w:val="0"/>
          <w:sz w:val="20"/>
          <w:szCs w:val="20"/>
          <w:lang w:bidi="ar"/>
        </w:rPr>
        <w:t>r credit facility agreements.</w:t>
      </w:r>
    </w:p>
    <w:p w14:paraId="4B76237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incurred, including amounts capitalized, was $2,650, $2,790 and $2,280 for the years ended December 31, 2022, 2021 and 2020, respectively. Interest expense recorded by BCC is reflected as Boeing Capital interest expen</w:t>
      </w:r>
      <w:r>
        <w:rPr>
          <w:rFonts w:ascii="Arial" w:eastAsia="宋体" w:hAnsi="Arial" w:cs="Arial"/>
          <w:color w:val="000000"/>
          <w:kern w:val="0"/>
          <w:sz w:val="20"/>
          <w:szCs w:val="20"/>
          <w:lang w:bidi="ar"/>
        </w:rPr>
        <w:t>se on our Consolidated Statements of Operations. Total Company interest payments were $2,572, $2,583 and $1,925 for the years ended December 31, 2022, 2021 and 2020, respectively.</w:t>
      </w:r>
    </w:p>
    <w:p w14:paraId="4B762376"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 at December 31 consist</w:t>
      </w:r>
      <w:r>
        <w:rPr>
          <w:rFonts w:ascii="Arial" w:eastAsia="宋体" w:hAnsi="Arial" w:cs="Arial"/>
          <w:color w:val="000000"/>
          <w:kern w:val="0"/>
          <w:sz w:val="20"/>
          <w:szCs w:val="20"/>
          <w:lang w:bidi="ar"/>
        </w:rPr>
        <w: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05"/>
        <w:gridCol w:w="36"/>
        <w:gridCol w:w="63"/>
        <w:gridCol w:w="815"/>
        <w:gridCol w:w="36"/>
        <w:gridCol w:w="36"/>
        <w:gridCol w:w="36"/>
        <w:gridCol w:w="36"/>
        <w:gridCol w:w="63"/>
        <w:gridCol w:w="811"/>
        <w:gridCol w:w="36"/>
      </w:tblGrid>
      <w:tr w:rsidR="0099058F" w14:paraId="4B762383" w14:textId="77777777">
        <w:tc>
          <w:tcPr>
            <w:tcW w:w="50" w:type="pct"/>
            <w:tcBorders>
              <w:top w:val="nil"/>
              <w:left w:val="nil"/>
              <w:bottom w:val="nil"/>
              <w:right w:val="nil"/>
            </w:tcBorders>
            <w:shd w:val="clear" w:color="auto" w:fill="auto"/>
            <w:vAlign w:val="bottom"/>
          </w:tcPr>
          <w:p w14:paraId="4B762377" w14:textId="77777777" w:rsidR="0099058F" w:rsidRDefault="0099058F">
            <w:pPr>
              <w:widowControl/>
              <w:jc w:val="left"/>
              <w:rPr>
                <w:rFonts w:ascii="Times New Roman" w:eastAsia="宋体" w:hAnsi="宋体" w:cs="宋体"/>
                <w:kern w:val="0"/>
                <w:sz w:val="24"/>
              </w:rPr>
            </w:pPr>
          </w:p>
        </w:tc>
        <w:tc>
          <w:tcPr>
            <w:tcW w:w="3792" w:type="pct"/>
            <w:tcBorders>
              <w:top w:val="nil"/>
              <w:left w:val="nil"/>
              <w:bottom w:val="nil"/>
              <w:right w:val="nil"/>
            </w:tcBorders>
            <w:shd w:val="clear" w:color="auto" w:fill="auto"/>
            <w:vAlign w:val="bottom"/>
          </w:tcPr>
          <w:p w14:paraId="4B76237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7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37A" w14:textId="77777777" w:rsidR="0099058F" w:rsidRDefault="0099058F">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B76237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7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7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37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7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380" w14:textId="77777777" w:rsidR="0099058F" w:rsidRDefault="0099058F">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B76238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82" w14:textId="77777777" w:rsidR="0099058F" w:rsidRDefault="0099058F">
            <w:pPr>
              <w:widowControl/>
              <w:jc w:val="left"/>
              <w:rPr>
                <w:rFonts w:ascii="Times New Roman" w:eastAsia="宋体" w:hAnsi="宋体" w:cs="宋体"/>
                <w:kern w:val="0"/>
                <w:sz w:val="24"/>
              </w:rPr>
            </w:pPr>
          </w:p>
        </w:tc>
      </w:tr>
      <w:tr w:rsidR="0099058F" w14:paraId="4B76238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8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3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3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38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38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Unsecured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$5,103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8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8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3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38E" w14:textId="77777777" w:rsidR="0099058F" w:rsidRDefault="0099058F">
            <w:pPr>
              <w:widowControl/>
              <w:jc w:val="left"/>
              <w:rPr>
                <w:rFonts w:ascii="Times New Roman" w:eastAsia="宋体" w:hAnsi="宋体" w:cs="宋体"/>
                <w:kern w:val="0"/>
                <w:sz w:val="24"/>
              </w:rPr>
            </w:pPr>
          </w:p>
        </w:tc>
      </w:tr>
      <w:tr w:rsidR="0099058F" w14:paraId="4B7623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39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Finance lease obligations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9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95" w14:textId="77777777" w:rsidR="0099058F" w:rsidRDefault="0099058F">
            <w:pPr>
              <w:widowControl/>
              <w:jc w:val="left"/>
              <w:rPr>
                <w:rFonts w:ascii="Times New Roman" w:eastAsia="宋体" w:hAnsi="宋体" w:cs="宋体"/>
                <w:kern w:val="0"/>
                <w:sz w:val="24"/>
              </w:rPr>
            </w:pPr>
          </w:p>
        </w:tc>
      </w:tr>
      <w:tr w:rsidR="0099058F" w14:paraId="4B76239B" w14:textId="77777777">
        <w:trPr>
          <w:hidden/>
        </w:trPr>
        <w:tc>
          <w:tcPr>
            <w:tcW w:w="0" w:type="auto"/>
            <w:gridSpan w:val="3"/>
            <w:tcBorders>
              <w:top w:val="nil"/>
              <w:left w:val="nil"/>
              <w:bottom w:val="nil"/>
              <w:right w:val="nil"/>
            </w:tcBorders>
            <w:shd w:val="clear" w:color="auto" w:fill="auto"/>
            <w:vAlign w:val="bottom"/>
          </w:tcPr>
          <w:p w14:paraId="4B76239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9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9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9A" w14:textId="77777777" w:rsidR="0099058F" w:rsidRDefault="0099058F">
            <w:pPr>
              <w:widowControl/>
              <w:jc w:val="left"/>
              <w:rPr>
                <w:rFonts w:ascii="Times New Roman" w:eastAsia="宋体" w:hAnsi="宋体" w:cs="宋体"/>
                <w:vanish/>
                <w:kern w:val="0"/>
                <w:sz w:val="24"/>
              </w:rPr>
            </w:pPr>
          </w:p>
        </w:tc>
      </w:tr>
      <w:tr w:rsidR="0099058F" w14:paraId="4B7623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39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3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A1" w14:textId="77777777" w:rsidR="0099058F" w:rsidRDefault="0099058F">
            <w:pPr>
              <w:widowControl/>
              <w:jc w:val="left"/>
              <w:rPr>
                <w:rFonts w:ascii="Times New Roman" w:eastAsia="宋体" w:hAnsi="宋体" w:cs="宋体"/>
                <w:kern w:val="0"/>
                <w:sz w:val="24"/>
              </w:rPr>
            </w:pPr>
          </w:p>
        </w:tc>
      </w:tr>
      <w:tr w:rsidR="0099058F" w14:paraId="4B7623A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3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3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$5,190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3A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3A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3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3A8" w14:textId="77777777" w:rsidR="0099058F" w:rsidRDefault="0099058F">
            <w:pPr>
              <w:widowControl/>
              <w:jc w:val="left"/>
              <w:rPr>
                <w:rFonts w:ascii="Times New Roman" w:eastAsia="宋体" w:hAnsi="宋体" w:cs="宋体"/>
                <w:kern w:val="0"/>
                <w:sz w:val="24"/>
              </w:rPr>
            </w:pPr>
          </w:p>
        </w:tc>
      </w:tr>
    </w:tbl>
    <w:p w14:paraId="4B7623AA"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89</w:t>
      </w:r>
    </w:p>
    <w:p w14:paraId="4B7623AB" w14:textId="77777777" w:rsidR="0099058F" w:rsidRDefault="00EB2559">
      <w:pPr>
        <w:widowControl/>
        <w:jc w:val="center"/>
      </w:pPr>
      <w:r>
        <w:rPr>
          <w:rFonts w:ascii="宋体" w:eastAsia="宋体" w:hAnsi="宋体" w:cs="宋体"/>
          <w:kern w:val="0"/>
          <w:sz w:val="24"/>
        </w:rPr>
        <w:pict w14:anchorId="4B763C50">
          <v:rect id="_x0000_i1115" style="width:6in;height:1.5pt" o:hralign="center" o:hrstd="t" o:hr="t" fillcolor="#a0a0a0" stroked="f"/>
        </w:pict>
      </w:r>
    </w:p>
    <w:p w14:paraId="4B7623AC"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3A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Debt at December 31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99058F" w14:paraId="4B7623BA" w14:textId="77777777">
        <w:tc>
          <w:tcPr>
            <w:tcW w:w="50" w:type="pct"/>
            <w:tcBorders>
              <w:top w:val="nil"/>
              <w:left w:val="nil"/>
              <w:bottom w:val="nil"/>
              <w:right w:val="nil"/>
            </w:tcBorders>
            <w:shd w:val="clear" w:color="auto" w:fill="auto"/>
            <w:vAlign w:val="bottom"/>
          </w:tcPr>
          <w:p w14:paraId="4B7623AE"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23A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B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3B1"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3B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B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3B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B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3B7"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3B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3B9" w14:textId="77777777" w:rsidR="0099058F" w:rsidRDefault="0099058F">
            <w:pPr>
              <w:widowControl/>
              <w:jc w:val="left"/>
              <w:rPr>
                <w:rFonts w:ascii="Times New Roman" w:eastAsia="宋体" w:hAnsi="宋体" w:cs="宋体"/>
                <w:kern w:val="0"/>
                <w:sz w:val="24"/>
              </w:rPr>
            </w:pPr>
          </w:p>
        </w:tc>
      </w:tr>
      <w:tr w:rsidR="0099058F" w14:paraId="4B7623B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B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3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3B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3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3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3C0"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Unsecured debt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C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C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3C3" w14:textId="77777777" w:rsidR="0099058F" w:rsidRDefault="0099058F">
            <w:pPr>
              <w:widowControl/>
              <w:jc w:val="left"/>
              <w:rPr>
                <w:rFonts w:ascii="Times New Roman" w:eastAsia="宋体" w:hAnsi="宋体" w:cs="宋体"/>
                <w:kern w:val="0"/>
                <w:sz w:val="24"/>
              </w:rPr>
            </w:pPr>
          </w:p>
        </w:tc>
      </w:tr>
      <w:tr w:rsidR="0099058F" w14:paraId="4B7623C9" w14:textId="77777777">
        <w:trPr>
          <w:hidden/>
        </w:trPr>
        <w:tc>
          <w:tcPr>
            <w:tcW w:w="0" w:type="auto"/>
            <w:gridSpan w:val="3"/>
            <w:tcBorders>
              <w:top w:val="nil"/>
              <w:left w:val="nil"/>
              <w:bottom w:val="nil"/>
              <w:right w:val="nil"/>
            </w:tcBorders>
            <w:shd w:val="clear" w:color="auto" w:fill="auto"/>
            <w:vAlign w:val="bottom"/>
          </w:tcPr>
          <w:p w14:paraId="4B7623C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C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C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C8" w14:textId="77777777" w:rsidR="0099058F" w:rsidRDefault="0099058F">
            <w:pPr>
              <w:widowControl/>
              <w:jc w:val="left"/>
              <w:rPr>
                <w:rFonts w:ascii="Times New Roman" w:eastAsia="宋体" w:hAnsi="宋体" w:cs="宋体"/>
                <w:vanish/>
                <w:kern w:val="0"/>
                <w:sz w:val="24"/>
              </w:rPr>
            </w:pPr>
          </w:p>
        </w:tc>
      </w:tr>
      <w:tr w:rsidR="0099058F" w14:paraId="4B7623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3C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1.17% - 2.50% due </w:t>
            </w:r>
            <w:r>
              <w:rPr>
                <w:rFonts w:ascii="Arial" w:eastAsia="宋体" w:hAnsi="Arial" w:cs="Arial"/>
                <w:color w:val="000000"/>
                <w:kern w:val="0"/>
                <w:sz w:val="20"/>
                <w:szCs w:val="20"/>
                <w:lang w:bidi="ar"/>
              </w:rPr>
              <w:t>through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CF" w14:textId="77777777" w:rsidR="0099058F" w:rsidRDefault="0099058F">
            <w:pPr>
              <w:widowControl/>
              <w:jc w:val="left"/>
              <w:rPr>
                <w:rFonts w:ascii="Times New Roman" w:eastAsia="宋体" w:hAnsi="宋体" w:cs="宋体"/>
                <w:kern w:val="0"/>
                <w:sz w:val="24"/>
              </w:rPr>
            </w:pPr>
          </w:p>
        </w:tc>
      </w:tr>
      <w:tr w:rsidR="0099058F" w14:paraId="4B7623D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3D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2.60% - 3.20% due through 2030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3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D6" w14:textId="77777777" w:rsidR="0099058F" w:rsidRDefault="0099058F">
            <w:pPr>
              <w:widowControl/>
              <w:jc w:val="left"/>
              <w:rPr>
                <w:rFonts w:ascii="Times New Roman" w:eastAsia="宋体" w:hAnsi="宋体" w:cs="宋体"/>
                <w:kern w:val="0"/>
                <w:sz w:val="24"/>
              </w:rPr>
            </w:pPr>
          </w:p>
        </w:tc>
      </w:tr>
      <w:tr w:rsidR="0099058F" w14:paraId="4B7623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3D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3.25% - 3.90% due through 2059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DD" w14:textId="77777777" w:rsidR="0099058F" w:rsidRDefault="0099058F">
            <w:pPr>
              <w:widowControl/>
              <w:jc w:val="left"/>
              <w:rPr>
                <w:rFonts w:ascii="Times New Roman" w:eastAsia="宋体" w:hAnsi="宋体" w:cs="宋体"/>
                <w:kern w:val="0"/>
                <w:sz w:val="24"/>
              </w:rPr>
            </w:pPr>
          </w:p>
        </w:tc>
      </w:tr>
      <w:tr w:rsidR="0099058F" w14:paraId="4B7623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3D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3.95% - 5.15% due through 2059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3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E4" w14:textId="77777777" w:rsidR="0099058F" w:rsidRDefault="0099058F">
            <w:pPr>
              <w:widowControl/>
              <w:jc w:val="right"/>
              <w:rPr>
                <w:rFonts w:ascii="Times New Roman" w:eastAsia="宋体" w:hAnsi="宋体" w:cs="宋体"/>
                <w:kern w:val="0"/>
                <w:sz w:val="24"/>
              </w:rPr>
            </w:pPr>
          </w:p>
        </w:tc>
      </w:tr>
      <w:tr w:rsidR="0099058F" w14:paraId="4B7623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3E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5.71% - 6.63% due through 2060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E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E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3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3EB" w14:textId="77777777" w:rsidR="0099058F" w:rsidRDefault="0099058F">
            <w:pPr>
              <w:widowControl/>
              <w:jc w:val="right"/>
              <w:rPr>
                <w:rFonts w:ascii="Times New Roman" w:eastAsia="宋体" w:hAnsi="宋体" w:cs="宋体"/>
                <w:kern w:val="0"/>
                <w:sz w:val="24"/>
              </w:rPr>
            </w:pPr>
          </w:p>
        </w:tc>
      </w:tr>
      <w:tr w:rsidR="0099058F" w14:paraId="4B7623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3E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6.88% - 8.75% due </w:t>
            </w:r>
            <w:r>
              <w:rPr>
                <w:rFonts w:ascii="Arial" w:eastAsia="宋体" w:hAnsi="Arial" w:cs="Arial"/>
                <w:color w:val="000000"/>
                <w:kern w:val="0"/>
                <w:sz w:val="20"/>
                <w:szCs w:val="20"/>
                <w:lang w:bidi="ar"/>
              </w:rPr>
              <w:t>through 2043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E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E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3F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3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3F2" w14:textId="77777777" w:rsidR="0099058F" w:rsidRDefault="0099058F">
            <w:pPr>
              <w:widowControl/>
              <w:jc w:val="right"/>
              <w:rPr>
                <w:rFonts w:ascii="Times New Roman" w:eastAsia="宋体" w:hAnsi="宋体" w:cs="宋体"/>
                <w:kern w:val="0"/>
                <w:sz w:val="24"/>
              </w:rPr>
            </w:pPr>
          </w:p>
        </w:tc>
      </w:tr>
      <w:tr w:rsidR="0099058F" w14:paraId="4B7623F8" w14:textId="77777777">
        <w:trPr>
          <w:hidden/>
        </w:trPr>
        <w:tc>
          <w:tcPr>
            <w:tcW w:w="0" w:type="auto"/>
            <w:gridSpan w:val="3"/>
            <w:tcBorders>
              <w:top w:val="nil"/>
              <w:left w:val="nil"/>
              <w:bottom w:val="nil"/>
              <w:right w:val="nil"/>
            </w:tcBorders>
            <w:shd w:val="clear" w:color="auto" w:fill="auto"/>
            <w:vAlign w:val="bottom"/>
          </w:tcPr>
          <w:p w14:paraId="4B7623F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7" w14:textId="77777777" w:rsidR="0099058F" w:rsidRDefault="0099058F">
            <w:pPr>
              <w:widowControl/>
              <w:jc w:val="left"/>
              <w:rPr>
                <w:rFonts w:ascii="Times New Roman" w:eastAsia="宋体" w:hAnsi="宋体" w:cs="宋体"/>
                <w:vanish/>
                <w:kern w:val="0"/>
                <w:sz w:val="24"/>
              </w:rPr>
            </w:pPr>
          </w:p>
        </w:tc>
      </w:tr>
      <w:tr w:rsidR="0099058F" w14:paraId="4B7623FD" w14:textId="77777777">
        <w:trPr>
          <w:hidden/>
        </w:trPr>
        <w:tc>
          <w:tcPr>
            <w:tcW w:w="0" w:type="auto"/>
            <w:gridSpan w:val="3"/>
            <w:tcBorders>
              <w:top w:val="nil"/>
              <w:left w:val="nil"/>
              <w:bottom w:val="nil"/>
              <w:right w:val="nil"/>
            </w:tcBorders>
            <w:shd w:val="clear" w:color="auto" w:fill="auto"/>
            <w:vAlign w:val="bottom"/>
          </w:tcPr>
          <w:p w14:paraId="4B7623F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3FC" w14:textId="77777777" w:rsidR="0099058F" w:rsidRDefault="0099058F">
            <w:pPr>
              <w:widowControl/>
              <w:jc w:val="left"/>
              <w:rPr>
                <w:rFonts w:ascii="Times New Roman" w:eastAsia="宋体" w:hAnsi="宋体" w:cs="宋体"/>
                <w:vanish/>
                <w:kern w:val="0"/>
                <w:sz w:val="24"/>
              </w:rPr>
            </w:pPr>
          </w:p>
        </w:tc>
      </w:tr>
      <w:tr w:rsidR="0099058F" w14:paraId="4B76240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3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4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401" w14:textId="77777777" w:rsidR="0099058F" w:rsidRDefault="0099058F">
            <w:pPr>
              <w:widowControl/>
              <w:jc w:val="left"/>
              <w:rPr>
                <w:rFonts w:ascii="Times New Roman" w:eastAsia="宋体" w:hAnsi="宋体" w:cs="宋体"/>
                <w:kern w:val="0"/>
                <w:sz w:val="24"/>
              </w:rPr>
            </w:pPr>
          </w:p>
        </w:tc>
      </w:tr>
      <w:tr w:rsidR="0099058F" w14:paraId="4B76240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403"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Other debt and notes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06" w14:textId="77777777" w:rsidR="0099058F" w:rsidRDefault="0099058F">
            <w:pPr>
              <w:widowControl/>
              <w:jc w:val="left"/>
              <w:rPr>
                <w:rFonts w:ascii="Times New Roman" w:eastAsia="宋体" w:hAnsi="宋体" w:cs="宋体"/>
                <w:kern w:val="0"/>
                <w:sz w:val="24"/>
              </w:rPr>
            </w:pPr>
          </w:p>
        </w:tc>
      </w:tr>
      <w:tr w:rsidR="0099058F" w14:paraId="4B7624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40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Finance lease obligations due through 2044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4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40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40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4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40D" w14:textId="77777777" w:rsidR="0099058F" w:rsidRDefault="0099058F">
            <w:pPr>
              <w:widowControl/>
              <w:jc w:val="right"/>
              <w:rPr>
                <w:rFonts w:ascii="Times New Roman" w:eastAsia="宋体" w:hAnsi="宋体" w:cs="宋体"/>
                <w:kern w:val="0"/>
                <w:sz w:val="24"/>
              </w:rPr>
            </w:pPr>
          </w:p>
        </w:tc>
      </w:tr>
      <w:tr w:rsidR="0099058F" w14:paraId="4B7624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40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1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1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14" w14:textId="77777777" w:rsidR="0099058F" w:rsidRDefault="0099058F">
            <w:pPr>
              <w:widowControl/>
              <w:jc w:val="right"/>
              <w:rPr>
                <w:rFonts w:ascii="Times New Roman" w:eastAsia="宋体" w:hAnsi="宋体" w:cs="宋体"/>
                <w:kern w:val="0"/>
                <w:sz w:val="24"/>
              </w:rPr>
            </w:pPr>
          </w:p>
        </w:tc>
      </w:tr>
      <w:tr w:rsidR="0099058F" w14:paraId="4B76241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41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debt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4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$57,001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41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41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4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41B" w14:textId="77777777" w:rsidR="0099058F" w:rsidRDefault="0099058F">
            <w:pPr>
              <w:widowControl/>
              <w:jc w:val="left"/>
              <w:rPr>
                <w:rFonts w:ascii="Times New Roman" w:eastAsia="宋体" w:hAnsi="宋体" w:cs="宋体"/>
                <w:kern w:val="0"/>
                <w:sz w:val="24"/>
              </w:rPr>
            </w:pPr>
          </w:p>
        </w:tc>
      </w:tr>
    </w:tbl>
    <w:p w14:paraId="4B76241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Scheduled principal payments for debt and minimum finance lease </w:t>
      </w:r>
      <w:r>
        <w:rPr>
          <w:rFonts w:ascii="Arial" w:eastAsia="宋体" w:hAnsi="Arial" w:cs="Arial"/>
          <w:color w:val="000000"/>
          <w:kern w:val="0"/>
          <w:sz w:val="20"/>
          <w:szCs w:val="20"/>
          <w:lang w:bidi="ar"/>
        </w:rPr>
        <w:t>obligations for the next five years are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3858"/>
        <w:gridCol w:w="36"/>
        <w:gridCol w:w="72"/>
        <w:gridCol w:w="687"/>
        <w:gridCol w:w="36"/>
        <w:gridCol w:w="36"/>
        <w:gridCol w:w="36"/>
        <w:gridCol w:w="36"/>
        <w:gridCol w:w="72"/>
        <w:gridCol w:w="677"/>
        <w:gridCol w:w="36"/>
        <w:gridCol w:w="36"/>
        <w:gridCol w:w="36"/>
        <w:gridCol w:w="36"/>
        <w:gridCol w:w="72"/>
        <w:gridCol w:w="677"/>
        <w:gridCol w:w="36"/>
        <w:gridCol w:w="36"/>
        <w:gridCol w:w="36"/>
        <w:gridCol w:w="36"/>
        <w:gridCol w:w="72"/>
        <w:gridCol w:w="677"/>
        <w:gridCol w:w="36"/>
        <w:gridCol w:w="36"/>
        <w:gridCol w:w="36"/>
        <w:gridCol w:w="36"/>
        <w:gridCol w:w="71"/>
        <w:gridCol w:w="681"/>
        <w:gridCol w:w="36"/>
      </w:tblGrid>
      <w:tr w:rsidR="0099058F" w14:paraId="4B76243C" w14:textId="77777777">
        <w:tc>
          <w:tcPr>
            <w:tcW w:w="50" w:type="pct"/>
            <w:tcBorders>
              <w:top w:val="nil"/>
              <w:left w:val="nil"/>
              <w:bottom w:val="nil"/>
              <w:right w:val="nil"/>
            </w:tcBorders>
            <w:shd w:val="clear" w:color="auto" w:fill="auto"/>
            <w:vAlign w:val="bottom"/>
          </w:tcPr>
          <w:p w14:paraId="4B76241E" w14:textId="77777777" w:rsidR="0099058F" w:rsidRDefault="0099058F">
            <w:pPr>
              <w:widowControl/>
              <w:jc w:val="left"/>
              <w:rPr>
                <w:rFonts w:ascii="Times New Roman" w:eastAsia="宋体" w:hAnsi="宋体" w:cs="宋体"/>
                <w:kern w:val="0"/>
                <w:sz w:val="24"/>
              </w:rPr>
            </w:pPr>
          </w:p>
        </w:tc>
        <w:tc>
          <w:tcPr>
            <w:tcW w:w="2326" w:type="pct"/>
            <w:tcBorders>
              <w:top w:val="nil"/>
              <w:left w:val="nil"/>
              <w:bottom w:val="nil"/>
              <w:right w:val="nil"/>
            </w:tcBorders>
            <w:shd w:val="clear" w:color="auto" w:fill="auto"/>
            <w:vAlign w:val="bottom"/>
          </w:tcPr>
          <w:p w14:paraId="4B76241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21"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42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2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27"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42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2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2D"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42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33"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43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39"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43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3B" w14:textId="77777777" w:rsidR="0099058F" w:rsidRDefault="0099058F">
            <w:pPr>
              <w:widowControl/>
              <w:jc w:val="left"/>
              <w:rPr>
                <w:rFonts w:ascii="Times New Roman" w:eastAsia="宋体" w:hAnsi="宋体" w:cs="宋体"/>
                <w:kern w:val="0"/>
                <w:sz w:val="24"/>
              </w:rPr>
            </w:pPr>
          </w:p>
        </w:tc>
      </w:tr>
      <w:tr w:rsidR="0099058F" w14:paraId="4B76244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3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4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4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4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4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4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2027</w:t>
            </w:r>
          </w:p>
        </w:tc>
      </w:tr>
      <w:tr w:rsidR="0099058F" w14:paraId="4B762452" w14:textId="77777777">
        <w:trPr>
          <w:hidden/>
        </w:trPr>
        <w:tc>
          <w:tcPr>
            <w:tcW w:w="0" w:type="auto"/>
            <w:gridSpan w:val="3"/>
            <w:tcBorders>
              <w:top w:val="nil"/>
              <w:left w:val="nil"/>
              <w:bottom w:val="nil"/>
              <w:right w:val="nil"/>
            </w:tcBorders>
            <w:shd w:val="clear" w:color="auto" w:fill="auto"/>
            <w:vAlign w:val="bottom"/>
          </w:tcPr>
          <w:p w14:paraId="4B76244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1" w14:textId="77777777" w:rsidR="0099058F" w:rsidRDefault="0099058F">
            <w:pPr>
              <w:widowControl/>
              <w:jc w:val="left"/>
              <w:rPr>
                <w:rFonts w:ascii="Times New Roman" w:eastAsia="宋体" w:hAnsi="宋体" w:cs="宋体"/>
                <w:vanish/>
                <w:kern w:val="0"/>
                <w:sz w:val="24"/>
              </w:rPr>
            </w:pPr>
          </w:p>
        </w:tc>
      </w:tr>
      <w:tr w:rsidR="0099058F" w14:paraId="4B76245D" w14:textId="77777777">
        <w:trPr>
          <w:hidden/>
        </w:trPr>
        <w:tc>
          <w:tcPr>
            <w:tcW w:w="0" w:type="auto"/>
            <w:gridSpan w:val="3"/>
            <w:tcBorders>
              <w:top w:val="nil"/>
              <w:left w:val="nil"/>
              <w:bottom w:val="nil"/>
              <w:right w:val="nil"/>
            </w:tcBorders>
            <w:shd w:val="clear" w:color="auto" w:fill="auto"/>
            <w:vAlign w:val="bottom"/>
          </w:tcPr>
          <w:p w14:paraId="4B7624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45C" w14:textId="77777777" w:rsidR="0099058F" w:rsidRDefault="0099058F">
            <w:pPr>
              <w:widowControl/>
              <w:jc w:val="left"/>
              <w:rPr>
                <w:rFonts w:ascii="Times New Roman" w:eastAsia="宋体" w:hAnsi="宋体" w:cs="宋体"/>
                <w:vanish/>
                <w:kern w:val="0"/>
                <w:sz w:val="24"/>
              </w:rPr>
            </w:pPr>
          </w:p>
        </w:tc>
      </w:tr>
      <w:tr w:rsidR="0099058F" w14:paraId="4B7624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45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6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6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6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6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6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6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6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6C" w14:textId="77777777" w:rsidR="0099058F" w:rsidRDefault="0099058F">
            <w:pPr>
              <w:widowControl/>
              <w:jc w:val="left"/>
              <w:rPr>
                <w:rFonts w:ascii="Times New Roman" w:eastAsia="宋体" w:hAnsi="宋体" w:cs="宋体"/>
                <w:kern w:val="0"/>
                <w:sz w:val="24"/>
              </w:rPr>
            </w:pPr>
          </w:p>
        </w:tc>
      </w:tr>
      <w:tr w:rsidR="0099058F" w14:paraId="4B76247D"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B76246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Minimum finance lease obligations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4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4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47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4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4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47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4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4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47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4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4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47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4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47C" w14:textId="77777777" w:rsidR="0099058F" w:rsidRDefault="0099058F">
            <w:pPr>
              <w:widowControl/>
              <w:jc w:val="left"/>
              <w:rPr>
                <w:rFonts w:ascii="Times New Roman" w:eastAsia="宋体" w:hAnsi="宋体" w:cs="宋体"/>
                <w:kern w:val="0"/>
                <w:sz w:val="24"/>
              </w:rPr>
            </w:pPr>
          </w:p>
        </w:tc>
      </w:tr>
    </w:tbl>
    <w:p w14:paraId="4B76247E"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Postretirement Plans</w:t>
      </w:r>
    </w:p>
    <w:p w14:paraId="4B76247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employees have earned benefits under defined benefit pension plans. The majority of employees that had participated</w:t>
      </w:r>
      <w:r>
        <w:rPr>
          <w:rFonts w:ascii="Arial" w:eastAsia="宋体" w:hAnsi="Arial" w:cs="Arial"/>
          <w:color w:val="000000"/>
          <w:kern w:val="0"/>
          <w:sz w:val="20"/>
          <w:szCs w:val="20"/>
          <w:lang w:bidi="ar"/>
        </w:rPr>
        <w:t xml:space="preserve"> in defined benefit pension plans have transitioned to a company-funded defined contribution retirement savings plan. </w:t>
      </w:r>
    </w:p>
    <w:p w14:paraId="4B76248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fund our major pension plans through trusts. Pension assets are placed in trust solely for the benefit of the plans’ participants and </w:t>
      </w:r>
      <w:r>
        <w:rPr>
          <w:rFonts w:ascii="Arial" w:eastAsia="宋体" w:hAnsi="Arial" w:cs="Arial"/>
          <w:color w:val="000000"/>
          <w:kern w:val="0"/>
          <w:sz w:val="20"/>
          <w:szCs w:val="20"/>
          <w:lang w:bidi="ar"/>
        </w:rPr>
        <w:t>are structured to maintain liquidity that is sufficient to pay benefit obligations as well as to keep pace over the long-term with the growth of obligations for future benefit payments.</w:t>
      </w:r>
    </w:p>
    <w:p w14:paraId="4B76248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have other postretirement benefits (OPB) other than pensions w</w:t>
      </w:r>
      <w:r>
        <w:rPr>
          <w:rFonts w:ascii="Arial" w:eastAsia="宋体" w:hAnsi="Arial" w:cs="Arial"/>
          <w:color w:val="000000"/>
          <w:kern w:val="0"/>
          <w:sz w:val="20"/>
          <w:szCs w:val="20"/>
          <w:lang w:bidi="ar"/>
        </w:rPr>
        <w:t>hich consist principally of health care coverage for eligible retirees and qualifying dependents, and to a lesser extent, life insurance to certain groups of retirees. Retiree health care is provided principally until age 65 for approximately three-fourths</w:t>
      </w:r>
      <w:r>
        <w:rPr>
          <w:rFonts w:ascii="Arial" w:eastAsia="宋体" w:hAnsi="Arial" w:cs="Arial"/>
          <w:color w:val="000000"/>
          <w:kern w:val="0"/>
          <w:sz w:val="20"/>
          <w:szCs w:val="20"/>
          <w:lang w:bidi="ar"/>
        </w:rPr>
        <w:t xml:space="preserve"> of those participants who are eligible for health care coverage. Certain employee groups, including employees covered by most United Auto Workers bargaining agreements, are provided lifetime health care coverage. </w:t>
      </w:r>
    </w:p>
    <w:p w14:paraId="4B76248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funded status of the plans is measure</w:t>
      </w:r>
      <w:r>
        <w:rPr>
          <w:rFonts w:ascii="Arial" w:eastAsia="宋体" w:hAnsi="Arial" w:cs="Arial"/>
          <w:color w:val="000000"/>
          <w:kern w:val="0"/>
          <w:sz w:val="20"/>
          <w:szCs w:val="20"/>
          <w:lang w:bidi="ar"/>
        </w:rPr>
        <w:t xml:space="preserve">d as the difference between the plan assets at fair value and the projected benefit obligation (PBO). We have recognized the aggregate of all overfunded plans in Other assets and the aggregate of all underfunded plans in either Accrued retiree health care </w:t>
      </w:r>
      <w:r>
        <w:rPr>
          <w:rFonts w:ascii="Arial" w:eastAsia="宋体" w:hAnsi="Arial" w:cs="Arial"/>
          <w:color w:val="000000"/>
          <w:kern w:val="0"/>
          <w:sz w:val="20"/>
          <w:szCs w:val="20"/>
          <w:lang w:bidi="ar"/>
        </w:rPr>
        <w:t>or Accrued pension plan liability, net. The portion of the amount by which the actuarial present value of benefits included in the PBO exceeds the fair value of plan assets, payable in the next 12 months, is reflected in Accrued liabilities.</w:t>
      </w:r>
    </w:p>
    <w:p w14:paraId="4B76248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90</w:t>
      </w:r>
    </w:p>
    <w:p w14:paraId="4B762484" w14:textId="77777777" w:rsidR="0099058F" w:rsidRDefault="00EB2559">
      <w:pPr>
        <w:widowControl/>
        <w:jc w:val="center"/>
      </w:pPr>
      <w:r>
        <w:rPr>
          <w:rFonts w:ascii="宋体" w:eastAsia="宋体" w:hAnsi="宋体" w:cs="宋体"/>
          <w:kern w:val="0"/>
          <w:sz w:val="24"/>
        </w:rPr>
        <w:pict w14:anchorId="4B763C51">
          <v:rect id="_x0000_i1116" style="width:6in;height:1.5pt" o:hralign="center" o:hrstd="t" o:hr="t" fillcolor="#a0a0a0" stroked="f"/>
        </w:pict>
      </w:r>
    </w:p>
    <w:p w14:paraId="4B76248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486"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components of net periodic benefit (income)/cost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8"/>
        <w:gridCol w:w="3277"/>
        <w:gridCol w:w="37"/>
        <w:gridCol w:w="73"/>
        <w:gridCol w:w="631"/>
        <w:gridCol w:w="37"/>
        <w:gridCol w:w="37"/>
        <w:gridCol w:w="37"/>
        <w:gridCol w:w="37"/>
        <w:gridCol w:w="73"/>
        <w:gridCol w:w="619"/>
        <w:gridCol w:w="36"/>
        <w:gridCol w:w="36"/>
        <w:gridCol w:w="36"/>
        <w:gridCol w:w="36"/>
        <w:gridCol w:w="73"/>
        <w:gridCol w:w="620"/>
        <w:gridCol w:w="36"/>
        <w:gridCol w:w="36"/>
        <w:gridCol w:w="36"/>
        <w:gridCol w:w="36"/>
        <w:gridCol w:w="54"/>
        <w:gridCol w:w="639"/>
        <w:gridCol w:w="38"/>
        <w:gridCol w:w="37"/>
        <w:gridCol w:w="37"/>
        <w:gridCol w:w="37"/>
        <w:gridCol w:w="53"/>
        <w:gridCol w:w="639"/>
        <w:gridCol w:w="37"/>
        <w:gridCol w:w="36"/>
        <w:gridCol w:w="36"/>
        <w:gridCol w:w="36"/>
        <w:gridCol w:w="58"/>
        <w:gridCol w:w="638"/>
        <w:gridCol w:w="37"/>
      </w:tblGrid>
      <w:tr w:rsidR="0099058F" w14:paraId="4B7624AB" w14:textId="77777777">
        <w:tc>
          <w:tcPr>
            <w:tcW w:w="50" w:type="pct"/>
            <w:tcBorders>
              <w:top w:val="nil"/>
              <w:left w:val="nil"/>
              <w:bottom w:val="nil"/>
              <w:right w:val="nil"/>
            </w:tcBorders>
            <w:shd w:val="clear" w:color="auto" w:fill="auto"/>
            <w:vAlign w:val="bottom"/>
          </w:tcPr>
          <w:p w14:paraId="4B762487" w14:textId="77777777" w:rsidR="0099058F" w:rsidRDefault="0099058F">
            <w:pPr>
              <w:widowControl/>
              <w:jc w:val="left"/>
              <w:rPr>
                <w:rFonts w:ascii="Times New Roman" w:eastAsia="宋体" w:hAnsi="宋体" w:cs="宋体"/>
                <w:kern w:val="0"/>
                <w:sz w:val="24"/>
              </w:rPr>
            </w:pPr>
          </w:p>
        </w:tc>
        <w:tc>
          <w:tcPr>
            <w:tcW w:w="1985" w:type="pct"/>
            <w:tcBorders>
              <w:top w:val="nil"/>
              <w:left w:val="nil"/>
              <w:bottom w:val="nil"/>
              <w:right w:val="nil"/>
            </w:tcBorders>
            <w:shd w:val="clear" w:color="auto" w:fill="auto"/>
            <w:vAlign w:val="bottom"/>
          </w:tcPr>
          <w:p w14:paraId="4B7624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8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8A"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8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8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8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90"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9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96"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9C"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9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9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A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A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A2"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A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A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A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4A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A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4A8" w14:textId="77777777" w:rsidR="0099058F" w:rsidRDefault="0099058F">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B7624A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4AA" w14:textId="77777777" w:rsidR="0099058F" w:rsidRDefault="0099058F">
            <w:pPr>
              <w:widowControl/>
              <w:jc w:val="left"/>
              <w:rPr>
                <w:rFonts w:ascii="Times New Roman" w:eastAsia="宋体" w:hAnsi="宋体" w:cs="宋体"/>
                <w:kern w:val="0"/>
                <w:sz w:val="24"/>
              </w:rPr>
            </w:pPr>
          </w:p>
        </w:tc>
      </w:tr>
      <w:tr w:rsidR="0099058F" w14:paraId="4B7624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AC" w14:textId="77777777" w:rsidR="0099058F" w:rsidRDefault="0099058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B7624A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AE" w14:textId="77777777" w:rsidR="0099058F" w:rsidRDefault="0099058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B7624A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99058F" w14:paraId="4B7624B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4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4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4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4B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4B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4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24D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4B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w:t>
            </w:r>
            <w:r>
              <w:rPr>
                <w:rFonts w:ascii="Arial" w:eastAsia="宋体" w:hAnsi="Arial" w:cs="Arial"/>
                <w:color w:val="000000"/>
                <w:kern w:val="0"/>
                <w:sz w:val="20"/>
                <w:szCs w:val="20"/>
                <w:lang w:bidi="ar"/>
              </w:rPr>
              <w:t>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C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C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C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C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4C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4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4CF" w14:textId="77777777" w:rsidR="0099058F" w:rsidRDefault="0099058F">
            <w:pPr>
              <w:widowControl/>
              <w:jc w:val="left"/>
              <w:rPr>
                <w:rFonts w:ascii="Times New Roman" w:eastAsia="宋体" w:hAnsi="宋体" w:cs="宋体"/>
                <w:kern w:val="0"/>
                <w:sz w:val="24"/>
              </w:rPr>
            </w:pPr>
          </w:p>
        </w:tc>
      </w:tr>
      <w:tr w:rsidR="0099058F" w14:paraId="4B7624E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24D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1,988 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D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2,455 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D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D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D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D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D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4E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4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4E2" w14:textId="77777777" w:rsidR="0099058F" w:rsidRDefault="0099058F">
            <w:pPr>
              <w:widowControl/>
              <w:jc w:val="right"/>
              <w:rPr>
                <w:rFonts w:ascii="Times New Roman" w:eastAsia="宋体" w:hAnsi="宋体" w:cs="宋体"/>
                <w:kern w:val="0"/>
                <w:sz w:val="24"/>
              </w:rPr>
            </w:pPr>
          </w:p>
        </w:tc>
      </w:tr>
      <w:tr w:rsidR="0099058F" w14:paraId="4B7624F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4E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E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E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E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E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E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E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F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F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4F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4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4F5" w14:textId="77777777" w:rsidR="0099058F" w:rsidRDefault="0099058F">
            <w:pPr>
              <w:widowControl/>
              <w:jc w:val="right"/>
              <w:rPr>
                <w:rFonts w:ascii="Times New Roman" w:eastAsia="宋体" w:hAnsi="宋体" w:cs="宋体"/>
                <w:kern w:val="0"/>
                <w:sz w:val="24"/>
              </w:rPr>
            </w:pPr>
          </w:p>
        </w:tc>
      </w:tr>
      <w:tr w:rsidR="0099058F" w14:paraId="4B76250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4F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4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4F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4F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4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4F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4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4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4F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0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0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08" w14:textId="77777777" w:rsidR="0099058F" w:rsidRDefault="0099058F">
            <w:pPr>
              <w:widowControl/>
              <w:jc w:val="right"/>
              <w:rPr>
                <w:rFonts w:ascii="Times New Roman" w:eastAsia="宋体" w:hAnsi="宋体" w:cs="宋体"/>
                <w:kern w:val="0"/>
                <w:sz w:val="24"/>
              </w:rPr>
            </w:pPr>
          </w:p>
        </w:tc>
      </w:tr>
      <w:tr w:rsidR="0099058F" w14:paraId="4B7625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50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Recognized net actuarial loss/(gain)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0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0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0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1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1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1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1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1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1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1B" w14:textId="77777777" w:rsidR="0099058F" w:rsidRDefault="0099058F">
            <w:pPr>
              <w:widowControl/>
              <w:jc w:val="right"/>
              <w:rPr>
                <w:rFonts w:ascii="Times New Roman" w:eastAsia="宋体" w:hAnsi="宋体" w:cs="宋体"/>
                <w:kern w:val="0"/>
                <w:sz w:val="24"/>
              </w:rPr>
            </w:pPr>
          </w:p>
        </w:tc>
      </w:tr>
      <w:tr w:rsidR="0099058F" w14:paraId="4B7625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51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Settlement/curtailment (gain)/loss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B7625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B76251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2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2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2C" w14:textId="77777777" w:rsidR="0099058F" w:rsidRDefault="0099058F">
            <w:pPr>
              <w:widowControl/>
              <w:jc w:val="right"/>
              <w:rPr>
                <w:rFonts w:ascii="Times New Roman" w:eastAsia="宋体" w:hAnsi="宋体" w:cs="宋体"/>
                <w:kern w:val="0"/>
                <w:sz w:val="24"/>
              </w:rPr>
            </w:pPr>
          </w:p>
        </w:tc>
      </w:tr>
      <w:tr w:rsidR="0099058F" w14:paraId="4B76254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52E"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Net periodic benefit (income)/cost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3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3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3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3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3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5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3F" w14:textId="77777777" w:rsidR="0099058F" w:rsidRDefault="0099058F">
            <w:pPr>
              <w:widowControl/>
              <w:jc w:val="left"/>
              <w:rPr>
                <w:rFonts w:ascii="Times New Roman" w:eastAsia="宋体" w:hAnsi="宋体" w:cs="宋体"/>
                <w:kern w:val="0"/>
                <w:sz w:val="24"/>
              </w:rPr>
            </w:pPr>
          </w:p>
        </w:tc>
      </w:tr>
      <w:tr w:rsidR="0099058F" w14:paraId="4B76254D" w14:textId="77777777">
        <w:trPr>
          <w:trHeight w:val="1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8"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4C" w14:textId="77777777" w:rsidR="0099058F" w:rsidRDefault="0099058F">
            <w:pPr>
              <w:widowControl/>
              <w:jc w:val="left"/>
              <w:rPr>
                <w:rFonts w:ascii="Times New Roman" w:eastAsia="宋体" w:hAnsi="宋体" w:cs="宋体"/>
                <w:kern w:val="0"/>
                <w:sz w:val="24"/>
              </w:rPr>
            </w:pPr>
          </w:p>
        </w:tc>
      </w:tr>
      <w:tr w:rsidR="0099058F" w14:paraId="4B762560"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B76254E"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Net periodic benefit cost included in 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5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5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5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5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5F" w14:textId="77777777" w:rsidR="0099058F" w:rsidRDefault="0099058F">
            <w:pPr>
              <w:widowControl/>
              <w:jc w:val="left"/>
              <w:rPr>
                <w:rFonts w:ascii="Times New Roman" w:eastAsia="宋体" w:hAnsi="宋体" w:cs="宋体"/>
                <w:kern w:val="0"/>
                <w:sz w:val="24"/>
              </w:rPr>
            </w:pPr>
          </w:p>
        </w:tc>
      </w:tr>
      <w:tr w:rsidR="0099058F" w14:paraId="4B762573" w14:textId="77777777">
        <w:tc>
          <w:tcPr>
            <w:tcW w:w="0" w:type="auto"/>
            <w:gridSpan w:val="3"/>
            <w:tcBorders>
              <w:top w:val="double" w:sz="2" w:space="0" w:color="000000"/>
              <w:left w:val="nil"/>
              <w:bottom w:val="nil"/>
              <w:right w:val="nil"/>
            </w:tcBorders>
            <w:shd w:val="clear" w:color="auto" w:fill="FFFFFF"/>
            <w:tcMar>
              <w:top w:w="40" w:type="dxa"/>
              <w:left w:w="200" w:type="dxa"/>
              <w:bottom w:w="40" w:type="dxa"/>
              <w:right w:w="20" w:type="dxa"/>
            </w:tcMar>
          </w:tcPr>
          <w:p w14:paraId="4B762561"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Other income, net</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(881)</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6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64"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6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67"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6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6A"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6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6D"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6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570"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B7625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B762572" w14:textId="77777777" w:rsidR="0099058F" w:rsidRDefault="0099058F">
            <w:pPr>
              <w:widowControl/>
              <w:jc w:val="left"/>
              <w:rPr>
                <w:rFonts w:ascii="Times New Roman" w:eastAsia="宋体" w:hAnsi="宋体" w:cs="宋体"/>
                <w:kern w:val="0"/>
                <w:sz w:val="24"/>
              </w:rPr>
            </w:pPr>
          </w:p>
        </w:tc>
      </w:tr>
      <w:tr w:rsidR="0099058F" w14:paraId="4B762586" w14:textId="77777777">
        <w:tc>
          <w:tcPr>
            <w:tcW w:w="0" w:type="auto"/>
            <w:gridSpan w:val="3"/>
            <w:tcBorders>
              <w:top w:val="double" w:sz="2"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574"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periodic benefit (income)/cost included in Loss before income taxes</w:t>
            </w: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($878)</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7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577"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r>
              <w:rPr>
                <w:rFonts w:ascii="Arial" w:eastAsia="宋体" w:hAnsi="Arial" w:cs="Arial"/>
                <w:color w:val="000000"/>
                <w:kern w:val="0"/>
                <w:sz w:val="20"/>
                <w:szCs w:val="20"/>
                <w:lang w:bidi="ar"/>
              </w:rPr>
              <w:t>525)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7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57A"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7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57D"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7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580"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8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583" w14:textId="77777777" w:rsidR="0099058F" w:rsidRDefault="0099058F">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5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585" w14:textId="77777777" w:rsidR="0099058F" w:rsidRDefault="0099058F">
            <w:pPr>
              <w:widowControl/>
              <w:jc w:val="left"/>
              <w:rPr>
                <w:rFonts w:ascii="Times New Roman" w:eastAsia="宋体" w:hAnsi="宋体" w:cs="宋体"/>
                <w:kern w:val="0"/>
                <w:sz w:val="24"/>
              </w:rPr>
            </w:pPr>
          </w:p>
        </w:tc>
      </w:tr>
    </w:tbl>
    <w:p w14:paraId="4B76258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show changes in the benefit obligation, plan assets and funded status of both</w:t>
      </w:r>
      <w:r>
        <w:rPr>
          <w:rFonts w:ascii="Arial" w:eastAsia="宋体" w:hAnsi="Arial" w:cs="Arial"/>
          <w:color w:val="000000"/>
          <w:kern w:val="0"/>
          <w:sz w:val="20"/>
          <w:szCs w:val="20"/>
          <w:lang w:bidi="ar"/>
        </w:rPr>
        <w:t xml:space="preserve"> pensions and OPB for the years ended December 31, 2022 and 2021. Benefit obligation balances presented below reflect the PBO for our pension plans and accumulated postretirement benefit obligations (APBO) for our OPB plans.</w:t>
      </w:r>
    </w:p>
    <w:p w14:paraId="4B76258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91</w:t>
      </w:r>
    </w:p>
    <w:p w14:paraId="4B762589" w14:textId="77777777" w:rsidR="0099058F" w:rsidRDefault="00EB2559">
      <w:pPr>
        <w:widowControl/>
        <w:jc w:val="center"/>
      </w:pPr>
      <w:r>
        <w:rPr>
          <w:rFonts w:ascii="宋体" w:eastAsia="宋体" w:hAnsi="宋体" w:cs="宋体"/>
          <w:kern w:val="0"/>
          <w:sz w:val="24"/>
        </w:rPr>
        <w:pict w14:anchorId="4B763C52">
          <v:rect id="_x0000_i1117" style="width:6in;height:1.5pt" o:hralign="center" o:hrstd="t" o:hr="t" fillcolor="#a0a0a0" stroked="f"/>
        </w:pict>
      </w:r>
    </w:p>
    <w:p w14:paraId="4B76258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4522"/>
        <w:gridCol w:w="40"/>
        <w:gridCol w:w="77"/>
        <w:gridCol w:w="750"/>
        <w:gridCol w:w="37"/>
        <w:gridCol w:w="37"/>
        <w:gridCol w:w="37"/>
        <w:gridCol w:w="36"/>
        <w:gridCol w:w="77"/>
        <w:gridCol w:w="739"/>
        <w:gridCol w:w="36"/>
        <w:gridCol w:w="36"/>
        <w:gridCol w:w="36"/>
        <w:gridCol w:w="36"/>
        <w:gridCol w:w="75"/>
        <w:gridCol w:w="717"/>
        <w:gridCol w:w="37"/>
        <w:gridCol w:w="37"/>
        <w:gridCol w:w="37"/>
        <w:gridCol w:w="36"/>
        <w:gridCol w:w="75"/>
        <w:gridCol w:w="718"/>
        <w:gridCol w:w="36"/>
      </w:tblGrid>
      <w:tr w:rsidR="0099058F" w14:paraId="4B7625A3" w14:textId="77777777">
        <w:tc>
          <w:tcPr>
            <w:tcW w:w="50" w:type="pct"/>
            <w:tcBorders>
              <w:top w:val="nil"/>
              <w:left w:val="nil"/>
              <w:bottom w:val="nil"/>
              <w:right w:val="nil"/>
            </w:tcBorders>
            <w:shd w:val="clear" w:color="auto" w:fill="auto"/>
            <w:vAlign w:val="bottom"/>
          </w:tcPr>
          <w:p w14:paraId="4B76258B" w14:textId="77777777" w:rsidR="0099058F" w:rsidRDefault="0099058F">
            <w:pPr>
              <w:widowControl/>
              <w:jc w:val="left"/>
              <w:rPr>
                <w:rFonts w:ascii="Times New Roman" w:eastAsia="宋体" w:hAnsi="宋体" w:cs="宋体"/>
                <w:kern w:val="0"/>
                <w:sz w:val="24"/>
              </w:rPr>
            </w:pPr>
          </w:p>
        </w:tc>
        <w:tc>
          <w:tcPr>
            <w:tcW w:w="2727" w:type="pct"/>
            <w:tcBorders>
              <w:top w:val="nil"/>
              <w:left w:val="nil"/>
              <w:bottom w:val="nil"/>
              <w:right w:val="nil"/>
            </w:tcBorders>
            <w:shd w:val="clear" w:color="auto" w:fill="auto"/>
            <w:vAlign w:val="bottom"/>
          </w:tcPr>
          <w:p w14:paraId="4B7625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8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58E"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25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5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594" w14:textId="77777777" w:rsidR="0099058F" w:rsidRDefault="0099058F">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B76259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59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59A" w14:textId="77777777" w:rsidR="0099058F" w:rsidRDefault="0099058F">
            <w:pPr>
              <w:widowControl/>
              <w:jc w:val="left"/>
              <w:rPr>
                <w:rFonts w:ascii="Times New Roman" w:eastAsia="宋体" w:hAnsi="宋体" w:cs="宋体"/>
                <w:kern w:val="0"/>
                <w:sz w:val="24"/>
              </w:rPr>
            </w:pPr>
          </w:p>
        </w:tc>
        <w:tc>
          <w:tcPr>
            <w:tcW w:w="460" w:type="pct"/>
            <w:tcBorders>
              <w:top w:val="nil"/>
              <w:left w:val="nil"/>
              <w:bottom w:val="nil"/>
              <w:right w:val="nil"/>
            </w:tcBorders>
            <w:shd w:val="clear" w:color="auto" w:fill="auto"/>
            <w:vAlign w:val="bottom"/>
          </w:tcPr>
          <w:p w14:paraId="4B76259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59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9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5A0" w14:textId="77777777" w:rsidR="0099058F" w:rsidRDefault="0099058F">
            <w:pPr>
              <w:widowControl/>
              <w:jc w:val="left"/>
              <w:rPr>
                <w:rFonts w:ascii="Times New Roman" w:eastAsia="宋体" w:hAnsi="宋体" w:cs="宋体"/>
                <w:kern w:val="0"/>
                <w:sz w:val="24"/>
              </w:rPr>
            </w:pPr>
          </w:p>
        </w:tc>
        <w:tc>
          <w:tcPr>
            <w:tcW w:w="460" w:type="pct"/>
            <w:tcBorders>
              <w:top w:val="nil"/>
              <w:left w:val="nil"/>
              <w:bottom w:val="nil"/>
              <w:right w:val="nil"/>
            </w:tcBorders>
            <w:shd w:val="clear" w:color="auto" w:fill="auto"/>
            <w:vAlign w:val="bottom"/>
          </w:tcPr>
          <w:p w14:paraId="4B7625A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5A2" w14:textId="77777777" w:rsidR="0099058F" w:rsidRDefault="0099058F">
            <w:pPr>
              <w:widowControl/>
              <w:jc w:val="left"/>
              <w:rPr>
                <w:rFonts w:ascii="Times New Roman" w:eastAsia="宋体" w:hAnsi="宋体" w:cs="宋体"/>
                <w:kern w:val="0"/>
                <w:sz w:val="24"/>
              </w:rPr>
            </w:pPr>
          </w:p>
        </w:tc>
      </w:tr>
      <w:tr w:rsidR="0099058F" w14:paraId="4B7625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5A4"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5A5"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5A6"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5A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99058F" w14:paraId="4B7625B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5A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5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5A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5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5A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5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5A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5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5B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5B2"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Change in benefit obligation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5B9" w14:textId="77777777" w:rsidR="0099058F" w:rsidRDefault="0099058F">
            <w:pPr>
              <w:widowControl/>
              <w:jc w:val="left"/>
              <w:rPr>
                <w:rFonts w:ascii="Times New Roman" w:eastAsia="宋体" w:hAnsi="宋体" w:cs="宋体"/>
                <w:kern w:val="0"/>
                <w:sz w:val="24"/>
              </w:rPr>
            </w:pPr>
          </w:p>
        </w:tc>
      </w:tr>
      <w:tr w:rsidR="0099058F" w14:paraId="4B7625C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5B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$75,635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B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B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$82,415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C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C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C6" w14:textId="77777777" w:rsidR="0099058F" w:rsidRDefault="0099058F">
            <w:pPr>
              <w:widowControl/>
              <w:jc w:val="left"/>
              <w:rPr>
                <w:rFonts w:ascii="Times New Roman" w:eastAsia="宋体" w:hAnsi="宋体" w:cs="宋体"/>
                <w:kern w:val="0"/>
                <w:sz w:val="24"/>
              </w:rPr>
            </w:pPr>
          </w:p>
        </w:tc>
      </w:tr>
      <w:tr w:rsidR="0099058F" w14:paraId="4B7625D4"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B7625C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C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C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C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C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D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D3" w14:textId="77777777" w:rsidR="0099058F" w:rsidRDefault="0099058F">
            <w:pPr>
              <w:widowControl/>
              <w:jc w:val="right"/>
              <w:rPr>
                <w:rFonts w:ascii="Times New Roman" w:eastAsia="宋体" w:hAnsi="宋体" w:cs="宋体"/>
                <w:kern w:val="0"/>
                <w:sz w:val="24"/>
              </w:rPr>
            </w:pPr>
          </w:p>
        </w:tc>
      </w:tr>
      <w:tr w:rsidR="0099058F" w14:paraId="4B7625E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5D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D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D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D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D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E0" w14:textId="77777777" w:rsidR="0099058F" w:rsidRDefault="0099058F">
            <w:pPr>
              <w:widowControl/>
              <w:jc w:val="right"/>
              <w:rPr>
                <w:rFonts w:ascii="Times New Roman" w:eastAsia="宋体" w:hAnsi="宋体" w:cs="宋体"/>
                <w:kern w:val="0"/>
                <w:sz w:val="24"/>
              </w:rPr>
            </w:pPr>
          </w:p>
        </w:tc>
      </w:tr>
      <w:tr w:rsidR="0099058F" w14:paraId="4B7625EA" w14:textId="77777777">
        <w:trPr>
          <w:hidden/>
        </w:trPr>
        <w:tc>
          <w:tcPr>
            <w:tcW w:w="0" w:type="auto"/>
            <w:gridSpan w:val="3"/>
            <w:tcBorders>
              <w:top w:val="nil"/>
              <w:left w:val="nil"/>
              <w:bottom w:val="nil"/>
              <w:right w:val="nil"/>
            </w:tcBorders>
            <w:shd w:val="clear" w:color="auto" w:fill="auto"/>
            <w:vAlign w:val="bottom"/>
          </w:tcPr>
          <w:p w14:paraId="4B7625E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5E9" w14:textId="77777777" w:rsidR="0099058F" w:rsidRDefault="0099058F">
            <w:pPr>
              <w:widowControl/>
              <w:jc w:val="left"/>
              <w:rPr>
                <w:rFonts w:ascii="Times New Roman" w:eastAsia="宋体" w:hAnsi="宋体" w:cs="宋体"/>
                <w:vanish/>
                <w:kern w:val="0"/>
                <w:sz w:val="24"/>
              </w:rPr>
            </w:pPr>
          </w:p>
        </w:tc>
      </w:tr>
      <w:tr w:rsidR="0099058F" w14:paraId="4B7625F5"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B7625E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Amendments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E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E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F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5F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5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5F4" w14:textId="77777777" w:rsidR="0099058F" w:rsidRDefault="0099058F">
            <w:pPr>
              <w:widowControl/>
              <w:jc w:val="right"/>
              <w:rPr>
                <w:rFonts w:ascii="Times New Roman" w:eastAsia="宋体" w:hAnsi="宋体" w:cs="宋体"/>
                <w:kern w:val="0"/>
                <w:sz w:val="24"/>
              </w:rPr>
            </w:pPr>
          </w:p>
        </w:tc>
      </w:tr>
      <w:tr w:rsidR="0099058F" w14:paraId="4B76260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5F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Actuarial (gain)/loss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F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F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F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F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5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5F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5F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01" w14:textId="77777777" w:rsidR="0099058F" w:rsidRDefault="0099058F">
            <w:pPr>
              <w:widowControl/>
              <w:jc w:val="right"/>
              <w:rPr>
                <w:rFonts w:ascii="Times New Roman" w:eastAsia="宋体" w:hAnsi="宋体" w:cs="宋体"/>
                <w:kern w:val="0"/>
                <w:sz w:val="24"/>
              </w:rPr>
            </w:pPr>
          </w:p>
        </w:tc>
      </w:tr>
      <w:tr w:rsidR="0099058F" w14:paraId="4B76260D" w14:textId="77777777">
        <w:tc>
          <w:tcPr>
            <w:tcW w:w="0" w:type="auto"/>
            <w:gridSpan w:val="3"/>
            <w:tcBorders>
              <w:top w:val="nil"/>
              <w:left w:val="nil"/>
              <w:bottom w:val="nil"/>
              <w:right w:val="nil"/>
            </w:tcBorders>
            <w:shd w:val="clear" w:color="auto" w:fill="CCEEFF"/>
            <w:tcMar>
              <w:top w:w="40" w:type="dxa"/>
              <w:left w:w="920" w:type="dxa"/>
              <w:bottom w:w="40" w:type="dxa"/>
              <w:right w:w="20" w:type="dxa"/>
            </w:tcMar>
            <w:vAlign w:val="bottom"/>
          </w:tcPr>
          <w:p w14:paraId="4B762603"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0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0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0C" w14:textId="77777777" w:rsidR="0099058F" w:rsidRDefault="0099058F">
            <w:pPr>
              <w:widowControl/>
              <w:jc w:val="left"/>
              <w:rPr>
                <w:rFonts w:ascii="Times New Roman" w:eastAsia="宋体" w:hAnsi="宋体" w:cs="宋体"/>
                <w:kern w:val="0"/>
                <w:sz w:val="24"/>
              </w:rPr>
            </w:pPr>
          </w:p>
        </w:tc>
      </w:tr>
      <w:tr w:rsidR="0099058F" w14:paraId="4B76261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60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benefits paid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1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1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1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1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19" w14:textId="77777777" w:rsidR="0099058F" w:rsidRDefault="0099058F">
            <w:pPr>
              <w:widowControl/>
              <w:jc w:val="right"/>
              <w:rPr>
                <w:rFonts w:ascii="Times New Roman" w:eastAsia="宋体" w:hAnsi="宋体" w:cs="宋体"/>
                <w:kern w:val="0"/>
                <w:sz w:val="24"/>
              </w:rPr>
            </w:pPr>
          </w:p>
        </w:tc>
      </w:tr>
      <w:tr w:rsidR="0099058F" w14:paraId="4B762626"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B76261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Subsidies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1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1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2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2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25" w14:textId="77777777" w:rsidR="0099058F" w:rsidRDefault="0099058F">
            <w:pPr>
              <w:widowControl/>
              <w:jc w:val="right"/>
              <w:rPr>
                <w:rFonts w:ascii="Times New Roman" w:eastAsia="宋体" w:hAnsi="宋体" w:cs="宋体"/>
                <w:kern w:val="0"/>
                <w:sz w:val="24"/>
              </w:rPr>
            </w:pPr>
          </w:p>
        </w:tc>
      </w:tr>
      <w:tr w:rsidR="0099058F" w14:paraId="4B76263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62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Exchange </w:t>
            </w:r>
            <w:r>
              <w:rPr>
                <w:rFonts w:ascii="Arial" w:eastAsia="宋体" w:hAnsi="Arial" w:cs="Arial"/>
                <w:color w:val="000000"/>
                <w:kern w:val="0"/>
                <w:sz w:val="20"/>
                <w:szCs w:val="20"/>
                <w:lang w:bidi="ar"/>
              </w:rPr>
              <w:t>rate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2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2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2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2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3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32" w14:textId="77777777" w:rsidR="0099058F" w:rsidRDefault="0099058F">
            <w:pPr>
              <w:widowControl/>
              <w:jc w:val="right"/>
              <w:rPr>
                <w:rFonts w:ascii="Times New Roman" w:eastAsia="宋体" w:hAnsi="宋体" w:cs="宋体"/>
                <w:kern w:val="0"/>
                <w:sz w:val="24"/>
              </w:rPr>
            </w:pPr>
          </w:p>
        </w:tc>
      </w:tr>
      <w:tr w:rsidR="0099058F" w14:paraId="4B762640"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B76263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6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$55,117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63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63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6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$75,635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63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63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6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63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63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6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$4,092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63F" w14:textId="77777777" w:rsidR="0099058F" w:rsidRDefault="0099058F">
            <w:pPr>
              <w:widowControl/>
              <w:jc w:val="left"/>
              <w:rPr>
                <w:rFonts w:ascii="Times New Roman" w:eastAsia="宋体" w:hAnsi="宋体" w:cs="宋体"/>
                <w:kern w:val="0"/>
                <w:sz w:val="24"/>
              </w:rPr>
            </w:pPr>
          </w:p>
        </w:tc>
      </w:tr>
      <w:tr w:rsidR="0099058F" w14:paraId="4B762649"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B762641" w14:textId="77777777" w:rsidR="0099058F" w:rsidRDefault="00EB255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Change in plan assets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2648" w14:textId="77777777" w:rsidR="0099058F" w:rsidRDefault="0099058F">
            <w:pPr>
              <w:widowControl/>
              <w:jc w:val="left"/>
              <w:rPr>
                <w:rFonts w:ascii="Times New Roman" w:eastAsia="宋体" w:hAnsi="宋体" w:cs="宋体"/>
                <w:kern w:val="0"/>
                <w:sz w:val="24"/>
              </w:rPr>
            </w:pPr>
          </w:p>
        </w:tc>
      </w:tr>
      <w:tr w:rsidR="0099058F" w14:paraId="4B76265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64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at fair value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$67,813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4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$68,696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5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5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55" w14:textId="77777777" w:rsidR="0099058F" w:rsidRDefault="0099058F">
            <w:pPr>
              <w:widowControl/>
              <w:jc w:val="left"/>
              <w:rPr>
                <w:rFonts w:ascii="Times New Roman" w:eastAsia="宋体" w:hAnsi="宋体" w:cs="宋体"/>
                <w:kern w:val="0"/>
                <w:sz w:val="24"/>
              </w:rPr>
            </w:pPr>
          </w:p>
        </w:tc>
      </w:tr>
      <w:tr w:rsidR="0099058F" w14:paraId="4B76266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65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Actual return on plan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5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5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5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5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5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6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62" w14:textId="77777777" w:rsidR="0099058F" w:rsidRDefault="0099058F">
            <w:pPr>
              <w:widowControl/>
              <w:jc w:val="right"/>
              <w:rPr>
                <w:rFonts w:ascii="Times New Roman" w:eastAsia="宋体" w:hAnsi="宋体" w:cs="宋体"/>
                <w:kern w:val="0"/>
                <w:sz w:val="24"/>
              </w:rPr>
            </w:pPr>
          </w:p>
        </w:tc>
      </w:tr>
      <w:tr w:rsidR="0099058F" w14:paraId="4B76266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B76266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Company contribution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6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6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6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6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6D" w14:textId="77777777" w:rsidR="0099058F" w:rsidRDefault="0099058F">
            <w:pPr>
              <w:widowControl/>
              <w:jc w:val="left"/>
              <w:rPr>
                <w:rFonts w:ascii="Times New Roman" w:eastAsia="宋体" w:hAnsi="宋体" w:cs="宋体"/>
                <w:kern w:val="0"/>
                <w:sz w:val="24"/>
              </w:rPr>
            </w:pPr>
          </w:p>
        </w:tc>
      </w:tr>
      <w:tr w:rsidR="0099058F" w14:paraId="4B76267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66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Plan participants’ contributions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7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7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7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7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79" w14:textId="77777777" w:rsidR="0099058F" w:rsidRDefault="0099058F">
            <w:pPr>
              <w:widowControl/>
              <w:jc w:val="right"/>
              <w:rPr>
                <w:rFonts w:ascii="Times New Roman" w:eastAsia="宋体" w:hAnsi="宋体" w:cs="宋体"/>
                <w:kern w:val="0"/>
                <w:sz w:val="24"/>
              </w:rPr>
            </w:pPr>
          </w:p>
        </w:tc>
      </w:tr>
      <w:tr w:rsidR="0099058F" w14:paraId="4B7626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67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w:t>
            </w:r>
            <w:r>
              <w:rPr>
                <w:rFonts w:ascii="Arial" w:eastAsia="宋体" w:hAnsi="Arial" w:cs="Arial"/>
                <w:color w:val="000000"/>
                <w:kern w:val="0"/>
                <w:sz w:val="20"/>
                <w:szCs w:val="20"/>
                <w:lang w:bidi="ar"/>
              </w:rPr>
              <w:t xml:space="preserve">t payments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7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7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8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8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84" w14:textId="77777777" w:rsidR="0099058F" w:rsidRDefault="0099058F">
            <w:pPr>
              <w:widowControl/>
              <w:jc w:val="left"/>
              <w:rPr>
                <w:rFonts w:ascii="Times New Roman" w:eastAsia="宋体" w:hAnsi="宋体" w:cs="宋体"/>
                <w:kern w:val="0"/>
                <w:sz w:val="24"/>
              </w:rPr>
            </w:pPr>
          </w:p>
        </w:tc>
      </w:tr>
      <w:tr w:rsidR="0099058F" w14:paraId="4B76269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B76268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Benefits paid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8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8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8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8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8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8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91" w14:textId="77777777" w:rsidR="0099058F" w:rsidRDefault="0099058F">
            <w:pPr>
              <w:widowControl/>
              <w:jc w:val="right"/>
              <w:rPr>
                <w:rFonts w:ascii="Times New Roman" w:eastAsia="宋体" w:hAnsi="宋体" w:cs="宋体"/>
                <w:kern w:val="0"/>
                <w:sz w:val="24"/>
              </w:rPr>
            </w:pPr>
          </w:p>
        </w:tc>
      </w:tr>
      <w:tr w:rsidR="0099058F" w14:paraId="4B76269D"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B76269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Exchange rate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9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9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9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9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9C" w14:textId="77777777" w:rsidR="0099058F" w:rsidRDefault="0099058F">
            <w:pPr>
              <w:widowControl/>
              <w:jc w:val="left"/>
              <w:rPr>
                <w:rFonts w:ascii="Times New Roman" w:eastAsia="宋体" w:hAnsi="宋体" w:cs="宋体"/>
                <w:kern w:val="0"/>
                <w:sz w:val="24"/>
              </w:rPr>
            </w:pPr>
          </w:p>
        </w:tc>
      </w:tr>
      <w:tr w:rsidR="0099058F" w14:paraId="4B7626AA"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tcPr>
          <w:p w14:paraId="4B76269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at fair value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6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$49,825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A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6A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6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$67,813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A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6A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6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A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6A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6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A9" w14:textId="77777777" w:rsidR="0099058F" w:rsidRDefault="0099058F">
            <w:pPr>
              <w:widowControl/>
              <w:jc w:val="left"/>
              <w:rPr>
                <w:rFonts w:ascii="Times New Roman" w:eastAsia="宋体" w:hAnsi="宋体" w:cs="宋体"/>
                <w:kern w:val="0"/>
                <w:sz w:val="24"/>
              </w:rPr>
            </w:pPr>
          </w:p>
        </w:tc>
      </w:tr>
      <w:tr w:rsidR="0099058F" w14:paraId="4B7626B3"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4B7626A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Amounts recognized in statement of financial position at December 31 consist of:</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A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AD"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AE"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A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B0"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B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26B2" w14:textId="77777777" w:rsidR="0099058F" w:rsidRDefault="0099058F">
            <w:pPr>
              <w:widowControl/>
              <w:jc w:val="left"/>
              <w:rPr>
                <w:rFonts w:ascii="Times New Roman" w:eastAsia="宋体" w:hAnsi="宋体" w:cs="宋体"/>
                <w:kern w:val="0"/>
                <w:sz w:val="24"/>
              </w:rPr>
            </w:pPr>
          </w:p>
        </w:tc>
      </w:tr>
      <w:tr w:rsidR="0099058F" w14:paraId="4B7626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6B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B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B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B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B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B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B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BE" w14:textId="77777777" w:rsidR="0099058F" w:rsidRDefault="0099058F">
            <w:pPr>
              <w:widowControl/>
              <w:jc w:val="left"/>
              <w:rPr>
                <w:rFonts w:ascii="Times New Roman" w:eastAsia="宋体" w:hAnsi="宋体" w:cs="宋体"/>
                <w:kern w:val="0"/>
                <w:sz w:val="24"/>
              </w:rPr>
            </w:pPr>
          </w:p>
        </w:tc>
      </w:tr>
      <w:tr w:rsidR="0099058F" w14:paraId="4B7626C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6C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C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C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C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C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C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CB" w14:textId="77777777" w:rsidR="0099058F" w:rsidRDefault="0099058F">
            <w:pPr>
              <w:widowControl/>
              <w:jc w:val="left"/>
              <w:rPr>
                <w:rFonts w:ascii="Times New Roman" w:eastAsia="宋体" w:hAnsi="宋体" w:cs="宋体"/>
                <w:kern w:val="0"/>
                <w:sz w:val="24"/>
              </w:rPr>
            </w:pPr>
          </w:p>
        </w:tc>
      </w:tr>
      <w:tr w:rsidR="0099058F" w14:paraId="4B7626D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6C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C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C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D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D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6D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6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6D6" w14:textId="77777777" w:rsidR="0099058F" w:rsidRDefault="0099058F">
            <w:pPr>
              <w:widowControl/>
              <w:jc w:val="right"/>
              <w:rPr>
                <w:rFonts w:ascii="Times New Roman" w:eastAsia="宋体" w:hAnsi="宋体" w:cs="宋体"/>
                <w:kern w:val="0"/>
                <w:sz w:val="24"/>
              </w:rPr>
            </w:pPr>
          </w:p>
        </w:tc>
      </w:tr>
      <w:tr w:rsidR="0099058F" w14:paraId="4B7626E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6D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D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6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6D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D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6E1" w14:textId="77777777" w:rsidR="0099058F" w:rsidRDefault="0099058F">
            <w:pPr>
              <w:widowControl/>
              <w:jc w:val="left"/>
              <w:rPr>
                <w:rFonts w:ascii="Times New Roman" w:eastAsia="宋体" w:hAnsi="宋体" w:cs="宋体"/>
                <w:kern w:val="0"/>
                <w:sz w:val="24"/>
              </w:rPr>
            </w:pPr>
          </w:p>
        </w:tc>
      </w:tr>
      <w:tr w:rsidR="0099058F" w14:paraId="4B7626E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6E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amount recognized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6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($5,292)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E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6E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6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($7,822)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E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6E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6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E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6E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6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6EE" w14:textId="77777777" w:rsidR="0099058F" w:rsidRDefault="0099058F">
            <w:pPr>
              <w:widowControl/>
              <w:jc w:val="left"/>
              <w:rPr>
                <w:rFonts w:ascii="Times New Roman" w:eastAsia="宋体" w:hAnsi="宋体" w:cs="宋体"/>
                <w:kern w:val="0"/>
                <w:sz w:val="24"/>
              </w:rPr>
            </w:pPr>
          </w:p>
        </w:tc>
      </w:tr>
    </w:tbl>
    <w:p w14:paraId="4B7626F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Amounts recognized in Accumulated other comprehensive loss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4640"/>
        <w:gridCol w:w="37"/>
        <w:gridCol w:w="81"/>
        <w:gridCol w:w="718"/>
        <w:gridCol w:w="37"/>
        <w:gridCol w:w="37"/>
        <w:gridCol w:w="37"/>
        <w:gridCol w:w="36"/>
        <w:gridCol w:w="81"/>
        <w:gridCol w:w="718"/>
        <w:gridCol w:w="36"/>
        <w:gridCol w:w="36"/>
        <w:gridCol w:w="36"/>
        <w:gridCol w:w="36"/>
        <w:gridCol w:w="81"/>
        <w:gridCol w:w="685"/>
        <w:gridCol w:w="37"/>
        <w:gridCol w:w="37"/>
        <w:gridCol w:w="41"/>
        <w:gridCol w:w="36"/>
        <w:gridCol w:w="81"/>
        <w:gridCol w:w="685"/>
        <w:gridCol w:w="36"/>
      </w:tblGrid>
      <w:tr w:rsidR="0099058F" w14:paraId="4B762709" w14:textId="77777777">
        <w:tc>
          <w:tcPr>
            <w:tcW w:w="50" w:type="pct"/>
            <w:tcBorders>
              <w:top w:val="nil"/>
              <w:left w:val="nil"/>
              <w:bottom w:val="nil"/>
              <w:right w:val="nil"/>
            </w:tcBorders>
            <w:shd w:val="clear" w:color="auto" w:fill="auto"/>
            <w:vAlign w:val="bottom"/>
          </w:tcPr>
          <w:p w14:paraId="4B7626F1" w14:textId="77777777" w:rsidR="0099058F" w:rsidRDefault="0099058F">
            <w:pPr>
              <w:widowControl/>
              <w:jc w:val="left"/>
              <w:rPr>
                <w:rFonts w:ascii="Times New Roman" w:eastAsia="宋体" w:hAnsi="宋体" w:cs="宋体"/>
                <w:kern w:val="0"/>
                <w:sz w:val="24"/>
              </w:rPr>
            </w:pPr>
          </w:p>
        </w:tc>
        <w:tc>
          <w:tcPr>
            <w:tcW w:w="2858" w:type="pct"/>
            <w:tcBorders>
              <w:top w:val="nil"/>
              <w:left w:val="nil"/>
              <w:bottom w:val="nil"/>
              <w:right w:val="nil"/>
            </w:tcBorders>
            <w:shd w:val="clear" w:color="auto" w:fill="auto"/>
            <w:vAlign w:val="bottom"/>
          </w:tcPr>
          <w:p w14:paraId="4B7626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6F4" w14:textId="77777777" w:rsidR="0099058F" w:rsidRDefault="0099058F">
            <w:pPr>
              <w:widowControl/>
              <w:jc w:val="left"/>
              <w:rPr>
                <w:rFonts w:ascii="Times New Roman" w:eastAsia="宋体" w:hAnsi="宋体" w:cs="宋体"/>
                <w:kern w:val="0"/>
                <w:sz w:val="24"/>
              </w:rPr>
            </w:pPr>
          </w:p>
        </w:tc>
        <w:tc>
          <w:tcPr>
            <w:tcW w:w="444" w:type="pct"/>
            <w:tcBorders>
              <w:top w:val="nil"/>
              <w:left w:val="nil"/>
              <w:bottom w:val="nil"/>
              <w:right w:val="nil"/>
            </w:tcBorders>
            <w:shd w:val="clear" w:color="auto" w:fill="auto"/>
            <w:vAlign w:val="bottom"/>
          </w:tcPr>
          <w:p w14:paraId="4B7626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6F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6FA" w14:textId="77777777" w:rsidR="0099058F" w:rsidRDefault="0099058F">
            <w:pPr>
              <w:widowControl/>
              <w:jc w:val="left"/>
              <w:rPr>
                <w:rFonts w:ascii="Times New Roman" w:eastAsia="宋体" w:hAnsi="宋体" w:cs="宋体"/>
                <w:kern w:val="0"/>
                <w:sz w:val="24"/>
              </w:rPr>
            </w:pPr>
          </w:p>
        </w:tc>
        <w:tc>
          <w:tcPr>
            <w:tcW w:w="444" w:type="pct"/>
            <w:tcBorders>
              <w:top w:val="nil"/>
              <w:left w:val="nil"/>
              <w:bottom w:val="nil"/>
              <w:right w:val="nil"/>
            </w:tcBorders>
            <w:shd w:val="clear" w:color="auto" w:fill="auto"/>
            <w:vAlign w:val="bottom"/>
          </w:tcPr>
          <w:p w14:paraId="4B7626F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6F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6F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00" w14:textId="77777777" w:rsidR="0099058F" w:rsidRDefault="0099058F">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B76270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0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0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0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0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06" w14:textId="77777777" w:rsidR="0099058F" w:rsidRDefault="0099058F">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B76270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08" w14:textId="77777777" w:rsidR="0099058F" w:rsidRDefault="0099058F">
            <w:pPr>
              <w:widowControl/>
              <w:jc w:val="left"/>
              <w:rPr>
                <w:rFonts w:ascii="Times New Roman" w:eastAsia="宋体" w:hAnsi="宋体" w:cs="宋体"/>
                <w:kern w:val="0"/>
                <w:sz w:val="24"/>
              </w:rPr>
            </w:pPr>
          </w:p>
        </w:tc>
      </w:tr>
      <w:tr w:rsidR="0099058F" w14:paraId="4B76270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0A"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70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0C"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70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99058F" w14:paraId="4B76271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70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7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71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7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71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7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71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7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72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71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actuarial loss/(gain)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1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1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1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2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2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23" w14:textId="77777777" w:rsidR="0099058F" w:rsidRDefault="0099058F">
            <w:pPr>
              <w:widowControl/>
              <w:jc w:val="left"/>
              <w:rPr>
                <w:rFonts w:ascii="Times New Roman" w:eastAsia="宋体" w:hAnsi="宋体" w:cs="宋体"/>
                <w:kern w:val="0"/>
                <w:sz w:val="24"/>
              </w:rPr>
            </w:pPr>
          </w:p>
        </w:tc>
      </w:tr>
      <w:tr w:rsidR="0099058F" w14:paraId="4B7627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72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2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2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2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2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2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2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2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2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30" w14:textId="77777777" w:rsidR="0099058F" w:rsidRDefault="0099058F">
            <w:pPr>
              <w:widowControl/>
              <w:jc w:val="right"/>
              <w:rPr>
                <w:rFonts w:ascii="Times New Roman" w:eastAsia="宋体" w:hAnsi="宋体" w:cs="宋体"/>
                <w:kern w:val="0"/>
                <w:sz w:val="24"/>
              </w:rPr>
            </w:pPr>
          </w:p>
        </w:tc>
      </w:tr>
      <w:tr w:rsidR="0099058F" w14:paraId="4B76273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73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recognized in Accumulated other comprehensive loss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7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$16,224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73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73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7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73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73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73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73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73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7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73D" w14:textId="77777777" w:rsidR="0099058F" w:rsidRDefault="0099058F">
            <w:pPr>
              <w:widowControl/>
              <w:jc w:val="left"/>
              <w:rPr>
                <w:rFonts w:ascii="Times New Roman" w:eastAsia="宋体" w:hAnsi="宋体" w:cs="宋体"/>
                <w:kern w:val="0"/>
                <w:sz w:val="24"/>
              </w:rPr>
            </w:pPr>
          </w:p>
        </w:tc>
      </w:tr>
    </w:tbl>
    <w:p w14:paraId="4B76273F"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274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92</w:t>
      </w:r>
    </w:p>
    <w:p w14:paraId="4B762741" w14:textId="77777777" w:rsidR="0099058F" w:rsidRDefault="00EB2559">
      <w:pPr>
        <w:widowControl/>
        <w:jc w:val="center"/>
      </w:pPr>
      <w:r>
        <w:rPr>
          <w:rFonts w:ascii="宋体" w:eastAsia="宋体" w:hAnsi="宋体" w:cs="宋体"/>
          <w:kern w:val="0"/>
          <w:sz w:val="24"/>
        </w:rPr>
        <w:pict w14:anchorId="4B763C53">
          <v:rect id="_x0000_i1118" style="width:6in;height:1.5pt" o:hralign="center" o:hrstd="t" o:hr="t" fillcolor="#a0a0a0" stroked="f"/>
        </w:pict>
      </w:r>
    </w:p>
    <w:p w14:paraId="4B76274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743"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accumulated benefit obligation (ABO) for all pension plans was $54,481 and $74,199 at December 31, 2022 and </w:t>
      </w:r>
      <w:r>
        <w:rPr>
          <w:rFonts w:ascii="Arial" w:eastAsia="宋体" w:hAnsi="Arial" w:cs="Arial"/>
          <w:color w:val="000000"/>
          <w:kern w:val="0"/>
          <w:sz w:val="20"/>
          <w:szCs w:val="20"/>
          <w:lang w:bidi="ar"/>
        </w:rPr>
        <w:t>2021. Key information for our plans with ABO and PBO in excess of plan assets as of December 31 was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99058F" w14:paraId="4B762750" w14:textId="77777777">
        <w:tc>
          <w:tcPr>
            <w:tcW w:w="50" w:type="pct"/>
            <w:tcBorders>
              <w:top w:val="nil"/>
              <w:left w:val="nil"/>
              <w:bottom w:val="nil"/>
              <w:right w:val="nil"/>
            </w:tcBorders>
            <w:shd w:val="clear" w:color="auto" w:fill="auto"/>
            <w:vAlign w:val="bottom"/>
          </w:tcPr>
          <w:p w14:paraId="4B762744"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274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4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47"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74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4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4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4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4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4D"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74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4F" w14:textId="77777777" w:rsidR="0099058F" w:rsidRDefault="0099058F">
            <w:pPr>
              <w:widowControl/>
              <w:jc w:val="left"/>
              <w:rPr>
                <w:rFonts w:ascii="Times New Roman" w:eastAsia="宋体" w:hAnsi="宋体" w:cs="宋体"/>
                <w:kern w:val="0"/>
                <w:sz w:val="24"/>
              </w:rPr>
            </w:pPr>
          </w:p>
        </w:tc>
      </w:tr>
      <w:tr w:rsidR="0099058F" w14:paraId="4B76275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5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75A" w14:textId="77777777">
        <w:trPr>
          <w:hidden/>
        </w:trPr>
        <w:tc>
          <w:tcPr>
            <w:tcW w:w="0" w:type="auto"/>
            <w:gridSpan w:val="3"/>
            <w:tcBorders>
              <w:top w:val="nil"/>
              <w:left w:val="nil"/>
              <w:bottom w:val="nil"/>
              <w:right w:val="nil"/>
            </w:tcBorders>
            <w:shd w:val="clear" w:color="auto" w:fill="auto"/>
            <w:vAlign w:val="bottom"/>
          </w:tcPr>
          <w:p w14:paraId="4B76275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75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75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759" w14:textId="77777777" w:rsidR="0099058F" w:rsidRDefault="0099058F">
            <w:pPr>
              <w:widowControl/>
              <w:jc w:val="left"/>
              <w:rPr>
                <w:rFonts w:ascii="Times New Roman" w:eastAsia="宋体" w:hAnsi="宋体" w:cs="宋体"/>
                <w:vanish/>
                <w:kern w:val="0"/>
                <w:sz w:val="24"/>
              </w:rPr>
            </w:pPr>
          </w:p>
        </w:tc>
      </w:tr>
      <w:tr w:rsidR="0099058F" w14:paraId="4B76276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75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Accumulated benefit obligation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5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$48,134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5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5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$66,406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60" w14:textId="77777777" w:rsidR="0099058F" w:rsidRDefault="0099058F">
            <w:pPr>
              <w:widowControl/>
              <w:jc w:val="left"/>
              <w:rPr>
                <w:rFonts w:ascii="Times New Roman" w:eastAsia="宋体" w:hAnsi="宋体" w:cs="宋体"/>
                <w:kern w:val="0"/>
                <w:sz w:val="24"/>
              </w:rPr>
            </w:pPr>
          </w:p>
        </w:tc>
      </w:tr>
      <w:tr w:rsidR="0099058F" w14:paraId="4B762768"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B76276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Fair value of plan assets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42,491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76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58,593 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67" w14:textId="77777777" w:rsidR="0099058F" w:rsidRDefault="0099058F">
            <w:pPr>
              <w:widowControl/>
              <w:jc w:val="left"/>
              <w:rPr>
                <w:rFonts w:ascii="Times New Roman" w:eastAsia="宋体" w:hAnsi="宋体" w:cs="宋体"/>
                <w:kern w:val="0"/>
                <w:sz w:val="24"/>
              </w:rPr>
            </w:pPr>
          </w:p>
        </w:tc>
      </w:tr>
    </w:tbl>
    <w:p w14:paraId="4B762769"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99058F" w14:paraId="4B762776" w14:textId="77777777">
        <w:trPr>
          <w:jc w:val="center"/>
        </w:trPr>
        <w:tc>
          <w:tcPr>
            <w:tcW w:w="50" w:type="pct"/>
            <w:tcBorders>
              <w:top w:val="nil"/>
              <w:left w:val="nil"/>
              <w:bottom w:val="nil"/>
              <w:right w:val="nil"/>
            </w:tcBorders>
            <w:shd w:val="clear" w:color="auto" w:fill="auto"/>
            <w:vAlign w:val="bottom"/>
          </w:tcPr>
          <w:p w14:paraId="4B76276A" w14:textId="77777777" w:rsidR="0099058F" w:rsidRDefault="0099058F">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B76276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6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6D"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76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6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7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7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7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73"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77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75" w14:textId="77777777" w:rsidR="0099058F" w:rsidRDefault="0099058F">
            <w:pPr>
              <w:widowControl/>
              <w:jc w:val="left"/>
              <w:rPr>
                <w:rFonts w:ascii="Times New Roman" w:eastAsia="宋体" w:hAnsi="宋体" w:cs="宋体"/>
                <w:kern w:val="0"/>
                <w:sz w:val="24"/>
              </w:rPr>
            </w:pPr>
          </w:p>
        </w:tc>
      </w:tr>
      <w:tr w:rsidR="0099058F" w14:paraId="4B76277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782"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77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Projected benefit obligation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$48,770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7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7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$67,841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81" w14:textId="77777777" w:rsidR="0099058F" w:rsidRDefault="0099058F">
            <w:pPr>
              <w:widowControl/>
              <w:jc w:val="left"/>
              <w:rPr>
                <w:rFonts w:ascii="Times New Roman" w:eastAsia="宋体" w:hAnsi="宋体" w:cs="宋体"/>
                <w:kern w:val="0"/>
                <w:sz w:val="24"/>
              </w:rPr>
            </w:pPr>
          </w:p>
        </w:tc>
      </w:tr>
      <w:tr w:rsidR="0099058F" w14:paraId="4B762789" w14:textId="77777777">
        <w:trPr>
          <w:jc w:val="center"/>
        </w:trPr>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B76278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Fair value of plan assets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42,491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8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78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58,593 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88" w14:textId="77777777" w:rsidR="0099058F" w:rsidRDefault="0099058F">
            <w:pPr>
              <w:widowControl/>
              <w:jc w:val="left"/>
              <w:rPr>
                <w:rFonts w:ascii="Times New Roman" w:eastAsia="宋体" w:hAnsi="宋体" w:cs="宋体"/>
                <w:kern w:val="0"/>
                <w:sz w:val="24"/>
              </w:rPr>
            </w:pPr>
          </w:p>
        </w:tc>
      </w:tr>
    </w:tbl>
    <w:p w14:paraId="4B76278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Assumptions</w:t>
      </w:r>
    </w:p>
    <w:p w14:paraId="4B76278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assumptions, which are the weighted average for all plans, are used to calculate the benefit obligation at </w:t>
      </w:r>
      <w:r>
        <w:rPr>
          <w:rFonts w:ascii="Arial" w:eastAsia="宋体" w:hAnsi="Arial" w:cs="Arial"/>
          <w:color w:val="000000"/>
          <w:kern w:val="0"/>
          <w:sz w:val="20"/>
          <w:szCs w:val="20"/>
          <w:lang w:bidi="ar"/>
        </w:rPr>
        <w:t>December 31 of each year and the net periodic benefit cost for the subsequent year.</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5553"/>
        <w:gridCol w:w="36"/>
        <w:gridCol w:w="50"/>
        <w:gridCol w:w="615"/>
        <w:gridCol w:w="198"/>
        <w:gridCol w:w="36"/>
        <w:gridCol w:w="36"/>
        <w:gridCol w:w="36"/>
        <w:gridCol w:w="50"/>
        <w:gridCol w:w="558"/>
        <w:gridCol w:w="198"/>
        <w:gridCol w:w="36"/>
        <w:gridCol w:w="36"/>
        <w:gridCol w:w="36"/>
        <w:gridCol w:w="50"/>
        <w:gridCol w:w="563"/>
        <w:gridCol w:w="198"/>
      </w:tblGrid>
      <w:tr w:rsidR="0099058F" w14:paraId="4B76279E" w14:textId="77777777">
        <w:tc>
          <w:tcPr>
            <w:tcW w:w="50" w:type="pct"/>
            <w:tcBorders>
              <w:top w:val="nil"/>
              <w:left w:val="nil"/>
              <w:bottom w:val="nil"/>
              <w:right w:val="nil"/>
            </w:tcBorders>
            <w:shd w:val="clear" w:color="auto" w:fill="auto"/>
            <w:vAlign w:val="bottom"/>
          </w:tcPr>
          <w:p w14:paraId="4B76278C"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278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8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8F"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79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9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9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79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9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9B"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79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9D" w14:textId="77777777" w:rsidR="0099058F" w:rsidRDefault="0099058F">
            <w:pPr>
              <w:widowControl/>
              <w:jc w:val="left"/>
              <w:rPr>
                <w:rFonts w:ascii="Times New Roman" w:eastAsia="宋体" w:hAnsi="宋体" w:cs="宋体"/>
                <w:kern w:val="0"/>
                <w:sz w:val="24"/>
              </w:rPr>
            </w:pPr>
          </w:p>
        </w:tc>
      </w:tr>
      <w:tr w:rsidR="0099058F" w14:paraId="4B7627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9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A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27A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7A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Discount rate: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A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A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A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AB" w14:textId="77777777" w:rsidR="0099058F" w:rsidRDefault="0099058F">
            <w:pPr>
              <w:widowControl/>
              <w:jc w:val="left"/>
              <w:rPr>
                <w:rFonts w:ascii="Times New Roman" w:eastAsia="宋体" w:hAnsi="宋体" w:cs="宋体"/>
                <w:kern w:val="0"/>
                <w:sz w:val="24"/>
              </w:rPr>
            </w:pPr>
          </w:p>
        </w:tc>
      </w:tr>
      <w:tr w:rsidR="0099058F" w14:paraId="4B7627B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7A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B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B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B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7C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7B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7B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B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7B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7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7C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C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7C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7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7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7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7C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Rate of compensation increase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7C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7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7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7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7DE"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B7627D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crediting rates for cash balance plans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D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7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7D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7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7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27D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discount rate for each plan is determined based on the </w:t>
      </w:r>
      <w:r>
        <w:rPr>
          <w:rFonts w:ascii="Arial" w:eastAsia="宋体" w:hAnsi="Arial" w:cs="Arial"/>
          <w:color w:val="000000"/>
          <w:kern w:val="0"/>
          <w:sz w:val="20"/>
          <w:szCs w:val="20"/>
          <w:lang w:bidi="ar"/>
        </w:rPr>
        <w:t>plans’ expected future benefit payments using a yield curve developed from high quality bonds that are rated as Aa or better by at least half of the four rating agencies utilized as of the measurement date. The yield curve is fitted to yields developed fro</w:t>
      </w:r>
      <w:r>
        <w:rPr>
          <w:rFonts w:ascii="Arial" w:eastAsia="宋体" w:hAnsi="Arial" w:cs="Arial"/>
          <w:color w:val="000000"/>
          <w:kern w:val="0"/>
          <w:sz w:val="20"/>
          <w:szCs w:val="20"/>
          <w:lang w:bidi="ar"/>
        </w:rPr>
        <w:t>m bonds at various maturity points. Bonds with the ten percent highest and the ten percent lowest yields are omitted. The present value of each plan’s benefits is calculated by applying the discount rates to projected benefit cash flows.</w:t>
      </w:r>
    </w:p>
    <w:p w14:paraId="4B7627E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fund’s</w:t>
      </w:r>
      <w:r>
        <w:rPr>
          <w:rFonts w:ascii="Arial" w:eastAsia="宋体" w:hAnsi="Arial" w:cs="Arial"/>
          <w:color w:val="000000"/>
          <w:kern w:val="0"/>
          <w:sz w:val="20"/>
          <w:szCs w:val="20"/>
          <w:lang w:bidi="ar"/>
        </w:rPr>
        <w:t xml:space="preserve"> expected return on plan assets assumption is derived from a review of actual historical returns achieved by the pension trust and anticipated future long-term performance of individual asset classes. While consideration is given to historical returns, the</w:t>
      </w:r>
      <w:r>
        <w:rPr>
          <w:rFonts w:ascii="Arial" w:eastAsia="宋体" w:hAnsi="Arial" w:cs="Arial"/>
          <w:color w:val="000000"/>
          <w:kern w:val="0"/>
          <w:sz w:val="20"/>
          <w:szCs w:val="20"/>
          <w:lang w:bidi="ar"/>
        </w:rPr>
        <w:t xml:space="preserve"> assumption represents a long-term, prospective return. The expected return on plan assets component of the net periodic benefit cost for the upcoming plan year is determined based on the expected return on plan assets assumption and the market-related val</w:t>
      </w:r>
      <w:r>
        <w:rPr>
          <w:rFonts w:ascii="Arial" w:eastAsia="宋体" w:hAnsi="Arial" w:cs="Arial"/>
          <w:color w:val="000000"/>
          <w:kern w:val="0"/>
          <w:sz w:val="20"/>
          <w:szCs w:val="20"/>
          <w:lang w:bidi="ar"/>
        </w:rPr>
        <w:t>ue of plan assets (MRVA). Since our adoption of the accounting standard for pensions in 1987, we have determined the MRVA based on a five-year moving average of plan assets. As of December 31, 2022, the MRVA was approximately $10,131 more than the fair mar</w:t>
      </w:r>
      <w:r>
        <w:rPr>
          <w:rFonts w:ascii="Arial" w:eastAsia="宋体" w:hAnsi="Arial" w:cs="Arial"/>
          <w:color w:val="000000"/>
          <w:kern w:val="0"/>
          <w:sz w:val="20"/>
          <w:szCs w:val="20"/>
          <w:lang w:bidi="ar"/>
        </w:rPr>
        <w:t>ket value of assets.</w:t>
      </w:r>
    </w:p>
    <w:p w14:paraId="4B7627E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Assumed health care cost trend rates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7"/>
        <w:gridCol w:w="5554"/>
        <w:gridCol w:w="36"/>
        <w:gridCol w:w="50"/>
        <w:gridCol w:w="615"/>
        <w:gridCol w:w="198"/>
        <w:gridCol w:w="36"/>
        <w:gridCol w:w="36"/>
        <w:gridCol w:w="36"/>
        <w:gridCol w:w="50"/>
        <w:gridCol w:w="558"/>
        <w:gridCol w:w="198"/>
        <w:gridCol w:w="36"/>
        <w:gridCol w:w="36"/>
        <w:gridCol w:w="36"/>
        <w:gridCol w:w="50"/>
        <w:gridCol w:w="563"/>
        <w:gridCol w:w="198"/>
      </w:tblGrid>
      <w:tr w:rsidR="0099058F" w14:paraId="4B7627F4" w14:textId="77777777">
        <w:tc>
          <w:tcPr>
            <w:tcW w:w="50" w:type="pct"/>
            <w:tcBorders>
              <w:top w:val="nil"/>
              <w:left w:val="nil"/>
              <w:bottom w:val="nil"/>
              <w:right w:val="nil"/>
            </w:tcBorders>
            <w:shd w:val="clear" w:color="auto" w:fill="auto"/>
            <w:vAlign w:val="bottom"/>
          </w:tcPr>
          <w:p w14:paraId="4B7627E2"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27E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E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7E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E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EB"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7E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E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7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F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7F1"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7F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7F3" w14:textId="77777777" w:rsidR="0099058F" w:rsidRDefault="0099058F">
            <w:pPr>
              <w:widowControl/>
              <w:jc w:val="left"/>
              <w:rPr>
                <w:rFonts w:ascii="Times New Roman" w:eastAsia="宋体" w:hAnsi="宋体" w:cs="宋体"/>
                <w:kern w:val="0"/>
                <w:sz w:val="24"/>
              </w:rPr>
            </w:pPr>
          </w:p>
        </w:tc>
      </w:tr>
      <w:tr w:rsidR="0099058F" w14:paraId="4B7627F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F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7F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7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280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7F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Health care cost trend rate assumed next year</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7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7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7F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0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8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80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Ultimate trend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0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816"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B76281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Year </w:t>
            </w:r>
            <w:r>
              <w:rPr>
                <w:rFonts w:ascii="Arial" w:eastAsia="宋体" w:hAnsi="Arial" w:cs="Arial"/>
                <w:color w:val="000000"/>
                <w:kern w:val="0"/>
                <w:sz w:val="20"/>
                <w:szCs w:val="20"/>
                <w:lang w:bidi="ar"/>
              </w:rPr>
              <w:t>that trend reaches ultimate rate</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28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2028</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281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28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281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28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bl>
    <w:p w14:paraId="4B762817"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93</w:t>
      </w:r>
    </w:p>
    <w:p w14:paraId="4B762818" w14:textId="77777777" w:rsidR="0099058F" w:rsidRDefault="00EB2559">
      <w:pPr>
        <w:widowControl/>
        <w:jc w:val="center"/>
      </w:pPr>
      <w:r>
        <w:rPr>
          <w:rFonts w:ascii="宋体" w:eastAsia="宋体" w:hAnsi="宋体" w:cs="宋体"/>
          <w:kern w:val="0"/>
          <w:sz w:val="24"/>
        </w:rPr>
        <w:pict w14:anchorId="4B763C54">
          <v:rect id="_x0000_i1119" style="width:6in;height:1.5pt" o:hralign="center" o:hrstd="t" o:hr="t" fillcolor="#a0a0a0" stroked="f"/>
        </w:pict>
      </w:r>
    </w:p>
    <w:p w14:paraId="4B762819"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81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Plan Assets</w:t>
      </w:r>
    </w:p>
    <w:p w14:paraId="4B76281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Investment Strategy</w:t>
      </w:r>
      <w:r>
        <w:rPr>
          <w:rFonts w:ascii="Arial" w:eastAsia="宋体" w:hAnsi="Arial" w:cs="Arial"/>
          <w:color w:val="000000"/>
          <w:kern w:val="0"/>
          <w:sz w:val="20"/>
          <w:szCs w:val="20"/>
          <w:lang w:bidi="ar"/>
        </w:rPr>
        <w:t xml:space="preserve"> The overall objective of our pension assets is to earn a rate of return over time to satisfy the benefit obligations of the pension plans and to maintain sufficient liquidity to pay benefits and address other cash requirements of the pension fund. Specifi</w:t>
      </w:r>
      <w:r>
        <w:rPr>
          <w:rFonts w:ascii="Arial" w:eastAsia="宋体" w:hAnsi="Arial" w:cs="Arial"/>
          <w:color w:val="000000"/>
          <w:kern w:val="0"/>
          <w:sz w:val="20"/>
          <w:szCs w:val="20"/>
          <w:lang w:bidi="ar"/>
        </w:rPr>
        <w:t>c investment objectives for our long-term investment strategy include reducing the volatility of pension assets relative to pension liabilities, achieving a competitive total investment return, achieving diversification between and within asset classes and</w:t>
      </w:r>
      <w:r>
        <w:rPr>
          <w:rFonts w:ascii="Arial" w:eastAsia="宋体" w:hAnsi="Arial" w:cs="Arial"/>
          <w:color w:val="000000"/>
          <w:kern w:val="0"/>
          <w:sz w:val="20"/>
          <w:szCs w:val="20"/>
          <w:lang w:bidi="ar"/>
        </w:rPr>
        <w:t xml:space="preserve"> managing other risks. Investment objectives for each asset class are determined based on specific risks and investment opportunities identified.</w:t>
      </w:r>
    </w:p>
    <w:p w14:paraId="4B76281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periodically update our long-term, strategic asset allocations. We use various analytics to determine the o</w:t>
      </w:r>
      <w:r>
        <w:rPr>
          <w:rFonts w:ascii="Arial" w:eastAsia="宋体" w:hAnsi="Arial" w:cs="Arial"/>
          <w:color w:val="000000"/>
          <w:kern w:val="0"/>
          <w:sz w:val="20"/>
          <w:szCs w:val="20"/>
          <w:lang w:bidi="ar"/>
        </w:rPr>
        <w:t>ptimal asset mix and consider plan liability characteristics, liquidity characteristics, funding requirements, expected rates of return and the distribution of returns. A key element of our strategy is to de-risk the plan as the funded status of the plan i</w:t>
      </w:r>
      <w:r>
        <w:rPr>
          <w:rFonts w:ascii="Arial" w:eastAsia="宋体" w:hAnsi="Arial" w:cs="Arial"/>
          <w:color w:val="000000"/>
          <w:kern w:val="0"/>
          <w:sz w:val="20"/>
          <w:szCs w:val="20"/>
          <w:lang w:bidi="ar"/>
        </w:rPr>
        <w:t>ncreases. During 2022, the funded status of the plans increased as compared to 2021, and additional assets were reallocated to fixed income. The changes in the asset allocation are reflected in the table below. We identify investment benchmarks to evaluate</w:t>
      </w:r>
      <w:r>
        <w:rPr>
          <w:rFonts w:ascii="Arial" w:eastAsia="宋体" w:hAnsi="Arial" w:cs="Arial"/>
          <w:color w:val="000000"/>
          <w:kern w:val="0"/>
          <w:sz w:val="20"/>
          <w:szCs w:val="20"/>
          <w:lang w:bidi="ar"/>
        </w:rPr>
        <w:t xml:space="preserve"> performance for the asset classes in the strategic asset allocation that are market-based and investable where possible. Actual allocations to each asset class vary from target allocations due to periodic investment strategy changes, market value fluctuat</w:t>
      </w:r>
      <w:r>
        <w:rPr>
          <w:rFonts w:ascii="Arial" w:eastAsia="宋体" w:hAnsi="Arial" w:cs="Arial"/>
          <w:color w:val="000000"/>
          <w:kern w:val="0"/>
          <w:sz w:val="20"/>
          <w:szCs w:val="20"/>
          <w:lang w:bidi="ar"/>
        </w:rPr>
        <w:t>ions, the length of time it takes to fully implement investment allocation positions, and the timing of benefit payments and contributions. Short-term investments and exchange-traded derivatives are used to rebalance the actual asset allocation to the targ</w:t>
      </w:r>
      <w:r>
        <w:rPr>
          <w:rFonts w:ascii="Arial" w:eastAsia="宋体" w:hAnsi="Arial" w:cs="Arial"/>
          <w:color w:val="000000"/>
          <w:kern w:val="0"/>
          <w:sz w:val="20"/>
          <w:szCs w:val="20"/>
          <w:lang w:bidi="ar"/>
        </w:rPr>
        <w:t>et asset allocation. The asset allocation is monitored and rebalanced frequently. The actual and target allocations by asset class for the pension assets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3569"/>
        <w:gridCol w:w="37"/>
        <w:gridCol w:w="38"/>
        <w:gridCol w:w="896"/>
        <w:gridCol w:w="199"/>
        <w:gridCol w:w="37"/>
        <w:gridCol w:w="37"/>
        <w:gridCol w:w="37"/>
        <w:gridCol w:w="37"/>
        <w:gridCol w:w="836"/>
        <w:gridCol w:w="198"/>
        <w:gridCol w:w="36"/>
        <w:gridCol w:w="36"/>
        <w:gridCol w:w="36"/>
        <w:gridCol w:w="38"/>
        <w:gridCol w:w="836"/>
        <w:gridCol w:w="199"/>
        <w:gridCol w:w="37"/>
        <w:gridCol w:w="37"/>
        <w:gridCol w:w="37"/>
        <w:gridCol w:w="37"/>
        <w:gridCol w:w="837"/>
        <w:gridCol w:w="198"/>
      </w:tblGrid>
      <w:tr w:rsidR="0099058F" w14:paraId="4B762835" w14:textId="77777777">
        <w:tc>
          <w:tcPr>
            <w:tcW w:w="50" w:type="pct"/>
            <w:tcBorders>
              <w:top w:val="nil"/>
              <w:left w:val="nil"/>
              <w:bottom w:val="nil"/>
              <w:right w:val="nil"/>
            </w:tcBorders>
            <w:shd w:val="clear" w:color="auto" w:fill="auto"/>
            <w:vAlign w:val="bottom"/>
          </w:tcPr>
          <w:p w14:paraId="4B76281D" w14:textId="77777777" w:rsidR="0099058F" w:rsidRDefault="0099058F">
            <w:pPr>
              <w:widowControl/>
              <w:jc w:val="left"/>
              <w:rPr>
                <w:rFonts w:ascii="Times New Roman" w:eastAsia="宋体" w:hAnsi="宋体" w:cs="宋体"/>
                <w:kern w:val="0"/>
                <w:sz w:val="24"/>
              </w:rPr>
            </w:pPr>
          </w:p>
        </w:tc>
        <w:tc>
          <w:tcPr>
            <w:tcW w:w="2203" w:type="pct"/>
            <w:tcBorders>
              <w:top w:val="nil"/>
              <w:left w:val="nil"/>
              <w:bottom w:val="nil"/>
              <w:right w:val="nil"/>
            </w:tcBorders>
            <w:shd w:val="clear" w:color="auto" w:fill="auto"/>
            <w:vAlign w:val="bottom"/>
          </w:tcPr>
          <w:p w14:paraId="4B76281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1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20"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282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3"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82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26"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282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9"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82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2C"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28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2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83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3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32" w14:textId="77777777" w:rsidR="0099058F" w:rsidRDefault="0099058F">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B76283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34" w14:textId="77777777" w:rsidR="0099058F" w:rsidRDefault="0099058F">
            <w:pPr>
              <w:widowControl/>
              <w:jc w:val="left"/>
              <w:rPr>
                <w:rFonts w:ascii="Times New Roman" w:eastAsia="宋体" w:hAnsi="宋体" w:cs="宋体"/>
                <w:kern w:val="0"/>
                <w:sz w:val="24"/>
              </w:rPr>
            </w:pPr>
          </w:p>
        </w:tc>
      </w:tr>
      <w:tr w:rsidR="0099058F" w14:paraId="4B7628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836"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83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Actual Allocations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838"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283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Target Allocations</w:t>
            </w:r>
          </w:p>
        </w:tc>
      </w:tr>
      <w:tr w:rsidR="0099058F" w14:paraId="4B76284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3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Asset Class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3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83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83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84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4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285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84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4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4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4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4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4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8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8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28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85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equity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5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5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5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5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5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5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5C" w14:textId="77777777" w:rsidR="0099058F" w:rsidRDefault="0099058F">
            <w:pPr>
              <w:widowControl/>
              <w:jc w:val="right"/>
              <w:rPr>
                <w:rFonts w:ascii="Times New Roman" w:eastAsia="宋体" w:hAnsi="宋体" w:cs="宋体"/>
                <w:kern w:val="0"/>
                <w:sz w:val="24"/>
              </w:rPr>
            </w:pPr>
          </w:p>
        </w:tc>
      </w:tr>
      <w:tr w:rsidR="0099058F" w14:paraId="4B76286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85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Private 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6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6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6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6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6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6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69" w14:textId="77777777" w:rsidR="0099058F" w:rsidRDefault="0099058F">
            <w:pPr>
              <w:widowControl/>
              <w:jc w:val="right"/>
              <w:rPr>
                <w:rFonts w:ascii="Times New Roman" w:eastAsia="宋体" w:hAnsi="宋体" w:cs="宋体"/>
                <w:kern w:val="0"/>
                <w:sz w:val="24"/>
              </w:rPr>
            </w:pPr>
          </w:p>
        </w:tc>
      </w:tr>
      <w:tr w:rsidR="0099058F" w14:paraId="4B7628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86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estate and 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6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6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7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7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7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7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76" w14:textId="77777777" w:rsidR="0099058F" w:rsidRDefault="0099058F">
            <w:pPr>
              <w:widowControl/>
              <w:jc w:val="right"/>
              <w:rPr>
                <w:rFonts w:ascii="Times New Roman" w:eastAsia="宋体" w:hAnsi="宋体" w:cs="宋体"/>
                <w:kern w:val="0"/>
                <w:sz w:val="24"/>
              </w:rPr>
            </w:pPr>
          </w:p>
        </w:tc>
      </w:tr>
      <w:tr w:rsidR="0099058F" w14:paraId="4B7628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87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Hedge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7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7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7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7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8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8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83" w14:textId="77777777" w:rsidR="0099058F" w:rsidRDefault="0099058F">
            <w:pPr>
              <w:widowControl/>
              <w:jc w:val="right"/>
              <w:rPr>
                <w:rFonts w:ascii="Times New Roman" w:eastAsia="宋体" w:hAnsi="宋体" w:cs="宋体"/>
                <w:kern w:val="0"/>
                <w:sz w:val="24"/>
              </w:rPr>
            </w:pPr>
          </w:p>
        </w:tc>
      </w:tr>
      <w:tr w:rsidR="0099058F" w14:paraId="4B762891"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88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88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8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88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8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8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88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8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8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88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8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8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289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 income securities are invested primarily in a diversified portfolio of long duration instruments as well as Emerging Market, Structured, High Yield and Private Debt. Global equity securities are invested i</w:t>
      </w:r>
      <w:r>
        <w:rPr>
          <w:rFonts w:ascii="Arial" w:eastAsia="宋体" w:hAnsi="Arial" w:cs="Arial"/>
          <w:color w:val="000000"/>
          <w:kern w:val="0"/>
          <w:sz w:val="20"/>
          <w:szCs w:val="20"/>
          <w:lang w:bidi="ar"/>
        </w:rPr>
        <w:t>n a diversified portfolio of U.S. and non-U.S. companies, across various industries and market capitalizations.</w:t>
      </w:r>
    </w:p>
    <w:p w14:paraId="4B76289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Private equity investment vehicles are primarily limited partnerships (LPs) that mainly invest in U.S. and non-U.S. leveraged buyout, venture ca</w:t>
      </w:r>
      <w:r>
        <w:rPr>
          <w:rFonts w:ascii="Arial" w:eastAsia="宋体" w:hAnsi="Arial" w:cs="Arial"/>
          <w:color w:val="000000"/>
          <w:kern w:val="0"/>
          <w:sz w:val="20"/>
          <w:szCs w:val="20"/>
          <w:lang w:bidi="ar"/>
        </w:rPr>
        <w:t>pital, growth and special situation strategies. Real estate and real assets include global private investments that may be held through investments in LPs or other fund structures. Real estate includes, but is not limited to, investments in office, retail,</w:t>
      </w:r>
      <w:r>
        <w:rPr>
          <w:rFonts w:ascii="Arial" w:eastAsia="宋体" w:hAnsi="Arial" w:cs="Arial"/>
          <w:color w:val="000000"/>
          <w:kern w:val="0"/>
          <w:sz w:val="20"/>
          <w:szCs w:val="20"/>
          <w:lang w:bidi="ar"/>
        </w:rPr>
        <w:t xml:space="preserve"> apartment and industrial properties. Real assets include, but are not limited to, investments in natural resources (such as energy, farmland and timber), commodities and infrastructure.</w:t>
      </w:r>
    </w:p>
    <w:p w14:paraId="4B76289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Hedge fund investments seek to capitalize on inefficiencies identifie</w:t>
      </w:r>
      <w:r>
        <w:rPr>
          <w:rFonts w:ascii="Arial" w:eastAsia="宋体" w:hAnsi="Arial" w:cs="Arial"/>
          <w:color w:val="000000"/>
          <w:kern w:val="0"/>
          <w:sz w:val="20"/>
          <w:szCs w:val="20"/>
          <w:lang w:bidi="ar"/>
        </w:rPr>
        <w:t>d across and within different asset classes or markets. Hedge fund strategy types include, but are not limited to, directional, event driven, relative value and long-short.</w:t>
      </w:r>
    </w:p>
    <w:p w14:paraId="4B76289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Investment managers are retained for explicit investment roles specified by contrac</w:t>
      </w:r>
      <w:r>
        <w:rPr>
          <w:rFonts w:ascii="Arial" w:eastAsia="宋体" w:hAnsi="Arial" w:cs="Arial"/>
          <w:color w:val="000000"/>
          <w:kern w:val="0"/>
          <w:sz w:val="20"/>
          <w:szCs w:val="20"/>
          <w:lang w:bidi="ar"/>
        </w:rPr>
        <w:t xml:space="preserve">tual investment guidelines. Certain investment managers are authorized to use derivatives, such as equity or bond futures, swaps, options and currency futures or forwards. Derivatives are used to achieve the desired </w:t>
      </w:r>
    </w:p>
    <w:p w14:paraId="4B762896"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94</w:t>
      </w:r>
    </w:p>
    <w:p w14:paraId="4B762897" w14:textId="77777777" w:rsidR="0099058F" w:rsidRDefault="00EB2559">
      <w:pPr>
        <w:widowControl/>
        <w:jc w:val="center"/>
      </w:pPr>
      <w:r>
        <w:rPr>
          <w:rFonts w:ascii="宋体" w:eastAsia="宋体" w:hAnsi="宋体" w:cs="宋体"/>
          <w:kern w:val="0"/>
          <w:sz w:val="24"/>
        </w:rPr>
        <w:pict w14:anchorId="4B763C55">
          <v:rect id="_x0000_i1120" style="width:6in;height:1.5pt" o:hralign="center" o:hrstd="t" o:hr="t" fillcolor="#a0a0a0" stroked="f"/>
        </w:pict>
      </w:r>
    </w:p>
    <w:p w14:paraId="4B762898"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89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market exposure of a security or an index, transfer value-added performance between asset classes, achieve the </w:t>
      </w:r>
      <w:r>
        <w:rPr>
          <w:rFonts w:ascii="Arial" w:eastAsia="宋体" w:hAnsi="Arial" w:cs="Arial"/>
          <w:color w:val="000000"/>
          <w:kern w:val="0"/>
          <w:sz w:val="20"/>
          <w:szCs w:val="20"/>
          <w:lang w:bidi="ar"/>
        </w:rPr>
        <w:t>desired currency exposure, adjust portfolio duration or rebalance the total portfolio to the target asset allocation.</w:t>
      </w:r>
    </w:p>
    <w:p w14:paraId="4B76289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a percentage of total pension assets, derivative net notional amounts were 37.1% and 33.4% for fixed income, including to-be-announced </w:t>
      </w:r>
      <w:r>
        <w:rPr>
          <w:rFonts w:ascii="Arial" w:eastAsia="宋体" w:hAnsi="Arial" w:cs="Arial"/>
          <w:color w:val="000000"/>
          <w:kern w:val="0"/>
          <w:sz w:val="20"/>
          <w:szCs w:val="20"/>
          <w:lang w:bidi="ar"/>
        </w:rPr>
        <w:t>mortgage-backed securities and treasury forwards, and (5.6%) and (5.4%) for global equity and commodities at December 31, 2022 and 2021.</w:t>
      </w:r>
    </w:p>
    <w:p w14:paraId="4B76289B" w14:textId="77777777" w:rsidR="0099058F" w:rsidRDefault="00EB2559">
      <w:pPr>
        <w:widowControl/>
        <w:spacing w:after="180"/>
        <w:rPr>
          <w:rFonts w:ascii="宋体" w:eastAsia="宋体" w:hAnsi="宋体" w:cs="宋体"/>
          <w:kern w:val="0"/>
          <w:sz w:val="24"/>
        </w:rPr>
      </w:pPr>
      <w:r>
        <w:rPr>
          <w:rFonts w:ascii="Arial" w:eastAsia="宋体" w:hAnsi="Arial" w:cs="Arial"/>
          <w:color w:val="008080"/>
          <w:kern w:val="0"/>
          <w:sz w:val="24"/>
          <w:lang w:bidi="ar"/>
        </w:rPr>
        <w:t>I</w:t>
      </w:r>
      <w:r>
        <w:rPr>
          <w:rFonts w:ascii="Arial" w:eastAsia="宋体" w:hAnsi="Arial" w:cs="Arial"/>
          <w:color w:val="000000"/>
          <w:kern w:val="0"/>
          <w:sz w:val="20"/>
          <w:szCs w:val="20"/>
          <w:lang w:bidi="ar"/>
        </w:rPr>
        <w:t>n November 2020, the Company elected to contribute $3,000 of our common stock to the pension fund. An independent fidu</w:t>
      </w:r>
      <w:r>
        <w:rPr>
          <w:rFonts w:ascii="Arial" w:eastAsia="宋体" w:hAnsi="Arial" w:cs="Arial"/>
          <w:color w:val="000000"/>
          <w:kern w:val="0"/>
          <w:sz w:val="20"/>
          <w:szCs w:val="20"/>
          <w:lang w:bidi="ar"/>
        </w:rPr>
        <w:t>ciary was retained to manage and liquidate the stock over time at its discretion. Plan assets included $1,782 and $1,883 of our common stock as of December 31, 2022 and 2021.</w:t>
      </w:r>
    </w:p>
    <w:p w14:paraId="4B76289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 Management</w:t>
      </w:r>
      <w:r>
        <w:rPr>
          <w:rFonts w:ascii="Arial" w:eastAsia="宋体" w:hAnsi="Arial" w:cs="Arial"/>
          <w:color w:val="000000"/>
          <w:kern w:val="0"/>
          <w:sz w:val="20"/>
          <w:szCs w:val="20"/>
          <w:lang w:bidi="ar"/>
        </w:rPr>
        <w:t xml:space="preserve"> In managing the pension assets, we review and manage risk associa</w:t>
      </w:r>
      <w:r>
        <w:rPr>
          <w:rFonts w:ascii="Arial" w:eastAsia="宋体" w:hAnsi="Arial" w:cs="Arial"/>
          <w:color w:val="000000"/>
          <w:kern w:val="0"/>
          <w:sz w:val="20"/>
          <w:szCs w:val="20"/>
          <w:lang w:bidi="ar"/>
        </w:rPr>
        <w:t xml:space="preserve">ted with funded status risk, interest rate risk, market risk, counterparty risk, liquidity risk and operational risk. Liability matching and asset class diversification are central to our risk management approach and are integral to the overall investment </w:t>
      </w:r>
      <w:r>
        <w:rPr>
          <w:rFonts w:ascii="Arial" w:eastAsia="宋体" w:hAnsi="Arial" w:cs="Arial"/>
          <w:color w:val="000000"/>
          <w:kern w:val="0"/>
          <w:sz w:val="20"/>
          <w:szCs w:val="20"/>
          <w:lang w:bidi="ar"/>
        </w:rPr>
        <w:t>strategy. Further, asset classes are constructed to achieve diversification by investment strategy, by investment manager, by industry or sector and by holding. Investment manager guidelines for publicly traded assets are specified and are monitored regula</w:t>
      </w:r>
      <w:r>
        <w:rPr>
          <w:rFonts w:ascii="Arial" w:eastAsia="宋体" w:hAnsi="Arial" w:cs="Arial"/>
          <w:color w:val="000000"/>
          <w:kern w:val="0"/>
          <w:sz w:val="20"/>
          <w:szCs w:val="20"/>
          <w:lang w:bidi="ar"/>
        </w:rPr>
        <w:t xml:space="preserve">rly through the custodian. Credit parameters for counterparties have been established for managers permitted to trade over-the-counter derivatives. Valuation is governed through several types of procedures, including reviews of manager valuation policies, </w:t>
      </w:r>
      <w:r>
        <w:rPr>
          <w:rFonts w:ascii="Arial" w:eastAsia="宋体" w:hAnsi="Arial" w:cs="Arial"/>
          <w:color w:val="000000"/>
          <w:kern w:val="0"/>
          <w:sz w:val="20"/>
          <w:szCs w:val="20"/>
          <w:lang w:bidi="ar"/>
        </w:rPr>
        <w:t>custodian valuation processes, pricing vendor practices, pricing reconciliation and periodic, security-specific valuation testing.</w:t>
      </w:r>
    </w:p>
    <w:p w14:paraId="4B76289D"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Fair Value Measurements</w:t>
      </w:r>
      <w:r>
        <w:rPr>
          <w:rFonts w:ascii="Arial" w:eastAsia="宋体" w:hAnsi="Arial" w:cs="Arial"/>
          <w:color w:val="000000"/>
          <w:kern w:val="0"/>
          <w:sz w:val="20"/>
          <w:szCs w:val="20"/>
          <w:lang w:bidi="ar"/>
        </w:rPr>
        <w:t xml:space="preserve"> The following table presents our plan assets using the fair value hierarchy as of December 31, 2022 a</w:t>
      </w:r>
      <w:r>
        <w:rPr>
          <w:rFonts w:ascii="Arial" w:eastAsia="宋体" w:hAnsi="Arial" w:cs="Arial"/>
          <w:color w:val="000000"/>
          <w:kern w:val="0"/>
          <w:sz w:val="20"/>
          <w:szCs w:val="20"/>
          <w:lang w:bidi="ar"/>
        </w:rPr>
        <w:t>nd 2021. The fair value hierarchy has three levels based on the reliability of the inputs used to determine fair value. Level 1 refers to fair values determined based on quoted prices in active markets for identical assets. Level 2 refers to fair values es</w:t>
      </w:r>
      <w:r>
        <w:rPr>
          <w:rFonts w:ascii="Arial" w:eastAsia="宋体" w:hAnsi="Arial" w:cs="Arial"/>
          <w:color w:val="000000"/>
          <w:kern w:val="0"/>
          <w:sz w:val="20"/>
          <w:szCs w:val="20"/>
          <w:lang w:bidi="ar"/>
        </w:rPr>
        <w:t>timated using significant other observable inputs and Level 3 includes fair values estimated using significant unobservable inputs.</w:t>
      </w:r>
    </w:p>
    <w:p w14:paraId="4B76289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95</w:t>
      </w:r>
    </w:p>
    <w:p w14:paraId="4B76289F" w14:textId="77777777" w:rsidR="0099058F" w:rsidRDefault="00EB2559">
      <w:pPr>
        <w:widowControl/>
        <w:jc w:val="center"/>
      </w:pPr>
      <w:r>
        <w:rPr>
          <w:rFonts w:ascii="宋体" w:eastAsia="宋体" w:hAnsi="宋体" w:cs="宋体"/>
          <w:kern w:val="0"/>
          <w:sz w:val="24"/>
        </w:rPr>
        <w:pict w14:anchorId="4B763C56">
          <v:rect id="_x0000_i1121" style="width:6in;height:1.5pt" o:hralign="center" o:hrstd="t" o:hr="t" fillcolor="#a0a0a0" stroked="f"/>
        </w:pict>
      </w:r>
    </w:p>
    <w:p w14:paraId="4B7628A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1"/>
        <w:gridCol w:w="2251"/>
        <w:gridCol w:w="41"/>
        <w:gridCol w:w="82"/>
        <w:gridCol w:w="639"/>
        <w:gridCol w:w="37"/>
        <w:gridCol w:w="71"/>
        <w:gridCol w:w="625"/>
        <w:gridCol w:w="37"/>
        <w:gridCol w:w="82"/>
        <w:gridCol w:w="639"/>
        <w:gridCol w:w="36"/>
        <w:gridCol w:w="73"/>
        <w:gridCol w:w="624"/>
        <w:gridCol w:w="36"/>
        <w:gridCol w:w="82"/>
        <w:gridCol w:w="639"/>
        <w:gridCol w:w="37"/>
        <w:gridCol w:w="82"/>
        <w:gridCol w:w="639"/>
        <w:gridCol w:w="37"/>
        <w:gridCol w:w="82"/>
        <w:gridCol w:w="639"/>
        <w:gridCol w:w="36"/>
        <w:gridCol w:w="70"/>
        <w:gridCol w:w="603"/>
        <w:gridCol w:w="36"/>
      </w:tblGrid>
      <w:tr w:rsidR="0099058F" w14:paraId="4B7628BC" w14:textId="77777777">
        <w:tc>
          <w:tcPr>
            <w:tcW w:w="50" w:type="pct"/>
            <w:tcBorders>
              <w:top w:val="nil"/>
              <w:left w:val="nil"/>
              <w:bottom w:val="nil"/>
              <w:right w:val="nil"/>
            </w:tcBorders>
            <w:shd w:val="clear" w:color="auto" w:fill="auto"/>
            <w:vAlign w:val="bottom"/>
          </w:tcPr>
          <w:p w14:paraId="4B7628A1" w14:textId="77777777" w:rsidR="0099058F" w:rsidRDefault="0099058F">
            <w:pPr>
              <w:widowControl/>
              <w:jc w:val="left"/>
              <w:rPr>
                <w:rFonts w:ascii="Times New Roman" w:eastAsia="宋体" w:hAnsi="宋体" w:cs="宋体"/>
                <w:kern w:val="0"/>
                <w:sz w:val="24"/>
              </w:rPr>
            </w:pPr>
          </w:p>
        </w:tc>
        <w:tc>
          <w:tcPr>
            <w:tcW w:w="1366" w:type="pct"/>
            <w:tcBorders>
              <w:top w:val="nil"/>
              <w:left w:val="nil"/>
              <w:bottom w:val="nil"/>
              <w:right w:val="nil"/>
            </w:tcBorders>
            <w:shd w:val="clear" w:color="auto" w:fill="auto"/>
            <w:vAlign w:val="bottom"/>
          </w:tcPr>
          <w:p w14:paraId="4B7628A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A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A4"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A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A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A7"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A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A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AA"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A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A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AD"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A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A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B0"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B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B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B3"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B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B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B6"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B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B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8B9" w14:textId="77777777" w:rsidR="0099058F" w:rsidRDefault="0099058F">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B7628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8BB" w14:textId="77777777" w:rsidR="0099058F" w:rsidRDefault="0099058F">
            <w:pPr>
              <w:widowControl/>
              <w:jc w:val="left"/>
              <w:rPr>
                <w:rFonts w:ascii="Times New Roman" w:eastAsia="宋体" w:hAnsi="宋体" w:cs="宋体"/>
                <w:kern w:val="0"/>
                <w:sz w:val="24"/>
              </w:rPr>
            </w:pPr>
          </w:p>
        </w:tc>
      </w:tr>
      <w:tr w:rsidR="0099058F" w14:paraId="4B7628C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8BD" w14:textId="77777777" w:rsidR="0099058F" w:rsidRDefault="0099058F">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B7628B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December 31, 2022</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B7628B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December 31, 2021</w:t>
            </w:r>
          </w:p>
        </w:tc>
      </w:tr>
      <w:tr w:rsidR="0099058F" w14:paraId="4B7628C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28C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3</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28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3</w:t>
            </w:r>
          </w:p>
        </w:tc>
      </w:tr>
      <w:tr w:rsidR="0099058F" w14:paraId="4B7628D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8CB"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18"/>
                <w:szCs w:val="18"/>
                <w:lang w:bidi="ar"/>
              </w:rPr>
              <w:t>Fixed income securities: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D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8D3" w14:textId="77777777" w:rsidR="0099058F" w:rsidRDefault="0099058F">
            <w:pPr>
              <w:widowControl/>
              <w:jc w:val="left"/>
              <w:rPr>
                <w:rFonts w:ascii="Times New Roman" w:eastAsia="宋体" w:hAnsi="宋体" w:cs="宋体"/>
                <w:kern w:val="0"/>
                <w:sz w:val="24"/>
              </w:rPr>
            </w:pPr>
          </w:p>
        </w:tc>
      </w:tr>
      <w:tr w:rsidR="0099058F" w14:paraId="4B7628E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28D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$15,095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D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$15,025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D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D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$20,573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E3" w14:textId="77777777" w:rsidR="0099058F" w:rsidRDefault="0099058F">
            <w:pPr>
              <w:widowControl/>
              <w:jc w:val="left"/>
              <w:rPr>
                <w:rFonts w:ascii="Times New Roman" w:eastAsia="宋体" w:hAnsi="宋体" w:cs="宋体"/>
                <w:kern w:val="0"/>
                <w:sz w:val="24"/>
              </w:rPr>
            </w:pPr>
          </w:p>
        </w:tc>
      </w:tr>
      <w:tr w:rsidR="0099058F" w14:paraId="4B7628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8E5"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U.S. government and agencies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7,827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E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E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7,827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E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E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E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E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8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8F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8F1" w14:textId="77777777" w:rsidR="0099058F" w:rsidRDefault="0099058F">
            <w:pPr>
              <w:widowControl/>
              <w:jc w:val="left"/>
              <w:rPr>
                <w:rFonts w:ascii="Times New Roman" w:eastAsia="宋体" w:hAnsi="宋体" w:cs="宋体"/>
                <w:kern w:val="0"/>
                <w:sz w:val="24"/>
              </w:rPr>
            </w:pPr>
          </w:p>
        </w:tc>
      </w:tr>
      <w:tr w:rsidR="0099058F" w14:paraId="4B7629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8F3"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Mortgage backed and asset backed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664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F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F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502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F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FA"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F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F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8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8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8FF"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01" w14:textId="77777777" w:rsidR="0099058F" w:rsidRDefault="0099058F">
            <w:pPr>
              <w:widowControl/>
              <w:jc w:val="right"/>
              <w:rPr>
                <w:rFonts w:ascii="Times New Roman" w:eastAsia="宋体" w:hAnsi="宋体" w:cs="宋体"/>
                <w:kern w:val="0"/>
                <w:sz w:val="24"/>
              </w:rPr>
            </w:pPr>
          </w:p>
        </w:tc>
      </w:tr>
      <w:tr w:rsidR="0099058F" w14:paraId="4B76291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290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Municipal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843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811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0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0A"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0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0F"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11" w14:textId="77777777" w:rsidR="0099058F" w:rsidRDefault="0099058F">
            <w:pPr>
              <w:widowControl/>
              <w:jc w:val="right"/>
              <w:rPr>
                <w:rFonts w:ascii="Times New Roman" w:eastAsia="宋体" w:hAnsi="宋体" w:cs="宋体"/>
                <w:kern w:val="0"/>
                <w:sz w:val="24"/>
              </w:rPr>
            </w:pPr>
          </w:p>
        </w:tc>
      </w:tr>
      <w:tr w:rsidR="0099058F" w14:paraId="4B76292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291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So</w:t>
            </w:r>
            <w:r>
              <w:rPr>
                <w:rFonts w:ascii="Arial" w:eastAsia="宋体" w:hAnsi="Arial" w:cs="Arial"/>
                <w:color w:val="000000"/>
                <w:kern w:val="0"/>
                <w:sz w:val="18"/>
                <w:szCs w:val="18"/>
                <w:lang w:bidi="ar"/>
              </w:rPr>
              <w:t>vereign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706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1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1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706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1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1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1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1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20" w14:textId="77777777" w:rsidR="0099058F" w:rsidRDefault="0099058F">
            <w:pPr>
              <w:widowControl/>
              <w:jc w:val="right"/>
              <w:rPr>
                <w:rFonts w:ascii="Times New Roman" w:eastAsia="宋体" w:hAnsi="宋体" w:cs="宋体"/>
                <w:kern w:val="0"/>
                <w:sz w:val="24"/>
              </w:rPr>
            </w:pPr>
          </w:p>
        </w:tc>
      </w:tr>
      <w:tr w:rsidR="0099058F" w14:paraId="4B76292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292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Other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2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2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2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2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2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2E" w14:textId="77777777" w:rsidR="0099058F" w:rsidRDefault="0099058F">
            <w:pPr>
              <w:widowControl/>
              <w:jc w:val="left"/>
              <w:rPr>
                <w:rFonts w:ascii="Times New Roman" w:eastAsia="宋体" w:hAnsi="宋体" w:cs="宋体"/>
                <w:kern w:val="0"/>
                <w:sz w:val="24"/>
              </w:rPr>
            </w:pPr>
          </w:p>
        </w:tc>
      </w:tr>
      <w:tr w:rsidR="0099058F" w14:paraId="4B76293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293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38" w14:textId="77777777" w:rsidR="0099058F" w:rsidRDefault="0099058F">
            <w:pPr>
              <w:widowControl/>
              <w:jc w:val="left"/>
              <w:rPr>
                <w:rFonts w:ascii="Times New Roman" w:eastAsia="宋体" w:hAnsi="宋体" w:cs="宋体"/>
                <w:kern w:val="0"/>
                <w:sz w:val="24"/>
              </w:rPr>
            </w:pPr>
          </w:p>
        </w:tc>
      </w:tr>
      <w:tr w:rsidR="0099058F" w14:paraId="4B762947"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4B76293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3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3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3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4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4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4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46" w14:textId="77777777" w:rsidR="0099058F" w:rsidRDefault="0099058F">
            <w:pPr>
              <w:widowControl/>
              <w:jc w:val="left"/>
              <w:rPr>
                <w:rFonts w:ascii="Times New Roman" w:eastAsia="宋体" w:hAnsi="宋体" w:cs="宋体"/>
                <w:kern w:val="0"/>
                <w:sz w:val="24"/>
              </w:rPr>
            </w:pPr>
          </w:p>
        </w:tc>
      </w:tr>
      <w:tr w:rsidR="0099058F" w14:paraId="4B762955"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B76294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4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4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4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4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4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5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5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5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5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54" w14:textId="77777777" w:rsidR="0099058F" w:rsidRDefault="0099058F">
            <w:pPr>
              <w:widowControl/>
              <w:jc w:val="left"/>
              <w:rPr>
                <w:rFonts w:ascii="Times New Roman" w:eastAsia="宋体" w:hAnsi="宋体" w:cs="宋体"/>
                <w:kern w:val="0"/>
                <w:sz w:val="24"/>
              </w:rPr>
            </w:pPr>
          </w:p>
        </w:tc>
      </w:tr>
      <w:tr w:rsidR="0099058F" w14:paraId="4B7629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956"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equivalents and other short-term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571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5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5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571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5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5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5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5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6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62" w14:textId="77777777" w:rsidR="0099058F" w:rsidRDefault="0099058F">
            <w:pPr>
              <w:widowControl/>
              <w:jc w:val="left"/>
              <w:rPr>
                <w:rFonts w:ascii="Times New Roman" w:eastAsia="宋体" w:hAnsi="宋体" w:cs="宋体"/>
                <w:kern w:val="0"/>
                <w:sz w:val="24"/>
              </w:rPr>
            </w:pPr>
          </w:p>
        </w:tc>
      </w:tr>
      <w:tr w:rsidR="0099058F" w14:paraId="4B7629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96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Equity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6C" w14:textId="77777777" w:rsidR="0099058F" w:rsidRDefault="0099058F">
            <w:pPr>
              <w:widowControl/>
              <w:jc w:val="left"/>
              <w:rPr>
                <w:rFonts w:ascii="Times New Roman" w:eastAsia="宋体" w:hAnsi="宋体" w:cs="宋体"/>
                <w:kern w:val="0"/>
                <w:sz w:val="24"/>
              </w:rPr>
            </w:pPr>
          </w:p>
        </w:tc>
      </w:tr>
      <w:tr w:rsidR="0099058F" w14:paraId="4B76297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96E"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U.S. common and preferred stock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2,931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70"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2,931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7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7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76"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7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7A" w14:textId="77777777" w:rsidR="0099058F" w:rsidRDefault="0099058F">
            <w:pPr>
              <w:widowControl/>
              <w:jc w:val="left"/>
              <w:rPr>
                <w:rFonts w:ascii="Times New Roman" w:eastAsia="宋体" w:hAnsi="宋体" w:cs="宋体"/>
                <w:kern w:val="0"/>
                <w:sz w:val="24"/>
              </w:rPr>
            </w:pPr>
          </w:p>
        </w:tc>
      </w:tr>
      <w:tr w:rsidR="0099058F" w14:paraId="4B7629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97C"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Non-U.S. common and preferred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7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8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8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8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8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8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89" w14:textId="77777777" w:rsidR="0099058F" w:rsidRDefault="0099058F">
            <w:pPr>
              <w:widowControl/>
              <w:jc w:val="right"/>
              <w:rPr>
                <w:rFonts w:ascii="Times New Roman" w:eastAsia="宋体" w:hAnsi="宋体" w:cs="宋体"/>
                <w:kern w:val="0"/>
                <w:sz w:val="24"/>
              </w:rPr>
            </w:pPr>
          </w:p>
        </w:tc>
      </w:tr>
      <w:tr w:rsidR="0099058F" w14:paraId="4B76299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298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Boeing company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1,782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8D"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1,782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8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9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9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9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9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9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97" w14:textId="77777777" w:rsidR="0099058F" w:rsidRDefault="0099058F">
            <w:pPr>
              <w:widowControl/>
              <w:jc w:val="left"/>
              <w:rPr>
                <w:rFonts w:ascii="Times New Roman" w:eastAsia="宋体" w:hAnsi="宋体" w:cs="宋体"/>
                <w:kern w:val="0"/>
                <w:sz w:val="24"/>
              </w:rPr>
            </w:pPr>
          </w:p>
        </w:tc>
      </w:tr>
      <w:tr w:rsidR="0099058F" w14:paraId="4B7629A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299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A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A1" w14:textId="77777777" w:rsidR="0099058F" w:rsidRDefault="0099058F">
            <w:pPr>
              <w:widowControl/>
              <w:jc w:val="left"/>
              <w:rPr>
                <w:rFonts w:ascii="Times New Roman" w:eastAsia="宋体" w:hAnsi="宋体" w:cs="宋体"/>
                <w:kern w:val="0"/>
                <w:sz w:val="24"/>
              </w:rPr>
            </w:pPr>
          </w:p>
        </w:tc>
      </w:tr>
      <w:tr w:rsidR="0099058F" w14:paraId="4B7629AE" w14:textId="77777777">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29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A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A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AD" w14:textId="77777777" w:rsidR="0099058F" w:rsidRDefault="0099058F">
            <w:pPr>
              <w:widowControl/>
              <w:jc w:val="left"/>
              <w:rPr>
                <w:rFonts w:ascii="Times New Roman" w:eastAsia="宋体" w:hAnsi="宋体" w:cs="宋体"/>
                <w:kern w:val="0"/>
                <w:sz w:val="24"/>
              </w:rPr>
            </w:pPr>
          </w:p>
        </w:tc>
      </w:tr>
      <w:tr w:rsidR="0099058F" w14:paraId="4B7629BC"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29A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B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B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B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B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B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B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B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BB" w14:textId="77777777" w:rsidR="0099058F" w:rsidRDefault="0099058F">
            <w:pPr>
              <w:widowControl/>
              <w:jc w:val="left"/>
              <w:rPr>
                <w:rFonts w:ascii="Times New Roman" w:eastAsia="宋体" w:hAnsi="宋体" w:cs="宋体"/>
                <w:kern w:val="0"/>
                <w:sz w:val="24"/>
              </w:rPr>
            </w:pPr>
          </w:p>
        </w:tc>
      </w:tr>
      <w:tr w:rsidR="0099058F" w14:paraId="4B7629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9B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Private equity</w:t>
            </w:r>
            <w:r>
              <w:rPr>
                <w:rFonts w:ascii="Arial" w:eastAsia="宋体" w:hAnsi="Arial" w:cs="Arial"/>
                <w:color w:val="000000"/>
                <w:kern w:val="0"/>
                <w:sz w:val="11"/>
                <w:szCs w:val="11"/>
                <w:lang w:bidi="ar"/>
              </w:rPr>
              <w:t xml:space="preserve">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B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C5" w14:textId="77777777" w:rsidR="0099058F" w:rsidRDefault="0099058F">
            <w:pPr>
              <w:widowControl/>
              <w:jc w:val="left"/>
              <w:rPr>
                <w:rFonts w:ascii="Times New Roman" w:eastAsia="宋体" w:hAnsi="宋体" w:cs="宋体"/>
                <w:kern w:val="0"/>
                <w:sz w:val="24"/>
              </w:rPr>
            </w:pPr>
          </w:p>
        </w:tc>
      </w:tr>
      <w:tr w:rsidR="0099058F" w14:paraId="4B7629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9C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estate and real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CF" w14:textId="77777777" w:rsidR="0099058F" w:rsidRDefault="0099058F">
            <w:pPr>
              <w:widowControl/>
              <w:jc w:val="left"/>
              <w:rPr>
                <w:rFonts w:ascii="Times New Roman" w:eastAsia="宋体" w:hAnsi="宋体" w:cs="宋体"/>
                <w:kern w:val="0"/>
                <w:sz w:val="24"/>
              </w:rPr>
            </w:pPr>
          </w:p>
        </w:tc>
      </w:tr>
      <w:tr w:rsidR="0099058F" w14:paraId="4B7629D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29D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estate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D7"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9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9D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DB" w14:textId="77777777" w:rsidR="0099058F" w:rsidRDefault="0099058F">
            <w:pPr>
              <w:widowControl/>
              <w:jc w:val="left"/>
              <w:rPr>
                <w:rFonts w:ascii="Times New Roman" w:eastAsia="宋体" w:hAnsi="宋体" w:cs="宋体"/>
                <w:kern w:val="0"/>
                <w:sz w:val="24"/>
              </w:rPr>
            </w:pPr>
          </w:p>
        </w:tc>
      </w:tr>
      <w:tr w:rsidR="0099058F" w14:paraId="4B7629E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29D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DF"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310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1"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5"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7"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9"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E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E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EC" w14:textId="77777777" w:rsidR="0099058F" w:rsidRDefault="0099058F">
            <w:pPr>
              <w:widowControl/>
              <w:jc w:val="left"/>
              <w:rPr>
                <w:rFonts w:ascii="Times New Roman" w:eastAsia="宋体" w:hAnsi="宋体" w:cs="宋体"/>
                <w:kern w:val="0"/>
                <w:sz w:val="24"/>
              </w:rPr>
            </w:pPr>
          </w:p>
        </w:tc>
      </w:tr>
      <w:tr w:rsidR="0099058F" w14:paraId="4B7629F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B7629E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E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9F6" w14:textId="77777777" w:rsidR="0099058F" w:rsidRDefault="0099058F">
            <w:pPr>
              <w:widowControl/>
              <w:jc w:val="left"/>
              <w:rPr>
                <w:rFonts w:ascii="Times New Roman" w:eastAsia="宋体" w:hAnsi="宋体" w:cs="宋体"/>
                <w:kern w:val="0"/>
                <w:sz w:val="24"/>
              </w:rPr>
            </w:pPr>
          </w:p>
        </w:tc>
      </w:tr>
      <w:tr w:rsidR="0099058F" w14:paraId="4B762A05"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B7629F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F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F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9F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9F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9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0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0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0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04" w14:textId="77777777" w:rsidR="0099058F" w:rsidRDefault="0099058F">
            <w:pPr>
              <w:widowControl/>
              <w:jc w:val="left"/>
              <w:rPr>
                <w:rFonts w:ascii="Times New Roman" w:eastAsia="宋体" w:hAnsi="宋体" w:cs="宋体"/>
                <w:kern w:val="0"/>
                <w:sz w:val="24"/>
              </w:rPr>
            </w:pPr>
          </w:p>
        </w:tc>
      </w:tr>
      <w:tr w:rsidR="0099058F" w14:paraId="4B762A14" w14:textId="77777777">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B762A0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0B"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0D"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0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1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13" w14:textId="77777777" w:rsidR="0099058F" w:rsidRDefault="0099058F">
            <w:pPr>
              <w:widowControl/>
              <w:jc w:val="left"/>
              <w:rPr>
                <w:rFonts w:ascii="Times New Roman" w:eastAsia="宋体" w:hAnsi="宋体" w:cs="宋体"/>
                <w:kern w:val="0"/>
                <w:sz w:val="24"/>
              </w:rPr>
            </w:pPr>
          </w:p>
        </w:tc>
      </w:tr>
      <w:tr w:rsidR="0099058F" w14:paraId="4B762A2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2A15"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$32,753</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1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$7,054</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1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$25,431</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$268</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1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$46,193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1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2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$35,144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2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A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25" w14:textId="77777777" w:rsidR="0099058F" w:rsidRDefault="0099058F">
            <w:pPr>
              <w:widowControl/>
              <w:jc w:val="left"/>
              <w:rPr>
                <w:rFonts w:ascii="Times New Roman" w:eastAsia="宋体" w:hAnsi="宋体" w:cs="宋体"/>
                <w:kern w:val="0"/>
                <w:sz w:val="24"/>
              </w:rPr>
            </w:pPr>
          </w:p>
        </w:tc>
      </w:tr>
      <w:tr w:rsidR="0099058F" w14:paraId="4B762A30"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8"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9"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C"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D"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E"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2A2F" w14:textId="77777777" w:rsidR="0099058F" w:rsidRDefault="0099058F">
            <w:pPr>
              <w:widowControl/>
              <w:jc w:val="left"/>
              <w:rPr>
                <w:rFonts w:ascii="Times New Roman" w:eastAsia="宋体" w:hAnsi="宋体" w:cs="宋体"/>
                <w:kern w:val="0"/>
                <w:sz w:val="24"/>
              </w:rPr>
            </w:pPr>
          </w:p>
        </w:tc>
      </w:tr>
      <w:tr w:rsidR="0099058F" w14:paraId="4B762A3C"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B762A31"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Fixed income common/collective/pooled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$1,511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3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3B" w14:textId="77777777" w:rsidR="0099058F" w:rsidRDefault="0099058F">
            <w:pPr>
              <w:widowControl/>
              <w:jc w:val="left"/>
              <w:rPr>
                <w:rFonts w:ascii="Times New Roman" w:eastAsia="宋体" w:hAnsi="宋体" w:cs="宋体"/>
                <w:kern w:val="0"/>
                <w:sz w:val="24"/>
              </w:rPr>
            </w:pPr>
          </w:p>
        </w:tc>
      </w:tr>
      <w:tr w:rsidR="0099058F" w14:paraId="4B762A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A3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Fixed income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832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4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47" w14:textId="77777777" w:rsidR="0099058F" w:rsidRDefault="0099058F">
            <w:pPr>
              <w:widowControl/>
              <w:jc w:val="left"/>
              <w:rPr>
                <w:rFonts w:ascii="Times New Roman" w:eastAsia="宋体" w:hAnsi="宋体" w:cs="宋体"/>
                <w:kern w:val="0"/>
                <w:sz w:val="24"/>
              </w:rPr>
            </w:pPr>
          </w:p>
        </w:tc>
      </w:tr>
      <w:tr w:rsidR="0099058F" w14:paraId="4B762A54"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B762A49"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Equity </w:t>
            </w:r>
            <w:r>
              <w:rPr>
                <w:rFonts w:ascii="Arial" w:eastAsia="宋体" w:hAnsi="Arial" w:cs="Arial"/>
                <w:color w:val="000000"/>
                <w:kern w:val="0"/>
                <w:sz w:val="18"/>
                <w:szCs w:val="18"/>
                <w:lang w:bidi="ar"/>
              </w:rPr>
              <w:t>common/collective/ pooled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2,757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4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4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4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5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5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53" w14:textId="77777777" w:rsidR="0099058F" w:rsidRDefault="0099058F">
            <w:pPr>
              <w:widowControl/>
              <w:jc w:val="left"/>
              <w:rPr>
                <w:rFonts w:ascii="Times New Roman" w:eastAsia="宋体" w:hAnsi="宋体" w:cs="宋体"/>
                <w:kern w:val="0"/>
                <w:sz w:val="24"/>
              </w:rPr>
            </w:pPr>
          </w:p>
        </w:tc>
      </w:tr>
      <w:tr w:rsidR="0099058F" w14:paraId="4B762A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A5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Private equity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4,239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5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5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5F" w14:textId="77777777" w:rsidR="0099058F" w:rsidRDefault="0099058F">
            <w:pPr>
              <w:widowControl/>
              <w:jc w:val="left"/>
              <w:rPr>
                <w:rFonts w:ascii="Times New Roman" w:eastAsia="宋体" w:hAnsi="宋体" w:cs="宋体"/>
                <w:kern w:val="0"/>
                <w:sz w:val="24"/>
              </w:rPr>
            </w:pPr>
          </w:p>
        </w:tc>
      </w:tr>
      <w:tr w:rsidR="0099058F" w14:paraId="4B762A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6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Real estate and real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3,525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6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6B" w14:textId="77777777" w:rsidR="0099058F" w:rsidRDefault="0099058F">
            <w:pPr>
              <w:widowControl/>
              <w:jc w:val="left"/>
              <w:rPr>
                <w:rFonts w:ascii="Times New Roman" w:eastAsia="宋体" w:hAnsi="宋体" w:cs="宋体"/>
                <w:kern w:val="0"/>
                <w:sz w:val="24"/>
              </w:rPr>
            </w:pPr>
          </w:p>
        </w:tc>
      </w:tr>
      <w:tr w:rsidR="0099058F" w14:paraId="4B762A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A6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Hedge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3,391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7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77" w14:textId="77777777" w:rsidR="0099058F" w:rsidRDefault="0099058F">
            <w:pPr>
              <w:widowControl/>
              <w:jc w:val="left"/>
              <w:rPr>
                <w:rFonts w:ascii="Times New Roman" w:eastAsia="宋体" w:hAnsi="宋体" w:cs="宋体"/>
                <w:kern w:val="0"/>
                <w:sz w:val="24"/>
              </w:rPr>
            </w:pPr>
          </w:p>
        </w:tc>
      </w:tr>
      <w:tr w:rsidR="0099058F" w14:paraId="4B762A84" w14:textId="77777777">
        <w:tc>
          <w:tcPr>
            <w:tcW w:w="0" w:type="auto"/>
            <w:gridSpan w:val="3"/>
            <w:tcBorders>
              <w:top w:val="single" w:sz="8" w:space="0" w:color="000000"/>
              <w:left w:val="nil"/>
              <w:bottom w:val="nil"/>
              <w:right w:val="nil"/>
            </w:tcBorders>
            <w:shd w:val="clear" w:color="auto" w:fill="CCEEFF"/>
            <w:tcMar>
              <w:top w:w="40" w:type="dxa"/>
              <w:left w:w="200" w:type="dxa"/>
              <w:bottom w:w="40" w:type="dxa"/>
              <w:right w:w="20" w:type="dxa"/>
            </w:tcMar>
            <w:vAlign w:val="bottom"/>
          </w:tcPr>
          <w:p w14:paraId="4B762A79"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investments measured at NAV as a practical expedient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A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$16,255</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A7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7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7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7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A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$20,789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A8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8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8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83" w14:textId="77777777" w:rsidR="0099058F" w:rsidRDefault="0099058F">
            <w:pPr>
              <w:widowControl/>
              <w:jc w:val="left"/>
              <w:rPr>
                <w:rFonts w:ascii="Times New Roman" w:eastAsia="宋体" w:hAnsi="宋体" w:cs="宋体"/>
                <w:kern w:val="0"/>
                <w:sz w:val="24"/>
              </w:rPr>
            </w:pPr>
          </w:p>
        </w:tc>
      </w:tr>
      <w:tr w:rsidR="0099058F" w14:paraId="4B762A8E" w14:textId="77777777">
        <w:trPr>
          <w:trHeight w:val="10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A8D" w14:textId="77777777" w:rsidR="0099058F" w:rsidRDefault="0099058F">
            <w:pPr>
              <w:widowControl/>
              <w:jc w:val="left"/>
              <w:rPr>
                <w:rFonts w:ascii="Times New Roman" w:eastAsia="宋体" w:hAnsi="宋体" w:cs="宋体"/>
                <w:kern w:val="0"/>
                <w:sz w:val="24"/>
              </w:rPr>
            </w:pPr>
          </w:p>
        </w:tc>
      </w:tr>
      <w:tr w:rsidR="0099058F" w14:paraId="4B762A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8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$409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9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9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99" w14:textId="77777777" w:rsidR="0099058F" w:rsidRDefault="0099058F">
            <w:pPr>
              <w:widowControl/>
              <w:jc w:val="left"/>
              <w:rPr>
                <w:rFonts w:ascii="Times New Roman" w:eastAsia="宋体" w:hAnsi="宋体" w:cs="宋体"/>
                <w:kern w:val="0"/>
                <w:sz w:val="24"/>
              </w:rPr>
            </w:pPr>
          </w:p>
        </w:tc>
      </w:tr>
      <w:tr w:rsidR="0099058F" w14:paraId="4B762A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A9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541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9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A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A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AA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AA5" w14:textId="77777777" w:rsidR="0099058F" w:rsidRDefault="0099058F">
            <w:pPr>
              <w:widowControl/>
              <w:jc w:val="left"/>
              <w:rPr>
                <w:rFonts w:ascii="Times New Roman" w:eastAsia="宋体" w:hAnsi="宋体" w:cs="宋体"/>
                <w:kern w:val="0"/>
                <w:sz w:val="24"/>
              </w:rPr>
            </w:pPr>
          </w:p>
        </w:tc>
      </w:tr>
      <w:tr w:rsidR="0099058F" w14:paraId="4B762A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A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A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A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A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A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AA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A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AA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A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B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AB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r>
      <w:tr w:rsidR="0099058F" w14:paraId="4B762ABE"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2AB3"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A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$49,825</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A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$67,813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AB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ABD" w14:textId="77777777" w:rsidR="0099058F" w:rsidRDefault="0099058F">
            <w:pPr>
              <w:widowControl/>
              <w:jc w:val="left"/>
              <w:rPr>
                <w:rFonts w:ascii="Times New Roman" w:eastAsia="宋体" w:hAnsi="宋体" w:cs="宋体"/>
                <w:kern w:val="0"/>
                <w:sz w:val="24"/>
              </w:rPr>
            </w:pPr>
          </w:p>
        </w:tc>
      </w:tr>
    </w:tbl>
    <w:p w14:paraId="4B762AB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 income securities are primarily valued upon a market approach, using matrix pricing and considering a security’s relationship to other securities for which quoted prices in an active market may be available, or an income approach, converting future c</w:t>
      </w:r>
      <w:r>
        <w:rPr>
          <w:rFonts w:ascii="Arial" w:eastAsia="宋体" w:hAnsi="Arial" w:cs="Arial"/>
          <w:color w:val="000000"/>
          <w:kern w:val="0"/>
          <w:sz w:val="20"/>
          <w:szCs w:val="20"/>
          <w:lang w:bidi="ar"/>
        </w:rPr>
        <w:t xml:space="preserve">ash flows to a single present value amount. </w:t>
      </w:r>
    </w:p>
    <w:p w14:paraId="4B762AC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96</w:t>
      </w:r>
    </w:p>
    <w:p w14:paraId="4B762AC1" w14:textId="77777777" w:rsidR="0099058F" w:rsidRDefault="00EB2559">
      <w:pPr>
        <w:widowControl/>
        <w:jc w:val="center"/>
      </w:pPr>
      <w:r>
        <w:rPr>
          <w:rFonts w:ascii="宋体" w:eastAsia="宋体" w:hAnsi="宋体" w:cs="宋体"/>
          <w:kern w:val="0"/>
          <w:sz w:val="24"/>
        </w:rPr>
        <w:pict w14:anchorId="4B763C57">
          <v:rect id="_x0000_i1122" style="width:6in;height:1.5pt" o:hralign="center" o:hrstd="t" o:hr="t" fillcolor="#a0a0a0" stroked="f"/>
        </w:pict>
      </w:r>
    </w:p>
    <w:p w14:paraId="4B762AC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AC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Inputs used in developing fair value estimates include </w:t>
      </w:r>
      <w:r>
        <w:rPr>
          <w:rFonts w:ascii="Arial" w:eastAsia="宋体" w:hAnsi="Arial" w:cs="Arial"/>
          <w:color w:val="000000"/>
          <w:kern w:val="0"/>
          <w:sz w:val="20"/>
          <w:szCs w:val="20"/>
          <w:lang w:bidi="ar"/>
        </w:rPr>
        <w:t>reported trades, broker quotes, benchmark yields and base spreads.</w:t>
      </w:r>
    </w:p>
    <w:p w14:paraId="4B762AC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Common/collective/pooled funds are typically common or collective trusts valued at their net asset values (NAVs) that are calculated by the investment manager or sponsor of the fund and hav</w:t>
      </w:r>
      <w:r>
        <w:rPr>
          <w:rFonts w:ascii="Arial" w:eastAsia="宋体" w:hAnsi="Arial" w:cs="Arial"/>
          <w:color w:val="000000"/>
          <w:kern w:val="0"/>
          <w:sz w:val="20"/>
          <w:szCs w:val="20"/>
          <w:lang w:bidi="ar"/>
        </w:rPr>
        <w:t>e daily or monthly liquidity.</w:t>
      </w:r>
    </w:p>
    <w:p w14:paraId="4B762AC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Derivatives included in the table above are over-the-counter and are primarily valued using an income approach with inputs that include benchmark yields, swap curves, cash flow analysis, rating agency data and interdealer brok</w:t>
      </w:r>
      <w:r>
        <w:rPr>
          <w:rFonts w:ascii="Arial" w:eastAsia="宋体" w:hAnsi="Arial" w:cs="Arial"/>
          <w:color w:val="000000"/>
          <w:kern w:val="0"/>
          <w:sz w:val="20"/>
          <w:szCs w:val="20"/>
          <w:lang w:bidi="ar"/>
        </w:rPr>
        <w:t>er rates. Exchange-traded derivative positions are reported in accordance with changes in daily variation margin which is settled daily and therefore reflected in the payables and receivables portion of the table.</w:t>
      </w:r>
    </w:p>
    <w:p w14:paraId="4B762AC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Cash equivalents and other short-term inve</w:t>
      </w:r>
      <w:r>
        <w:rPr>
          <w:rFonts w:ascii="Arial" w:eastAsia="宋体" w:hAnsi="Arial" w:cs="Arial"/>
          <w:color w:val="000000"/>
          <w:kern w:val="0"/>
          <w:sz w:val="20"/>
          <w:szCs w:val="20"/>
          <w:lang w:bidi="ar"/>
        </w:rPr>
        <w:t xml:space="preserve">stments (which are used to pay benefits) are held in a separate account which consists of a commingled fund (with daily liquidity) and separately held short-term securities and cash equivalents. All of the investments in this cash vehicle are valued daily </w:t>
      </w:r>
      <w:r>
        <w:rPr>
          <w:rFonts w:ascii="Arial" w:eastAsia="宋体" w:hAnsi="Arial" w:cs="Arial"/>
          <w:color w:val="000000"/>
          <w:kern w:val="0"/>
          <w:sz w:val="20"/>
          <w:szCs w:val="20"/>
          <w:lang w:bidi="ar"/>
        </w:rPr>
        <w:t>using a market approach with inputs that include quoted market prices for similar instruments. In the event a market price is not available for instruments with an original maturity of one year or less, amortized cost is used as a proxy for fair value. Com</w:t>
      </w:r>
      <w:r>
        <w:rPr>
          <w:rFonts w:ascii="Arial" w:eastAsia="宋体" w:hAnsi="Arial" w:cs="Arial"/>
          <w:color w:val="000000"/>
          <w:kern w:val="0"/>
          <w:sz w:val="20"/>
          <w:szCs w:val="20"/>
          <w:lang w:bidi="ar"/>
        </w:rPr>
        <w:t>mon and preferred stock equity securities are primarily valued using a market approach based on the quoted market prices of identical instruments.</w:t>
      </w:r>
    </w:p>
    <w:p w14:paraId="4B762AC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Private equity and private debt NAV valuations are based on the valuation of the underlying investments, whic</w:t>
      </w:r>
      <w:r>
        <w:rPr>
          <w:rFonts w:ascii="Arial" w:eastAsia="宋体" w:hAnsi="Arial" w:cs="Arial"/>
          <w:color w:val="000000"/>
          <w:kern w:val="0"/>
          <w:sz w:val="20"/>
          <w:szCs w:val="20"/>
          <w:lang w:bidi="ar"/>
        </w:rPr>
        <w:t>h include inputs such as cost, operating results, discounted future cash flows and market based comparable data. For those investments reported on a one-quarter lagged basis (primarily LPs) we use NAVs, adjusted for subsequent cash flows and significant ev</w:t>
      </w:r>
      <w:r>
        <w:rPr>
          <w:rFonts w:ascii="Arial" w:eastAsia="宋体" w:hAnsi="Arial" w:cs="Arial"/>
          <w:color w:val="000000"/>
          <w:kern w:val="0"/>
          <w:sz w:val="20"/>
          <w:szCs w:val="20"/>
          <w:lang w:bidi="ar"/>
        </w:rPr>
        <w:t>ents.</w:t>
      </w:r>
    </w:p>
    <w:p w14:paraId="4B762AC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Real estate and real asset NAVs are based on the valuation of the underlying investments, which include inputs such as cost, discounted future cash flows, independent appraisals and market based comparable data. For those investments reported on a on</w:t>
      </w:r>
      <w:r>
        <w:rPr>
          <w:rFonts w:ascii="Arial" w:eastAsia="宋体" w:hAnsi="Arial" w:cs="Arial"/>
          <w:color w:val="000000"/>
          <w:kern w:val="0"/>
          <w:sz w:val="20"/>
          <w:szCs w:val="20"/>
          <w:lang w:bidi="ar"/>
        </w:rPr>
        <w:t>e-quarter lagged basis (primarily LPs), NAVs are adjusted for subsequent cash flows and significant events. Publicly traded infrastructure stocks are valued using a market approach based on quoted market prices of identical instruments. Exchange-traded com</w:t>
      </w:r>
      <w:r>
        <w:rPr>
          <w:rFonts w:ascii="Arial" w:eastAsia="宋体" w:hAnsi="Arial" w:cs="Arial"/>
          <w:color w:val="000000"/>
          <w:kern w:val="0"/>
          <w:sz w:val="20"/>
          <w:szCs w:val="20"/>
          <w:lang w:bidi="ar"/>
        </w:rPr>
        <w:t>modities futures positions are reported in accordance with changes in daily variation margin which is settled daily and therefore reflected in the payables and receivables portion of the table.</w:t>
      </w:r>
    </w:p>
    <w:p w14:paraId="4B762AC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Hedge fund NAVs are generally based on the valuation of the un</w:t>
      </w:r>
      <w:r>
        <w:rPr>
          <w:rFonts w:ascii="Arial" w:eastAsia="宋体" w:hAnsi="Arial" w:cs="Arial"/>
          <w:color w:val="000000"/>
          <w:kern w:val="0"/>
          <w:sz w:val="20"/>
          <w:szCs w:val="20"/>
          <w:lang w:bidi="ar"/>
        </w:rPr>
        <w:t>derlying investments. This is primarily done by applying a market or income valuation methodology depending on the specific type of security or instrument held.</w:t>
      </w:r>
    </w:p>
    <w:p w14:paraId="4B762AC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Investments in private equity, private debt, real estate, real assets and hedge funds are prima</w:t>
      </w:r>
      <w:r>
        <w:rPr>
          <w:rFonts w:ascii="Arial" w:eastAsia="宋体" w:hAnsi="Arial" w:cs="Arial"/>
          <w:color w:val="000000"/>
          <w:kern w:val="0"/>
          <w:sz w:val="20"/>
          <w:szCs w:val="20"/>
          <w:lang w:bidi="ar"/>
        </w:rPr>
        <w:t>rily calculated and reported by the General Partner, fund manager or third-party administrator. Additionally, some investments in fixed income and equity are made via commingled vehicles and are valued in a similar fashion. Pension assets invested in commi</w:t>
      </w:r>
      <w:r>
        <w:rPr>
          <w:rFonts w:ascii="Arial" w:eastAsia="宋体" w:hAnsi="Arial" w:cs="Arial"/>
          <w:color w:val="000000"/>
          <w:kern w:val="0"/>
          <w:sz w:val="20"/>
          <w:szCs w:val="20"/>
          <w:lang w:bidi="ar"/>
        </w:rPr>
        <w:t>ngled and LP structures rely on the NAV of these investments as the practical expedient for the valuations.</w:t>
      </w:r>
    </w:p>
    <w:p w14:paraId="4B762AC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97</w:t>
      </w:r>
    </w:p>
    <w:p w14:paraId="4B762ACC" w14:textId="77777777" w:rsidR="0099058F" w:rsidRDefault="00EB2559">
      <w:pPr>
        <w:widowControl/>
        <w:jc w:val="center"/>
      </w:pPr>
      <w:r>
        <w:rPr>
          <w:rFonts w:ascii="宋体" w:eastAsia="宋体" w:hAnsi="宋体" w:cs="宋体"/>
          <w:kern w:val="0"/>
          <w:sz w:val="24"/>
        </w:rPr>
        <w:pict w14:anchorId="4B763C58">
          <v:rect id="_x0000_i1123" style="width:6in;height:1.5pt" o:hralign="center" o:hrstd="t" o:hr="t" fillcolor="#a0a0a0" stroked="f"/>
        </w:pict>
      </w:r>
    </w:p>
    <w:p w14:paraId="4B762AC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ACE" w14:textId="77777777" w:rsidR="0099058F" w:rsidRDefault="00EB2559">
      <w:pPr>
        <w:widowControl/>
        <w:spacing w:after="100"/>
        <w:jc w:val="left"/>
        <w:rPr>
          <w:rFonts w:ascii="宋体" w:eastAsia="宋体" w:hAnsi="宋体" w:cs="宋体"/>
          <w:kern w:val="0"/>
          <w:sz w:val="24"/>
        </w:rPr>
      </w:pPr>
      <w:r>
        <w:rPr>
          <w:rFonts w:ascii="Arial" w:eastAsia="宋体" w:hAnsi="Arial" w:cs="Arial"/>
          <w:color w:val="000000"/>
          <w:kern w:val="0"/>
          <w:sz w:val="20"/>
          <w:szCs w:val="20"/>
          <w:lang w:bidi="ar"/>
        </w:rPr>
        <w:t>The fol</w:t>
      </w:r>
      <w:r>
        <w:rPr>
          <w:rFonts w:ascii="Arial" w:eastAsia="宋体" w:hAnsi="Arial" w:cs="Arial"/>
          <w:color w:val="000000"/>
          <w:kern w:val="0"/>
          <w:sz w:val="20"/>
          <w:szCs w:val="20"/>
          <w:lang w:bidi="ar"/>
        </w:rPr>
        <w:t>lowing tables summarizes the changes of Level 3 assets, reconciled by asset class, held during the years ended December 31, 2022 and 2021. Transfers into and out of Level 3 are reported at the beginning-of-year values.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991"/>
        <w:gridCol w:w="39"/>
        <w:gridCol w:w="69"/>
        <w:gridCol w:w="787"/>
        <w:gridCol w:w="36"/>
        <w:gridCol w:w="36"/>
        <w:gridCol w:w="36"/>
        <w:gridCol w:w="36"/>
        <w:gridCol w:w="86"/>
        <w:gridCol w:w="1291"/>
        <w:gridCol w:w="36"/>
        <w:gridCol w:w="36"/>
        <w:gridCol w:w="36"/>
        <w:gridCol w:w="36"/>
        <w:gridCol w:w="71"/>
        <w:gridCol w:w="1123"/>
        <w:gridCol w:w="36"/>
        <w:gridCol w:w="36"/>
        <w:gridCol w:w="36"/>
        <w:gridCol w:w="36"/>
        <w:gridCol w:w="64"/>
        <w:gridCol w:w="1022"/>
        <w:gridCol w:w="36"/>
        <w:gridCol w:w="36"/>
        <w:gridCol w:w="36"/>
        <w:gridCol w:w="36"/>
        <w:gridCol w:w="67"/>
        <w:gridCol w:w="1062"/>
        <w:gridCol w:w="36"/>
      </w:tblGrid>
      <w:tr w:rsidR="0099058F" w14:paraId="4B762AED" w14:textId="77777777">
        <w:tc>
          <w:tcPr>
            <w:tcW w:w="50" w:type="pct"/>
            <w:tcBorders>
              <w:top w:val="nil"/>
              <w:left w:val="nil"/>
              <w:bottom w:val="nil"/>
              <w:right w:val="nil"/>
            </w:tcBorders>
            <w:shd w:val="clear" w:color="auto" w:fill="auto"/>
            <w:vAlign w:val="bottom"/>
          </w:tcPr>
          <w:p w14:paraId="4B762ACF" w14:textId="77777777" w:rsidR="0099058F" w:rsidRDefault="0099058F">
            <w:pPr>
              <w:widowControl/>
              <w:jc w:val="left"/>
              <w:rPr>
                <w:rFonts w:ascii="Times New Roman" w:eastAsia="宋体" w:hAnsi="宋体" w:cs="宋体"/>
                <w:kern w:val="0"/>
                <w:sz w:val="24"/>
              </w:rPr>
            </w:pPr>
          </w:p>
        </w:tc>
        <w:tc>
          <w:tcPr>
            <w:tcW w:w="1211" w:type="pct"/>
            <w:tcBorders>
              <w:top w:val="nil"/>
              <w:left w:val="nil"/>
              <w:bottom w:val="nil"/>
              <w:right w:val="nil"/>
            </w:tcBorders>
            <w:shd w:val="clear" w:color="auto" w:fill="auto"/>
            <w:vAlign w:val="bottom"/>
          </w:tcPr>
          <w:p w14:paraId="4B762AD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AD2" w14:textId="77777777" w:rsidR="0099058F" w:rsidRDefault="0099058F">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B762AD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A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AD8" w14:textId="77777777" w:rsidR="0099058F" w:rsidRDefault="0099058F">
            <w:pPr>
              <w:widowControl/>
              <w:jc w:val="left"/>
              <w:rPr>
                <w:rFonts w:ascii="Times New Roman" w:eastAsia="宋体" w:hAnsi="宋体" w:cs="宋体"/>
                <w:kern w:val="0"/>
                <w:sz w:val="24"/>
              </w:rPr>
            </w:pPr>
          </w:p>
        </w:tc>
        <w:tc>
          <w:tcPr>
            <w:tcW w:w="753" w:type="pct"/>
            <w:tcBorders>
              <w:top w:val="nil"/>
              <w:left w:val="nil"/>
              <w:bottom w:val="nil"/>
              <w:right w:val="nil"/>
            </w:tcBorders>
            <w:shd w:val="clear" w:color="auto" w:fill="auto"/>
            <w:vAlign w:val="bottom"/>
          </w:tcPr>
          <w:p w14:paraId="4B762AD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AD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D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ADE" w14:textId="77777777" w:rsidR="0099058F" w:rsidRDefault="0099058F">
            <w:pPr>
              <w:widowControl/>
              <w:jc w:val="left"/>
              <w:rPr>
                <w:rFonts w:ascii="Times New Roman" w:eastAsia="宋体" w:hAnsi="宋体" w:cs="宋体"/>
                <w:kern w:val="0"/>
                <w:sz w:val="24"/>
              </w:rPr>
            </w:pPr>
          </w:p>
        </w:tc>
        <w:tc>
          <w:tcPr>
            <w:tcW w:w="721" w:type="pct"/>
            <w:tcBorders>
              <w:top w:val="nil"/>
              <w:left w:val="nil"/>
              <w:bottom w:val="nil"/>
              <w:right w:val="nil"/>
            </w:tcBorders>
            <w:shd w:val="clear" w:color="auto" w:fill="auto"/>
            <w:vAlign w:val="bottom"/>
          </w:tcPr>
          <w:p w14:paraId="4B762AD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AE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AE4" w14:textId="77777777" w:rsidR="0099058F" w:rsidRDefault="0099058F">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4B762AE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7"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AE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AEA" w14:textId="77777777" w:rsidR="0099058F" w:rsidRDefault="0099058F">
            <w:pPr>
              <w:widowControl/>
              <w:jc w:val="left"/>
              <w:rPr>
                <w:rFonts w:ascii="Times New Roman" w:eastAsia="宋体" w:hAnsi="宋体" w:cs="宋体"/>
                <w:kern w:val="0"/>
                <w:sz w:val="24"/>
              </w:rPr>
            </w:pPr>
          </w:p>
        </w:tc>
        <w:tc>
          <w:tcPr>
            <w:tcW w:w="672" w:type="pct"/>
            <w:tcBorders>
              <w:top w:val="nil"/>
              <w:left w:val="nil"/>
              <w:bottom w:val="nil"/>
              <w:right w:val="nil"/>
            </w:tcBorders>
            <w:shd w:val="clear" w:color="auto" w:fill="auto"/>
            <w:vAlign w:val="bottom"/>
          </w:tcPr>
          <w:p w14:paraId="4B762A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AEC" w14:textId="77777777" w:rsidR="0099058F" w:rsidRDefault="0099058F">
            <w:pPr>
              <w:widowControl/>
              <w:jc w:val="left"/>
              <w:rPr>
                <w:rFonts w:ascii="Times New Roman" w:eastAsia="宋体" w:hAnsi="宋体" w:cs="宋体"/>
                <w:kern w:val="0"/>
                <w:sz w:val="24"/>
              </w:rPr>
            </w:pPr>
          </w:p>
        </w:tc>
      </w:tr>
      <w:tr w:rsidR="0099058F" w14:paraId="4B762A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A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A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January 1</w:t>
            </w:r>
            <w:r>
              <w:rPr>
                <w:rFonts w:ascii="Arial" w:eastAsia="宋体" w:hAnsi="Arial" w:cs="Arial"/>
                <w:color w:val="000000"/>
                <w:kern w:val="0"/>
                <w:sz w:val="20"/>
                <w:szCs w:val="20"/>
                <w:lang w:bidi="ar"/>
              </w:rPr>
              <w:br/>
              <w:t>2022 Balance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AF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A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Realized and Unrealized Gains/(Losses)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AF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A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Purchases, Issuances and Settlements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A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A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Transfers Into/(Out of) Level 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A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A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2022 Balance</w:t>
            </w:r>
          </w:p>
        </w:tc>
      </w:tr>
      <w:tr w:rsidR="0099058F" w14:paraId="4B762B0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AF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 securities: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AF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B0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B0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B02" w14:textId="77777777" w:rsidR="0099058F" w:rsidRDefault="0099058F">
            <w:pPr>
              <w:widowControl/>
              <w:jc w:val="left"/>
              <w:rPr>
                <w:rFonts w:ascii="Times New Roman" w:eastAsia="宋体" w:hAnsi="宋体" w:cs="宋体"/>
                <w:kern w:val="0"/>
                <w:sz w:val="24"/>
              </w:rPr>
            </w:pPr>
          </w:p>
        </w:tc>
      </w:tr>
      <w:tr w:rsidR="0099058F" w14:paraId="4B762B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B0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Corporate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0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0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0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0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1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12" w14:textId="77777777" w:rsidR="0099058F" w:rsidRDefault="0099058F">
            <w:pPr>
              <w:widowControl/>
              <w:jc w:val="left"/>
              <w:rPr>
                <w:rFonts w:ascii="Times New Roman" w:eastAsia="宋体" w:hAnsi="宋体" w:cs="宋体"/>
                <w:kern w:val="0"/>
                <w:sz w:val="24"/>
              </w:rPr>
            </w:pPr>
          </w:p>
        </w:tc>
      </w:tr>
      <w:tr w:rsidR="0099058F" w14:paraId="4B762B1E" w14:textId="77777777">
        <w:trPr>
          <w:hidden/>
        </w:trPr>
        <w:tc>
          <w:tcPr>
            <w:tcW w:w="0" w:type="auto"/>
            <w:gridSpan w:val="3"/>
            <w:tcBorders>
              <w:top w:val="nil"/>
              <w:left w:val="nil"/>
              <w:bottom w:val="nil"/>
              <w:right w:val="nil"/>
            </w:tcBorders>
            <w:shd w:val="clear" w:color="auto" w:fill="auto"/>
            <w:vAlign w:val="bottom"/>
          </w:tcPr>
          <w:p w14:paraId="4B762B1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1D" w14:textId="77777777" w:rsidR="0099058F" w:rsidRDefault="0099058F">
            <w:pPr>
              <w:widowControl/>
              <w:jc w:val="left"/>
              <w:rPr>
                <w:rFonts w:ascii="Times New Roman" w:eastAsia="宋体" w:hAnsi="宋体" w:cs="宋体"/>
                <w:vanish/>
                <w:kern w:val="0"/>
                <w:sz w:val="24"/>
              </w:rPr>
            </w:pPr>
          </w:p>
        </w:tc>
      </w:tr>
      <w:tr w:rsidR="0099058F" w14:paraId="4B762B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B1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Mortgage backed and </w:t>
            </w:r>
          </w:p>
          <w:p w14:paraId="4B762B2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asset backed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2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2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2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2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2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2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2E" w14:textId="77777777" w:rsidR="0099058F" w:rsidRDefault="0099058F">
            <w:pPr>
              <w:widowControl/>
              <w:jc w:val="right"/>
              <w:rPr>
                <w:rFonts w:ascii="Times New Roman" w:eastAsia="宋体" w:hAnsi="宋体" w:cs="宋体"/>
                <w:kern w:val="0"/>
                <w:sz w:val="24"/>
              </w:rPr>
            </w:pPr>
          </w:p>
        </w:tc>
      </w:tr>
      <w:tr w:rsidR="0099058F" w14:paraId="4B762B3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2B3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Municipal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3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3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3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3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3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3E" w14:textId="77777777" w:rsidR="0099058F" w:rsidRDefault="0099058F">
            <w:pPr>
              <w:widowControl/>
              <w:jc w:val="right"/>
              <w:rPr>
                <w:rFonts w:ascii="Times New Roman" w:eastAsia="宋体" w:hAnsi="宋体" w:cs="宋体"/>
                <w:kern w:val="0"/>
                <w:sz w:val="24"/>
              </w:rPr>
            </w:pPr>
          </w:p>
        </w:tc>
      </w:tr>
      <w:tr w:rsidR="0099058F" w14:paraId="4B762B4A" w14:textId="77777777">
        <w:trPr>
          <w:hidden/>
        </w:trPr>
        <w:tc>
          <w:tcPr>
            <w:tcW w:w="0" w:type="auto"/>
            <w:gridSpan w:val="3"/>
            <w:tcBorders>
              <w:top w:val="nil"/>
              <w:left w:val="nil"/>
              <w:bottom w:val="nil"/>
              <w:right w:val="nil"/>
            </w:tcBorders>
            <w:shd w:val="clear" w:color="auto" w:fill="auto"/>
            <w:vAlign w:val="bottom"/>
          </w:tcPr>
          <w:p w14:paraId="4B762B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49" w14:textId="77777777" w:rsidR="0099058F" w:rsidRDefault="0099058F">
            <w:pPr>
              <w:widowControl/>
              <w:jc w:val="left"/>
              <w:rPr>
                <w:rFonts w:ascii="Times New Roman" w:eastAsia="宋体" w:hAnsi="宋体" w:cs="宋体"/>
                <w:vanish/>
                <w:kern w:val="0"/>
                <w:sz w:val="24"/>
              </w:rPr>
            </w:pPr>
          </w:p>
        </w:tc>
      </w:tr>
      <w:tr w:rsidR="0099058F" w14:paraId="4B762B5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2B4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Sovereign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4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4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5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5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57" w14:textId="77777777" w:rsidR="0099058F" w:rsidRDefault="0099058F">
            <w:pPr>
              <w:widowControl/>
              <w:jc w:val="right"/>
              <w:rPr>
                <w:rFonts w:ascii="Times New Roman" w:eastAsia="宋体" w:hAnsi="宋体" w:cs="宋体"/>
                <w:kern w:val="0"/>
                <w:sz w:val="24"/>
              </w:rPr>
            </w:pPr>
          </w:p>
        </w:tc>
      </w:tr>
      <w:tr w:rsidR="0099058F" w14:paraId="4B762B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B5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Equity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6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6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62" w14:textId="77777777" w:rsidR="0099058F" w:rsidRDefault="0099058F">
            <w:pPr>
              <w:widowControl/>
              <w:jc w:val="left"/>
              <w:rPr>
                <w:rFonts w:ascii="Times New Roman" w:eastAsia="宋体" w:hAnsi="宋体" w:cs="宋体"/>
                <w:kern w:val="0"/>
                <w:sz w:val="24"/>
              </w:rPr>
            </w:pPr>
          </w:p>
        </w:tc>
      </w:tr>
      <w:tr w:rsidR="0099058F" w14:paraId="4B762B6E" w14:textId="77777777">
        <w:trPr>
          <w:hidden/>
        </w:trPr>
        <w:tc>
          <w:tcPr>
            <w:tcW w:w="0" w:type="auto"/>
            <w:gridSpan w:val="3"/>
            <w:tcBorders>
              <w:top w:val="nil"/>
              <w:left w:val="nil"/>
              <w:bottom w:val="nil"/>
              <w:right w:val="nil"/>
            </w:tcBorders>
            <w:shd w:val="clear" w:color="auto" w:fill="auto"/>
            <w:vAlign w:val="bottom"/>
          </w:tcPr>
          <w:p w14:paraId="4B762B6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6D" w14:textId="77777777" w:rsidR="0099058F" w:rsidRDefault="0099058F">
            <w:pPr>
              <w:widowControl/>
              <w:jc w:val="left"/>
              <w:rPr>
                <w:rFonts w:ascii="Times New Roman" w:eastAsia="宋体" w:hAnsi="宋体" w:cs="宋体"/>
                <w:vanish/>
                <w:kern w:val="0"/>
                <w:sz w:val="24"/>
              </w:rPr>
            </w:pPr>
          </w:p>
        </w:tc>
      </w:tr>
      <w:tr w:rsidR="0099058F" w14:paraId="4B762B7D"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2B6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Non-U.S. common and </w:t>
            </w:r>
            <w:r>
              <w:rPr>
                <w:rFonts w:ascii="Arial" w:eastAsia="宋体" w:hAnsi="Arial" w:cs="Arial"/>
                <w:color w:val="000000"/>
                <w:kern w:val="0"/>
                <w:sz w:val="20"/>
                <w:szCs w:val="20"/>
                <w:lang w:bidi="ar"/>
              </w:rPr>
              <w:br/>
              <w:t>   preferred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7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7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7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7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7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7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7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7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7C" w14:textId="77777777" w:rsidR="0099058F" w:rsidRDefault="0099058F">
            <w:pPr>
              <w:widowControl/>
              <w:jc w:val="left"/>
              <w:rPr>
                <w:rFonts w:ascii="Times New Roman" w:eastAsia="宋体" w:hAnsi="宋体" w:cs="宋体"/>
                <w:kern w:val="0"/>
                <w:sz w:val="24"/>
              </w:rPr>
            </w:pPr>
          </w:p>
        </w:tc>
      </w:tr>
      <w:tr w:rsidR="0099058F" w14:paraId="4B762B88" w14:textId="77777777">
        <w:trPr>
          <w:hidden/>
        </w:trPr>
        <w:tc>
          <w:tcPr>
            <w:tcW w:w="0" w:type="auto"/>
            <w:gridSpan w:val="3"/>
            <w:tcBorders>
              <w:top w:val="nil"/>
              <w:left w:val="nil"/>
              <w:bottom w:val="nil"/>
              <w:right w:val="nil"/>
            </w:tcBorders>
            <w:shd w:val="clear" w:color="auto" w:fill="auto"/>
            <w:vAlign w:val="bottom"/>
          </w:tcPr>
          <w:p w14:paraId="4B762B7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7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B87" w14:textId="77777777" w:rsidR="0099058F" w:rsidRDefault="0099058F">
            <w:pPr>
              <w:widowControl/>
              <w:jc w:val="left"/>
              <w:rPr>
                <w:rFonts w:ascii="Times New Roman" w:eastAsia="宋体" w:hAnsi="宋体" w:cs="宋体"/>
                <w:vanish/>
                <w:kern w:val="0"/>
                <w:sz w:val="24"/>
              </w:rPr>
            </w:pPr>
          </w:p>
        </w:tc>
      </w:tr>
      <w:tr w:rsidR="0099058F" w14:paraId="4B762B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B8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8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8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8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8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9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9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96" w14:textId="77777777" w:rsidR="0099058F" w:rsidRDefault="0099058F">
            <w:pPr>
              <w:widowControl/>
              <w:jc w:val="right"/>
              <w:rPr>
                <w:rFonts w:ascii="Times New Roman" w:eastAsia="宋体" w:hAnsi="宋体" w:cs="宋体"/>
                <w:kern w:val="0"/>
                <w:sz w:val="24"/>
              </w:rPr>
            </w:pPr>
          </w:p>
        </w:tc>
      </w:tr>
      <w:tr w:rsidR="0099058F" w14:paraId="4B762BA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B9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B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B9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B9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B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B9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B9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B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BA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BA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BA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BA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BA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BA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BA6" w14:textId="77777777" w:rsidR="0099058F" w:rsidRDefault="0099058F">
            <w:pPr>
              <w:widowControl/>
              <w:jc w:val="left"/>
              <w:rPr>
                <w:rFonts w:ascii="Times New Roman" w:eastAsia="宋体" w:hAnsi="宋体" w:cs="宋体"/>
                <w:kern w:val="0"/>
                <w:sz w:val="24"/>
              </w:rPr>
            </w:pPr>
          </w:p>
        </w:tc>
      </w:tr>
    </w:tbl>
    <w:p w14:paraId="4B762BA8"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948"/>
        <w:gridCol w:w="38"/>
        <w:gridCol w:w="65"/>
        <w:gridCol w:w="846"/>
        <w:gridCol w:w="36"/>
        <w:gridCol w:w="36"/>
        <w:gridCol w:w="36"/>
        <w:gridCol w:w="36"/>
        <w:gridCol w:w="86"/>
        <w:gridCol w:w="1291"/>
        <w:gridCol w:w="36"/>
        <w:gridCol w:w="36"/>
        <w:gridCol w:w="36"/>
        <w:gridCol w:w="36"/>
        <w:gridCol w:w="71"/>
        <w:gridCol w:w="1124"/>
        <w:gridCol w:w="36"/>
        <w:gridCol w:w="36"/>
        <w:gridCol w:w="36"/>
        <w:gridCol w:w="36"/>
        <w:gridCol w:w="64"/>
        <w:gridCol w:w="1010"/>
        <w:gridCol w:w="36"/>
        <w:gridCol w:w="36"/>
        <w:gridCol w:w="36"/>
        <w:gridCol w:w="36"/>
        <w:gridCol w:w="67"/>
        <w:gridCol w:w="1062"/>
        <w:gridCol w:w="36"/>
      </w:tblGrid>
      <w:tr w:rsidR="0099058F" w14:paraId="4B762BC7" w14:textId="77777777">
        <w:tc>
          <w:tcPr>
            <w:tcW w:w="50" w:type="pct"/>
            <w:tcBorders>
              <w:top w:val="nil"/>
              <w:left w:val="nil"/>
              <w:bottom w:val="nil"/>
              <w:right w:val="nil"/>
            </w:tcBorders>
            <w:shd w:val="clear" w:color="auto" w:fill="auto"/>
            <w:vAlign w:val="bottom"/>
          </w:tcPr>
          <w:p w14:paraId="4B762BA9" w14:textId="77777777" w:rsidR="0099058F" w:rsidRDefault="0099058F">
            <w:pPr>
              <w:widowControl/>
              <w:jc w:val="left"/>
              <w:rPr>
                <w:rFonts w:ascii="Times New Roman" w:eastAsia="宋体" w:hAnsi="宋体" w:cs="宋体"/>
                <w:kern w:val="0"/>
                <w:sz w:val="24"/>
              </w:rPr>
            </w:pPr>
          </w:p>
        </w:tc>
        <w:tc>
          <w:tcPr>
            <w:tcW w:w="1186" w:type="pct"/>
            <w:tcBorders>
              <w:top w:val="nil"/>
              <w:left w:val="nil"/>
              <w:bottom w:val="nil"/>
              <w:right w:val="nil"/>
            </w:tcBorders>
            <w:shd w:val="clear" w:color="auto" w:fill="auto"/>
            <w:vAlign w:val="bottom"/>
          </w:tcPr>
          <w:p w14:paraId="4B762BA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A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BAC" w14:textId="77777777" w:rsidR="0099058F" w:rsidRDefault="0099058F">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vAlign w:val="bottom"/>
          </w:tcPr>
          <w:p w14:paraId="4B762BA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A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A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B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BB2" w14:textId="77777777" w:rsidR="0099058F" w:rsidRDefault="0099058F">
            <w:pPr>
              <w:widowControl/>
              <w:jc w:val="left"/>
              <w:rPr>
                <w:rFonts w:ascii="Times New Roman" w:eastAsia="宋体" w:hAnsi="宋体" w:cs="宋体"/>
                <w:kern w:val="0"/>
                <w:sz w:val="24"/>
              </w:rPr>
            </w:pPr>
          </w:p>
        </w:tc>
        <w:tc>
          <w:tcPr>
            <w:tcW w:w="753" w:type="pct"/>
            <w:tcBorders>
              <w:top w:val="nil"/>
              <w:left w:val="nil"/>
              <w:bottom w:val="nil"/>
              <w:right w:val="nil"/>
            </w:tcBorders>
            <w:shd w:val="clear" w:color="auto" w:fill="auto"/>
            <w:vAlign w:val="bottom"/>
          </w:tcPr>
          <w:p w14:paraId="4B762B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B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BB8" w14:textId="77777777" w:rsidR="0099058F" w:rsidRDefault="0099058F">
            <w:pPr>
              <w:widowControl/>
              <w:jc w:val="left"/>
              <w:rPr>
                <w:rFonts w:ascii="Times New Roman" w:eastAsia="宋体" w:hAnsi="宋体" w:cs="宋体"/>
                <w:kern w:val="0"/>
                <w:sz w:val="24"/>
              </w:rPr>
            </w:pPr>
          </w:p>
        </w:tc>
        <w:tc>
          <w:tcPr>
            <w:tcW w:w="721" w:type="pct"/>
            <w:tcBorders>
              <w:top w:val="nil"/>
              <w:left w:val="nil"/>
              <w:bottom w:val="nil"/>
              <w:right w:val="nil"/>
            </w:tcBorders>
            <w:shd w:val="clear" w:color="auto" w:fill="auto"/>
            <w:vAlign w:val="bottom"/>
          </w:tcPr>
          <w:p w14:paraId="4B762B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B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B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BBE" w14:textId="77777777" w:rsidR="0099058F" w:rsidRDefault="0099058F">
            <w:pPr>
              <w:widowControl/>
              <w:jc w:val="left"/>
              <w:rPr>
                <w:rFonts w:ascii="Times New Roman" w:eastAsia="宋体" w:hAnsi="宋体" w:cs="宋体"/>
                <w:kern w:val="0"/>
                <w:sz w:val="24"/>
              </w:rPr>
            </w:pPr>
          </w:p>
        </w:tc>
        <w:tc>
          <w:tcPr>
            <w:tcW w:w="639" w:type="pct"/>
            <w:tcBorders>
              <w:top w:val="nil"/>
              <w:left w:val="nil"/>
              <w:bottom w:val="nil"/>
              <w:right w:val="nil"/>
            </w:tcBorders>
            <w:shd w:val="clear" w:color="auto" w:fill="auto"/>
            <w:vAlign w:val="bottom"/>
          </w:tcPr>
          <w:p w14:paraId="4B762B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C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C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BC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C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BC4" w14:textId="77777777" w:rsidR="0099058F" w:rsidRDefault="0099058F">
            <w:pPr>
              <w:widowControl/>
              <w:jc w:val="left"/>
              <w:rPr>
                <w:rFonts w:ascii="Times New Roman" w:eastAsia="宋体" w:hAnsi="宋体" w:cs="宋体"/>
                <w:kern w:val="0"/>
                <w:sz w:val="24"/>
              </w:rPr>
            </w:pPr>
          </w:p>
        </w:tc>
        <w:tc>
          <w:tcPr>
            <w:tcW w:w="672" w:type="pct"/>
            <w:tcBorders>
              <w:top w:val="nil"/>
              <w:left w:val="nil"/>
              <w:bottom w:val="nil"/>
              <w:right w:val="nil"/>
            </w:tcBorders>
            <w:shd w:val="clear" w:color="auto" w:fill="auto"/>
            <w:vAlign w:val="bottom"/>
          </w:tcPr>
          <w:p w14:paraId="4B762BC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BC6" w14:textId="77777777" w:rsidR="0099058F" w:rsidRDefault="0099058F">
            <w:pPr>
              <w:widowControl/>
              <w:jc w:val="left"/>
              <w:rPr>
                <w:rFonts w:ascii="Times New Roman" w:eastAsia="宋体" w:hAnsi="宋体" w:cs="宋体"/>
                <w:kern w:val="0"/>
                <w:sz w:val="24"/>
              </w:rPr>
            </w:pPr>
          </w:p>
        </w:tc>
      </w:tr>
      <w:tr w:rsidR="0099058F" w14:paraId="4B762BD2" w14:textId="77777777">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January 1</w:t>
            </w:r>
            <w:r>
              <w:rPr>
                <w:rFonts w:ascii="Arial" w:eastAsia="宋体" w:hAnsi="Arial" w:cs="Arial"/>
                <w:color w:val="000000"/>
                <w:kern w:val="0"/>
                <w:sz w:val="20"/>
                <w:szCs w:val="20"/>
                <w:lang w:bidi="ar"/>
              </w:rPr>
              <w:br/>
              <w:t>2021 Balance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Realized and Unrealized Gains/(Losses)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Purchases, Issuances and Settlements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C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C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Transfers Into/(Out of) Level 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D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December </w:t>
            </w:r>
            <w:r>
              <w:rPr>
                <w:rFonts w:ascii="Arial" w:eastAsia="宋体" w:hAnsi="Arial" w:cs="Arial"/>
                <w:color w:val="000000"/>
                <w:kern w:val="0"/>
                <w:sz w:val="20"/>
                <w:szCs w:val="20"/>
                <w:lang w:bidi="ar"/>
              </w:rPr>
              <w:t>31</w:t>
            </w:r>
            <w:r>
              <w:rPr>
                <w:rFonts w:ascii="Arial" w:eastAsia="宋体" w:hAnsi="Arial" w:cs="Arial"/>
                <w:color w:val="000000"/>
                <w:kern w:val="0"/>
                <w:sz w:val="20"/>
                <w:szCs w:val="20"/>
                <w:lang w:bidi="ar"/>
              </w:rPr>
              <w:br/>
              <w:t>2021 Balance</w:t>
            </w:r>
          </w:p>
        </w:tc>
      </w:tr>
      <w:tr w:rsidR="0099058F" w14:paraId="4B762BD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2BD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 securities: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BDC" w14:textId="77777777" w:rsidR="0099058F" w:rsidRDefault="0099058F">
            <w:pPr>
              <w:widowControl/>
              <w:jc w:val="left"/>
              <w:rPr>
                <w:rFonts w:ascii="Times New Roman" w:eastAsia="宋体" w:hAnsi="宋体" w:cs="宋体"/>
                <w:kern w:val="0"/>
                <w:sz w:val="24"/>
              </w:rPr>
            </w:pPr>
          </w:p>
        </w:tc>
      </w:tr>
      <w:tr w:rsidR="0099058F" w14:paraId="4B762BE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B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Corporate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E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E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E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E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EC" w14:textId="77777777" w:rsidR="0099058F" w:rsidRDefault="0099058F">
            <w:pPr>
              <w:widowControl/>
              <w:jc w:val="left"/>
              <w:rPr>
                <w:rFonts w:ascii="Times New Roman" w:eastAsia="宋体" w:hAnsi="宋体" w:cs="宋体"/>
                <w:kern w:val="0"/>
                <w:sz w:val="24"/>
              </w:rPr>
            </w:pPr>
          </w:p>
        </w:tc>
      </w:tr>
      <w:tr w:rsidR="0099058F" w14:paraId="4B762B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BEE"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and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F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B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BF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BF9" w14:textId="77777777" w:rsidR="0099058F" w:rsidRDefault="0099058F">
            <w:pPr>
              <w:widowControl/>
              <w:jc w:val="left"/>
              <w:rPr>
                <w:rFonts w:ascii="Times New Roman" w:eastAsia="宋体" w:hAnsi="宋体" w:cs="宋体"/>
                <w:kern w:val="0"/>
                <w:sz w:val="24"/>
              </w:rPr>
            </w:pPr>
          </w:p>
        </w:tc>
      </w:tr>
      <w:tr w:rsidR="0099058F" w14:paraId="4B762C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BF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Mortgage backed and asset backed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B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BF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B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0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0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08" w14:textId="77777777" w:rsidR="0099058F" w:rsidRDefault="0099058F">
            <w:pPr>
              <w:widowControl/>
              <w:jc w:val="right"/>
              <w:rPr>
                <w:rFonts w:ascii="Times New Roman" w:eastAsia="宋体" w:hAnsi="宋体" w:cs="宋体"/>
                <w:kern w:val="0"/>
                <w:sz w:val="24"/>
              </w:rPr>
            </w:pPr>
          </w:p>
        </w:tc>
      </w:tr>
      <w:tr w:rsidR="0099058F" w14:paraId="4B762C1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B762C0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Municipal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0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0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0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1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1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1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1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1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17" w14:textId="77777777" w:rsidR="0099058F" w:rsidRDefault="0099058F">
            <w:pPr>
              <w:widowControl/>
              <w:jc w:val="right"/>
              <w:rPr>
                <w:rFonts w:ascii="Times New Roman" w:eastAsia="宋体" w:hAnsi="宋体" w:cs="宋体"/>
                <w:kern w:val="0"/>
                <w:sz w:val="24"/>
              </w:rPr>
            </w:pPr>
          </w:p>
        </w:tc>
      </w:tr>
      <w:tr w:rsidR="0099058F" w14:paraId="4B762C2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B762C1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Sovereign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1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1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1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2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2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2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2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26" w14:textId="77777777" w:rsidR="0099058F" w:rsidRDefault="0099058F">
            <w:pPr>
              <w:widowControl/>
              <w:jc w:val="right"/>
              <w:rPr>
                <w:rFonts w:ascii="Times New Roman" w:eastAsia="宋体" w:hAnsi="宋体" w:cs="宋体"/>
                <w:kern w:val="0"/>
                <w:sz w:val="24"/>
              </w:rPr>
            </w:pPr>
          </w:p>
        </w:tc>
      </w:tr>
      <w:tr w:rsidR="0099058F" w14:paraId="4B762C32" w14:textId="77777777">
        <w:trPr>
          <w:hidden/>
        </w:trPr>
        <w:tc>
          <w:tcPr>
            <w:tcW w:w="0" w:type="auto"/>
            <w:gridSpan w:val="3"/>
            <w:tcBorders>
              <w:top w:val="nil"/>
              <w:left w:val="nil"/>
              <w:bottom w:val="nil"/>
              <w:right w:val="nil"/>
            </w:tcBorders>
            <w:shd w:val="clear" w:color="auto" w:fill="auto"/>
            <w:vAlign w:val="bottom"/>
          </w:tcPr>
          <w:p w14:paraId="4B762C2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2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3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31" w14:textId="77777777" w:rsidR="0099058F" w:rsidRDefault="0099058F">
            <w:pPr>
              <w:widowControl/>
              <w:jc w:val="left"/>
              <w:rPr>
                <w:rFonts w:ascii="Times New Roman" w:eastAsia="宋体" w:hAnsi="宋体" w:cs="宋体"/>
                <w:vanish/>
                <w:kern w:val="0"/>
                <w:sz w:val="24"/>
              </w:rPr>
            </w:pPr>
          </w:p>
        </w:tc>
      </w:tr>
      <w:tr w:rsidR="0099058F" w14:paraId="4B762C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C3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Equity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3C" w14:textId="77777777" w:rsidR="0099058F" w:rsidRDefault="0099058F">
            <w:pPr>
              <w:widowControl/>
              <w:jc w:val="left"/>
              <w:rPr>
                <w:rFonts w:ascii="Times New Roman" w:eastAsia="宋体" w:hAnsi="宋体" w:cs="宋体"/>
                <w:kern w:val="0"/>
                <w:sz w:val="24"/>
              </w:rPr>
            </w:pPr>
          </w:p>
        </w:tc>
      </w:tr>
      <w:tr w:rsidR="0099058F" w14:paraId="4B762C48" w14:textId="77777777">
        <w:trPr>
          <w:hidden/>
        </w:trPr>
        <w:tc>
          <w:tcPr>
            <w:tcW w:w="0" w:type="auto"/>
            <w:gridSpan w:val="3"/>
            <w:tcBorders>
              <w:top w:val="nil"/>
              <w:left w:val="nil"/>
              <w:bottom w:val="nil"/>
              <w:right w:val="nil"/>
            </w:tcBorders>
            <w:shd w:val="clear" w:color="auto" w:fill="auto"/>
            <w:vAlign w:val="bottom"/>
          </w:tcPr>
          <w:p w14:paraId="4B762C3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3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47" w14:textId="77777777" w:rsidR="0099058F" w:rsidRDefault="0099058F">
            <w:pPr>
              <w:widowControl/>
              <w:jc w:val="left"/>
              <w:rPr>
                <w:rFonts w:ascii="Times New Roman" w:eastAsia="宋体" w:hAnsi="宋体" w:cs="宋体"/>
                <w:vanish/>
                <w:kern w:val="0"/>
                <w:sz w:val="24"/>
              </w:rPr>
            </w:pPr>
          </w:p>
        </w:tc>
      </w:tr>
      <w:tr w:rsidR="0099058F" w14:paraId="4B762C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2C49"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 common and preferred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4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4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5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5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5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57" w14:textId="77777777" w:rsidR="0099058F" w:rsidRDefault="0099058F">
            <w:pPr>
              <w:widowControl/>
              <w:jc w:val="left"/>
              <w:rPr>
                <w:rFonts w:ascii="Times New Roman" w:eastAsia="宋体" w:hAnsi="宋体" w:cs="宋体"/>
                <w:kern w:val="0"/>
                <w:sz w:val="24"/>
              </w:rPr>
            </w:pPr>
          </w:p>
        </w:tc>
      </w:tr>
      <w:tr w:rsidR="0099058F" w14:paraId="4B762C63" w14:textId="77777777">
        <w:trPr>
          <w:hidden/>
        </w:trPr>
        <w:tc>
          <w:tcPr>
            <w:tcW w:w="0" w:type="auto"/>
            <w:gridSpan w:val="3"/>
            <w:tcBorders>
              <w:top w:val="nil"/>
              <w:left w:val="nil"/>
              <w:bottom w:val="nil"/>
              <w:right w:val="nil"/>
            </w:tcBorders>
            <w:shd w:val="clear" w:color="auto" w:fill="auto"/>
            <w:vAlign w:val="bottom"/>
          </w:tcPr>
          <w:p w14:paraId="4B762C5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5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6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6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C62" w14:textId="77777777" w:rsidR="0099058F" w:rsidRDefault="0099058F">
            <w:pPr>
              <w:widowControl/>
              <w:jc w:val="left"/>
              <w:rPr>
                <w:rFonts w:ascii="Times New Roman" w:eastAsia="宋体" w:hAnsi="宋体" w:cs="宋体"/>
                <w:vanish/>
                <w:kern w:val="0"/>
                <w:sz w:val="24"/>
              </w:rPr>
            </w:pPr>
          </w:p>
        </w:tc>
      </w:tr>
      <w:tr w:rsidR="0099058F" w14:paraId="4B762C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C6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6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6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6F" w14:textId="77777777" w:rsidR="0099058F" w:rsidRDefault="0099058F">
            <w:pPr>
              <w:widowControl/>
              <w:jc w:val="left"/>
              <w:rPr>
                <w:rFonts w:ascii="Times New Roman" w:eastAsia="宋体" w:hAnsi="宋体" w:cs="宋体"/>
                <w:kern w:val="0"/>
                <w:sz w:val="24"/>
              </w:rPr>
            </w:pPr>
          </w:p>
        </w:tc>
      </w:tr>
      <w:tr w:rsidR="0099058F" w14:paraId="4B762C8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C7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C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C7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C7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C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C7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C7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C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C7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C7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C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C7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C7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C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C7F" w14:textId="77777777" w:rsidR="0099058F" w:rsidRDefault="0099058F">
            <w:pPr>
              <w:widowControl/>
              <w:jc w:val="left"/>
              <w:rPr>
                <w:rFonts w:ascii="Times New Roman" w:eastAsia="宋体" w:hAnsi="宋体" w:cs="宋体"/>
                <w:kern w:val="0"/>
                <w:sz w:val="24"/>
              </w:rPr>
            </w:pPr>
          </w:p>
        </w:tc>
      </w:tr>
    </w:tbl>
    <w:p w14:paraId="4B762C8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year ended December 31, 2022, the changes in unrealized gains/(losses) for Level 3 assets still held at December 31, 2022 were ($16) for corpor</w:t>
      </w:r>
      <w:r>
        <w:rPr>
          <w:rFonts w:ascii="Arial" w:eastAsia="宋体" w:hAnsi="Arial" w:cs="Arial"/>
          <w:color w:val="000000"/>
          <w:kern w:val="0"/>
          <w:sz w:val="20"/>
          <w:szCs w:val="20"/>
          <w:lang w:bidi="ar"/>
        </w:rPr>
        <w:t>ate fixed income securities, ($11) for mortgage backed and asset backed fixed income securities, ($14) for municipal fixed income securities, and ($1) for real asset securities.</w:t>
      </w:r>
      <w:r>
        <w:rPr>
          <w:rFonts w:ascii="Arial" w:eastAsia="宋体" w:hAnsi="Arial" w:cs="Arial"/>
          <w:color w:val="000000"/>
          <w:kern w:val="0"/>
          <w:sz w:val="18"/>
          <w:szCs w:val="18"/>
          <w:lang w:bidi="ar"/>
        </w:rPr>
        <w:t xml:space="preserve"> </w:t>
      </w:r>
      <w:r>
        <w:rPr>
          <w:rFonts w:ascii="Arial" w:eastAsia="宋体" w:hAnsi="Arial" w:cs="Arial"/>
          <w:color w:val="000000"/>
          <w:kern w:val="0"/>
          <w:sz w:val="20"/>
          <w:szCs w:val="20"/>
          <w:lang w:bidi="ar"/>
        </w:rPr>
        <w:t xml:space="preserve">For the year ended December 31, 2021, the changes in unrealized </w:t>
      </w:r>
      <w:r>
        <w:rPr>
          <w:rFonts w:ascii="Arial" w:eastAsia="宋体" w:hAnsi="Arial" w:cs="Arial"/>
          <w:color w:val="000000"/>
          <w:kern w:val="0"/>
          <w:sz w:val="20"/>
          <w:szCs w:val="20"/>
          <w:lang w:bidi="ar"/>
        </w:rPr>
        <w:t>gains/(losses) for Level 3 assets still held at December 31, 2021 were ($1) for mortgage backed and asset backed fixed income securities and ($8) for sovereign.</w:t>
      </w:r>
    </w:p>
    <w:p w14:paraId="4B762C8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OPB Plan Assets</w:t>
      </w:r>
      <w:r>
        <w:rPr>
          <w:rFonts w:ascii="Arial" w:eastAsia="宋体" w:hAnsi="Arial" w:cs="Arial"/>
          <w:color w:val="000000"/>
          <w:kern w:val="0"/>
          <w:sz w:val="20"/>
          <w:szCs w:val="20"/>
          <w:lang w:bidi="ar"/>
        </w:rPr>
        <w:t xml:space="preserve"> The majority of OPB plan assets are invested in a balanced index fund which is </w:t>
      </w:r>
      <w:r>
        <w:rPr>
          <w:rFonts w:ascii="Arial" w:eastAsia="宋体" w:hAnsi="Arial" w:cs="Arial"/>
          <w:color w:val="000000"/>
          <w:kern w:val="0"/>
          <w:sz w:val="20"/>
          <w:szCs w:val="20"/>
          <w:lang w:bidi="ar"/>
        </w:rPr>
        <w:t xml:space="preserve">comprised of approximately 60% equities and 40% debt securities. The index fund is valued using a </w:t>
      </w:r>
    </w:p>
    <w:p w14:paraId="4B762C8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98</w:t>
      </w:r>
    </w:p>
    <w:p w14:paraId="4B762C84" w14:textId="77777777" w:rsidR="0099058F" w:rsidRDefault="00EB2559">
      <w:pPr>
        <w:widowControl/>
        <w:jc w:val="center"/>
      </w:pPr>
      <w:r>
        <w:rPr>
          <w:rFonts w:ascii="宋体" w:eastAsia="宋体" w:hAnsi="宋体" w:cs="宋体"/>
          <w:kern w:val="0"/>
          <w:sz w:val="24"/>
        </w:rPr>
        <w:pict w14:anchorId="4B763C59">
          <v:rect id="_x0000_i1124" style="width:6in;height:1.5pt" o:hralign="center" o:hrstd="t" o:hr="t" fillcolor="#a0a0a0" stroked="f"/>
        </w:pict>
      </w:r>
    </w:p>
    <w:p w14:paraId="4B762C8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C8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market approach based on the quoted market price of an identical instrument (Level 1). The expected rate of return on these assets does not have a material effect on the net periodic benef</w:t>
      </w:r>
      <w:r>
        <w:rPr>
          <w:rFonts w:ascii="Arial" w:eastAsia="宋体" w:hAnsi="Arial" w:cs="Arial"/>
          <w:color w:val="000000"/>
          <w:kern w:val="0"/>
          <w:sz w:val="20"/>
          <w:szCs w:val="20"/>
          <w:lang w:bidi="ar"/>
        </w:rPr>
        <w:t>it cost.</w:t>
      </w:r>
    </w:p>
    <w:p w14:paraId="4B762C8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Flows</w:t>
      </w:r>
    </w:p>
    <w:p w14:paraId="4B762C8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Contributions</w:t>
      </w:r>
      <w:r>
        <w:rPr>
          <w:rFonts w:ascii="Arial" w:eastAsia="宋体" w:hAnsi="Arial" w:cs="Arial"/>
          <w:color w:val="000000"/>
          <w:kern w:val="0"/>
          <w:sz w:val="20"/>
          <w:szCs w:val="20"/>
          <w:lang w:bidi="ar"/>
        </w:rPr>
        <w:t xml:space="preserve"> Required pension contributions under the Employee Retirement Income Security Act (ERISA), as well as rules governing funding of our non-US pension plans, are not expected to be significant in 2023. During the fourth quarter of 2020, we contributed $3,000 </w:t>
      </w:r>
      <w:r>
        <w:rPr>
          <w:rFonts w:ascii="Arial" w:eastAsia="宋体" w:hAnsi="Arial" w:cs="Arial"/>
          <w:color w:val="000000"/>
          <w:kern w:val="0"/>
          <w:sz w:val="20"/>
          <w:szCs w:val="20"/>
          <w:lang w:bidi="ar"/>
        </w:rPr>
        <w:t>in common stock to the pension fund. We do not expect to make discretionary contributions to our pension plans in 2023.</w:t>
      </w:r>
    </w:p>
    <w:p w14:paraId="4B762C89"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Estimated Future Benefit Payments</w:t>
      </w:r>
      <w:r>
        <w:rPr>
          <w:rFonts w:ascii="Arial" w:eastAsia="宋体" w:hAnsi="Arial" w:cs="Arial"/>
          <w:color w:val="000000"/>
          <w:kern w:val="0"/>
          <w:sz w:val="20"/>
          <w:szCs w:val="20"/>
          <w:lang w:bidi="ar"/>
        </w:rPr>
        <w:t xml:space="preserve"> The table below reflects the total pension benefits expected to be paid from the plans or from our ass</w:t>
      </w:r>
      <w:r>
        <w:rPr>
          <w:rFonts w:ascii="Arial" w:eastAsia="宋体" w:hAnsi="Arial" w:cs="Arial"/>
          <w:color w:val="000000"/>
          <w:kern w:val="0"/>
          <w:sz w:val="20"/>
          <w:szCs w:val="20"/>
          <w:lang w:bidi="ar"/>
        </w:rPr>
        <w:t>ets, including both our share of the benefit cost and the participants’ share of the cost, which is funded by participant contributions. OPB payments reflect our portion only.</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8"/>
        <w:gridCol w:w="2680"/>
        <w:gridCol w:w="36"/>
        <w:gridCol w:w="71"/>
        <w:gridCol w:w="688"/>
        <w:gridCol w:w="36"/>
        <w:gridCol w:w="36"/>
        <w:gridCol w:w="36"/>
        <w:gridCol w:w="36"/>
        <w:gridCol w:w="71"/>
        <w:gridCol w:w="677"/>
        <w:gridCol w:w="36"/>
        <w:gridCol w:w="36"/>
        <w:gridCol w:w="36"/>
        <w:gridCol w:w="36"/>
        <w:gridCol w:w="71"/>
        <w:gridCol w:w="677"/>
        <w:gridCol w:w="36"/>
        <w:gridCol w:w="36"/>
        <w:gridCol w:w="36"/>
        <w:gridCol w:w="36"/>
        <w:gridCol w:w="71"/>
        <w:gridCol w:w="678"/>
        <w:gridCol w:w="36"/>
        <w:gridCol w:w="36"/>
        <w:gridCol w:w="36"/>
        <w:gridCol w:w="36"/>
        <w:gridCol w:w="71"/>
        <w:gridCol w:w="680"/>
        <w:gridCol w:w="36"/>
        <w:gridCol w:w="36"/>
        <w:gridCol w:w="36"/>
        <w:gridCol w:w="36"/>
        <w:gridCol w:w="77"/>
        <w:gridCol w:w="947"/>
        <w:gridCol w:w="36"/>
      </w:tblGrid>
      <w:tr w:rsidR="0099058F" w14:paraId="4B762CAE" w14:textId="77777777">
        <w:tc>
          <w:tcPr>
            <w:tcW w:w="50" w:type="pct"/>
            <w:tcBorders>
              <w:top w:val="nil"/>
              <w:left w:val="nil"/>
              <w:bottom w:val="nil"/>
              <w:right w:val="nil"/>
            </w:tcBorders>
            <w:shd w:val="clear" w:color="auto" w:fill="auto"/>
            <w:vAlign w:val="bottom"/>
          </w:tcPr>
          <w:p w14:paraId="4B762C8A" w14:textId="77777777" w:rsidR="0099058F" w:rsidRDefault="0099058F">
            <w:pPr>
              <w:widowControl/>
              <w:jc w:val="left"/>
              <w:rPr>
                <w:rFonts w:ascii="Times New Roman" w:eastAsia="宋体" w:hAnsi="宋体" w:cs="宋体"/>
                <w:kern w:val="0"/>
                <w:sz w:val="24"/>
              </w:rPr>
            </w:pPr>
          </w:p>
        </w:tc>
        <w:tc>
          <w:tcPr>
            <w:tcW w:w="1625" w:type="pct"/>
            <w:tcBorders>
              <w:top w:val="nil"/>
              <w:left w:val="nil"/>
              <w:bottom w:val="nil"/>
              <w:right w:val="nil"/>
            </w:tcBorders>
            <w:shd w:val="clear" w:color="auto" w:fill="auto"/>
            <w:vAlign w:val="bottom"/>
          </w:tcPr>
          <w:p w14:paraId="4B762C8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8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8D"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C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C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93"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C9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C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99"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C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C9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9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9F"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CA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CA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A5"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CA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CA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CAB" w14:textId="77777777" w:rsidR="0099058F" w:rsidRDefault="0099058F">
            <w:pPr>
              <w:widowControl/>
              <w:jc w:val="left"/>
              <w:rPr>
                <w:rFonts w:ascii="Times New Roman" w:eastAsia="宋体" w:hAnsi="宋体" w:cs="宋体"/>
                <w:kern w:val="0"/>
                <w:sz w:val="24"/>
              </w:rPr>
            </w:pPr>
          </w:p>
        </w:tc>
        <w:tc>
          <w:tcPr>
            <w:tcW w:w="600" w:type="pct"/>
            <w:tcBorders>
              <w:top w:val="nil"/>
              <w:left w:val="nil"/>
              <w:bottom w:val="nil"/>
              <w:right w:val="nil"/>
            </w:tcBorders>
            <w:shd w:val="clear" w:color="auto" w:fill="auto"/>
            <w:vAlign w:val="bottom"/>
          </w:tcPr>
          <w:p w14:paraId="4B762CA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CAD" w14:textId="77777777" w:rsidR="0099058F" w:rsidRDefault="0099058F">
            <w:pPr>
              <w:widowControl/>
              <w:jc w:val="left"/>
              <w:rPr>
                <w:rFonts w:ascii="Times New Roman" w:eastAsia="宋体" w:hAnsi="宋体" w:cs="宋体"/>
                <w:kern w:val="0"/>
                <w:sz w:val="24"/>
              </w:rPr>
            </w:pPr>
          </w:p>
        </w:tc>
      </w:tr>
      <w:tr w:rsidR="0099058F" w14:paraId="4B762CB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A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C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CB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CB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CB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CB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C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2028-2032</w:t>
            </w:r>
          </w:p>
        </w:tc>
      </w:tr>
      <w:tr w:rsidR="0099058F" w14:paraId="4B762CC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CB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B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CB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C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CC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C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CC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C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CC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CC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C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CCD" w14:textId="77777777" w:rsidR="0099058F" w:rsidRDefault="0099058F">
            <w:pPr>
              <w:widowControl/>
              <w:jc w:val="left"/>
              <w:rPr>
                <w:rFonts w:ascii="Times New Roman" w:eastAsia="宋体" w:hAnsi="宋体" w:cs="宋体"/>
                <w:kern w:val="0"/>
                <w:sz w:val="24"/>
              </w:rPr>
            </w:pPr>
          </w:p>
        </w:tc>
      </w:tr>
      <w:tr w:rsidR="0099058F" w14:paraId="4B762C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2CC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DA" w14:textId="77777777" w:rsidR="0099058F" w:rsidRDefault="0099058F">
            <w:pPr>
              <w:widowControl/>
              <w:jc w:val="left"/>
              <w:rPr>
                <w:rFonts w:ascii="Times New Roman" w:eastAsia="宋体" w:hAnsi="宋体" w:cs="宋体"/>
                <w:kern w:val="0"/>
                <w:sz w:val="24"/>
              </w:rPr>
            </w:pPr>
          </w:p>
        </w:tc>
      </w:tr>
      <w:tr w:rsidR="0099058F" w14:paraId="4B762CE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CD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benefits paid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D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E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E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E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E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E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CE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C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CED" w14:textId="77777777" w:rsidR="0099058F" w:rsidRDefault="0099058F">
            <w:pPr>
              <w:widowControl/>
              <w:jc w:val="right"/>
              <w:rPr>
                <w:rFonts w:ascii="Times New Roman" w:eastAsia="宋体" w:hAnsi="宋体" w:cs="宋体"/>
                <w:kern w:val="0"/>
                <w:sz w:val="24"/>
              </w:rPr>
            </w:pPr>
          </w:p>
        </w:tc>
      </w:tr>
      <w:tr w:rsidR="0099058F" w14:paraId="4B762D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CEF"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Subsidies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F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F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F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F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F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F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F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F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CF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CF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C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D00" w14:textId="77777777" w:rsidR="0099058F" w:rsidRDefault="0099058F">
            <w:pPr>
              <w:widowControl/>
              <w:jc w:val="right"/>
              <w:rPr>
                <w:rFonts w:ascii="Times New Roman" w:eastAsia="宋体" w:hAnsi="宋体" w:cs="宋体"/>
                <w:kern w:val="0"/>
                <w:sz w:val="24"/>
              </w:rPr>
            </w:pPr>
          </w:p>
        </w:tc>
      </w:tr>
      <w:tr w:rsidR="0099058F" w14:paraId="4B762D1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2D0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other postretirement benefits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0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D0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0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0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D0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0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D0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D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1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D1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2D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2D13" w14:textId="77777777" w:rsidR="0099058F" w:rsidRDefault="0099058F">
            <w:pPr>
              <w:widowControl/>
              <w:jc w:val="left"/>
              <w:rPr>
                <w:rFonts w:ascii="Times New Roman" w:eastAsia="宋体" w:hAnsi="宋体" w:cs="宋体"/>
                <w:kern w:val="0"/>
                <w:sz w:val="24"/>
              </w:rPr>
            </w:pPr>
          </w:p>
        </w:tc>
      </w:tr>
    </w:tbl>
    <w:p w14:paraId="4B762D1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Termination Provisions</w:t>
      </w:r>
    </w:p>
    <w:p w14:paraId="4B762D1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Certain of the pension plans provide that, in the event there is a </w:t>
      </w:r>
      <w:r>
        <w:rPr>
          <w:rFonts w:ascii="Arial" w:eastAsia="宋体" w:hAnsi="Arial" w:cs="Arial"/>
          <w:color w:val="000000"/>
          <w:kern w:val="0"/>
          <w:sz w:val="20"/>
          <w:szCs w:val="20"/>
          <w:lang w:bidi="ar"/>
        </w:rPr>
        <w:t>change in control of the Company which is not approved by the Board of Directors and the plans are terminated within five years thereafter, the assets in the plan first will be used to provide the level of retirement benefits required by ERISA, and then an</w:t>
      </w:r>
      <w:r>
        <w:rPr>
          <w:rFonts w:ascii="Arial" w:eastAsia="宋体" w:hAnsi="Arial" w:cs="Arial"/>
          <w:color w:val="000000"/>
          <w:kern w:val="0"/>
          <w:sz w:val="20"/>
          <w:szCs w:val="20"/>
          <w:lang w:bidi="ar"/>
        </w:rPr>
        <w:t>y surplus will be used to fund a trust to continue present and future payments under the postretirement medical and life insurance benefits in our group insurance benefit programs.</w:t>
      </w:r>
    </w:p>
    <w:p w14:paraId="4B762D1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Should we terminate certain pension plans under conditions in which the pla</w:t>
      </w:r>
      <w:r>
        <w:rPr>
          <w:rFonts w:ascii="Arial" w:eastAsia="宋体" w:hAnsi="Arial" w:cs="Arial"/>
          <w:color w:val="000000"/>
          <w:kern w:val="0"/>
          <w:sz w:val="20"/>
          <w:szCs w:val="20"/>
          <w:lang w:bidi="ar"/>
        </w:rPr>
        <w:t>n’s assets exceed that plan’s obligations, the U.S. government will be entitled to a fair allocation of any of the plan’s assets based on plan contributions that were reimbursed under U.S. government contracts.</w:t>
      </w:r>
    </w:p>
    <w:p w14:paraId="4B762D1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Defined Contribution Plans</w:t>
      </w:r>
    </w:p>
    <w:p w14:paraId="4B762D19"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provide </w:t>
      </w:r>
      <w:r>
        <w:rPr>
          <w:rFonts w:ascii="Arial" w:eastAsia="宋体" w:hAnsi="Arial" w:cs="Arial"/>
          <w:color w:val="000000"/>
          <w:kern w:val="0"/>
          <w:sz w:val="20"/>
          <w:szCs w:val="20"/>
          <w:lang w:bidi="ar"/>
        </w:rPr>
        <w:t>certain defined contribution plans to all eligible employees. The principal plans are the Company-sponsored 401(k) plans. The expense for these defined contribution plans was $1,260, $1,268 and $1,351 in 2022, 2021 and 2020, respectively.</w:t>
      </w:r>
    </w:p>
    <w:p w14:paraId="4B762D1A"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Share-B</w:t>
      </w:r>
      <w:r>
        <w:rPr>
          <w:rFonts w:ascii="Arial" w:eastAsia="宋体" w:hAnsi="Arial" w:cs="Arial"/>
          <w:b/>
          <w:bCs/>
          <w:color w:val="000000"/>
          <w:kern w:val="0"/>
          <w:sz w:val="20"/>
          <w:szCs w:val="20"/>
          <w:lang w:bidi="ar"/>
        </w:rPr>
        <w:t>ased Compensation and Other Compensation Arrangements</w:t>
      </w:r>
    </w:p>
    <w:p w14:paraId="4B762D1B"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Share-Based Compensation</w:t>
      </w:r>
    </w:p>
    <w:p w14:paraId="4B762D1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2003 Incentive Stock Plan, as amended and restated, permits awards of incentive and non-qualified stock options, stock appreciation rights, restricted stock or units, perfor</w:t>
      </w:r>
      <w:r>
        <w:rPr>
          <w:rFonts w:ascii="Arial" w:eastAsia="宋体" w:hAnsi="Arial" w:cs="Arial"/>
          <w:color w:val="000000"/>
          <w:kern w:val="0"/>
          <w:sz w:val="20"/>
          <w:szCs w:val="20"/>
          <w:lang w:bidi="ar"/>
        </w:rPr>
        <w:t>mance shares, performance restricted stock or units, performance units and other stock and cash-based awards to our employees, officers, directors, consultants, and independent contractors. The aggregate number of shares of our stock authorized for issuanc</w:t>
      </w:r>
      <w:r>
        <w:rPr>
          <w:rFonts w:ascii="Arial" w:eastAsia="宋体" w:hAnsi="Arial" w:cs="Arial"/>
          <w:color w:val="000000"/>
          <w:kern w:val="0"/>
          <w:sz w:val="20"/>
          <w:szCs w:val="20"/>
          <w:lang w:bidi="ar"/>
        </w:rPr>
        <w:t>e under the plan is 87,000,000.</w:t>
      </w:r>
    </w:p>
    <w:p w14:paraId="4B762D1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Shares issued as a result of stock option exercises or conversion of stock unit awards will be funded out of treasury shares, except to the extent there are insufficient treasury shares, in which case new shares will be issu</w:t>
      </w:r>
      <w:r>
        <w:rPr>
          <w:rFonts w:ascii="Arial" w:eastAsia="宋体" w:hAnsi="Arial" w:cs="Arial"/>
          <w:color w:val="000000"/>
          <w:kern w:val="0"/>
          <w:sz w:val="20"/>
          <w:szCs w:val="20"/>
          <w:lang w:bidi="ar"/>
        </w:rPr>
        <w:t>ed. We believe we currently have adequate treasury shares to satisfy these issuances during 2023.</w:t>
      </w:r>
    </w:p>
    <w:p w14:paraId="4B762D1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99</w:t>
      </w:r>
    </w:p>
    <w:p w14:paraId="4B762D1F" w14:textId="77777777" w:rsidR="0099058F" w:rsidRDefault="00EB2559">
      <w:pPr>
        <w:widowControl/>
        <w:jc w:val="center"/>
      </w:pPr>
      <w:r>
        <w:rPr>
          <w:rFonts w:ascii="宋体" w:eastAsia="宋体" w:hAnsi="宋体" w:cs="宋体"/>
          <w:kern w:val="0"/>
          <w:sz w:val="24"/>
        </w:rPr>
        <w:pict w14:anchorId="4B763C5A">
          <v:rect id="_x0000_i1125" style="width:6in;height:1.5pt" o:hralign="center" o:hrstd="t" o:hr="t" fillcolor="#a0a0a0" stroked="f"/>
        </w:pict>
      </w:r>
    </w:p>
    <w:p w14:paraId="4B762D2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D2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Share-based plans</w:t>
      </w:r>
      <w:r>
        <w:rPr>
          <w:rFonts w:ascii="Arial" w:eastAsia="宋体" w:hAnsi="Arial" w:cs="Arial"/>
          <w:color w:val="000000"/>
          <w:kern w:val="0"/>
          <w:sz w:val="20"/>
          <w:szCs w:val="20"/>
          <w:lang w:bidi="ar"/>
        </w:rPr>
        <w:t xml:space="preserve"> expense is primarily included in Total costs and expenses and General and administrative expense, as well as a portion allocated to production as inventoried costs. The share-based plans expense and related income tax benefit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61"/>
        <w:gridCol w:w="702"/>
        <w:gridCol w:w="36"/>
        <w:gridCol w:w="36"/>
        <w:gridCol w:w="36"/>
        <w:gridCol w:w="36"/>
        <w:gridCol w:w="54"/>
        <w:gridCol w:w="701"/>
        <w:gridCol w:w="36"/>
        <w:gridCol w:w="36"/>
        <w:gridCol w:w="36"/>
        <w:gridCol w:w="36"/>
        <w:gridCol w:w="54"/>
        <w:gridCol w:w="704"/>
        <w:gridCol w:w="36"/>
      </w:tblGrid>
      <w:tr w:rsidR="0099058F" w14:paraId="4B762D34" w14:textId="77777777">
        <w:tc>
          <w:tcPr>
            <w:tcW w:w="50" w:type="pct"/>
            <w:tcBorders>
              <w:top w:val="nil"/>
              <w:left w:val="nil"/>
              <w:bottom w:val="nil"/>
              <w:right w:val="nil"/>
            </w:tcBorders>
            <w:shd w:val="clear" w:color="auto" w:fill="auto"/>
            <w:vAlign w:val="bottom"/>
          </w:tcPr>
          <w:p w14:paraId="4B762D22"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2D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2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D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D2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2B"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2D2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2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D2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3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31"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2D3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33" w14:textId="77777777" w:rsidR="0099058F" w:rsidRDefault="0099058F">
            <w:pPr>
              <w:widowControl/>
              <w:jc w:val="left"/>
              <w:rPr>
                <w:rFonts w:ascii="Times New Roman" w:eastAsia="宋体" w:hAnsi="宋体" w:cs="宋体"/>
                <w:kern w:val="0"/>
                <w:sz w:val="24"/>
              </w:rPr>
            </w:pPr>
          </w:p>
        </w:tc>
      </w:tr>
      <w:tr w:rsidR="0099058F" w14:paraId="4B762D3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3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3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2D42" w14:textId="77777777">
        <w:trPr>
          <w:hidden/>
        </w:trPr>
        <w:tc>
          <w:tcPr>
            <w:tcW w:w="0" w:type="auto"/>
            <w:gridSpan w:val="3"/>
            <w:tcBorders>
              <w:top w:val="nil"/>
              <w:left w:val="nil"/>
              <w:bottom w:val="nil"/>
              <w:right w:val="nil"/>
            </w:tcBorders>
            <w:shd w:val="clear" w:color="auto" w:fill="auto"/>
            <w:vAlign w:val="bottom"/>
          </w:tcPr>
          <w:p w14:paraId="4B762D3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3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3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3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1" w14:textId="77777777" w:rsidR="0099058F" w:rsidRDefault="0099058F">
            <w:pPr>
              <w:widowControl/>
              <w:jc w:val="left"/>
              <w:rPr>
                <w:rFonts w:ascii="Times New Roman" w:eastAsia="宋体" w:hAnsi="宋体" w:cs="宋体"/>
                <w:vanish/>
                <w:kern w:val="0"/>
                <w:sz w:val="24"/>
              </w:rPr>
            </w:pPr>
          </w:p>
        </w:tc>
      </w:tr>
      <w:tr w:rsidR="0099058F" w14:paraId="4B762D49" w14:textId="77777777">
        <w:trPr>
          <w:hidden/>
        </w:trPr>
        <w:tc>
          <w:tcPr>
            <w:tcW w:w="0" w:type="auto"/>
            <w:gridSpan w:val="3"/>
            <w:tcBorders>
              <w:top w:val="nil"/>
              <w:left w:val="nil"/>
              <w:bottom w:val="nil"/>
              <w:right w:val="nil"/>
            </w:tcBorders>
            <w:shd w:val="clear" w:color="auto" w:fill="auto"/>
            <w:vAlign w:val="bottom"/>
          </w:tcPr>
          <w:p w14:paraId="4B762D4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8" w14:textId="77777777" w:rsidR="0099058F" w:rsidRDefault="0099058F">
            <w:pPr>
              <w:widowControl/>
              <w:jc w:val="left"/>
              <w:rPr>
                <w:rFonts w:ascii="Times New Roman" w:eastAsia="宋体" w:hAnsi="宋体" w:cs="宋体"/>
                <w:vanish/>
                <w:kern w:val="0"/>
                <w:sz w:val="24"/>
              </w:rPr>
            </w:pPr>
          </w:p>
        </w:tc>
      </w:tr>
      <w:tr w:rsidR="0099058F" w14:paraId="4B762D50" w14:textId="77777777">
        <w:trPr>
          <w:hidden/>
        </w:trPr>
        <w:tc>
          <w:tcPr>
            <w:tcW w:w="0" w:type="auto"/>
            <w:gridSpan w:val="3"/>
            <w:tcBorders>
              <w:top w:val="nil"/>
              <w:left w:val="nil"/>
              <w:bottom w:val="nil"/>
              <w:right w:val="nil"/>
            </w:tcBorders>
            <w:shd w:val="clear" w:color="auto" w:fill="auto"/>
            <w:vAlign w:val="bottom"/>
          </w:tcPr>
          <w:p w14:paraId="4B762D4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4F" w14:textId="77777777" w:rsidR="0099058F" w:rsidRDefault="0099058F">
            <w:pPr>
              <w:widowControl/>
              <w:jc w:val="left"/>
              <w:rPr>
                <w:rFonts w:ascii="Times New Roman" w:eastAsia="宋体" w:hAnsi="宋体" w:cs="宋体"/>
                <w:vanish/>
                <w:kern w:val="0"/>
                <w:sz w:val="24"/>
              </w:rPr>
            </w:pPr>
          </w:p>
        </w:tc>
      </w:tr>
      <w:tr w:rsidR="0099058F" w14:paraId="4B762D57" w14:textId="77777777">
        <w:trPr>
          <w:hidden/>
        </w:trPr>
        <w:tc>
          <w:tcPr>
            <w:tcW w:w="0" w:type="auto"/>
            <w:gridSpan w:val="3"/>
            <w:tcBorders>
              <w:top w:val="nil"/>
              <w:left w:val="nil"/>
              <w:bottom w:val="nil"/>
              <w:right w:val="nil"/>
            </w:tcBorders>
            <w:shd w:val="clear" w:color="auto" w:fill="auto"/>
            <w:vAlign w:val="bottom"/>
          </w:tcPr>
          <w:p w14:paraId="4B762D5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5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5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5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56" w14:textId="77777777" w:rsidR="0099058F" w:rsidRDefault="0099058F">
            <w:pPr>
              <w:widowControl/>
              <w:jc w:val="left"/>
              <w:rPr>
                <w:rFonts w:ascii="Times New Roman" w:eastAsia="宋体" w:hAnsi="宋体" w:cs="宋体"/>
                <w:vanish/>
                <w:kern w:val="0"/>
                <w:sz w:val="24"/>
              </w:rPr>
            </w:pPr>
          </w:p>
        </w:tc>
      </w:tr>
      <w:tr w:rsidR="0099058F" w14:paraId="4B762D6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B762D58"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Restricted stock units and other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D59" w14:textId="77777777" w:rsidR="0099058F" w:rsidRDefault="00EB2559">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$726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D5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5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D5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$840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D5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5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B762D5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B762D60" w14:textId="77777777" w:rsidR="0099058F" w:rsidRDefault="0099058F">
            <w:pPr>
              <w:widowControl/>
              <w:jc w:val="left"/>
              <w:rPr>
                <w:rFonts w:ascii="Times New Roman" w:eastAsia="宋体" w:hAnsi="宋体" w:cs="宋体"/>
                <w:kern w:val="0"/>
                <w:sz w:val="24"/>
              </w:rPr>
            </w:pPr>
          </w:p>
        </w:tc>
      </w:tr>
      <w:tr w:rsidR="0099058F" w14:paraId="4B762D68" w14:textId="77777777">
        <w:trPr>
          <w:hidden/>
        </w:trPr>
        <w:tc>
          <w:tcPr>
            <w:tcW w:w="0" w:type="auto"/>
            <w:gridSpan w:val="3"/>
            <w:tcBorders>
              <w:top w:val="nil"/>
              <w:left w:val="nil"/>
              <w:bottom w:val="nil"/>
              <w:right w:val="nil"/>
            </w:tcBorders>
            <w:shd w:val="clear" w:color="auto" w:fill="auto"/>
            <w:vAlign w:val="bottom"/>
          </w:tcPr>
          <w:p w14:paraId="4B762D6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6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6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6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6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D67" w14:textId="77777777" w:rsidR="0099058F" w:rsidRDefault="0099058F">
            <w:pPr>
              <w:widowControl/>
              <w:jc w:val="left"/>
              <w:rPr>
                <w:rFonts w:ascii="Times New Roman" w:eastAsia="宋体" w:hAnsi="宋体" w:cs="宋体"/>
                <w:vanish/>
                <w:kern w:val="0"/>
                <w:sz w:val="24"/>
              </w:rPr>
            </w:pPr>
          </w:p>
        </w:tc>
      </w:tr>
      <w:tr w:rsidR="0099058F" w14:paraId="4B762D71"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center"/>
          </w:tcPr>
          <w:p w14:paraId="4B762D69"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Income tax benefit (before consideration of valuation allowance)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B762D6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D6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center"/>
          </w:tcPr>
          <w:p w14:paraId="4B762D6C"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$148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center"/>
          </w:tcPr>
          <w:p w14:paraId="4B762D6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2D6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center"/>
          </w:tcPr>
          <w:p w14:paraId="4B762D6F" w14:textId="77777777" w:rsidR="0099058F" w:rsidRDefault="00EB2559">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center"/>
          </w:tcPr>
          <w:p w14:paraId="4B762D70" w14:textId="77777777" w:rsidR="0099058F" w:rsidRDefault="0099058F">
            <w:pPr>
              <w:widowControl/>
              <w:jc w:val="left"/>
              <w:rPr>
                <w:rFonts w:ascii="Times New Roman" w:eastAsia="宋体" w:hAnsi="宋体" w:cs="宋体"/>
                <w:kern w:val="0"/>
                <w:sz w:val="24"/>
              </w:rPr>
            </w:pPr>
          </w:p>
        </w:tc>
      </w:tr>
    </w:tbl>
    <w:p w14:paraId="4B762D7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4B762D7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Options have been granted to our executive officers that are scheduled to vest and become exercisable three years after the grant date and expire ten </w:t>
      </w:r>
      <w:r>
        <w:rPr>
          <w:rFonts w:ascii="Arial" w:eastAsia="宋体" w:hAnsi="Arial" w:cs="Arial"/>
          <w:color w:val="000000"/>
          <w:kern w:val="0"/>
          <w:sz w:val="20"/>
          <w:szCs w:val="20"/>
          <w:lang w:bidi="ar"/>
        </w:rPr>
        <w:t>years after the grant date. If an executive terminates employment because of retirement, layoff, disability, or death, the executive (or beneficiary) may receive some or all of their stock options depending on certain age and service conditions. The fair v</w:t>
      </w:r>
      <w:r>
        <w:rPr>
          <w:rFonts w:ascii="Arial" w:eastAsia="宋体" w:hAnsi="Arial" w:cs="Arial"/>
          <w:color w:val="000000"/>
          <w:kern w:val="0"/>
          <w:sz w:val="20"/>
          <w:szCs w:val="20"/>
          <w:lang w:bidi="ar"/>
        </w:rPr>
        <w:t>alues of the stock options granted were estimated using a Monte-Carlo simulation model using the assumptions presented below. The model includes no expected dividend yield.</w:t>
      </w:r>
    </w:p>
    <w:p w14:paraId="4B762D7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February 16, 2022, we granted 348,769 premium-priced stock options to our execut</w:t>
      </w:r>
      <w:r>
        <w:rPr>
          <w:rFonts w:ascii="Arial" w:eastAsia="宋体" w:hAnsi="Arial" w:cs="Arial"/>
          <w:color w:val="000000"/>
          <w:kern w:val="0"/>
          <w:sz w:val="20"/>
          <w:szCs w:val="20"/>
          <w:lang w:bidi="ar"/>
        </w:rPr>
        <w:t xml:space="preserve">ive officers as part of our long-term incentive program. These stock options have an exercise price equal to 120% of the fair market value of our stock on the date of grant. If certain performance measures are met, the exercise price is reduced to 110% of </w:t>
      </w:r>
      <w:r>
        <w:rPr>
          <w:rFonts w:ascii="Arial" w:eastAsia="宋体" w:hAnsi="Arial" w:cs="Arial"/>
          <w:color w:val="000000"/>
          <w:kern w:val="0"/>
          <w:sz w:val="20"/>
          <w:szCs w:val="20"/>
          <w:lang w:bidi="ar"/>
        </w:rPr>
        <w:t>the grant date fair market value of our stock.</w:t>
      </w:r>
    </w:p>
    <w:p w14:paraId="4B762D7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February 17, 2021, we granted 342,986 premium-priced stock options to our executive officers as part of our long-term incentive program. These stock options have an exercise price equal to 120% of the </w:t>
      </w:r>
      <w:r>
        <w:rPr>
          <w:rFonts w:ascii="Arial" w:eastAsia="宋体" w:hAnsi="Arial" w:cs="Arial"/>
          <w:color w:val="000000"/>
          <w:kern w:val="0"/>
          <w:sz w:val="20"/>
          <w:szCs w:val="20"/>
          <w:lang w:bidi="ar"/>
        </w:rPr>
        <w:t>fair market value of our stock on the date of grant. During 2021, we also granted 148,322 stock options to certain executives to encourage retention or to award various achievements, of which 40,322 had an exercise price equal to 120% of the fair market va</w:t>
      </w:r>
      <w:r>
        <w:rPr>
          <w:rFonts w:ascii="Arial" w:eastAsia="宋体" w:hAnsi="Arial" w:cs="Arial"/>
          <w:color w:val="000000"/>
          <w:kern w:val="0"/>
          <w:sz w:val="20"/>
          <w:szCs w:val="20"/>
          <w:lang w:bidi="ar"/>
        </w:rPr>
        <w:t>lue of our stock on the date of grant, and the remaining 108,000 had an exercise price equal to the fair market value on the date of grant. The grant date fair market values of these awards were not significant.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1271"/>
        <w:gridCol w:w="36"/>
        <w:gridCol w:w="56"/>
        <w:gridCol w:w="1257"/>
        <w:gridCol w:w="37"/>
        <w:gridCol w:w="67"/>
        <w:gridCol w:w="943"/>
        <w:gridCol w:w="36"/>
        <w:gridCol w:w="52"/>
        <w:gridCol w:w="1261"/>
        <w:gridCol w:w="198"/>
        <w:gridCol w:w="43"/>
        <w:gridCol w:w="1270"/>
        <w:gridCol w:w="198"/>
        <w:gridCol w:w="43"/>
        <w:gridCol w:w="1490"/>
        <w:gridCol w:w="36"/>
      </w:tblGrid>
      <w:tr w:rsidR="0099058F" w14:paraId="4B762D88" w14:textId="77777777">
        <w:tc>
          <w:tcPr>
            <w:tcW w:w="50" w:type="pct"/>
            <w:tcBorders>
              <w:top w:val="nil"/>
              <w:left w:val="nil"/>
              <w:bottom w:val="nil"/>
              <w:right w:val="nil"/>
            </w:tcBorders>
            <w:shd w:val="clear" w:color="auto" w:fill="auto"/>
            <w:vAlign w:val="bottom"/>
          </w:tcPr>
          <w:p w14:paraId="4B762D76" w14:textId="77777777" w:rsidR="0099058F" w:rsidRDefault="0099058F">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vAlign w:val="bottom"/>
          </w:tcPr>
          <w:p w14:paraId="4B762D7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7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79" w14:textId="77777777" w:rsidR="0099058F" w:rsidRDefault="0099058F">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vAlign w:val="bottom"/>
          </w:tcPr>
          <w:p w14:paraId="4B762D7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7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7C" w14:textId="77777777" w:rsidR="0099058F" w:rsidRDefault="0099058F">
            <w:pPr>
              <w:widowControl/>
              <w:jc w:val="left"/>
              <w:rPr>
                <w:rFonts w:ascii="Times New Roman" w:eastAsia="宋体" w:hAnsi="宋体" w:cs="宋体"/>
                <w:kern w:val="0"/>
                <w:sz w:val="24"/>
              </w:rPr>
            </w:pPr>
          </w:p>
        </w:tc>
        <w:tc>
          <w:tcPr>
            <w:tcW w:w="605" w:type="pct"/>
            <w:tcBorders>
              <w:top w:val="nil"/>
              <w:left w:val="nil"/>
              <w:bottom w:val="nil"/>
              <w:right w:val="nil"/>
            </w:tcBorders>
            <w:shd w:val="clear" w:color="auto" w:fill="auto"/>
            <w:vAlign w:val="bottom"/>
          </w:tcPr>
          <w:p w14:paraId="4B762D7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7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7F" w14:textId="77777777" w:rsidR="0099058F" w:rsidRDefault="0099058F">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vAlign w:val="bottom"/>
          </w:tcPr>
          <w:p w14:paraId="4B762D8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8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82" w14:textId="77777777" w:rsidR="0099058F" w:rsidRDefault="0099058F">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vAlign w:val="bottom"/>
          </w:tcPr>
          <w:p w14:paraId="4B762D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8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85" w14:textId="77777777" w:rsidR="0099058F" w:rsidRDefault="0099058F">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4B762D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87" w14:textId="77777777" w:rsidR="0099058F" w:rsidRDefault="0099058F">
            <w:pPr>
              <w:widowControl/>
              <w:jc w:val="left"/>
              <w:rPr>
                <w:rFonts w:ascii="Times New Roman" w:eastAsia="宋体" w:hAnsi="宋体" w:cs="宋体"/>
                <w:kern w:val="0"/>
                <w:sz w:val="24"/>
              </w:rPr>
            </w:pPr>
          </w:p>
        </w:tc>
      </w:tr>
      <w:tr w:rsidR="0099058F" w14:paraId="4B762D8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Grant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Expected Life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Expected Volatility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Risk Free Interest Rate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 Fair Value Per Option</w:t>
            </w:r>
          </w:p>
        </w:tc>
      </w:tr>
      <w:tr w:rsidR="0099058F" w14:paraId="4B762D9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D9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D9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2/16/2022</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D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years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D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D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D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D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D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D98" w14:textId="77777777" w:rsidR="0099058F" w:rsidRDefault="0099058F">
            <w:pPr>
              <w:widowControl/>
              <w:jc w:val="left"/>
              <w:rPr>
                <w:rFonts w:ascii="Times New Roman" w:eastAsia="宋体" w:hAnsi="宋体" w:cs="宋体"/>
                <w:kern w:val="0"/>
                <w:sz w:val="24"/>
              </w:rPr>
            </w:pPr>
          </w:p>
        </w:tc>
      </w:tr>
      <w:tr w:rsidR="0099058F" w14:paraId="4B762DA3"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2D9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2D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2/17/2021</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B762D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years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D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D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D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D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2D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$74.63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DA2" w14:textId="77777777" w:rsidR="0099058F" w:rsidRDefault="0099058F">
            <w:pPr>
              <w:widowControl/>
              <w:jc w:val="left"/>
              <w:rPr>
                <w:rFonts w:ascii="Times New Roman" w:eastAsia="宋体" w:hAnsi="宋体" w:cs="宋体"/>
                <w:kern w:val="0"/>
                <w:sz w:val="24"/>
              </w:rPr>
            </w:pPr>
          </w:p>
        </w:tc>
      </w:tr>
    </w:tbl>
    <w:p w14:paraId="4B762DA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Options granted through January 2014 had an exercise price </w:t>
      </w:r>
      <w:r>
        <w:rPr>
          <w:rFonts w:ascii="Arial" w:eastAsia="宋体" w:hAnsi="Arial" w:cs="Arial"/>
          <w:color w:val="000000"/>
          <w:kern w:val="0"/>
          <w:sz w:val="20"/>
          <w:szCs w:val="20"/>
          <w:lang w:bidi="ar"/>
        </w:rPr>
        <w:t>equal to the fair market value of our stock on the date of grant and expire 10 years after the date of grant. These stock options vested over a period of three years and were fully vested as of December 31, 2017.</w:t>
      </w:r>
    </w:p>
    <w:p w14:paraId="4B762DA5"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100</w:t>
      </w:r>
    </w:p>
    <w:p w14:paraId="4B762DA6" w14:textId="77777777" w:rsidR="0099058F" w:rsidRDefault="00EB2559">
      <w:pPr>
        <w:widowControl/>
        <w:jc w:val="center"/>
      </w:pPr>
      <w:r>
        <w:rPr>
          <w:rFonts w:ascii="宋体" w:eastAsia="宋体" w:hAnsi="宋体" w:cs="宋体"/>
          <w:kern w:val="0"/>
          <w:sz w:val="24"/>
        </w:rPr>
        <w:pict w14:anchorId="4B763C5B">
          <v:rect id="_x0000_i1126" style="width:6in;height:1.5pt" o:hralign="center" o:hrstd="t" o:hr="t" fillcolor="#a0a0a0" stroked="f"/>
        </w:pict>
      </w:r>
    </w:p>
    <w:p w14:paraId="4B762DA7"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DA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Stock option activity for the year ended December 31, 2022 was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2939"/>
        <w:gridCol w:w="37"/>
        <w:gridCol w:w="76"/>
        <w:gridCol w:w="889"/>
        <w:gridCol w:w="36"/>
        <w:gridCol w:w="36"/>
        <w:gridCol w:w="36"/>
        <w:gridCol w:w="36"/>
        <w:gridCol w:w="49"/>
        <w:gridCol w:w="1426"/>
        <w:gridCol w:w="36"/>
        <w:gridCol w:w="36"/>
        <w:gridCol w:w="36"/>
        <w:gridCol w:w="36"/>
        <w:gridCol w:w="60"/>
        <w:gridCol w:w="1360"/>
        <w:gridCol w:w="36"/>
        <w:gridCol w:w="36"/>
        <w:gridCol w:w="36"/>
        <w:gridCol w:w="36"/>
        <w:gridCol w:w="78"/>
        <w:gridCol w:w="895"/>
        <w:gridCol w:w="36"/>
      </w:tblGrid>
      <w:tr w:rsidR="0099058F" w14:paraId="4B762DC1" w14:textId="77777777">
        <w:tc>
          <w:tcPr>
            <w:tcW w:w="50" w:type="pct"/>
            <w:tcBorders>
              <w:top w:val="nil"/>
              <w:left w:val="nil"/>
              <w:bottom w:val="nil"/>
              <w:right w:val="nil"/>
            </w:tcBorders>
            <w:shd w:val="clear" w:color="auto" w:fill="auto"/>
            <w:vAlign w:val="bottom"/>
          </w:tcPr>
          <w:p w14:paraId="4B762DA9" w14:textId="77777777" w:rsidR="0099058F" w:rsidRDefault="0099058F">
            <w:pPr>
              <w:widowControl/>
              <w:jc w:val="left"/>
              <w:rPr>
                <w:rFonts w:ascii="Times New Roman" w:eastAsia="宋体" w:hAnsi="宋体" w:cs="宋体"/>
                <w:kern w:val="0"/>
                <w:sz w:val="24"/>
              </w:rPr>
            </w:pPr>
          </w:p>
        </w:tc>
        <w:tc>
          <w:tcPr>
            <w:tcW w:w="1775" w:type="pct"/>
            <w:tcBorders>
              <w:top w:val="nil"/>
              <w:left w:val="nil"/>
              <w:bottom w:val="nil"/>
              <w:right w:val="nil"/>
            </w:tcBorders>
            <w:shd w:val="clear" w:color="auto" w:fill="auto"/>
            <w:vAlign w:val="bottom"/>
          </w:tcPr>
          <w:p w14:paraId="4B762DA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A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AC"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2DA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A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A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DB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B2" w14:textId="77777777" w:rsidR="0099058F" w:rsidRDefault="0099058F">
            <w:pPr>
              <w:widowControl/>
              <w:jc w:val="left"/>
              <w:rPr>
                <w:rFonts w:ascii="Times New Roman" w:eastAsia="宋体" w:hAnsi="宋体" w:cs="宋体"/>
                <w:kern w:val="0"/>
                <w:sz w:val="24"/>
              </w:rPr>
            </w:pPr>
          </w:p>
        </w:tc>
        <w:tc>
          <w:tcPr>
            <w:tcW w:w="868" w:type="pct"/>
            <w:tcBorders>
              <w:top w:val="nil"/>
              <w:left w:val="nil"/>
              <w:bottom w:val="nil"/>
              <w:right w:val="nil"/>
            </w:tcBorders>
            <w:shd w:val="clear" w:color="auto" w:fill="auto"/>
            <w:vAlign w:val="bottom"/>
          </w:tcPr>
          <w:p w14:paraId="4B762DB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D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B8" w14:textId="77777777" w:rsidR="0099058F" w:rsidRDefault="0099058F">
            <w:pPr>
              <w:widowControl/>
              <w:jc w:val="left"/>
              <w:rPr>
                <w:rFonts w:ascii="Times New Roman" w:eastAsia="宋体" w:hAnsi="宋体" w:cs="宋体"/>
                <w:kern w:val="0"/>
                <w:sz w:val="24"/>
              </w:rPr>
            </w:pPr>
          </w:p>
        </w:tc>
        <w:tc>
          <w:tcPr>
            <w:tcW w:w="834" w:type="pct"/>
            <w:tcBorders>
              <w:top w:val="nil"/>
              <w:left w:val="nil"/>
              <w:bottom w:val="nil"/>
              <w:right w:val="nil"/>
            </w:tcBorders>
            <w:shd w:val="clear" w:color="auto" w:fill="auto"/>
            <w:vAlign w:val="bottom"/>
          </w:tcPr>
          <w:p w14:paraId="4B762D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D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B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DBE" w14:textId="77777777" w:rsidR="0099058F" w:rsidRDefault="0099058F">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B762D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DC0" w14:textId="77777777" w:rsidR="0099058F" w:rsidRDefault="0099058F">
            <w:pPr>
              <w:widowControl/>
              <w:jc w:val="left"/>
              <w:rPr>
                <w:rFonts w:ascii="Times New Roman" w:eastAsia="宋体" w:hAnsi="宋体" w:cs="宋体"/>
                <w:kern w:val="0"/>
                <w:sz w:val="24"/>
              </w:rPr>
            </w:pPr>
          </w:p>
        </w:tc>
      </w:tr>
      <w:tr w:rsidR="0099058F" w14:paraId="4B762DC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Shares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Exercise Price Per Option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C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Remaining Contractual Life (Years)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D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D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Aggregate Intrinsic Value</w:t>
            </w:r>
          </w:p>
        </w:tc>
      </w:tr>
      <w:tr w:rsidR="0099058F" w14:paraId="4B762DD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DC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shares under option: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C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D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DD2" w14:textId="77777777" w:rsidR="0099058F" w:rsidRDefault="0099058F">
            <w:pPr>
              <w:widowControl/>
              <w:jc w:val="left"/>
              <w:rPr>
                <w:rFonts w:ascii="Times New Roman" w:eastAsia="宋体" w:hAnsi="宋体" w:cs="宋体"/>
                <w:kern w:val="0"/>
                <w:sz w:val="24"/>
              </w:rPr>
            </w:pPr>
          </w:p>
        </w:tc>
      </w:tr>
      <w:tr w:rsidR="0099058F" w14:paraId="4B762DD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DD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D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1,709,379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D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DD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DD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D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DC" w14:textId="77777777" w:rsidR="0099058F" w:rsidRDefault="0099058F">
            <w:pPr>
              <w:widowControl/>
              <w:jc w:val="left"/>
              <w:rPr>
                <w:rFonts w:ascii="Times New Roman" w:eastAsia="宋体" w:hAnsi="宋体" w:cs="宋体"/>
                <w:kern w:val="0"/>
                <w:sz w:val="24"/>
              </w:rPr>
            </w:pPr>
          </w:p>
        </w:tc>
      </w:tr>
      <w:tr w:rsidR="0099058F" w14:paraId="4B762DE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D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Granted</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D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362,450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E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D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259.77 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DE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E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E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E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E6" w14:textId="77777777" w:rsidR="0099058F" w:rsidRDefault="0099058F">
            <w:pPr>
              <w:widowControl/>
              <w:jc w:val="left"/>
              <w:rPr>
                <w:rFonts w:ascii="Times New Roman" w:eastAsia="宋体" w:hAnsi="宋体" w:cs="宋体"/>
                <w:kern w:val="0"/>
                <w:sz w:val="24"/>
              </w:rPr>
            </w:pPr>
          </w:p>
        </w:tc>
      </w:tr>
      <w:tr w:rsidR="0099058F" w14:paraId="4B762DF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2DE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Exercised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D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(663,348)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D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DE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E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E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F0" w14:textId="77777777" w:rsidR="0099058F" w:rsidRDefault="0099058F">
            <w:pPr>
              <w:widowControl/>
              <w:jc w:val="left"/>
              <w:rPr>
                <w:rFonts w:ascii="Times New Roman" w:eastAsia="宋体" w:hAnsi="宋体" w:cs="宋体"/>
                <w:kern w:val="0"/>
                <w:sz w:val="24"/>
              </w:rPr>
            </w:pPr>
          </w:p>
        </w:tc>
      </w:tr>
      <w:tr w:rsidR="0099058F" w14:paraId="4B762DF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2DF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Expired</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D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F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D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DF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F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F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F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DFA" w14:textId="77777777" w:rsidR="0099058F" w:rsidRDefault="0099058F">
            <w:pPr>
              <w:widowControl/>
              <w:jc w:val="left"/>
              <w:rPr>
                <w:rFonts w:ascii="Times New Roman" w:eastAsia="宋体" w:hAnsi="宋体" w:cs="宋体"/>
                <w:kern w:val="0"/>
                <w:sz w:val="24"/>
              </w:rPr>
            </w:pPr>
          </w:p>
        </w:tc>
      </w:tr>
      <w:tr w:rsidR="0099058F" w14:paraId="4B762E0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DF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D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(17,048)</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2DF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DF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0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0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0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0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05" w14:textId="77777777" w:rsidR="0099058F" w:rsidRDefault="0099058F">
            <w:pPr>
              <w:widowControl/>
              <w:jc w:val="left"/>
              <w:rPr>
                <w:rFonts w:ascii="Times New Roman" w:eastAsia="宋体" w:hAnsi="宋体" w:cs="宋体"/>
                <w:kern w:val="0"/>
                <w:sz w:val="24"/>
              </w:rPr>
            </w:pPr>
          </w:p>
        </w:tc>
      </w:tr>
      <w:tr w:rsidR="0099058F" w14:paraId="4B762E11"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B762E0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w:t>
            </w:r>
            <w:r>
              <w:rPr>
                <w:rFonts w:ascii="Arial" w:eastAsia="宋体" w:hAnsi="Arial" w:cs="Arial"/>
                <w:color w:val="000000"/>
                <w:kern w:val="0"/>
                <w:sz w:val="20"/>
                <w:szCs w:val="20"/>
                <w:lang w:bidi="ar"/>
              </w:rPr>
              <w:t>ng at end of year</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E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1,390,769</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0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0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E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10" w14:textId="77777777" w:rsidR="0099058F" w:rsidRDefault="0099058F">
            <w:pPr>
              <w:widowControl/>
              <w:jc w:val="left"/>
              <w:rPr>
                <w:rFonts w:ascii="Times New Roman" w:eastAsia="宋体" w:hAnsi="宋体" w:cs="宋体"/>
                <w:kern w:val="0"/>
                <w:sz w:val="24"/>
              </w:rPr>
            </w:pPr>
          </w:p>
        </w:tc>
      </w:tr>
      <w:tr w:rsidR="0099058F" w14:paraId="4B762E1C" w14:textId="77777777">
        <w:tc>
          <w:tcPr>
            <w:tcW w:w="0" w:type="auto"/>
            <w:gridSpan w:val="3"/>
            <w:tcBorders>
              <w:top w:val="single" w:sz="8" w:space="0" w:color="000000"/>
              <w:left w:val="nil"/>
              <w:bottom w:val="double" w:sz="2" w:space="0" w:color="000000"/>
              <w:right w:val="nil"/>
            </w:tcBorders>
            <w:shd w:val="clear" w:color="auto" w:fill="FFFFFF"/>
            <w:tcMar>
              <w:top w:w="40" w:type="dxa"/>
              <w:left w:w="380" w:type="dxa"/>
              <w:bottom w:w="40" w:type="dxa"/>
              <w:right w:w="20" w:type="dxa"/>
            </w:tcMar>
          </w:tcPr>
          <w:p w14:paraId="4B762E1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Exercisable at end of year</w:t>
            </w: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2E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598,983</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E1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E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E1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E1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2E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E1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E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E1B" w14:textId="77777777" w:rsidR="0099058F" w:rsidRDefault="0099058F">
            <w:pPr>
              <w:widowControl/>
              <w:jc w:val="left"/>
              <w:rPr>
                <w:rFonts w:ascii="Times New Roman" w:eastAsia="宋体" w:hAnsi="宋体" w:cs="宋体"/>
                <w:kern w:val="0"/>
                <w:sz w:val="24"/>
              </w:rPr>
            </w:pPr>
          </w:p>
        </w:tc>
      </w:tr>
    </w:tbl>
    <w:p w14:paraId="4B762E1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w:t>
      </w:r>
      <w:r>
        <w:rPr>
          <w:rFonts w:ascii="Arial" w:eastAsia="宋体" w:hAnsi="Arial" w:cs="Arial"/>
          <w:color w:val="000000"/>
          <w:kern w:val="0"/>
          <w:sz w:val="20"/>
          <w:szCs w:val="20"/>
          <w:lang w:bidi="ar"/>
        </w:rPr>
        <w:t xml:space="preserve"> total intrinsic value of options exercised during the years ended December 31, 2022, 2021 and 2020 was $75, $84 and $90, with a related tax benefit of $17, $19 and $32, respectively. At December 31, 2022, there was $23 of total unrecognized compensation c</w:t>
      </w:r>
      <w:r>
        <w:rPr>
          <w:rFonts w:ascii="Arial" w:eastAsia="宋体" w:hAnsi="Arial" w:cs="Arial"/>
          <w:color w:val="000000"/>
          <w:kern w:val="0"/>
          <w:sz w:val="20"/>
          <w:szCs w:val="20"/>
          <w:lang w:bidi="ar"/>
        </w:rPr>
        <w:t>ost related to options which is expected to be recognized over a weighted average period of 1.9 years. No options vested during the years ended December 31, 2022, 2021 and 2020.</w:t>
      </w:r>
    </w:p>
    <w:p w14:paraId="4B762E1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Restricted Stock Units</w:t>
      </w:r>
    </w:p>
    <w:p w14:paraId="4B762E1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February 2022, 2021 and 2020, we granted to our </w:t>
      </w:r>
      <w:r>
        <w:rPr>
          <w:rFonts w:ascii="Arial" w:eastAsia="宋体" w:hAnsi="Arial" w:cs="Arial"/>
          <w:color w:val="000000"/>
          <w:kern w:val="0"/>
          <w:sz w:val="20"/>
          <w:szCs w:val="20"/>
          <w:lang w:bidi="ar"/>
        </w:rPr>
        <w:t>executives 1,804,541, 980,077 and 325,108 restricted stock units (RSUs) as part of our long-term incentive program with grant date fair values of $217.48, $215.70 and 319.04 per unit, respectively. On July 29, 2022, we also granted 2,568,112 RSUs with a gr</w:t>
      </w:r>
      <w:r>
        <w:rPr>
          <w:rFonts w:ascii="Arial" w:eastAsia="宋体" w:hAnsi="Arial" w:cs="Arial"/>
          <w:color w:val="000000"/>
          <w:kern w:val="0"/>
          <w:sz w:val="20"/>
          <w:szCs w:val="20"/>
          <w:lang w:bidi="ar"/>
        </w:rPr>
        <w:t>ant date fair value of $157.69 per unit as part of our long-term incentive program, accelerating awards planned for 2023 to retain executives. The RSUs granted under this program will generally vest and settle in common stock (on a one-for-one basis) on th</w:t>
      </w:r>
      <w:r>
        <w:rPr>
          <w:rFonts w:ascii="Arial" w:eastAsia="宋体" w:hAnsi="Arial" w:cs="Arial"/>
          <w:color w:val="000000"/>
          <w:kern w:val="0"/>
          <w:sz w:val="20"/>
          <w:szCs w:val="20"/>
          <w:lang w:bidi="ar"/>
        </w:rPr>
        <w:t>e third anniversary of the grant date. If an executive terminates employment because of retirement, layoff, disability, or death, the executive (or beneficiary) may receive some or all of their stock units depending on certain age and service conditions. I</w:t>
      </w:r>
      <w:r>
        <w:rPr>
          <w:rFonts w:ascii="Arial" w:eastAsia="宋体" w:hAnsi="Arial" w:cs="Arial"/>
          <w:color w:val="000000"/>
          <w:kern w:val="0"/>
          <w:sz w:val="20"/>
          <w:szCs w:val="20"/>
          <w:lang w:bidi="ar"/>
        </w:rPr>
        <w:t>n all other cases, the RSUs will not vest and all rights to the stock units will terminate. These RSUs are labeled executive long-term incentive program in the table below.</w:t>
      </w:r>
    </w:p>
    <w:p w14:paraId="4B762E2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December 2020, we granted to our employees (excluding executives and certain uni</w:t>
      </w:r>
      <w:r>
        <w:rPr>
          <w:rFonts w:ascii="Arial" w:eastAsia="宋体" w:hAnsi="Arial" w:cs="Arial"/>
          <w:color w:val="000000"/>
          <w:kern w:val="0"/>
          <w:sz w:val="20"/>
          <w:szCs w:val="20"/>
          <w:lang w:bidi="ar"/>
        </w:rPr>
        <w:t>on-represented employees), a one-time grant of 5,163,425 RSUs with a grant date fair value of $233.00 per unit. The RSUs granted under this program will vest and settle in common stock (on a one-for-one basis) on the third anniversary of the grant date. If</w:t>
      </w:r>
      <w:r>
        <w:rPr>
          <w:rFonts w:ascii="Arial" w:eastAsia="宋体" w:hAnsi="Arial" w:cs="Arial"/>
          <w:color w:val="000000"/>
          <w:kern w:val="0"/>
          <w:sz w:val="20"/>
          <w:szCs w:val="20"/>
          <w:lang w:bidi="ar"/>
        </w:rPr>
        <w:t xml:space="preserve"> an employee terminates employment because of retirement, layoff, disability or death, the employee (or beneficiary) may receive a proration of stock units based on active employment during the three-year service period. In all other cases, the RSUs will n</w:t>
      </w:r>
      <w:r>
        <w:rPr>
          <w:rFonts w:ascii="Arial" w:eastAsia="宋体" w:hAnsi="Arial" w:cs="Arial"/>
          <w:color w:val="000000"/>
          <w:kern w:val="0"/>
          <w:sz w:val="20"/>
          <w:szCs w:val="20"/>
          <w:lang w:bidi="ar"/>
        </w:rPr>
        <w:t>ot vest and all rights to the stock units will terminate. These RSUs are labeled employee long-term incentive program in the table below.</w:t>
      </w:r>
    </w:p>
    <w:p w14:paraId="4B762E2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RSUs awarded under our long-term incentive programs, we granted RSUs to certain executives and employee</w:t>
      </w:r>
      <w:r>
        <w:rPr>
          <w:rFonts w:ascii="Arial" w:eastAsia="宋体" w:hAnsi="Arial" w:cs="Arial"/>
          <w:color w:val="000000"/>
          <w:kern w:val="0"/>
          <w:sz w:val="20"/>
          <w:szCs w:val="20"/>
          <w:lang w:bidi="ar"/>
        </w:rPr>
        <w:t>s to encourage retention or to reward various achievements. These RSUs are labeled other RSUs in the table below.</w:t>
      </w:r>
    </w:p>
    <w:p w14:paraId="4B762E2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fair values of all RSUs are estimated using the average of the high and low stock prices on the date of grant.</w:t>
      </w:r>
    </w:p>
    <w:p w14:paraId="4B762E23"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101</w:t>
      </w:r>
    </w:p>
    <w:p w14:paraId="4B762E24" w14:textId="77777777" w:rsidR="0099058F" w:rsidRDefault="00EB2559">
      <w:pPr>
        <w:widowControl/>
        <w:jc w:val="center"/>
      </w:pPr>
      <w:r>
        <w:rPr>
          <w:rFonts w:ascii="宋体" w:eastAsia="宋体" w:hAnsi="宋体" w:cs="宋体"/>
          <w:kern w:val="0"/>
          <w:sz w:val="24"/>
        </w:rPr>
        <w:pict w14:anchorId="4B763C5C">
          <v:rect id="_x0000_i1127" style="width:6in;height:1.5pt" o:hralign="center" o:hrstd="t" o:hr="t" fillcolor="#a0a0a0" stroked="f"/>
        </w:pict>
      </w:r>
    </w:p>
    <w:p w14:paraId="4B762E25"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E26"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RSU activity for the year ended December 31, 2022 was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4582"/>
        <w:gridCol w:w="38"/>
        <w:gridCol w:w="70"/>
        <w:gridCol w:w="1105"/>
        <w:gridCol w:w="36"/>
        <w:gridCol w:w="70"/>
        <w:gridCol w:w="1105"/>
        <w:gridCol w:w="36"/>
        <w:gridCol w:w="69"/>
        <w:gridCol w:w="1107"/>
        <w:gridCol w:w="36"/>
      </w:tblGrid>
      <w:tr w:rsidR="0099058F" w14:paraId="4B762E33" w14:textId="77777777">
        <w:tc>
          <w:tcPr>
            <w:tcW w:w="50" w:type="pct"/>
            <w:tcBorders>
              <w:top w:val="nil"/>
              <w:left w:val="nil"/>
              <w:bottom w:val="nil"/>
              <w:right w:val="nil"/>
            </w:tcBorders>
            <w:shd w:val="clear" w:color="auto" w:fill="auto"/>
            <w:vAlign w:val="bottom"/>
          </w:tcPr>
          <w:p w14:paraId="4B762E27" w14:textId="77777777" w:rsidR="0099058F" w:rsidRDefault="0099058F">
            <w:pPr>
              <w:widowControl/>
              <w:jc w:val="left"/>
              <w:rPr>
                <w:rFonts w:ascii="Times New Roman" w:eastAsia="宋体" w:hAnsi="宋体" w:cs="宋体"/>
                <w:kern w:val="0"/>
                <w:sz w:val="24"/>
              </w:rPr>
            </w:pPr>
          </w:p>
        </w:tc>
        <w:tc>
          <w:tcPr>
            <w:tcW w:w="2760" w:type="pct"/>
            <w:tcBorders>
              <w:top w:val="nil"/>
              <w:left w:val="nil"/>
              <w:bottom w:val="nil"/>
              <w:right w:val="nil"/>
            </w:tcBorders>
            <w:shd w:val="clear" w:color="auto" w:fill="auto"/>
            <w:vAlign w:val="bottom"/>
          </w:tcPr>
          <w:p w14:paraId="4B762E2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2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2A" w14:textId="77777777" w:rsidR="0099058F" w:rsidRDefault="0099058F">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B762E2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2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2D" w14:textId="77777777" w:rsidR="0099058F" w:rsidRDefault="0099058F">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B762E2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2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30" w14:textId="77777777" w:rsidR="0099058F" w:rsidRDefault="0099058F">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B762E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32" w14:textId="77777777" w:rsidR="0099058F" w:rsidRDefault="0099058F">
            <w:pPr>
              <w:widowControl/>
              <w:jc w:val="left"/>
              <w:rPr>
                <w:rFonts w:ascii="Times New Roman" w:eastAsia="宋体" w:hAnsi="宋体" w:cs="宋体"/>
                <w:kern w:val="0"/>
                <w:sz w:val="24"/>
              </w:rPr>
            </w:pPr>
          </w:p>
        </w:tc>
      </w:tr>
      <w:tr w:rsidR="0099058F" w14:paraId="4B762E3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E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3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Executive Long-Term Incentive Program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Employee Long-Term Incentive Program</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r>
      <w:tr w:rsidR="0099058F" w14:paraId="4B762E3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E3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units: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3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3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3C" w14:textId="77777777" w:rsidR="0099058F" w:rsidRDefault="0099058F">
            <w:pPr>
              <w:widowControl/>
              <w:jc w:val="left"/>
              <w:rPr>
                <w:rFonts w:ascii="Times New Roman" w:eastAsia="宋体" w:hAnsi="宋体" w:cs="宋体"/>
                <w:kern w:val="0"/>
                <w:sz w:val="24"/>
              </w:rPr>
            </w:pPr>
          </w:p>
        </w:tc>
      </w:tr>
      <w:tr w:rsidR="0099058F" w14:paraId="4B762E4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E3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40"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4,780,724 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42"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698,866 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44" w14:textId="77777777" w:rsidR="0099058F" w:rsidRDefault="0099058F">
            <w:pPr>
              <w:widowControl/>
              <w:jc w:val="right"/>
              <w:rPr>
                <w:rFonts w:ascii="Times New Roman" w:eastAsia="宋体" w:hAnsi="宋体" w:cs="宋体"/>
                <w:kern w:val="0"/>
                <w:sz w:val="24"/>
              </w:rPr>
            </w:pPr>
          </w:p>
        </w:tc>
      </w:tr>
      <w:tr w:rsidR="0099058F" w14:paraId="4B762E4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E4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Granted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4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4,527,189 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4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E4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595,122 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4B" w14:textId="77777777" w:rsidR="0099058F" w:rsidRDefault="0099058F">
            <w:pPr>
              <w:widowControl/>
              <w:jc w:val="right"/>
              <w:rPr>
                <w:rFonts w:ascii="Times New Roman" w:eastAsia="宋体" w:hAnsi="宋体" w:cs="宋体"/>
                <w:kern w:val="0"/>
                <w:sz w:val="24"/>
              </w:rPr>
            </w:pPr>
          </w:p>
        </w:tc>
      </w:tr>
      <w:tr w:rsidR="0099058F" w14:paraId="4B762E51" w14:textId="77777777">
        <w:trPr>
          <w:hidden/>
        </w:trPr>
        <w:tc>
          <w:tcPr>
            <w:tcW w:w="0" w:type="auto"/>
            <w:gridSpan w:val="3"/>
            <w:tcBorders>
              <w:top w:val="nil"/>
              <w:left w:val="nil"/>
              <w:bottom w:val="nil"/>
              <w:right w:val="nil"/>
            </w:tcBorders>
            <w:shd w:val="clear" w:color="auto" w:fill="auto"/>
            <w:vAlign w:val="bottom"/>
          </w:tcPr>
          <w:p w14:paraId="4B762E4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4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4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50" w14:textId="77777777" w:rsidR="0099058F" w:rsidRDefault="0099058F">
            <w:pPr>
              <w:widowControl/>
              <w:jc w:val="left"/>
              <w:rPr>
                <w:rFonts w:ascii="Times New Roman" w:eastAsia="宋体" w:hAnsi="宋体" w:cs="宋体"/>
                <w:vanish/>
                <w:kern w:val="0"/>
                <w:sz w:val="24"/>
              </w:rPr>
            </w:pPr>
          </w:p>
        </w:tc>
      </w:tr>
      <w:tr w:rsidR="0099058F" w14:paraId="4B762E5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E5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(282,488)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5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5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(269,380)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56"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(67,441)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58" w14:textId="77777777" w:rsidR="0099058F" w:rsidRDefault="0099058F">
            <w:pPr>
              <w:widowControl/>
              <w:jc w:val="right"/>
              <w:rPr>
                <w:rFonts w:ascii="Times New Roman" w:eastAsia="宋体" w:hAnsi="宋体" w:cs="宋体"/>
                <w:kern w:val="0"/>
                <w:sz w:val="24"/>
              </w:rPr>
            </w:pPr>
          </w:p>
        </w:tc>
      </w:tr>
      <w:tr w:rsidR="0099058F" w14:paraId="4B762E6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2E5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Distributed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(176,496)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5C"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(137,537)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5E"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(267,853)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60" w14:textId="77777777" w:rsidR="0099058F" w:rsidRDefault="0099058F">
            <w:pPr>
              <w:widowControl/>
              <w:jc w:val="right"/>
              <w:rPr>
                <w:rFonts w:ascii="Times New Roman" w:eastAsia="宋体" w:hAnsi="宋体" w:cs="宋体"/>
                <w:kern w:val="0"/>
                <w:sz w:val="24"/>
              </w:rPr>
            </w:pPr>
          </w:p>
        </w:tc>
      </w:tr>
      <w:tr w:rsidR="0099058F" w14:paraId="4B762E69"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tcPr>
          <w:p w14:paraId="4B762E6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Outstanding at end of 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6,117,900 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E64"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4,373,807 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E66"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958,694 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E68" w14:textId="77777777" w:rsidR="0099058F" w:rsidRDefault="0099058F">
            <w:pPr>
              <w:widowControl/>
              <w:jc w:val="right"/>
              <w:rPr>
                <w:rFonts w:ascii="Times New Roman" w:eastAsia="宋体" w:hAnsi="宋体" w:cs="宋体"/>
                <w:kern w:val="0"/>
                <w:sz w:val="24"/>
              </w:rPr>
            </w:pPr>
          </w:p>
        </w:tc>
      </w:tr>
      <w:tr w:rsidR="0099058F" w14:paraId="4B762E71"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vAlign w:val="bottom"/>
          </w:tcPr>
          <w:p w14:paraId="4B762E6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Undistributed vested units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426,652 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6C"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6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1,454,414 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6E" w14:textId="77777777" w:rsidR="0099058F" w:rsidRDefault="0099058F">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70" w14:textId="77777777" w:rsidR="0099058F" w:rsidRDefault="0099058F">
            <w:pPr>
              <w:widowControl/>
              <w:jc w:val="right"/>
              <w:rPr>
                <w:rFonts w:ascii="Times New Roman" w:eastAsia="宋体" w:hAnsi="宋体" w:cs="宋体"/>
                <w:kern w:val="0"/>
                <w:sz w:val="24"/>
              </w:rPr>
            </w:pPr>
          </w:p>
        </w:tc>
      </w:tr>
      <w:tr w:rsidR="0099058F" w14:paraId="4B762E7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2E7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compensation cost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7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2E7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2E7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2E78" w14:textId="77777777" w:rsidR="0099058F" w:rsidRDefault="0099058F">
            <w:pPr>
              <w:widowControl/>
              <w:jc w:val="left"/>
              <w:rPr>
                <w:rFonts w:ascii="Times New Roman" w:eastAsia="宋体" w:hAnsi="宋体" w:cs="宋体"/>
                <w:kern w:val="0"/>
                <w:sz w:val="24"/>
              </w:rPr>
            </w:pPr>
          </w:p>
        </w:tc>
      </w:tr>
      <w:tr w:rsidR="0099058F" w14:paraId="4B762E7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7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amortization period </w:t>
            </w:r>
            <w:r>
              <w:rPr>
                <w:rFonts w:ascii="Arial" w:eastAsia="宋体" w:hAnsi="Arial" w:cs="Arial"/>
                <w:i/>
                <w:iCs/>
                <w:color w:val="000000"/>
                <w:kern w:val="0"/>
                <w:sz w:val="20"/>
                <w:szCs w:val="20"/>
                <w:lang w:bidi="ar"/>
              </w:rPr>
              <w:t>(years)</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w:t>
            </w:r>
          </w:p>
        </w:tc>
      </w:tr>
    </w:tbl>
    <w:p w14:paraId="4B762E7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Performance-Based Restricted Stock Units</w:t>
      </w:r>
    </w:p>
    <w:p w14:paraId="4B762E8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Performance-Based Restricted Stock Units (PBRSUs) are stock units that pay out based on the Company’s total </w:t>
      </w:r>
      <w:r>
        <w:rPr>
          <w:rFonts w:ascii="Arial" w:eastAsia="宋体" w:hAnsi="Arial" w:cs="Arial"/>
          <w:color w:val="000000"/>
          <w:kern w:val="0"/>
          <w:sz w:val="20"/>
          <w:szCs w:val="20"/>
          <w:lang w:bidi="ar"/>
        </w:rPr>
        <w:t>shareholder return (TSR) as compared to a group of peer companies over a three-year period. The award payout can range from 0% to 200% of the initial PBRSU grant. The PBRSUs granted under this program will vest at the payout amount and settle in common sto</w:t>
      </w:r>
      <w:r>
        <w:rPr>
          <w:rFonts w:ascii="Arial" w:eastAsia="宋体" w:hAnsi="Arial" w:cs="Arial"/>
          <w:color w:val="000000"/>
          <w:kern w:val="0"/>
          <w:sz w:val="20"/>
          <w:szCs w:val="20"/>
          <w:lang w:bidi="ar"/>
        </w:rPr>
        <w:t>ck (on a one-for-one basis) on the third anniversary of the grant date. If an executive terminates employment because of retirement, layoff, disability or death, the employee (or beneficiary) remains eligible under the award and, if the award is earned, wi</w:t>
      </w:r>
      <w:r>
        <w:rPr>
          <w:rFonts w:ascii="Arial" w:eastAsia="宋体" w:hAnsi="Arial" w:cs="Arial"/>
          <w:color w:val="000000"/>
          <w:kern w:val="0"/>
          <w:sz w:val="20"/>
          <w:szCs w:val="20"/>
          <w:lang w:bidi="ar"/>
        </w:rPr>
        <w:t>ll receive a proration of stock units based on active employment during the three-year service period. In all other cases, the PBRSUs will not vest and all rights to the stock units will terminate.</w:t>
      </w:r>
    </w:p>
    <w:p w14:paraId="4B762E8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In February 2020, we granted to our executives </w:t>
      </w:r>
      <w:r>
        <w:rPr>
          <w:rFonts w:ascii="Arial" w:eastAsia="宋体" w:hAnsi="Arial" w:cs="Arial"/>
          <w:color w:val="000000"/>
          <w:kern w:val="0"/>
          <w:sz w:val="20"/>
          <w:szCs w:val="20"/>
          <w:lang w:bidi="ar"/>
        </w:rPr>
        <w:t>290,202 PBRSUs as part of our long-term incentive program. Compensation expense for the award is recognized over the three-year performance period based upon the grant date fair value. The grant date fair values were estimated using a Monte-Carlo simulatio</w:t>
      </w:r>
      <w:r>
        <w:rPr>
          <w:rFonts w:ascii="Arial" w:eastAsia="宋体" w:hAnsi="Arial" w:cs="Arial"/>
          <w:color w:val="000000"/>
          <w:kern w:val="0"/>
          <w:sz w:val="20"/>
          <w:szCs w:val="20"/>
          <w:lang w:bidi="ar"/>
        </w:rPr>
        <w:t>n model with the assumptions presented below. The model includes no expected dividend yield.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256"/>
        <w:gridCol w:w="36"/>
        <w:gridCol w:w="56"/>
        <w:gridCol w:w="1242"/>
        <w:gridCol w:w="37"/>
        <w:gridCol w:w="72"/>
        <w:gridCol w:w="1227"/>
        <w:gridCol w:w="36"/>
        <w:gridCol w:w="53"/>
        <w:gridCol w:w="1247"/>
        <w:gridCol w:w="198"/>
        <w:gridCol w:w="43"/>
        <w:gridCol w:w="1257"/>
        <w:gridCol w:w="198"/>
        <w:gridCol w:w="49"/>
        <w:gridCol w:w="1251"/>
        <w:gridCol w:w="36"/>
      </w:tblGrid>
      <w:tr w:rsidR="0099058F" w14:paraId="4B762E94" w14:textId="77777777">
        <w:trPr>
          <w:jc w:val="center"/>
        </w:trPr>
        <w:tc>
          <w:tcPr>
            <w:tcW w:w="50" w:type="pct"/>
            <w:tcBorders>
              <w:top w:val="nil"/>
              <w:left w:val="nil"/>
              <w:bottom w:val="nil"/>
              <w:right w:val="nil"/>
            </w:tcBorders>
            <w:shd w:val="clear" w:color="auto" w:fill="auto"/>
            <w:vAlign w:val="bottom"/>
          </w:tcPr>
          <w:p w14:paraId="4B762E82"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8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85"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8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88"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8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8B"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8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8E"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9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91" w14:textId="77777777" w:rsidR="0099058F" w:rsidRDefault="0099058F">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B762E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93" w14:textId="77777777" w:rsidR="0099058F" w:rsidRDefault="0099058F">
            <w:pPr>
              <w:widowControl/>
              <w:jc w:val="left"/>
              <w:rPr>
                <w:rFonts w:ascii="Times New Roman" w:eastAsia="宋体" w:hAnsi="宋体" w:cs="宋体"/>
                <w:kern w:val="0"/>
                <w:sz w:val="24"/>
              </w:rPr>
            </w:pPr>
          </w:p>
        </w:tc>
      </w:tr>
      <w:tr w:rsidR="0099058F" w14:paraId="4B762E9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Grant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Performance 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Expected Volatility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Risk Free Interest Rate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 Fair Value Per Unit</w:t>
            </w:r>
          </w:p>
        </w:tc>
      </w:tr>
      <w:tr w:rsidR="0099058F" w14:paraId="4B762EA2" w14:textId="77777777">
        <w:trPr>
          <w:jc w:val="center"/>
          <w:hidden/>
        </w:trPr>
        <w:tc>
          <w:tcPr>
            <w:tcW w:w="0" w:type="auto"/>
            <w:gridSpan w:val="3"/>
            <w:tcBorders>
              <w:top w:val="nil"/>
              <w:left w:val="nil"/>
              <w:bottom w:val="nil"/>
              <w:right w:val="nil"/>
            </w:tcBorders>
            <w:shd w:val="clear" w:color="auto" w:fill="auto"/>
            <w:vAlign w:val="bottom"/>
          </w:tcPr>
          <w:p w14:paraId="4B762E9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9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9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1" w14:textId="77777777" w:rsidR="0099058F" w:rsidRDefault="0099058F">
            <w:pPr>
              <w:widowControl/>
              <w:jc w:val="left"/>
              <w:rPr>
                <w:rFonts w:ascii="Times New Roman" w:eastAsia="宋体" w:hAnsi="宋体" w:cs="宋体"/>
                <w:vanish/>
                <w:kern w:val="0"/>
                <w:sz w:val="24"/>
              </w:rPr>
            </w:pPr>
          </w:p>
        </w:tc>
      </w:tr>
      <w:tr w:rsidR="0099058F" w14:paraId="4B762EA9" w14:textId="77777777">
        <w:trPr>
          <w:jc w:val="center"/>
          <w:hidden/>
        </w:trPr>
        <w:tc>
          <w:tcPr>
            <w:tcW w:w="0" w:type="auto"/>
            <w:gridSpan w:val="3"/>
            <w:tcBorders>
              <w:top w:val="nil"/>
              <w:left w:val="nil"/>
              <w:bottom w:val="nil"/>
              <w:right w:val="nil"/>
            </w:tcBorders>
            <w:shd w:val="clear" w:color="auto" w:fill="auto"/>
            <w:vAlign w:val="bottom"/>
          </w:tcPr>
          <w:p w14:paraId="4B762EA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A8" w14:textId="77777777" w:rsidR="0099058F" w:rsidRDefault="0099058F">
            <w:pPr>
              <w:widowControl/>
              <w:jc w:val="left"/>
              <w:rPr>
                <w:rFonts w:ascii="Times New Roman" w:eastAsia="宋体" w:hAnsi="宋体" w:cs="宋体"/>
                <w:vanish/>
                <w:kern w:val="0"/>
                <w:sz w:val="24"/>
              </w:rPr>
            </w:pPr>
          </w:p>
        </w:tc>
      </w:tr>
      <w:tr w:rsidR="0099058F" w14:paraId="4B762EB3" w14:textId="77777777">
        <w:trPr>
          <w:jc w:val="center"/>
        </w:trPr>
        <w:tc>
          <w:tcPr>
            <w:tcW w:w="0" w:type="auto"/>
            <w:gridSpan w:val="3"/>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bottom"/>
          </w:tcPr>
          <w:p w14:paraId="4B762EA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bottom"/>
          </w:tcPr>
          <w:p w14:paraId="4B762E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2/24/2020</w:t>
            </w:r>
          </w:p>
        </w:tc>
        <w:tc>
          <w:tcPr>
            <w:tcW w:w="0" w:type="auto"/>
            <w:gridSpan w:val="3"/>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bottom"/>
          </w:tcPr>
          <w:p w14:paraId="4B762E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years</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2E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E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2E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E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B762E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$357.38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EB2" w14:textId="77777777" w:rsidR="0099058F" w:rsidRDefault="0099058F">
            <w:pPr>
              <w:widowControl/>
              <w:jc w:val="left"/>
              <w:rPr>
                <w:rFonts w:ascii="Times New Roman" w:eastAsia="宋体" w:hAnsi="宋体" w:cs="宋体"/>
                <w:kern w:val="0"/>
                <w:sz w:val="24"/>
              </w:rPr>
            </w:pPr>
          </w:p>
        </w:tc>
      </w:tr>
    </w:tbl>
    <w:p w14:paraId="4B762EB4"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PBRSU activity for the year ended December 31, 2022 was as </w:t>
      </w:r>
      <w:r>
        <w:rPr>
          <w:rFonts w:ascii="Arial" w:eastAsia="宋体" w:hAnsi="Arial" w:cs="Arial"/>
          <w:color w:val="000000"/>
          <w:kern w:val="0"/>
          <w:sz w:val="20"/>
          <w:szCs w:val="20"/>
          <w:lang w:bidi="ar"/>
        </w:rPr>
        <w:t>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6193"/>
        <w:gridCol w:w="37"/>
        <w:gridCol w:w="36"/>
        <w:gridCol w:w="36"/>
        <w:gridCol w:w="36"/>
        <w:gridCol w:w="53"/>
        <w:gridCol w:w="1848"/>
        <w:gridCol w:w="36"/>
      </w:tblGrid>
      <w:tr w:rsidR="0099058F" w14:paraId="4B762EBE" w14:textId="77777777">
        <w:tc>
          <w:tcPr>
            <w:tcW w:w="50" w:type="pct"/>
            <w:tcBorders>
              <w:top w:val="nil"/>
              <w:left w:val="nil"/>
              <w:bottom w:val="nil"/>
              <w:right w:val="nil"/>
            </w:tcBorders>
            <w:shd w:val="clear" w:color="auto" w:fill="auto"/>
            <w:vAlign w:val="bottom"/>
          </w:tcPr>
          <w:p w14:paraId="4B762EB5" w14:textId="77777777" w:rsidR="0099058F" w:rsidRDefault="0099058F">
            <w:pPr>
              <w:widowControl/>
              <w:jc w:val="left"/>
              <w:rPr>
                <w:rFonts w:ascii="Times New Roman" w:eastAsia="宋体" w:hAnsi="宋体" w:cs="宋体"/>
                <w:kern w:val="0"/>
                <w:sz w:val="24"/>
              </w:rPr>
            </w:pPr>
          </w:p>
        </w:tc>
        <w:tc>
          <w:tcPr>
            <w:tcW w:w="3727" w:type="pct"/>
            <w:tcBorders>
              <w:top w:val="nil"/>
              <w:left w:val="nil"/>
              <w:bottom w:val="nil"/>
              <w:right w:val="nil"/>
            </w:tcBorders>
            <w:shd w:val="clear" w:color="auto" w:fill="auto"/>
            <w:vAlign w:val="bottom"/>
          </w:tcPr>
          <w:p w14:paraId="4B762E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B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B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E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B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EBB" w14:textId="77777777" w:rsidR="0099058F" w:rsidRDefault="0099058F">
            <w:pPr>
              <w:widowControl/>
              <w:jc w:val="left"/>
              <w:rPr>
                <w:rFonts w:ascii="Times New Roman" w:eastAsia="宋体" w:hAnsi="宋体" w:cs="宋体"/>
                <w:kern w:val="0"/>
                <w:sz w:val="24"/>
              </w:rPr>
            </w:pPr>
          </w:p>
        </w:tc>
        <w:tc>
          <w:tcPr>
            <w:tcW w:w="1121" w:type="pct"/>
            <w:tcBorders>
              <w:top w:val="nil"/>
              <w:left w:val="nil"/>
              <w:bottom w:val="nil"/>
              <w:right w:val="nil"/>
            </w:tcBorders>
            <w:shd w:val="clear" w:color="auto" w:fill="auto"/>
            <w:vAlign w:val="bottom"/>
          </w:tcPr>
          <w:p w14:paraId="4B762E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EBD" w14:textId="77777777" w:rsidR="0099058F" w:rsidRDefault="0099058F">
            <w:pPr>
              <w:widowControl/>
              <w:jc w:val="left"/>
              <w:rPr>
                <w:rFonts w:ascii="Times New Roman" w:eastAsia="宋体" w:hAnsi="宋体" w:cs="宋体"/>
                <w:kern w:val="0"/>
                <w:sz w:val="24"/>
              </w:rPr>
            </w:pPr>
          </w:p>
        </w:tc>
      </w:tr>
      <w:tr w:rsidR="0099058F" w14:paraId="4B762EC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E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E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E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Executive Long-Term Incentive Program </w:t>
            </w:r>
          </w:p>
        </w:tc>
      </w:tr>
      <w:tr w:rsidR="0099058F" w14:paraId="4B762E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2EC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units: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C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C5" w14:textId="77777777" w:rsidR="0099058F" w:rsidRDefault="0099058F">
            <w:pPr>
              <w:widowControl/>
              <w:jc w:val="left"/>
              <w:rPr>
                <w:rFonts w:ascii="Times New Roman" w:eastAsia="宋体" w:hAnsi="宋体" w:cs="宋体"/>
                <w:kern w:val="0"/>
                <w:sz w:val="24"/>
              </w:rPr>
            </w:pPr>
          </w:p>
        </w:tc>
      </w:tr>
      <w:tr w:rsidR="0099058F" w14:paraId="4B762EC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EC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C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383,401 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CA" w14:textId="77777777" w:rsidR="0099058F" w:rsidRDefault="0099058F">
            <w:pPr>
              <w:widowControl/>
              <w:jc w:val="right"/>
              <w:rPr>
                <w:rFonts w:ascii="Times New Roman" w:eastAsia="宋体" w:hAnsi="宋体" w:cs="宋体"/>
                <w:kern w:val="0"/>
                <w:sz w:val="24"/>
              </w:rPr>
            </w:pPr>
          </w:p>
        </w:tc>
      </w:tr>
      <w:tr w:rsidR="0099058F" w14:paraId="4B762ECF" w14:textId="77777777">
        <w:trPr>
          <w:hidden/>
        </w:trPr>
        <w:tc>
          <w:tcPr>
            <w:tcW w:w="0" w:type="auto"/>
            <w:gridSpan w:val="3"/>
            <w:tcBorders>
              <w:top w:val="nil"/>
              <w:left w:val="nil"/>
              <w:bottom w:val="nil"/>
              <w:right w:val="nil"/>
            </w:tcBorders>
            <w:shd w:val="clear" w:color="auto" w:fill="auto"/>
            <w:vAlign w:val="bottom"/>
          </w:tcPr>
          <w:p w14:paraId="4B762EC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C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CE" w14:textId="77777777" w:rsidR="0099058F" w:rsidRDefault="0099058F">
            <w:pPr>
              <w:widowControl/>
              <w:jc w:val="left"/>
              <w:rPr>
                <w:rFonts w:ascii="Times New Roman" w:eastAsia="宋体" w:hAnsi="宋体" w:cs="宋体"/>
                <w:vanish/>
                <w:kern w:val="0"/>
                <w:sz w:val="24"/>
              </w:rPr>
            </w:pPr>
          </w:p>
        </w:tc>
      </w:tr>
      <w:tr w:rsidR="0099058F" w14:paraId="4B762E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ED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based adjustment</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ED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E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(162,548)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ED3" w14:textId="77777777" w:rsidR="0099058F" w:rsidRDefault="0099058F">
            <w:pPr>
              <w:widowControl/>
              <w:jc w:val="right"/>
              <w:rPr>
                <w:rFonts w:ascii="Times New Roman" w:eastAsia="宋体" w:hAnsi="宋体" w:cs="宋体"/>
                <w:kern w:val="0"/>
                <w:sz w:val="24"/>
              </w:rPr>
            </w:pPr>
          </w:p>
        </w:tc>
      </w:tr>
      <w:tr w:rsidR="0099058F" w14:paraId="4B762ED8" w14:textId="77777777">
        <w:trPr>
          <w:hidden/>
        </w:trPr>
        <w:tc>
          <w:tcPr>
            <w:tcW w:w="0" w:type="auto"/>
            <w:gridSpan w:val="3"/>
            <w:tcBorders>
              <w:top w:val="nil"/>
              <w:left w:val="nil"/>
              <w:bottom w:val="nil"/>
              <w:right w:val="nil"/>
            </w:tcBorders>
            <w:shd w:val="clear" w:color="auto" w:fill="auto"/>
            <w:vAlign w:val="bottom"/>
          </w:tcPr>
          <w:p w14:paraId="4B762ED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D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D7" w14:textId="77777777" w:rsidR="0099058F" w:rsidRDefault="0099058F">
            <w:pPr>
              <w:widowControl/>
              <w:jc w:val="left"/>
              <w:rPr>
                <w:rFonts w:ascii="Times New Roman" w:eastAsia="宋体" w:hAnsi="宋体" w:cs="宋体"/>
                <w:vanish/>
                <w:kern w:val="0"/>
                <w:sz w:val="24"/>
              </w:rPr>
            </w:pPr>
          </w:p>
        </w:tc>
      </w:tr>
      <w:tr w:rsidR="0099058F" w14:paraId="4B762ED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2ED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ED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E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EDC" w14:textId="77777777" w:rsidR="0099058F" w:rsidRDefault="0099058F">
            <w:pPr>
              <w:widowControl/>
              <w:jc w:val="right"/>
              <w:rPr>
                <w:rFonts w:ascii="Times New Roman" w:eastAsia="宋体" w:hAnsi="宋体" w:cs="宋体"/>
                <w:kern w:val="0"/>
                <w:sz w:val="24"/>
              </w:rPr>
            </w:pPr>
          </w:p>
        </w:tc>
      </w:tr>
      <w:tr w:rsidR="0099058F" w14:paraId="4B762EE1" w14:textId="77777777">
        <w:trPr>
          <w:hidden/>
        </w:trPr>
        <w:tc>
          <w:tcPr>
            <w:tcW w:w="0" w:type="auto"/>
            <w:gridSpan w:val="3"/>
            <w:tcBorders>
              <w:top w:val="nil"/>
              <w:left w:val="nil"/>
              <w:bottom w:val="nil"/>
              <w:right w:val="nil"/>
            </w:tcBorders>
            <w:shd w:val="clear" w:color="auto" w:fill="auto"/>
            <w:vAlign w:val="bottom"/>
          </w:tcPr>
          <w:p w14:paraId="4B762ED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D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E0" w14:textId="77777777" w:rsidR="0099058F" w:rsidRDefault="0099058F">
            <w:pPr>
              <w:widowControl/>
              <w:jc w:val="left"/>
              <w:rPr>
                <w:rFonts w:ascii="Times New Roman" w:eastAsia="宋体" w:hAnsi="宋体" w:cs="宋体"/>
                <w:vanish/>
                <w:kern w:val="0"/>
                <w:sz w:val="24"/>
              </w:rPr>
            </w:pPr>
          </w:p>
        </w:tc>
      </w:tr>
      <w:tr w:rsidR="0099058F" w14:paraId="4B762EE5" w14:textId="77777777">
        <w:trPr>
          <w:hidden/>
        </w:trPr>
        <w:tc>
          <w:tcPr>
            <w:tcW w:w="0" w:type="auto"/>
            <w:gridSpan w:val="3"/>
            <w:tcBorders>
              <w:top w:val="nil"/>
              <w:left w:val="nil"/>
              <w:bottom w:val="nil"/>
              <w:right w:val="nil"/>
            </w:tcBorders>
            <w:shd w:val="clear" w:color="auto" w:fill="auto"/>
            <w:vAlign w:val="bottom"/>
          </w:tcPr>
          <w:p w14:paraId="4B762EE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E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2EE4" w14:textId="77777777" w:rsidR="0099058F" w:rsidRDefault="0099058F">
            <w:pPr>
              <w:widowControl/>
              <w:jc w:val="left"/>
              <w:rPr>
                <w:rFonts w:ascii="Times New Roman" w:eastAsia="宋体" w:hAnsi="宋体" w:cs="宋体"/>
                <w:vanish/>
                <w:kern w:val="0"/>
                <w:sz w:val="24"/>
              </w:rPr>
            </w:pPr>
          </w:p>
        </w:tc>
      </w:tr>
      <w:tr w:rsidR="0099058F" w14:paraId="4B762EEA"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B762EE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Outstanding at end of year</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EE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E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210,206 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EE9" w14:textId="77777777" w:rsidR="0099058F" w:rsidRDefault="0099058F">
            <w:pPr>
              <w:widowControl/>
              <w:jc w:val="right"/>
              <w:rPr>
                <w:rFonts w:ascii="Times New Roman" w:eastAsia="宋体" w:hAnsi="宋体" w:cs="宋体"/>
                <w:kern w:val="0"/>
                <w:sz w:val="24"/>
              </w:rPr>
            </w:pPr>
          </w:p>
        </w:tc>
      </w:tr>
      <w:tr w:rsidR="0099058F" w14:paraId="4B762EE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2EE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compensation cost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EE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E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2EEE" w14:textId="77777777" w:rsidR="0099058F" w:rsidRDefault="0099058F">
            <w:pPr>
              <w:widowControl/>
              <w:jc w:val="left"/>
              <w:rPr>
                <w:rFonts w:ascii="Times New Roman" w:eastAsia="宋体" w:hAnsi="宋体" w:cs="宋体"/>
                <w:kern w:val="0"/>
                <w:sz w:val="24"/>
              </w:rPr>
            </w:pPr>
          </w:p>
        </w:tc>
      </w:tr>
      <w:tr w:rsidR="0099058F" w14:paraId="4B762EF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F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amortization period </w:t>
            </w:r>
            <w:r>
              <w:rPr>
                <w:rFonts w:ascii="Arial" w:eastAsia="宋体" w:hAnsi="Arial" w:cs="Arial"/>
                <w:i/>
                <w:iCs/>
                <w:color w:val="000000"/>
                <w:kern w:val="0"/>
                <w:sz w:val="20"/>
                <w:szCs w:val="20"/>
                <w:lang w:bidi="ar"/>
              </w:rPr>
              <w:t>(years)</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2EF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2E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w:t>
            </w:r>
          </w:p>
        </w:tc>
      </w:tr>
    </w:tbl>
    <w:p w14:paraId="4B762EF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102</w:t>
      </w:r>
    </w:p>
    <w:p w14:paraId="4B762EF5" w14:textId="77777777" w:rsidR="0099058F" w:rsidRDefault="00EB2559">
      <w:pPr>
        <w:widowControl/>
        <w:jc w:val="center"/>
      </w:pPr>
      <w:r>
        <w:rPr>
          <w:rFonts w:ascii="宋体" w:eastAsia="宋体" w:hAnsi="宋体" w:cs="宋体"/>
          <w:kern w:val="0"/>
          <w:sz w:val="24"/>
        </w:rPr>
        <w:pict w14:anchorId="4B763C5D">
          <v:rect id="_x0000_i1128" style="width:6in;height:1.5pt" o:hralign="center" o:hrstd="t" o:hr="t" fillcolor="#a0a0a0" stroked="f"/>
        </w:pict>
      </w:r>
    </w:p>
    <w:p w14:paraId="4B762EF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EF7"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b/>
          <w:bCs/>
          <w:color w:val="000000"/>
          <w:kern w:val="0"/>
          <w:sz w:val="13"/>
          <w:szCs w:val="13"/>
          <w:lang w:bidi="ar"/>
        </w:rPr>
        <w:t xml:space="preserve">(1)    </w:t>
      </w:r>
      <w:r>
        <w:rPr>
          <w:rFonts w:ascii="Arial" w:eastAsia="宋体" w:hAnsi="Arial" w:cs="Arial"/>
          <w:color w:val="000000"/>
          <w:kern w:val="0"/>
          <w:sz w:val="20"/>
          <w:szCs w:val="20"/>
          <w:lang w:bidi="ar"/>
        </w:rPr>
        <w:t>Represents adjustment to 0% payout for units granted in 2019.</w:t>
      </w:r>
    </w:p>
    <w:p w14:paraId="4B762EF8"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Performance Awards</w:t>
      </w:r>
    </w:p>
    <w:p w14:paraId="4B762EF9"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2020, we granted Performance Awards to our executives, which are cash units that pay out </w:t>
      </w:r>
      <w:r>
        <w:rPr>
          <w:rFonts w:ascii="Arial" w:eastAsia="宋体" w:hAnsi="Arial" w:cs="Arial"/>
          <w:color w:val="000000"/>
          <w:kern w:val="0"/>
          <w:sz w:val="20"/>
          <w:szCs w:val="20"/>
          <w:lang w:bidi="ar"/>
        </w:rPr>
        <w:t>based on the achievement of long-term financial goals at the end of a three-year period. Each unit had an initial value of $100 dollars. The Compensation Committee has the discretion to pay these awards in cash, stock or a combination of both after the thr</w:t>
      </w:r>
      <w:r>
        <w:rPr>
          <w:rFonts w:ascii="Arial" w:eastAsia="宋体" w:hAnsi="Arial" w:cs="Arial"/>
          <w:color w:val="000000"/>
          <w:kern w:val="0"/>
          <w:sz w:val="20"/>
          <w:szCs w:val="20"/>
          <w:lang w:bidi="ar"/>
        </w:rPr>
        <w:t>ee-year performance period. As of December 31, 2022 these performance awards have expired with a payout of $0.</w:t>
      </w:r>
    </w:p>
    <w:p w14:paraId="4B762EFA"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Deferred Compensation</w:t>
      </w:r>
    </w:p>
    <w:p w14:paraId="4B762EF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Company has deferred compensation plans which permit certain employees and executives to defer a portion of their salar</w:t>
      </w:r>
      <w:r>
        <w:rPr>
          <w:rFonts w:ascii="Arial" w:eastAsia="宋体" w:hAnsi="Arial" w:cs="Arial"/>
          <w:color w:val="000000"/>
          <w:kern w:val="0"/>
          <w:sz w:val="20"/>
          <w:szCs w:val="20"/>
          <w:lang w:bidi="ar"/>
        </w:rPr>
        <w:t>y, bonus, certain other incentive awards and retirement contributions. Participants can diversify these amounts among 23 investment funds including a Boeing stock unit account.</w:t>
      </w:r>
    </w:p>
    <w:p w14:paraId="4B762EFC"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Total (income)/expense related to deferred compensation was ($117), $126 and $9</w:t>
      </w:r>
      <w:r>
        <w:rPr>
          <w:rFonts w:ascii="Arial" w:eastAsia="宋体" w:hAnsi="Arial" w:cs="Arial"/>
          <w:color w:val="000000"/>
          <w:kern w:val="0"/>
          <w:sz w:val="20"/>
          <w:szCs w:val="20"/>
          <w:lang w:bidi="ar"/>
        </w:rPr>
        <w:t>3 in 2022, 2021 and 2020, respectively. As of December 31, 2022 and 2021, the deferred compensation liability which is being marked to market was $1,499 and $1,703.</w:t>
      </w:r>
    </w:p>
    <w:p w14:paraId="4B762EF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Shareholders’ Equity</w:t>
      </w:r>
    </w:p>
    <w:p w14:paraId="4B762EF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December 17, 2018, the Board approved a </w:t>
      </w:r>
      <w:r>
        <w:rPr>
          <w:rFonts w:ascii="Arial" w:eastAsia="宋体" w:hAnsi="Arial" w:cs="Arial"/>
          <w:color w:val="000000"/>
          <w:kern w:val="0"/>
          <w:sz w:val="20"/>
          <w:szCs w:val="20"/>
          <w:lang w:bidi="ar"/>
        </w:rPr>
        <w:t>repurchase plan for up to $20,000 of common stock. In March 2020, the Board of Directors terminated its prior authorization to repurchase shares under this plan.</w:t>
      </w:r>
    </w:p>
    <w:p w14:paraId="4B762EF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2022 and 2021, there were 1,200,000,000 shares of common stock and 20,000,0</w:t>
      </w:r>
      <w:r>
        <w:rPr>
          <w:rFonts w:ascii="Arial" w:eastAsia="宋体" w:hAnsi="Arial" w:cs="Arial"/>
          <w:color w:val="000000"/>
          <w:kern w:val="0"/>
          <w:sz w:val="20"/>
          <w:szCs w:val="20"/>
          <w:lang w:bidi="ar"/>
        </w:rPr>
        <w:t>00 shares of preferred stock authorized. No preferred stock has been issued.</w:t>
      </w:r>
    </w:p>
    <w:p w14:paraId="4B762F0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Changes in Share Balances</w:t>
      </w:r>
    </w:p>
    <w:p w14:paraId="4B762F01"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shows changes in each class of shares: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425"/>
        <w:gridCol w:w="38"/>
        <w:gridCol w:w="84"/>
        <w:gridCol w:w="1271"/>
        <w:gridCol w:w="36"/>
        <w:gridCol w:w="36"/>
        <w:gridCol w:w="36"/>
        <w:gridCol w:w="36"/>
        <w:gridCol w:w="74"/>
        <w:gridCol w:w="1209"/>
        <w:gridCol w:w="36"/>
      </w:tblGrid>
      <w:tr w:rsidR="0099058F" w14:paraId="4B762F0E" w14:textId="77777777">
        <w:tc>
          <w:tcPr>
            <w:tcW w:w="50" w:type="pct"/>
            <w:tcBorders>
              <w:top w:val="nil"/>
              <w:left w:val="nil"/>
              <w:bottom w:val="nil"/>
              <w:right w:val="nil"/>
            </w:tcBorders>
            <w:shd w:val="clear" w:color="auto" w:fill="auto"/>
            <w:vAlign w:val="bottom"/>
          </w:tcPr>
          <w:p w14:paraId="4B762F02" w14:textId="77777777" w:rsidR="0099058F" w:rsidRDefault="0099058F">
            <w:pPr>
              <w:widowControl/>
              <w:jc w:val="left"/>
              <w:rPr>
                <w:rFonts w:ascii="Times New Roman" w:eastAsia="宋体" w:hAnsi="宋体" w:cs="宋体"/>
                <w:kern w:val="0"/>
                <w:sz w:val="24"/>
              </w:rPr>
            </w:pPr>
          </w:p>
        </w:tc>
        <w:tc>
          <w:tcPr>
            <w:tcW w:w="3270" w:type="pct"/>
            <w:tcBorders>
              <w:top w:val="nil"/>
              <w:left w:val="nil"/>
              <w:bottom w:val="nil"/>
              <w:right w:val="nil"/>
            </w:tcBorders>
            <w:shd w:val="clear" w:color="auto" w:fill="auto"/>
            <w:vAlign w:val="bottom"/>
          </w:tcPr>
          <w:p w14:paraId="4B762F0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0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05" w14:textId="77777777" w:rsidR="0099058F" w:rsidRDefault="0099058F">
            <w:pPr>
              <w:widowControl/>
              <w:jc w:val="left"/>
              <w:rPr>
                <w:rFonts w:ascii="Times New Roman" w:eastAsia="宋体" w:hAnsi="宋体" w:cs="宋体"/>
                <w:kern w:val="0"/>
                <w:sz w:val="24"/>
              </w:rPr>
            </w:pPr>
          </w:p>
        </w:tc>
        <w:tc>
          <w:tcPr>
            <w:tcW w:w="761" w:type="pct"/>
            <w:tcBorders>
              <w:top w:val="nil"/>
              <w:left w:val="nil"/>
              <w:bottom w:val="nil"/>
              <w:right w:val="nil"/>
            </w:tcBorders>
            <w:shd w:val="clear" w:color="auto" w:fill="auto"/>
            <w:vAlign w:val="bottom"/>
          </w:tcPr>
          <w:p w14:paraId="4B762F0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0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0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F0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0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0B" w14:textId="77777777" w:rsidR="0099058F" w:rsidRDefault="0099058F">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4B762F0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0D" w14:textId="77777777" w:rsidR="0099058F" w:rsidRDefault="0099058F">
            <w:pPr>
              <w:widowControl/>
              <w:jc w:val="left"/>
              <w:rPr>
                <w:rFonts w:ascii="Times New Roman" w:eastAsia="宋体" w:hAnsi="宋体" w:cs="宋体"/>
                <w:kern w:val="0"/>
                <w:sz w:val="24"/>
              </w:rPr>
            </w:pPr>
          </w:p>
        </w:tc>
      </w:tr>
      <w:tr w:rsidR="0099058F" w14:paraId="4B762F1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Common</w:t>
            </w:r>
            <w:r>
              <w:rPr>
                <w:rFonts w:ascii="Arial" w:eastAsia="宋体" w:hAnsi="Arial" w:cs="Arial"/>
                <w:color w:val="000000"/>
                <w:kern w:val="0"/>
                <w:sz w:val="20"/>
                <w:szCs w:val="20"/>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1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Treasury</w:t>
            </w:r>
            <w:r>
              <w:rPr>
                <w:rFonts w:ascii="Arial" w:eastAsia="宋体" w:hAnsi="Arial" w:cs="Arial"/>
                <w:color w:val="000000"/>
                <w:kern w:val="0"/>
                <w:sz w:val="20"/>
                <w:szCs w:val="20"/>
                <w:lang w:bidi="ar"/>
              </w:rPr>
              <w:br/>
              <w:t>Stock</w:t>
            </w:r>
          </w:p>
        </w:tc>
      </w:tr>
      <w:tr w:rsidR="0099058F" w14:paraId="4B762F1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1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F1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1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449,352,405 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19" w14:textId="77777777" w:rsidR="0099058F" w:rsidRDefault="0099058F">
            <w:pPr>
              <w:widowControl/>
              <w:jc w:val="left"/>
              <w:rPr>
                <w:rFonts w:ascii="Times New Roman" w:eastAsia="宋体" w:hAnsi="宋体" w:cs="宋体"/>
                <w:kern w:val="0"/>
                <w:sz w:val="24"/>
              </w:rPr>
            </w:pPr>
          </w:p>
        </w:tc>
      </w:tr>
      <w:tr w:rsidR="0099058F" w14:paraId="4B762F2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2F1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1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1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(19,986,868)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1F" w14:textId="77777777" w:rsidR="0099058F" w:rsidRDefault="0099058F">
            <w:pPr>
              <w:widowControl/>
              <w:jc w:val="left"/>
              <w:rPr>
                <w:rFonts w:ascii="Times New Roman" w:eastAsia="宋体" w:hAnsi="宋体" w:cs="宋体"/>
                <w:kern w:val="0"/>
                <w:sz w:val="24"/>
              </w:rPr>
            </w:pPr>
          </w:p>
        </w:tc>
      </w:tr>
      <w:tr w:rsidR="0099058F" w14:paraId="4B762F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F2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2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575,484 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25" w14:textId="77777777" w:rsidR="0099058F" w:rsidRDefault="0099058F">
            <w:pPr>
              <w:widowControl/>
              <w:jc w:val="left"/>
              <w:rPr>
                <w:rFonts w:ascii="Times New Roman" w:eastAsia="宋体" w:hAnsi="宋体" w:cs="宋体"/>
                <w:kern w:val="0"/>
                <w:sz w:val="24"/>
              </w:rPr>
            </w:pPr>
          </w:p>
        </w:tc>
      </w:tr>
      <w:tr w:rsidR="0099058F" w14:paraId="4B762F2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2F2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B762F2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2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429,941,021 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2C" w14:textId="77777777" w:rsidR="0099058F" w:rsidRDefault="0099058F">
            <w:pPr>
              <w:widowControl/>
              <w:jc w:val="left"/>
              <w:rPr>
                <w:rFonts w:ascii="Times New Roman" w:eastAsia="宋体" w:hAnsi="宋体" w:cs="宋体"/>
                <w:kern w:val="0"/>
                <w:sz w:val="24"/>
              </w:rPr>
            </w:pPr>
          </w:p>
        </w:tc>
      </w:tr>
      <w:tr w:rsidR="0099058F" w14:paraId="4B762F3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2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3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(6,904,556)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32" w14:textId="77777777" w:rsidR="0099058F" w:rsidRDefault="0099058F">
            <w:pPr>
              <w:widowControl/>
              <w:jc w:val="left"/>
              <w:rPr>
                <w:rFonts w:ascii="Times New Roman" w:eastAsia="宋体" w:hAnsi="宋体" w:cs="宋体"/>
                <w:kern w:val="0"/>
                <w:sz w:val="24"/>
              </w:rPr>
            </w:pPr>
          </w:p>
        </w:tc>
      </w:tr>
      <w:tr w:rsidR="0099058F" w14:paraId="4B762F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2F3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F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2F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2F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2F38" w14:textId="77777777" w:rsidR="0099058F" w:rsidRDefault="0099058F">
            <w:pPr>
              <w:widowControl/>
              <w:jc w:val="left"/>
              <w:rPr>
                <w:rFonts w:ascii="Times New Roman" w:eastAsia="宋体" w:hAnsi="宋体" w:cs="宋体"/>
                <w:kern w:val="0"/>
                <w:sz w:val="24"/>
              </w:rPr>
            </w:pPr>
          </w:p>
        </w:tc>
      </w:tr>
      <w:tr w:rsidR="0099058F" w14:paraId="4B762F4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3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F3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3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423,343,707 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3F" w14:textId="77777777" w:rsidR="0099058F" w:rsidRDefault="0099058F">
            <w:pPr>
              <w:widowControl/>
              <w:jc w:val="left"/>
              <w:rPr>
                <w:rFonts w:ascii="Times New Roman" w:eastAsia="宋体" w:hAnsi="宋体" w:cs="宋体"/>
                <w:kern w:val="0"/>
                <w:sz w:val="24"/>
              </w:rPr>
            </w:pPr>
          </w:p>
        </w:tc>
      </w:tr>
      <w:tr w:rsidR="0099058F" w14:paraId="4B762F4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2F4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4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4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(8,877,047)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45" w14:textId="77777777" w:rsidR="0099058F" w:rsidRDefault="0099058F">
            <w:pPr>
              <w:widowControl/>
              <w:jc w:val="left"/>
              <w:rPr>
                <w:rFonts w:ascii="Times New Roman" w:eastAsia="宋体" w:hAnsi="宋体" w:cs="宋体"/>
                <w:kern w:val="0"/>
                <w:sz w:val="24"/>
              </w:rPr>
            </w:pPr>
          </w:p>
        </w:tc>
      </w:tr>
      <w:tr w:rsidR="0099058F" w14:paraId="4B762F4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F4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4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4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204,723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4B" w14:textId="77777777" w:rsidR="0099058F" w:rsidRDefault="0099058F">
            <w:pPr>
              <w:widowControl/>
              <w:jc w:val="left"/>
              <w:rPr>
                <w:rFonts w:ascii="Times New Roman" w:eastAsia="宋体" w:hAnsi="宋体" w:cs="宋体"/>
                <w:kern w:val="0"/>
                <w:sz w:val="24"/>
              </w:rPr>
            </w:pPr>
          </w:p>
        </w:tc>
      </w:tr>
      <w:tr w:rsidR="0099058F" w14:paraId="4B762F5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2F4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F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1,012,261,159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F4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2F5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2F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414,671,383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2F52" w14:textId="77777777" w:rsidR="0099058F" w:rsidRDefault="0099058F">
            <w:pPr>
              <w:widowControl/>
              <w:jc w:val="left"/>
              <w:rPr>
                <w:rFonts w:ascii="Times New Roman" w:eastAsia="宋体" w:hAnsi="宋体" w:cs="宋体"/>
                <w:kern w:val="0"/>
                <w:sz w:val="24"/>
              </w:rPr>
            </w:pPr>
          </w:p>
        </w:tc>
      </w:tr>
    </w:tbl>
    <w:p w14:paraId="4B762F5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103</w:t>
      </w:r>
    </w:p>
    <w:p w14:paraId="4B762F55" w14:textId="77777777" w:rsidR="0099058F" w:rsidRDefault="00EB2559">
      <w:pPr>
        <w:widowControl/>
        <w:jc w:val="center"/>
      </w:pPr>
      <w:r>
        <w:rPr>
          <w:rFonts w:ascii="宋体" w:eastAsia="宋体" w:hAnsi="宋体" w:cs="宋体"/>
          <w:kern w:val="0"/>
          <w:sz w:val="24"/>
        </w:rPr>
        <w:pict w14:anchorId="4B763C5E">
          <v:rect id="_x0000_i1129" style="width:6in;height:1.5pt" o:hralign="center" o:hrstd="t" o:hr="t" fillcolor="#a0a0a0" stroked="f"/>
        </w:pict>
      </w:r>
    </w:p>
    <w:p w14:paraId="4B762F5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2F5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4B762F58"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loss (AOCI) by component for the years ended December 31, 2022, 2021 and 2020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2974"/>
        <w:gridCol w:w="37"/>
        <w:gridCol w:w="83"/>
        <w:gridCol w:w="830"/>
        <w:gridCol w:w="36"/>
        <w:gridCol w:w="36"/>
        <w:gridCol w:w="36"/>
        <w:gridCol w:w="36"/>
        <w:gridCol w:w="83"/>
        <w:gridCol w:w="812"/>
        <w:gridCol w:w="36"/>
        <w:gridCol w:w="36"/>
        <w:gridCol w:w="36"/>
        <w:gridCol w:w="36"/>
        <w:gridCol w:w="79"/>
        <w:gridCol w:w="790"/>
        <w:gridCol w:w="36"/>
        <w:gridCol w:w="53"/>
        <w:gridCol w:w="105"/>
        <w:gridCol w:w="36"/>
        <w:gridCol w:w="79"/>
        <w:gridCol w:w="995"/>
        <w:gridCol w:w="36"/>
        <w:gridCol w:w="37"/>
        <w:gridCol w:w="152"/>
        <w:gridCol w:w="36"/>
        <w:gridCol w:w="84"/>
        <w:gridCol w:w="621"/>
        <w:gridCol w:w="36"/>
      </w:tblGrid>
      <w:tr w:rsidR="0099058F" w14:paraId="4B762F77" w14:textId="77777777">
        <w:tc>
          <w:tcPr>
            <w:tcW w:w="50" w:type="pct"/>
            <w:tcBorders>
              <w:top w:val="nil"/>
              <w:left w:val="nil"/>
              <w:bottom w:val="nil"/>
              <w:right w:val="nil"/>
            </w:tcBorders>
            <w:shd w:val="clear" w:color="auto" w:fill="auto"/>
            <w:vAlign w:val="bottom"/>
          </w:tcPr>
          <w:p w14:paraId="4B762F59" w14:textId="77777777" w:rsidR="0099058F" w:rsidRDefault="0099058F">
            <w:pPr>
              <w:widowControl/>
              <w:jc w:val="left"/>
              <w:rPr>
                <w:rFonts w:ascii="Times New Roman" w:eastAsia="宋体" w:hAnsi="宋体" w:cs="宋体"/>
                <w:kern w:val="0"/>
                <w:sz w:val="24"/>
              </w:rPr>
            </w:pPr>
          </w:p>
        </w:tc>
        <w:tc>
          <w:tcPr>
            <w:tcW w:w="1798" w:type="pct"/>
            <w:tcBorders>
              <w:top w:val="nil"/>
              <w:left w:val="nil"/>
              <w:bottom w:val="nil"/>
              <w:right w:val="nil"/>
            </w:tcBorders>
            <w:shd w:val="clear" w:color="auto" w:fill="auto"/>
            <w:vAlign w:val="bottom"/>
          </w:tcPr>
          <w:p w14:paraId="4B762F5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5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5C" w14:textId="77777777" w:rsidR="0099058F" w:rsidRDefault="0099058F">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B762F5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5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5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F6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62"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2F6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5"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2F6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68" w14:textId="77777777" w:rsidR="0099058F" w:rsidRDefault="0099058F">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B762F6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6B" w14:textId="77777777" w:rsidR="0099058F" w:rsidRDefault="0099058F">
            <w:pPr>
              <w:widowControl/>
              <w:jc w:val="left"/>
              <w:rPr>
                <w:rFonts w:ascii="Times New Roman" w:eastAsia="宋体" w:hAnsi="宋体" w:cs="宋体"/>
                <w:kern w:val="0"/>
                <w:sz w:val="24"/>
              </w:rPr>
            </w:pPr>
          </w:p>
        </w:tc>
        <w:tc>
          <w:tcPr>
            <w:tcW w:w="100" w:type="pct"/>
            <w:tcBorders>
              <w:top w:val="nil"/>
              <w:left w:val="nil"/>
              <w:bottom w:val="nil"/>
              <w:right w:val="nil"/>
            </w:tcBorders>
            <w:shd w:val="clear" w:color="auto" w:fill="auto"/>
            <w:vAlign w:val="bottom"/>
          </w:tcPr>
          <w:p w14:paraId="4B762F6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6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6E" w14:textId="77777777" w:rsidR="0099058F" w:rsidRDefault="0099058F">
            <w:pPr>
              <w:widowControl/>
              <w:jc w:val="left"/>
              <w:rPr>
                <w:rFonts w:ascii="Times New Roman" w:eastAsia="宋体" w:hAnsi="宋体" w:cs="宋体"/>
                <w:kern w:val="0"/>
                <w:sz w:val="24"/>
              </w:rPr>
            </w:pPr>
          </w:p>
        </w:tc>
        <w:tc>
          <w:tcPr>
            <w:tcW w:w="630" w:type="pct"/>
            <w:tcBorders>
              <w:top w:val="nil"/>
              <w:left w:val="nil"/>
              <w:bottom w:val="nil"/>
              <w:right w:val="nil"/>
            </w:tcBorders>
            <w:shd w:val="clear" w:color="auto" w:fill="auto"/>
            <w:vAlign w:val="bottom"/>
          </w:tcPr>
          <w:p w14:paraId="4B762F6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7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71" w14:textId="77777777" w:rsidR="0099058F" w:rsidRDefault="0099058F">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4B762F7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7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2F74" w14:textId="77777777" w:rsidR="0099058F" w:rsidRDefault="0099058F">
            <w:pPr>
              <w:widowControl/>
              <w:jc w:val="left"/>
              <w:rPr>
                <w:rFonts w:ascii="Times New Roman" w:eastAsia="宋体" w:hAnsi="宋体" w:cs="宋体"/>
                <w:kern w:val="0"/>
                <w:sz w:val="24"/>
              </w:rPr>
            </w:pPr>
          </w:p>
        </w:tc>
        <w:tc>
          <w:tcPr>
            <w:tcW w:w="370" w:type="pct"/>
            <w:tcBorders>
              <w:top w:val="nil"/>
              <w:left w:val="nil"/>
              <w:bottom w:val="nil"/>
              <w:right w:val="nil"/>
            </w:tcBorders>
            <w:shd w:val="clear" w:color="auto" w:fill="auto"/>
            <w:vAlign w:val="bottom"/>
          </w:tcPr>
          <w:p w14:paraId="4B762F7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2F76" w14:textId="77777777" w:rsidR="0099058F" w:rsidRDefault="0099058F">
            <w:pPr>
              <w:widowControl/>
              <w:jc w:val="left"/>
              <w:rPr>
                <w:rFonts w:ascii="Times New Roman" w:eastAsia="宋体" w:hAnsi="宋体" w:cs="宋体"/>
                <w:kern w:val="0"/>
                <w:sz w:val="24"/>
              </w:rPr>
            </w:pPr>
          </w:p>
        </w:tc>
      </w:tr>
      <w:tr w:rsidR="0099058F" w14:paraId="4B762F8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7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7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2F8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2F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Total </w:t>
            </w:r>
            <w:r>
              <w:rPr>
                <w:rFonts w:ascii="Arial" w:eastAsia="宋体" w:hAnsi="Arial" w:cs="Arial"/>
                <w:color w:val="000000"/>
                <w:kern w:val="0"/>
                <w:sz w:val="10"/>
                <w:szCs w:val="10"/>
                <w:lang w:bidi="ar"/>
              </w:rPr>
              <w:t>(1)</w:t>
            </w:r>
          </w:p>
        </w:tc>
      </w:tr>
      <w:tr w:rsidR="0099058F" w14:paraId="4B762F9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8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8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8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F8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8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8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8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8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8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9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91" w14:textId="77777777" w:rsidR="0099058F" w:rsidRDefault="0099058F">
            <w:pPr>
              <w:widowControl/>
              <w:jc w:val="left"/>
              <w:rPr>
                <w:rFonts w:ascii="Times New Roman" w:eastAsia="宋体" w:hAnsi="宋体" w:cs="宋体"/>
                <w:kern w:val="0"/>
                <w:sz w:val="24"/>
              </w:rPr>
            </w:pPr>
          </w:p>
        </w:tc>
      </w:tr>
      <w:tr w:rsidR="0099058F" w14:paraId="4B762FA1"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B762F93"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9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9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9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9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9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9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9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(1,929)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9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2F9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A0" w14:textId="77777777" w:rsidR="0099058F" w:rsidRDefault="0099058F">
            <w:pPr>
              <w:widowControl/>
              <w:jc w:val="left"/>
              <w:rPr>
                <w:rFonts w:ascii="Times New Roman" w:eastAsia="宋体" w:hAnsi="宋体" w:cs="宋体"/>
                <w:kern w:val="0"/>
                <w:sz w:val="24"/>
              </w:rPr>
            </w:pPr>
          </w:p>
        </w:tc>
      </w:tr>
      <w:tr w:rsidR="0099058F" w14:paraId="4B762F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FA2"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A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A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A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A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A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A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FA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AE" w14:textId="77777777" w:rsidR="0099058F" w:rsidRDefault="0099058F">
            <w:pPr>
              <w:widowControl/>
              <w:jc w:val="left"/>
              <w:rPr>
                <w:rFonts w:ascii="Times New Roman" w:eastAsia="宋体" w:hAnsi="宋体" w:cs="宋体"/>
                <w:kern w:val="0"/>
                <w:sz w:val="24"/>
              </w:rPr>
            </w:pPr>
          </w:p>
        </w:tc>
      </w:tr>
      <w:tr w:rsidR="0099058F" w14:paraId="4B762FBE"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vAlign w:val="bottom"/>
          </w:tcPr>
          <w:p w14:paraId="4B762FB0"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B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B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B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B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B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B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BD" w14:textId="77777777" w:rsidR="0099058F" w:rsidRDefault="0099058F">
            <w:pPr>
              <w:widowControl/>
              <w:jc w:val="left"/>
              <w:rPr>
                <w:rFonts w:ascii="Times New Roman" w:eastAsia="宋体" w:hAnsi="宋体" w:cs="宋体"/>
                <w:kern w:val="0"/>
                <w:sz w:val="24"/>
              </w:rPr>
            </w:pPr>
          </w:p>
        </w:tc>
      </w:tr>
      <w:tr w:rsidR="0099058F" w14:paraId="4B762FC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B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C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C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B762FC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C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C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C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C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C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C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CD" w14:textId="77777777" w:rsidR="0099058F" w:rsidRDefault="0099058F">
            <w:pPr>
              <w:widowControl/>
              <w:jc w:val="left"/>
              <w:rPr>
                <w:rFonts w:ascii="Times New Roman" w:eastAsia="宋体" w:hAnsi="宋体" w:cs="宋体"/>
                <w:kern w:val="0"/>
                <w:sz w:val="24"/>
              </w:rPr>
            </w:pPr>
          </w:p>
        </w:tc>
      </w:tr>
      <w:tr w:rsidR="0099058F" w14:paraId="4B762FDD"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B762FCF"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D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D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D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D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D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2FD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DC" w14:textId="77777777" w:rsidR="0099058F" w:rsidRDefault="0099058F">
            <w:pPr>
              <w:widowControl/>
              <w:jc w:val="left"/>
              <w:rPr>
                <w:rFonts w:ascii="Times New Roman" w:eastAsia="宋体" w:hAnsi="宋体" w:cs="宋体"/>
                <w:kern w:val="0"/>
                <w:sz w:val="24"/>
              </w:rPr>
            </w:pPr>
          </w:p>
        </w:tc>
      </w:tr>
      <w:tr w:rsidR="0099058F" w14:paraId="4B762FEB" w14:textId="77777777">
        <w:tc>
          <w:tcPr>
            <w:tcW w:w="0" w:type="auto"/>
            <w:gridSpan w:val="3"/>
            <w:tcBorders>
              <w:top w:val="nil"/>
              <w:left w:val="nil"/>
              <w:bottom w:val="nil"/>
              <w:right w:val="nil"/>
            </w:tcBorders>
            <w:shd w:val="clear" w:color="auto" w:fill="CCEEFF"/>
            <w:tcMar>
              <w:top w:w="40" w:type="dxa"/>
              <w:left w:w="560" w:type="dxa"/>
              <w:bottom w:w="40" w:type="dxa"/>
              <w:right w:w="20" w:type="dxa"/>
            </w:tcMar>
            <w:vAlign w:val="bottom"/>
          </w:tcPr>
          <w:p w14:paraId="4B762FD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D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E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2F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E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2FE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2F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2FEA" w14:textId="77777777" w:rsidR="0099058F" w:rsidRDefault="0099058F">
            <w:pPr>
              <w:widowControl/>
              <w:jc w:val="left"/>
              <w:rPr>
                <w:rFonts w:ascii="Times New Roman" w:eastAsia="宋体" w:hAnsi="宋体" w:cs="宋体"/>
                <w:kern w:val="0"/>
                <w:sz w:val="24"/>
              </w:rPr>
            </w:pPr>
          </w:p>
        </w:tc>
      </w:tr>
      <w:tr w:rsidR="0099058F" w14:paraId="4B762FFA"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vAlign w:val="bottom"/>
          </w:tcPr>
          <w:p w14:paraId="4B762FEC"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E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E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F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F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F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F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F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F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5,500 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F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2FF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2FF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2FF9" w14:textId="77777777" w:rsidR="0099058F" w:rsidRDefault="0099058F">
            <w:pPr>
              <w:widowControl/>
              <w:jc w:val="left"/>
              <w:rPr>
                <w:rFonts w:ascii="Times New Roman" w:eastAsia="宋体" w:hAnsi="宋体" w:cs="宋体"/>
                <w:kern w:val="0"/>
                <w:sz w:val="24"/>
              </w:rPr>
            </w:pPr>
          </w:p>
        </w:tc>
      </w:tr>
      <w:tr w:rsidR="0099058F" w14:paraId="4B76300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2FF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2FF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2FF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2F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0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0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0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0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0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0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($11,659)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09" w14:textId="77777777" w:rsidR="0099058F" w:rsidRDefault="0099058F">
            <w:pPr>
              <w:widowControl/>
              <w:jc w:val="left"/>
              <w:rPr>
                <w:rFonts w:ascii="Times New Roman" w:eastAsia="宋体" w:hAnsi="宋体" w:cs="宋体"/>
                <w:kern w:val="0"/>
                <w:sz w:val="24"/>
              </w:rPr>
            </w:pPr>
          </w:p>
        </w:tc>
      </w:tr>
      <w:tr w:rsidR="0099058F" w14:paraId="4B76301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00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1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1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1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1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1,529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1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01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19" w14:textId="77777777" w:rsidR="0099058F" w:rsidRDefault="0099058F">
            <w:pPr>
              <w:widowControl/>
              <w:jc w:val="left"/>
              <w:rPr>
                <w:rFonts w:ascii="Times New Roman" w:eastAsia="宋体" w:hAnsi="宋体" w:cs="宋体"/>
                <w:kern w:val="0"/>
                <w:sz w:val="24"/>
              </w:rPr>
            </w:pPr>
          </w:p>
        </w:tc>
      </w:tr>
      <w:tr w:rsidR="0099058F" w14:paraId="4B76302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01B"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1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1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1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2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02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02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683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27" w14:textId="77777777" w:rsidR="0099058F" w:rsidRDefault="0099058F">
            <w:pPr>
              <w:widowControl/>
              <w:jc w:val="left"/>
              <w:rPr>
                <w:rFonts w:ascii="Times New Roman" w:eastAsia="宋体" w:hAnsi="宋体" w:cs="宋体"/>
                <w:kern w:val="0"/>
                <w:sz w:val="24"/>
              </w:rPr>
            </w:pPr>
          </w:p>
        </w:tc>
      </w:tr>
      <w:tr w:rsidR="0099058F" w14:paraId="4B76303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029"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2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2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2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2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3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3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2,202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3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03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0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2,109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037" w14:textId="77777777" w:rsidR="0099058F" w:rsidRDefault="0099058F">
            <w:pPr>
              <w:widowControl/>
              <w:jc w:val="left"/>
              <w:rPr>
                <w:rFonts w:ascii="Times New Roman" w:eastAsia="宋体" w:hAnsi="宋体" w:cs="宋体"/>
                <w:kern w:val="0"/>
                <w:sz w:val="24"/>
              </w:rPr>
            </w:pPr>
          </w:p>
        </w:tc>
      </w:tr>
      <w:tr w:rsidR="0099058F" w14:paraId="4B76304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B76303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0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03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03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0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03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03F"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0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04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042"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0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($9,359)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04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04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04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($9,550)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047" w14:textId="77777777" w:rsidR="0099058F" w:rsidRDefault="0099058F">
            <w:pPr>
              <w:widowControl/>
              <w:jc w:val="left"/>
              <w:rPr>
                <w:rFonts w:ascii="Times New Roman" w:eastAsia="宋体" w:hAnsi="宋体" w:cs="宋体"/>
                <w:kern w:val="0"/>
                <w:sz w:val="24"/>
              </w:rPr>
            </w:pPr>
          </w:p>
        </w:tc>
      </w:tr>
    </w:tbl>
    <w:p w14:paraId="4B763049"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4B76304A"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Primarily related to remeasurement of assets and benefit obligations related to the Company's pension and other </w:t>
      </w:r>
      <w:r>
        <w:rPr>
          <w:rFonts w:ascii="Arial" w:eastAsia="宋体" w:hAnsi="Arial" w:cs="Arial"/>
          <w:color w:val="000000"/>
          <w:kern w:val="0"/>
          <w:sz w:val="20"/>
          <w:szCs w:val="20"/>
          <w:lang w:bidi="ar"/>
        </w:rPr>
        <w:t>postretirement benefit plans resulting in an actuarial gain/(loss) of $1,533, $4,262 and ($1,956) (net of tax of ($22), ($32) and $111) for the years ended December 31, 2022, 2021 and 2020. See Note 16.</w:t>
      </w:r>
    </w:p>
    <w:p w14:paraId="4B76304B"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(3)    </w:t>
      </w:r>
      <w:r>
        <w:rPr>
          <w:rFonts w:ascii="Arial" w:eastAsia="宋体" w:hAnsi="Arial" w:cs="Arial"/>
          <w:color w:val="000000"/>
          <w:kern w:val="0"/>
          <w:sz w:val="20"/>
          <w:szCs w:val="20"/>
          <w:lang w:bidi="ar"/>
        </w:rPr>
        <w:t>Primarily related to amortization of actuarial</w:t>
      </w:r>
      <w:r>
        <w:rPr>
          <w:rFonts w:ascii="Arial" w:eastAsia="宋体" w:hAnsi="Arial" w:cs="Arial"/>
          <w:color w:val="000000"/>
          <w:kern w:val="0"/>
          <w:sz w:val="20"/>
          <w:szCs w:val="20"/>
          <w:lang w:bidi="ar"/>
        </w:rPr>
        <w:t xml:space="preserve"> losses for the years ended December 31, 2022, 2021 and 2020 totaling $791, $1,155 and $917 (net of tax of ($11), ($8) and ($52)), respectively. These are included in the net periodic pension cost. See Note 16.</w:t>
      </w:r>
    </w:p>
    <w:p w14:paraId="4B76304C" w14:textId="77777777" w:rsidR="0099058F" w:rsidRDefault="00EB255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(4)    </w:t>
      </w:r>
      <w:r>
        <w:rPr>
          <w:rFonts w:ascii="Arial" w:eastAsia="宋体" w:hAnsi="Arial" w:cs="Arial"/>
          <w:color w:val="000000"/>
          <w:kern w:val="0"/>
          <w:sz w:val="20"/>
          <w:szCs w:val="20"/>
          <w:lang w:bidi="ar"/>
        </w:rPr>
        <w:t xml:space="preserve">Included losses of $39 (net of tax of </w:t>
      </w:r>
      <w:r>
        <w:rPr>
          <w:rFonts w:ascii="Arial" w:eastAsia="宋体" w:hAnsi="Arial" w:cs="Arial"/>
          <w:color w:val="000000"/>
          <w:kern w:val="0"/>
          <w:sz w:val="20"/>
          <w:szCs w:val="20"/>
          <w:lang w:bidi="ar"/>
        </w:rPr>
        <w:t>($11)) from cash flow hedges reclassified to Other income, net because the forecasted transactions are probable of not occurring.</w:t>
      </w:r>
    </w:p>
    <w:p w14:paraId="4B76304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19 – Derivative Financial Instruments</w:t>
      </w:r>
    </w:p>
    <w:p w14:paraId="4B76304E"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4B76304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currency forward </w:t>
      </w:r>
      <w:r>
        <w:rPr>
          <w:rFonts w:ascii="Arial" w:eastAsia="宋体" w:hAnsi="Arial" w:cs="Arial"/>
          <w:color w:val="000000"/>
          <w:kern w:val="0"/>
          <w:sz w:val="20"/>
          <w:szCs w:val="20"/>
          <w:lang w:bidi="ar"/>
        </w:rPr>
        <w:t>contracts, commodity swaps and commodity purchase contracts. We use foreign currency forward contracts to manage currency risk associated with certain transactions, specifically forecasted sales and purchases made in foreign currencies. Our foreign currenc</w:t>
      </w:r>
      <w:r>
        <w:rPr>
          <w:rFonts w:ascii="Arial" w:eastAsia="宋体" w:hAnsi="Arial" w:cs="Arial"/>
          <w:color w:val="000000"/>
          <w:kern w:val="0"/>
          <w:sz w:val="20"/>
          <w:szCs w:val="20"/>
          <w:lang w:bidi="ar"/>
        </w:rPr>
        <w:t>y contracts hedge forecasted transactions through 2031. We use commodity derivatives, such as fixed-price purchase commitments and swaps to hedge against potentially unfavorable price changes for commodities used in production. Our commodity contracts hedg</w:t>
      </w:r>
      <w:r>
        <w:rPr>
          <w:rFonts w:ascii="Arial" w:eastAsia="宋体" w:hAnsi="Arial" w:cs="Arial"/>
          <w:color w:val="000000"/>
          <w:kern w:val="0"/>
          <w:sz w:val="20"/>
          <w:szCs w:val="20"/>
          <w:lang w:bidi="ar"/>
        </w:rPr>
        <w:t>e forecasted transactions through 2029.</w:t>
      </w:r>
    </w:p>
    <w:p w14:paraId="4B76305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104</w:t>
      </w:r>
    </w:p>
    <w:p w14:paraId="4B763051" w14:textId="77777777" w:rsidR="0099058F" w:rsidRDefault="00EB2559">
      <w:pPr>
        <w:widowControl/>
        <w:jc w:val="center"/>
      </w:pPr>
      <w:r>
        <w:rPr>
          <w:rFonts w:ascii="宋体" w:eastAsia="宋体" w:hAnsi="宋体" w:cs="宋体"/>
          <w:kern w:val="0"/>
          <w:sz w:val="24"/>
        </w:rPr>
        <w:pict w14:anchorId="4B763C5F">
          <v:rect id="_x0000_i1130" style="width:6in;height:1.5pt" o:hralign="center" o:hrstd="t" o:hr="t" fillcolor="#a0a0a0" stroked="f"/>
        </w:pict>
      </w:r>
    </w:p>
    <w:p w14:paraId="4B76305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053" w14:textId="77777777" w:rsidR="0099058F" w:rsidRDefault="00EB255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4B76305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w:t>
      </w:r>
      <w:r>
        <w:rPr>
          <w:rFonts w:ascii="Arial" w:eastAsia="宋体" w:hAnsi="Arial" w:cs="Arial"/>
          <w:color w:val="000000"/>
          <w:kern w:val="0"/>
          <w:sz w:val="20"/>
          <w:szCs w:val="20"/>
          <w:lang w:bidi="ar"/>
        </w:rPr>
        <w:t>tered into agreements to purchase and sell aluminum to address long-term strategic sourcing objectives and non-U.S. business requirements. These agreements are derivative instruments for accounting purposes. The quantities of aluminum in these agreements o</w:t>
      </w:r>
      <w:r>
        <w:rPr>
          <w:rFonts w:ascii="Arial" w:eastAsia="宋体" w:hAnsi="Arial" w:cs="Arial"/>
          <w:color w:val="000000"/>
          <w:kern w:val="0"/>
          <w:sz w:val="20"/>
          <w:szCs w:val="20"/>
          <w:lang w:bidi="ar"/>
        </w:rPr>
        <w:t>ffset and are priced at prevailing market prices. We also hold certain foreign currency forward contracts and commodity swaps which do not qualify for hedge accounting treatment.</w:t>
      </w:r>
    </w:p>
    <w:p w14:paraId="4B76305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4B763056"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notional amounts and fair values of deri</w:t>
      </w:r>
      <w:r>
        <w:rPr>
          <w:rFonts w:ascii="Arial" w:eastAsia="宋体" w:hAnsi="Arial" w:cs="Arial"/>
          <w:color w:val="000000"/>
          <w:kern w:val="0"/>
          <w:sz w:val="20"/>
          <w:szCs w:val="20"/>
          <w:lang w:bidi="ar"/>
        </w:rPr>
        <w:t>vative instruments in the Consolidated Statements of Financial Position as of December 31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1"/>
        <w:gridCol w:w="3827"/>
        <w:gridCol w:w="38"/>
        <w:gridCol w:w="81"/>
        <w:gridCol w:w="607"/>
        <w:gridCol w:w="37"/>
        <w:gridCol w:w="37"/>
        <w:gridCol w:w="37"/>
        <w:gridCol w:w="36"/>
        <w:gridCol w:w="81"/>
        <w:gridCol w:w="607"/>
        <w:gridCol w:w="36"/>
        <w:gridCol w:w="70"/>
        <w:gridCol w:w="499"/>
        <w:gridCol w:w="37"/>
        <w:gridCol w:w="37"/>
        <w:gridCol w:w="42"/>
        <w:gridCol w:w="37"/>
        <w:gridCol w:w="70"/>
        <w:gridCol w:w="533"/>
        <w:gridCol w:w="36"/>
        <w:gridCol w:w="73"/>
        <w:gridCol w:w="571"/>
        <w:gridCol w:w="37"/>
        <w:gridCol w:w="37"/>
        <w:gridCol w:w="37"/>
        <w:gridCol w:w="36"/>
        <w:gridCol w:w="60"/>
        <w:gridCol w:w="576"/>
        <w:gridCol w:w="36"/>
      </w:tblGrid>
      <w:tr w:rsidR="0099058F" w14:paraId="4B763075" w14:textId="77777777">
        <w:tc>
          <w:tcPr>
            <w:tcW w:w="50" w:type="pct"/>
            <w:tcBorders>
              <w:top w:val="nil"/>
              <w:left w:val="nil"/>
              <w:bottom w:val="nil"/>
              <w:right w:val="nil"/>
            </w:tcBorders>
            <w:shd w:val="clear" w:color="auto" w:fill="auto"/>
            <w:vAlign w:val="bottom"/>
          </w:tcPr>
          <w:p w14:paraId="4B763057" w14:textId="77777777" w:rsidR="0099058F" w:rsidRDefault="0099058F">
            <w:pPr>
              <w:widowControl/>
              <w:jc w:val="left"/>
              <w:rPr>
                <w:rFonts w:ascii="Times New Roman" w:eastAsia="宋体" w:hAnsi="宋体" w:cs="宋体"/>
                <w:kern w:val="0"/>
                <w:sz w:val="24"/>
              </w:rPr>
            </w:pPr>
          </w:p>
        </w:tc>
        <w:tc>
          <w:tcPr>
            <w:tcW w:w="2313" w:type="pct"/>
            <w:tcBorders>
              <w:top w:val="nil"/>
              <w:left w:val="nil"/>
              <w:bottom w:val="nil"/>
              <w:right w:val="nil"/>
            </w:tcBorders>
            <w:shd w:val="clear" w:color="auto" w:fill="auto"/>
            <w:vAlign w:val="bottom"/>
          </w:tcPr>
          <w:p w14:paraId="4B76305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5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5A"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05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5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5D"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05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5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60"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06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63" w14:textId="77777777" w:rsidR="0099058F" w:rsidRDefault="0099058F">
            <w:pPr>
              <w:widowControl/>
              <w:jc w:val="left"/>
              <w:rPr>
                <w:rFonts w:ascii="Times New Roman" w:eastAsia="宋体" w:hAnsi="宋体" w:cs="宋体"/>
                <w:kern w:val="0"/>
                <w:sz w:val="24"/>
              </w:rPr>
            </w:pPr>
          </w:p>
        </w:tc>
        <w:tc>
          <w:tcPr>
            <w:tcW w:w="346" w:type="pct"/>
            <w:tcBorders>
              <w:top w:val="nil"/>
              <w:left w:val="nil"/>
              <w:bottom w:val="nil"/>
              <w:right w:val="nil"/>
            </w:tcBorders>
            <w:shd w:val="clear" w:color="auto" w:fill="auto"/>
            <w:vAlign w:val="bottom"/>
          </w:tcPr>
          <w:p w14:paraId="4B76306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06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69" w14:textId="77777777" w:rsidR="0099058F" w:rsidRDefault="0099058F">
            <w:pPr>
              <w:widowControl/>
              <w:jc w:val="left"/>
              <w:rPr>
                <w:rFonts w:ascii="Times New Roman" w:eastAsia="宋体" w:hAnsi="宋体" w:cs="宋体"/>
                <w:kern w:val="0"/>
                <w:sz w:val="24"/>
              </w:rPr>
            </w:pPr>
          </w:p>
        </w:tc>
        <w:tc>
          <w:tcPr>
            <w:tcW w:w="346" w:type="pct"/>
            <w:tcBorders>
              <w:top w:val="nil"/>
              <w:left w:val="nil"/>
              <w:bottom w:val="nil"/>
              <w:right w:val="nil"/>
            </w:tcBorders>
            <w:shd w:val="clear" w:color="auto" w:fill="auto"/>
            <w:vAlign w:val="bottom"/>
          </w:tcPr>
          <w:p w14:paraId="4B76306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6C" w14:textId="77777777" w:rsidR="0099058F" w:rsidRDefault="0099058F">
            <w:pPr>
              <w:widowControl/>
              <w:jc w:val="left"/>
              <w:rPr>
                <w:rFonts w:ascii="Times New Roman" w:eastAsia="宋体" w:hAnsi="宋体" w:cs="宋体"/>
                <w:kern w:val="0"/>
                <w:sz w:val="24"/>
              </w:rPr>
            </w:pPr>
          </w:p>
        </w:tc>
        <w:tc>
          <w:tcPr>
            <w:tcW w:w="363" w:type="pct"/>
            <w:tcBorders>
              <w:top w:val="nil"/>
              <w:left w:val="nil"/>
              <w:bottom w:val="nil"/>
              <w:right w:val="nil"/>
            </w:tcBorders>
            <w:shd w:val="clear" w:color="auto" w:fill="auto"/>
            <w:vAlign w:val="bottom"/>
          </w:tcPr>
          <w:p w14:paraId="4B76306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6F"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07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7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072" w14:textId="77777777" w:rsidR="0099058F" w:rsidRDefault="0099058F">
            <w:pPr>
              <w:widowControl/>
              <w:jc w:val="left"/>
              <w:rPr>
                <w:rFonts w:ascii="Times New Roman" w:eastAsia="宋体" w:hAnsi="宋体" w:cs="宋体"/>
                <w:kern w:val="0"/>
                <w:sz w:val="24"/>
              </w:rPr>
            </w:pPr>
          </w:p>
        </w:tc>
        <w:tc>
          <w:tcPr>
            <w:tcW w:w="363" w:type="pct"/>
            <w:tcBorders>
              <w:top w:val="nil"/>
              <w:left w:val="nil"/>
              <w:bottom w:val="nil"/>
              <w:right w:val="nil"/>
            </w:tcBorders>
            <w:shd w:val="clear" w:color="auto" w:fill="auto"/>
            <w:vAlign w:val="bottom"/>
          </w:tcPr>
          <w:p w14:paraId="4B76307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074" w14:textId="77777777" w:rsidR="0099058F" w:rsidRDefault="0099058F">
            <w:pPr>
              <w:widowControl/>
              <w:jc w:val="left"/>
              <w:rPr>
                <w:rFonts w:ascii="Times New Roman" w:eastAsia="宋体" w:hAnsi="宋体" w:cs="宋体"/>
                <w:kern w:val="0"/>
                <w:sz w:val="24"/>
              </w:rPr>
            </w:pPr>
          </w:p>
        </w:tc>
      </w:tr>
      <w:tr w:rsidR="0099058F" w14:paraId="4B76307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076"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307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Notional</w:t>
            </w:r>
          </w:p>
          <w:p w14:paraId="4B76307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 amounts</w:t>
            </w:r>
            <w:r>
              <w:rPr>
                <w:rFonts w:ascii="Arial" w:eastAsia="宋体" w:hAnsi="Arial" w:cs="Arial"/>
                <w:color w:val="000000"/>
                <w:kern w:val="0"/>
                <w:sz w:val="13"/>
                <w:szCs w:val="13"/>
                <w:lang w:bidi="ar"/>
              </w:rPr>
              <w:t>(1)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307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307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Accrued</w:t>
            </w:r>
            <w:r>
              <w:rPr>
                <w:rFonts w:ascii="Arial" w:eastAsia="宋体" w:hAnsi="Arial" w:cs="Arial"/>
                <w:color w:val="000000"/>
                <w:kern w:val="0"/>
                <w:sz w:val="20"/>
                <w:szCs w:val="20"/>
                <w:lang w:bidi="ar"/>
              </w:rPr>
              <w:br/>
              <w:t>liabilities</w:t>
            </w:r>
          </w:p>
        </w:tc>
      </w:tr>
      <w:tr w:rsidR="0099058F" w14:paraId="4B76308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07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07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08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08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0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309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08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Derivatives designated as hedging </w:t>
            </w:r>
            <w:r>
              <w:rPr>
                <w:rFonts w:ascii="Arial" w:eastAsia="宋体" w:hAnsi="Arial" w:cs="Arial"/>
                <w:color w:val="000000"/>
                <w:kern w:val="0"/>
                <w:sz w:val="20"/>
                <w:szCs w:val="20"/>
                <w:lang w:bidi="ar"/>
              </w:rPr>
              <w:t>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8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90" w14:textId="77777777" w:rsidR="0099058F" w:rsidRDefault="0099058F">
            <w:pPr>
              <w:widowControl/>
              <w:jc w:val="left"/>
              <w:rPr>
                <w:rFonts w:ascii="Times New Roman" w:eastAsia="宋体" w:hAnsi="宋体" w:cs="宋体"/>
                <w:kern w:val="0"/>
                <w:sz w:val="24"/>
              </w:rPr>
            </w:pPr>
          </w:p>
        </w:tc>
      </w:tr>
      <w:tr w:rsidR="0099058F" w14:paraId="4B7630A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09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9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9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9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9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9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9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A1" w14:textId="77777777" w:rsidR="0099058F" w:rsidRDefault="0099058F">
            <w:pPr>
              <w:widowControl/>
              <w:jc w:val="left"/>
              <w:rPr>
                <w:rFonts w:ascii="Times New Roman" w:eastAsia="宋体" w:hAnsi="宋体" w:cs="宋体"/>
                <w:kern w:val="0"/>
                <w:sz w:val="24"/>
              </w:rPr>
            </w:pPr>
          </w:p>
        </w:tc>
      </w:tr>
      <w:tr w:rsidR="0099058F" w14:paraId="4B7630AD" w14:textId="77777777">
        <w:trPr>
          <w:hidden/>
        </w:trPr>
        <w:tc>
          <w:tcPr>
            <w:tcW w:w="0" w:type="auto"/>
            <w:gridSpan w:val="3"/>
            <w:tcBorders>
              <w:top w:val="nil"/>
              <w:left w:val="nil"/>
              <w:bottom w:val="nil"/>
              <w:right w:val="nil"/>
            </w:tcBorders>
            <w:shd w:val="clear" w:color="auto" w:fill="auto"/>
            <w:vAlign w:val="bottom"/>
          </w:tcPr>
          <w:p w14:paraId="4B7630A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0AC" w14:textId="77777777" w:rsidR="0099058F" w:rsidRDefault="0099058F">
            <w:pPr>
              <w:widowControl/>
              <w:jc w:val="left"/>
              <w:rPr>
                <w:rFonts w:ascii="Times New Roman" w:eastAsia="宋体" w:hAnsi="宋体" w:cs="宋体"/>
                <w:vanish/>
                <w:kern w:val="0"/>
                <w:sz w:val="24"/>
              </w:rPr>
            </w:pPr>
          </w:p>
        </w:tc>
      </w:tr>
      <w:tr w:rsidR="0099058F" w14:paraId="4B7630B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30A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B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3"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B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8"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B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B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BD" w14:textId="77777777" w:rsidR="0099058F" w:rsidRDefault="0099058F">
            <w:pPr>
              <w:widowControl/>
              <w:jc w:val="right"/>
              <w:rPr>
                <w:rFonts w:ascii="Times New Roman" w:eastAsia="宋体" w:hAnsi="宋体" w:cs="宋体"/>
                <w:kern w:val="0"/>
                <w:sz w:val="24"/>
              </w:rPr>
            </w:pPr>
          </w:p>
        </w:tc>
      </w:tr>
      <w:tr w:rsidR="0099058F" w14:paraId="4B7630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0BF"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C8" w14:textId="77777777" w:rsidR="0099058F" w:rsidRDefault="0099058F">
            <w:pPr>
              <w:widowControl/>
              <w:jc w:val="left"/>
              <w:rPr>
                <w:rFonts w:ascii="Times New Roman" w:eastAsia="宋体" w:hAnsi="宋体" w:cs="宋体"/>
                <w:kern w:val="0"/>
                <w:sz w:val="24"/>
              </w:rPr>
            </w:pPr>
          </w:p>
        </w:tc>
      </w:tr>
      <w:tr w:rsidR="0099058F" w14:paraId="4B7630D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30C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C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CF"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D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D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D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D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0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0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0D9" w14:textId="77777777" w:rsidR="0099058F" w:rsidRDefault="0099058F">
            <w:pPr>
              <w:widowControl/>
              <w:jc w:val="right"/>
              <w:rPr>
                <w:rFonts w:ascii="Times New Roman" w:eastAsia="宋体" w:hAnsi="宋体" w:cs="宋体"/>
                <w:kern w:val="0"/>
                <w:sz w:val="24"/>
              </w:rPr>
            </w:pPr>
          </w:p>
        </w:tc>
      </w:tr>
      <w:tr w:rsidR="0099058F" w14:paraId="4B7630E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0D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D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D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E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0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E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E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0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0E9" w14:textId="77777777" w:rsidR="0099058F" w:rsidRDefault="0099058F">
            <w:pPr>
              <w:widowControl/>
              <w:jc w:val="right"/>
              <w:rPr>
                <w:rFonts w:ascii="Times New Roman" w:eastAsia="宋体" w:hAnsi="宋体" w:cs="宋体"/>
                <w:kern w:val="0"/>
                <w:sz w:val="24"/>
              </w:rPr>
            </w:pPr>
          </w:p>
        </w:tc>
      </w:tr>
      <w:tr w:rsidR="0099058F" w14:paraId="4B7630F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0E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E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E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F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F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F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F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F5"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F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0F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0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0FA" w14:textId="77777777" w:rsidR="0099058F" w:rsidRDefault="0099058F">
            <w:pPr>
              <w:widowControl/>
              <w:jc w:val="left"/>
              <w:rPr>
                <w:rFonts w:ascii="Times New Roman" w:eastAsia="宋体" w:hAnsi="宋体" w:cs="宋体"/>
                <w:kern w:val="0"/>
                <w:sz w:val="24"/>
              </w:rPr>
            </w:pPr>
          </w:p>
        </w:tc>
      </w:tr>
      <w:tr w:rsidR="0099058F" w14:paraId="4B76310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0F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F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F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0F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0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0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04"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0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0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09" w14:textId="77777777" w:rsidR="0099058F" w:rsidRDefault="0099058F">
            <w:pPr>
              <w:widowControl/>
              <w:jc w:val="right"/>
              <w:rPr>
                <w:rFonts w:ascii="Times New Roman" w:eastAsia="宋体" w:hAnsi="宋体" w:cs="宋体"/>
                <w:kern w:val="0"/>
                <w:sz w:val="24"/>
              </w:rPr>
            </w:pPr>
          </w:p>
        </w:tc>
      </w:tr>
      <w:tr w:rsidR="0099058F" w14:paraId="4B76311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310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1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1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10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1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11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11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1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11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1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11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116"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11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118" w14:textId="77777777" w:rsidR="0099058F" w:rsidRDefault="0099058F">
            <w:pPr>
              <w:widowControl/>
              <w:jc w:val="left"/>
              <w:rPr>
                <w:rFonts w:ascii="Times New Roman" w:eastAsia="宋体" w:hAnsi="宋体" w:cs="宋体"/>
                <w:kern w:val="0"/>
                <w:sz w:val="24"/>
              </w:rPr>
            </w:pPr>
          </w:p>
        </w:tc>
      </w:tr>
    </w:tbl>
    <w:p w14:paraId="4B76311A" w14:textId="77777777" w:rsidR="0099058F" w:rsidRDefault="00EB2559">
      <w:pPr>
        <w:widowControl/>
        <w:spacing w:after="180"/>
        <w:ind w:left="360" w:hanging="360"/>
        <w:jc w:val="left"/>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4B76311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recognized in Other com</w:t>
      </w:r>
      <w:r>
        <w:rPr>
          <w:rFonts w:ascii="Arial" w:eastAsia="宋体" w:hAnsi="Arial" w:cs="Arial"/>
          <w:color w:val="000000"/>
          <w:kern w:val="0"/>
          <w:sz w:val="20"/>
          <w:szCs w:val="20"/>
          <w:lang w:bidi="ar"/>
        </w:rPr>
        <w:t>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544"/>
        <w:gridCol w:w="37"/>
        <w:gridCol w:w="68"/>
        <w:gridCol w:w="619"/>
        <w:gridCol w:w="36"/>
        <w:gridCol w:w="36"/>
        <w:gridCol w:w="36"/>
        <w:gridCol w:w="36"/>
        <w:gridCol w:w="56"/>
        <w:gridCol w:w="626"/>
        <w:gridCol w:w="36"/>
        <w:gridCol w:w="36"/>
        <w:gridCol w:w="36"/>
        <w:gridCol w:w="36"/>
        <w:gridCol w:w="36"/>
      </w:tblGrid>
      <w:tr w:rsidR="0099058F" w14:paraId="4B76312C" w14:textId="77777777">
        <w:tc>
          <w:tcPr>
            <w:tcW w:w="50" w:type="pct"/>
            <w:tcBorders>
              <w:top w:val="nil"/>
              <w:left w:val="nil"/>
              <w:bottom w:val="nil"/>
              <w:right w:val="nil"/>
            </w:tcBorders>
            <w:shd w:val="clear" w:color="auto" w:fill="auto"/>
            <w:vAlign w:val="bottom"/>
          </w:tcPr>
          <w:p w14:paraId="4B76311C" w14:textId="77777777" w:rsidR="0099058F" w:rsidRDefault="0099058F">
            <w:pPr>
              <w:widowControl/>
              <w:jc w:val="left"/>
              <w:rPr>
                <w:rFonts w:ascii="Times New Roman" w:eastAsia="宋体" w:hAnsi="宋体" w:cs="宋体"/>
                <w:kern w:val="0"/>
                <w:sz w:val="24"/>
              </w:rPr>
            </w:pPr>
          </w:p>
        </w:tc>
        <w:tc>
          <w:tcPr>
            <w:tcW w:w="4004" w:type="pct"/>
            <w:tcBorders>
              <w:top w:val="nil"/>
              <w:left w:val="nil"/>
              <w:bottom w:val="single" w:sz="8" w:space="0" w:color="000000"/>
              <w:right w:val="nil"/>
            </w:tcBorders>
            <w:shd w:val="clear" w:color="auto" w:fill="auto"/>
            <w:vAlign w:val="bottom"/>
          </w:tcPr>
          <w:p w14:paraId="4B76311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311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1F" w14:textId="77777777" w:rsidR="0099058F" w:rsidRDefault="0099058F">
            <w:pPr>
              <w:widowControl/>
              <w:jc w:val="left"/>
              <w:rPr>
                <w:rFonts w:ascii="Times New Roman" w:eastAsia="宋体" w:hAnsi="宋体" w:cs="宋体"/>
                <w:kern w:val="0"/>
                <w:sz w:val="24"/>
              </w:rPr>
            </w:pPr>
          </w:p>
        </w:tc>
        <w:tc>
          <w:tcPr>
            <w:tcW w:w="394" w:type="pct"/>
            <w:tcBorders>
              <w:top w:val="nil"/>
              <w:left w:val="nil"/>
              <w:bottom w:val="single" w:sz="8" w:space="0" w:color="000000"/>
              <w:right w:val="nil"/>
            </w:tcBorders>
            <w:shd w:val="clear" w:color="auto" w:fill="auto"/>
            <w:vAlign w:val="bottom"/>
          </w:tcPr>
          <w:p w14:paraId="4B76312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312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2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B76312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312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25" w14:textId="77777777" w:rsidR="0099058F" w:rsidRDefault="0099058F">
            <w:pPr>
              <w:widowControl/>
              <w:jc w:val="left"/>
              <w:rPr>
                <w:rFonts w:ascii="Times New Roman" w:eastAsia="宋体" w:hAnsi="宋体" w:cs="宋体"/>
                <w:kern w:val="0"/>
                <w:sz w:val="24"/>
              </w:rPr>
            </w:pPr>
          </w:p>
        </w:tc>
        <w:tc>
          <w:tcPr>
            <w:tcW w:w="394" w:type="pct"/>
            <w:tcBorders>
              <w:top w:val="nil"/>
              <w:left w:val="nil"/>
              <w:bottom w:val="single" w:sz="8" w:space="0" w:color="000000"/>
              <w:right w:val="nil"/>
            </w:tcBorders>
            <w:shd w:val="clear" w:color="auto" w:fill="auto"/>
            <w:vAlign w:val="bottom"/>
          </w:tcPr>
          <w:p w14:paraId="4B76312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B763127"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28"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29"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2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2B" w14:textId="77777777" w:rsidR="0099058F" w:rsidRDefault="0099058F">
            <w:pPr>
              <w:widowControl/>
              <w:jc w:val="left"/>
              <w:rPr>
                <w:rFonts w:ascii="Times New Roman" w:eastAsia="宋体" w:hAnsi="宋体" w:cs="宋体"/>
                <w:vanish/>
                <w:kern w:val="0"/>
                <w:sz w:val="24"/>
              </w:rPr>
            </w:pPr>
          </w:p>
        </w:tc>
      </w:tr>
      <w:tr w:rsidR="0099058F" w14:paraId="4B76313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2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December 31,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1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4B76313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4" w14:textId="77777777" w:rsidR="0099058F" w:rsidRDefault="0099058F">
            <w:pPr>
              <w:widowControl/>
              <w:jc w:val="left"/>
              <w:rPr>
                <w:rFonts w:ascii="Times New Roman" w:eastAsia="宋体" w:hAnsi="宋体" w:cs="宋体"/>
                <w:vanish/>
                <w:kern w:val="0"/>
                <w:sz w:val="24"/>
              </w:rPr>
            </w:pPr>
          </w:p>
        </w:tc>
      </w:tr>
      <w:tr w:rsidR="0099058F" w14:paraId="4B76313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136"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13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13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139"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3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B"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3D" w14:textId="77777777" w:rsidR="0099058F" w:rsidRDefault="0099058F">
            <w:pPr>
              <w:widowControl/>
              <w:jc w:val="left"/>
              <w:rPr>
                <w:rFonts w:ascii="Times New Roman" w:eastAsia="宋体" w:hAnsi="宋体" w:cs="宋体"/>
                <w:vanish/>
                <w:kern w:val="0"/>
                <w:sz w:val="24"/>
              </w:rPr>
            </w:pPr>
          </w:p>
        </w:tc>
      </w:tr>
      <w:tr w:rsidR="0099058F" w14:paraId="4B76314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313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14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1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4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1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14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4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46"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4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48" w14:textId="77777777" w:rsidR="0099058F" w:rsidRDefault="0099058F">
            <w:pPr>
              <w:widowControl/>
              <w:jc w:val="left"/>
              <w:rPr>
                <w:rFonts w:ascii="Times New Roman" w:eastAsia="宋体" w:hAnsi="宋体" w:cs="宋体"/>
                <w:vanish/>
                <w:kern w:val="0"/>
                <w:sz w:val="24"/>
              </w:rPr>
            </w:pPr>
          </w:p>
        </w:tc>
      </w:tr>
      <w:tr w:rsidR="0099058F" w14:paraId="4B763154" w14:textId="77777777">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vAlign w:val="bottom"/>
          </w:tcPr>
          <w:p w14:paraId="4B76314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314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314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B76314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B7631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314F"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50"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5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52"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153" w14:textId="77777777" w:rsidR="0099058F" w:rsidRDefault="0099058F">
            <w:pPr>
              <w:widowControl/>
              <w:jc w:val="left"/>
              <w:rPr>
                <w:rFonts w:ascii="Times New Roman" w:eastAsia="宋体" w:hAnsi="宋体" w:cs="宋体"/>
                <w:vanish/>
                <w:kern w:val="0"/>
                <w:sz w:val="24"/>
              </w:rPr>
            </w:pPr>
          </w:p>
        </w:tc>
      </w:tr>
    </w:tbl>
    <w:p w14:paraId="4B76315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687"/>
        <w:gridCol w:w="38"/>
        <w:gridCol w:w="63"/>
        <w:gridCol w:w="637"/>
        <w:gridCol w:w="36"/>
        <w:gridCol w:w="36"/>
        <w:gridCol w:w="36"/>
        <w:gridCol w:w="36"/>
        <w:gridCol w:w="58"/>
        <w:gridCol w:w="610"/>
        <w:gridCol w:w="36"/>
      </w:tblGrid>
      <w:tr w:rsidR="0099058F" w14:paraId="4B763162" w14:textId="77777777">
        <w:trPr>
          <w:jc w:val="center"/>
        </w:trPr>
        <w:tc>
          <w:tcPr>
            <w:tcW w:w="50" w:type="pct"/>
            <w:tcBorders>
              <w:top w:val="nil"/>
              <w:left w:val="nil"/>
              <w:bottom w:val="nil"/>
              <w:right w:val="nil"/>
            </w:tcBorders>
            <w:shd w:val="clear" w:color="auto" w:fill="auto"/>
            <w:vAlign w:val="bottom"/>
          </w:tcPr>
          <w:p w14:paraId="4B763156" w14:textId="77777777" w:rsidR="0099058F" w:rsidRDefault="0099058F">
            <w:pPr>
              <w:widowControl/>
              <w:jc w:val="left"/>
              <w:rPr>
                <w:rFonts w:ascii="Times New Roman" w:eastAsia="宋体" w:hAnsi="宋体" w:cs="宋体"/>
                <w:kern w:val="0"/>
                <w:sz w:val="24"/>
              </w:rPr>
            </w:pPr>
          </w:p>
        </w:tc>
        <w:tc>
          <w:tcPr>
            <w:tcW w:w="4021" w:type="pct"/>
            <w:tcBorders>
              <w:top w:val="nil"/>
              <w:left w:val="nil"/>
              <w:bottom w:val="nil"/>
              <w:right w:val="nil"/>
            </w:tcBorders>
            <w:shd w:val="clear" w:color="auto" w:fill="auto"/>
            <w:vAlign w:val="bottom"/>
          </w:tcPr>
          <w:p w14:paraId="4B76315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5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59" w14:textId="77777777" w:rsidR="0099058F" w:rsidRDefault="0099058F">
            <w:pPr>
              <w:widowControl/>
              <w:jc w:val="left"/>
              <w:rPr>
                <w:rFonts w:ascii="Times New Roman" w:eastAsia="宋体" w:hAnsi="宋体" w:cs="宋体"/>
                <w:kern w:val="0"/>
                <w:sz w:val="24"/>
              </w:rPr>
            </w:pPr>
          </w:p>
        </w:tc>
        <w:tc>
          <w:tcPr>
            <w:tcW w:w="394" w:type="pct"/>
            <w:tcBorders>
              <w:top w:val="nil"/>
              <w:left w:val="nil"/>
              <w:bottom w:val="nil"/>
              <w:right w:val="nil"/>
            </w:tcBorders>
            <w:shd w:val="clear" w:color="auto" w:fill="auto"/>
            <w:vAlign w:val="bottom"/>
          </w:tcPr>
          <w:p w14:paraId="4B76315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5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5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15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5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5F" w14:textId="77777777" w:rsidR="0099058F" w:rsidRDefault="0099058F">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B76316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61" w14:textId="77777777" w:rsidR="0099058F" w:rsidRDefault="0099058F">
            <w:pPr>
              <w:widowControl/>
              <w:jc w:val="left"/>
              <w:rPr>
                <w:rFonts w:ascii="Times New Roman" w:eastAsia="宋体" w:hAnsi="宋体" w:cs="宋体"/>
                <w:kern w:val="0"/>
                <w:sz w:val="24"/>
              </w:rPr>
            </w:pPr>
          </w:p>
        </w:tc>
      </w:tr>
      <w:tr w:rsidR="0099058F" w14:paraId="4B76316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16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1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16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16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316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16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Foreign </w:t>
            </w:r>
            <w:r>
              <w:rPr>
                <w:rFonts w:ascii="Arial" w:eastAsia="宋体" w:hAnsi="Arial" w:cs="Arial"/>
                <w:color w:val="000000"/>
                <w:kern w:val="0"/>
                <w:sz w:val="20"/>
                <w:szCs w:val="20"/>
                <w:lang w:bidi="ar"/>
              </w:rPr>
              <w:t>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6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6B" w14:textId="77777777" w:rsidR="0099058F" w:rsidRDefault="0099058F">
            <w:pPr>
              <w:widowControl/>
              <w:jc w:val="left"/>
              <w:rPr>
                <w:rFonts w:ascii="Times New Roman" w:eastAsia="宋体" w:hAnsi="宋体" w:cs="宋体"/>
                <w:kern w:val="0"/>
                <w:sz w:val="24"/>
              </w:rPr>
            </w:pPr>
          </w:p>
        </w:tc>
      </w:tr>
      <w:tr w:rsidR="0099058F" w14:paraId="4B76317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316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71" w14:textId="77777777" w:rsidR="0099058F" w:rsidRDefault="0099058F">
            <w:pPr>
              <w:widowControl/>
              <w:jc w:val="left"/>
              <w:rPr>
                <w:rFonts w:ascii="Times New Roman" w:eastAsia="宋体" w:hAnsi="宋体" w:cs="宋体"/>
                <w:kern w:val="0"/>
                <w:sz w:val="24"/>
              </w:rPr>
            </w:pPr>
          </w:p>
        </w:tc>
      </w:tr>
      <w:tr w:rsidR="0099058F" w14:paraId="4B76317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317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1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17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7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1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178" w14:textId="77777777" w:rsidR="0099058F" w:rsidRDefault="0099058F">
            <w:pPr>
              <w:widowControl/>
              <w:jc w:val="left"/>
              <w:rPr>
                <w:rFonts w:ascii="Times New Roman" w:eastAsia="宋体" w:hAnsi="宋体" w:cs="宋体"/>
                <w:kern w:val="0"/>
                <w:sz w:val="24"/>
              </w:rPr>
            </w:pPr>
          </w:p>
        </w:tc>
      </w:tr>
      <w:tr w:rsidR="0099058F" w14:paraId="4B76318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317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317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7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7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B76317F" w14:textId="77777777" w:rsidR="0099058F" w:rsidRDefault="0099058F">
            <w:pPr>
              <w:widowControl/>
              <w:jc w:val="right"/>
              <w:rPr>
                <w:rFonts w:ascii="Times New Roman" w:eastAsia="宋体" w:hAnsi="宋体" w:cs="宋体"/>
                <w:kern w:val="0"/>
                <w:sz w:val="24"/>
              </w:rPr>
            </w:pPr>
          </w:p>
        </w:tc>
      </w:tr>
      <w:tr w:rsidR="0099058F" w14:paraId="4B76318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18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8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8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84" w14:textId="77777777" w:rsidR="0099058F" w:rsidRDefault="0099058F">
            <w:pPr>
              <w:widowControl/>
              <w:jc w:val="left"/>
              <w:rPr>
                <w:rFonts w:ascii="Times New Roman" w:eastAsia="宋体" w:hAnsi="宋体" w:cs="宋体"/>
                <w:kern w:val="0"/>
                <w:sz w:val="24"/>
              </w:rPr>
            </w:pPr>
          </w:p>
        </w:tc>
      </w:tr>
      <w:tr w:rsidR="0099058F" w14:paraId="4B76318A" w14:textId="77777777">
        <w:trPr>
          <w:jc w:val="center"/>
          <w:hidden/>
        </w:trPr>
        <w:tc>
          <w:tcPr>
            <w:tcW w:w="0" w:type="auto"/>
            <w:gridSpan w:val="3"/>
            <w:tcBorders>
              <w:top w:val="nil"/>
              <w:left w:val="nil"/>
              <w:bottom w:val="nil"/>
              <w:right w:val="nil"/>
            </w:tcBorders>
            <w:shd w:val="clear" w:color="auto" w:fill="auto"/>
            <w:vAlign w:val="bottom"/>
          </w:tcPr>
          <w:p w14:paraId="4B76318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18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18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189" w14:textId="77777777" w:rsidR="0099058F" w:rsidRDefault="0099058F">
            <w:pPr>
              <w:widowControl/>
              <w:jc w:val="left"/>
              <w:rPr>
                <w:rFonts w:ascii="Times New Roman" w:eastAsia="宋体" w:hAnsi="宋体" w:cs="宋体"/>
                <w:vanish/>
                <w:kern w:val="0"/>
                <w:sz w:val="24"/>
              </w:rPr>
            </w:pPr>
          </w:p>
        </w:tc>
      </w:tr>
      <w:tr w:rsidR="0099058F" w14:paraId="4B76319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318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8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8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90" w14:textId="77777777" w:rsidR="0099058F" w:rsidRDefault="0099058F">
            <w:pPr>
              <w:widowControl/>
              <w:jc w:val="left"/>
              <w:rPr>
                <w:rFonts w:ascii="Times New Roman" w:eastAsia="宋体" w:hAnsi="宋体" w:cs="宋体"/>
                <w:kern w:val="0"/>
                <w:sz w:val="24"/>
              </w:rPr>
            </w:pPr>
          </w:p>
        </w:tc>
      </w:tr>
      <w:tr w:rsidR="0099058F" w14:paraId="4B763198"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4B76319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319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319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319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B7631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B763197" w14:textId="77777777" w:rsidR="0099058F" w:rsidRDefault="0099058F">
            <w:pPr>
              <w:widowControl/>
              <w:jc w:val="right"/>
              <w:rPr>
                <w:rFonts w:ascii="Times New Roman" w:eastAsia="宋体" w:hAnsi="宋体" w:cs="宋体"/>
                <w:kern w:val="0"/>
                <w:sz w:val="24"/>
              </w:rPr>
            </w:pPr>
          </w:p>
        </w:tc>
      </w:tr>
    </w:tbl>
    <w:p w14:paraId="4B76319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105</w:t>
      </w:r>
    </w:p>
    <w:p w14:paraId="4B76319A" w14:textId="77777777" w:rsidR="0099058F" w:rsidRDefault="00EB2559">
      <w:pPr>
        <w:widowControl/>
        <w:jc w:val="center"/>
      </w:pPr>
      <w:r>
        <w:rPr>
          <w:rFonts w:ascii="宋体" w:eastAsia="宋体" w:hAnsi="宋体" w:cs="宋体"/>
          <w:kern w:val="0"/>
          <w:sz w:val="24"/>
        </w:rPr>
        <w:pict w14:anchorId="4B763C60">
          <v:rect id="_x0000_i1131" style="width:6in;height:1.5pt" o:hralign="center" o:hrstd="t" o:hr="t" fillcolor="#a0a0a0" stroked="f"/>
        </w:pict>
      </w:r>
    </w:p>
    <w:p w14:paraId="4B76319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19C"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Losses from cash flow hedges reclassified from AOCI to Other income, net because it is probable the forecasted </w:t>
      </w:r>
      <w:r>
        <w:rPr>
          <w:rFonts w:ascii="Arial" w:eastAsia="宋体" w:hAnsi="Arial" w:cs="Arial"/>
          <w:color w:val="000000"/>
          <w:kern w:val="0"/>
          <w:sz w:val="20"/>
          <w:szCs w:val="20"/>
          <w:lang w:bidi="ar"/>
        </w:rPr>
        <w:t>transactions will not occur were $50 and $0 for the years ended December 31, 2022 and 2021. Gains/(losses) related to undesignated derivatives on foreign exchange and commodity cash flow hedging transactions recognized in Other income, net were insignifica</w:t>
      </w:r>
      <w:r>
        <w:rPr>
          <w:rFonts w:ascii="Arial" w:eastAsia="宋体" w:hAnsi="Arial" w:cs="Arial"/>
          <w:color w:val="000000"/>
          <w:kern w:val="0"/>
          <w:sz w:val="20"/>
          <w:szCs w:val="20"/>
          <w:lang w:bidi="ar"/>
        </w:rPr>
        <w:t>nt for the years ended December 31, 2022 and 2021.</w:t>
      </w:r>
    </w:p>
    <w:p w14:paraId="4B76319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portfolio of cash flow hedges, we expect to reclassify gains of $14 (pre-tax) out of Accumulated other comprehensive loss into earnings during the next 12 months.</w:t>
      </w:r>
    </w:p>
    <w:p w14:paraId="4B76319E"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have derivative </w:t>
      </w:r>
      <w:r>
        <w:rPr>
          <w:rFonts w:ascii="Arial" w:eastAsia="宋体" w:hAnsi="Arial" w:cs="Arial"/>
          <w:color w:val="000000"/>
          <w:kern w:val="0"/>
          <w:sz w:val="20"/>
          <w:szCs w:val="20"/>
          <w:lang w:bidi="ar"/>
        </w:rPr>
        <w:t xml:space="preserve">instruments with credit-risk-related contingent features. If we default on our five-year credit facility, our derivative counterparties could require settlement for foreign exchange and certain commodity contracts with original maturities of at least five </w:t>
      </w:r>
      <w:r>
        <w:rPr>
          <w:rFonts w:ascii="Arial" w:eastAsia="宋体" w:hAnsi="Arial" w:cs="Arial"/>
          <w:color w:val="000000"/>
          <w:kern w:val="0"/>
          <w:sz w:val="20"/>
          <w:szCs w:val="20"/>
          <w:lang w:bidi="ar"/>
        </w:rPr>
        <w:t>years. The fair value of those contracts in a net liability position at December 31, 2022 was $33. For other particular commodity contracts, our counterparties could require collateral posted in an amount determined by our credit ratings. At December 31, 2</w:t>
      </w:r>
      <w:r>
        <w:rPr>
          <w:rFonts w:ascii="Arial" w:eastAsia="宋体" w:hAnsi="Arial" w:cs="Arial"/>
          <w:color w:val="000000"/>
          <w:kern w:val="0"/>
          <w:sz w:val="20"/>
          <w:szCs w:val="20"/>
          <w:lang w:bidi="ar"/>
        </w:rPr>
        <w:t>022, there was no collateral posted related to our derivatives.</w:t>
      </w:r>
    </w:p>
    <w:p w14:paraId="4B76319F"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20 – Fair Value Measurements</w:t>
      </w:r>
    </w:p>
    <w:p w14:paraId="4B7631A0"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fair value hierarchy has three levels based on the reliability of the inputs used to determine fair value. Level 1 refers to fair values determined based </w:t>
      </w:r>
      <w:r>
        <w:rPr>
          <w:rFonts w:ascii="Arial" w:eastAsia="宋体" w:hAnsi="Arial" w:cs="Arial"/>
          <w:color w:val="000000"/>
          <w:kern w:val="0"/>
          <w:sz w:val="20"/>
          <w:szCs w:val="20"/>
          <w:lang w:bidi="ar"/>
        </w:rPr>
        <w:t>on quoted prices in active markets for identical assets. Level 2 refers to fair values estimated using significant other observable inputs, and Level 3 includes fair values estimated using significant unobservable inputs. The following table presents our a</w:t>
      </w:r>
      <w:r>
        <w:rPr>
          <w:rFonts w:ascii="Arial" w:eastAsia="宋体" w:hAnsi="Arial" w:cs="Arial"/>
          <w:color w:val="000000"/>
          <w:kern w:val="0"/>
          <w:sz w:val="20"/>
          <w:szCs w:val="20"/>
          <w:lang w:bidi="ar"/>
        </w:rPr>
        <w:t>ssets and liabilities that are measured at fair value on a recurring basis and are categorized using the fair value hierarchy.</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41"/>
        <w:gridCol w:w="2940"/>
        <w:gridCol w:w="37"/>
        <w:gridCol w:w="81"/>
        <w:gridCol w:w="607"/>
        <w:gridCol w:w="38"/>
        <w:gridCol w:w="83"/>
        <w:gridCol w:w="628"/>
        <w:gridCol w:w="37"/>
        <w:gridCol w:w="83"/>
        <w:gridCol w:w="628"/>
        <w:gridCol w:w="36"/>
        <w:gridCol w:w="801"/>
        <w:gridCol w:w="81"/>
        <w:gridCol w:w="607"/>
        <w:gridCol w:w="36"/>
        <w:gridCol w:w="81"/>
        <w:gridCol w:w="607"/>
        <w:gridCol w:w="36"/>
        <w:gridCol w:w="81"/>
        <w:gridCol w:w="596"/>
        <w:gridCol w:w="36"/>
        <w:gridCol w:w="36"/>
        <w:gridCol w:w="36"/>
        <w:gridCol w:w="36"/>
      </w:tblGrid>
      <w:tr w:rsidR="0099058F" w14:paraId="4B7631B8" w14:textId="77777777">
        <w:tc>
          <w:tcPr>
            <w:tcW w:w="50" w:type="pct"/>
            <w:tcBorders>
              <w:top w:val="nil"/>
              <w:left w:val="nil"/>
              <w:bottom w:val="nil"/>
              <w:right w:val="nil"/>
            </w:tcBorders>
            <w:shd w:val="clear" w:color="auto" w:fill="auto"/>
            <w:vAlign w:val="bottom"/>
          </w:tcPr>
          <w:p w14:paraId="4B7631A1" w14:textId="77777777" w:rsidR="0099058F" w:rsidRDefault="0099058F">
            <w:pPr>
              <w:widowControl/>
              <w:jc w:val="left"/>
              <w:rPr>
                <w:rFonts w:ascii="Times New Roman" w:eastAsia="宋体" w:hAnsi="宋体" w:cs="宋体"/>
                <w:kern w:val="0"/>
                <w:sz w:val="24"/>
              </w:rPr>
            </w:pPr>
          </w:p>
        </w:tc>
        <w:tc>
          <w:tcPr>
            <w:tcW w:w="2346" w:type="pct"/>
            <w:tcBorders>
              <w:top w:val="nil"/>
              <w:left w:val="nil"/>
              <w:bottom w:val="nil"/>
              <w:right w:val="nil"/>
            </w:tcBorders>
            <w:shd w:val="clear" w:color="auto" w:fill="auto"/>
            <w:vAlign w:val="bottom"/>
          </w:tcPr>
          <w:p w14:paraId="4B7631A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A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A4"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1A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A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A7"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1A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A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AA"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1A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A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AD" w14:textId="77777777" w:rsidR="0099058F" w:rsidRDefault="0099058F">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B7631AE"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1A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B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B1" w14:textId="77777777" w:rsidR="0099058F" w:rsidRDefault="0099058F">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B7631B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B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1B4" w14:textId="77777777" w:rsidR="0099058F" w:rsidRDefault="0099058F">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B7631B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1B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1B7" w14:textId="77777777" w:rsidR="0099058F" w:rsidRDefault="0099058F">
            <w:pPr>
              <w:widowControl/>
              <w:jc w:val="left"/>
              <w:rPr>
                <w:rFonts w:ascii="Times New Roman" w:eastAsia="宋体" w:hAnsi="宋体" w:cs="宋体"/>
                <w:vanish/>
                <w:kern w:val="0"/>
                <w:sz w:val="24"/>
              </w:rPr>
            </w:pPr>
          </w:p>
        </w:tc>
      </w:tr>
      <w:tr w:rsidR="0099058F" w14:paraId="4B7631C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1B9" w14:textId="77777777" w:rsidR="0099058F" w:rsidRDefault="0099058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B7631B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December 31, 2022</w:t>
            </w:r>
          </w:p>
        </w:tc>
        <w:tc>
          <w:tcPr>
            <w:tcW w:w="0" w:type="auto"/>
            <w:gridSpan w:val="7"/>
            <w:tcBorders>
              <w:top w:val="nil"/>
              <w:left w:val="nil"/>
              <w:bottom w:val="nil"/>
              <w:right w:val="nil"/>
            </w:tcBorders>
            <w:shd w:val="clear" w:color="auto" w:fill="auto"/>
            <w:tcMar>
              <w:top w:w="40" w:type="dxa"/>
              <w:left w:w="20" w:type="dxa"/>
              <w:bottom w:w="40" w:type="dxa"/>
              <w:right w:w="20" w:type="dxa"/>
            </w:tcMar>
            <w:vAlign w:val="bottom"/>
          </w:tcPr>
          <w:p w14:paraId="4B7631B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c>
          <w:tcPr>
            <w:tcW w:w="0" w:type="auto"/>
            <w:tcBorders>
              <w:top w:val="nil"/>
              <w:left w:val="nil"/>
              <w:bottom w:val="nil"/>
              <w:right w:val="nil"/>
            </w:tcBorders>
            <w:shd w:val="clear" w:color="auto" w:fill="auto"/>
            <w:vAlign w:val="bottom"/>
          </w:tcPr>
          <w:p w14:paraId="4B7631B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31BD"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B7631B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BF"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C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C1" w14:textId="77777777" w:rsidR="0099058F" w:rsidRDefault="0099058F">
            <w:pPr>
              <w:widowControl/>
              <w:jc w:val="left"/>
              <w:rPr>
                <w:rFonts w:ascii="Times New Roman" w:eastAsia="宋体" w:hAnsi="宋体" w:cs="宋体"/>
                <w:kern w:val="0"/>
                <w:sz w:val="24"/>
              </w:rPr>
            </w:pPr>
          </w:p>
        </w:tc>
      </w:tr>
      <w:tr w:rsidR="0099058F" w14:paraId="4B7631C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1C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tcBorders>
              <w:top w:val="nil"/>
              <w:left w:val="nil"/>
              <w:bottom w:val="nil"/>
              <w:right w:val="nil"/>
            </w:tcBorders>
            <w:shd w:val="clear" w:color="auto" w:fill="auto"/>
            <w:vAlign w:val="bottom"/>
          </w:tcPr>
          <w:p w14:paraId="4B7631C7"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1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4B7631CB" w14:textId="77777777" w:rsidR="0099058F" w:rsidRDefault="0099058F">
            <w:pPr>
              <w:widowControl/>
              <w:jc w:val="left"/>
              <w:rPr>
                <w:rFonts w:ascii="Times New Roman" w:eastAsia="宋体" w:hAnsi="宋体" w:cs="宋体"/>
                <w:vanish/>
                <w:kern w:val="0"/>
                <w:sz w:val="24"/>
              </w:rPr>
            </w:pPr>
          </w:p>
        </w:tc>
      </w:tr>
      <w:tr w:rsidR="0099058F" w14:paraId="4B7631D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1CD"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D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D1" w14:textId="77777777" w:rsidR="0099058F" w:rsidRDefault="0099058F">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D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1D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1D5" w14:textId="77777777" w:rsidR="0099058F" w:rsidRDefault="0099058F">
            <w:pPr>
              <w:widowControl/>
              <w:jc w:val="left"/>
              <w:rPr>
                <w:rFonts w:ascii="Times New Roman" w:eastAsia="宋体" w:hAnsi="宋体" w:cs="宋体"/>
                <w:vanish/>
                <w:kern w:val="0"/>
                <w:sz w:val="24"/>
              </w:rPr>
            </w:pPr>
          </w:p>
        </w:tc>
      </w:tr>
      <w:tr w:rsidR="0099058F" w14:paraId="4B7631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1D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D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D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D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DD"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D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E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1E3" w14:textId="77777777" w:rsidR="0099058F" w:rsidRDefault="0099058F">
            <w:pPr>
              <w:widowControl/>
              <w:jc w:val="left"/>
              <w:rPr>
                <w:rFonts w:ascii="Times New Roman" w:eastAsia="宋体" w:hAnsi="宋体" w:cs="宋体"/>
                <w:vanish/>
                <w:kern w:val="0"/>
                <w:sz w:val="24"/>
              </w:rPr>
            </w:pPr>
          </w:p>
        </w:tc>
      </w:tr>
      <w:tr w:rsidR="0099058F" w14:paraId="4B7631E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31E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E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1E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1ED" w14:textId="77777777" w:rsidR="0099058F" w:rsidRDefault="0099058F">
            <w:pPr>
              <w:widowControl/>
              <w:jc w:val="left"/>
              <w:rPr>
                <w:rFonts w:ascii="Times New Roman" w:eastAsia="宋体" w:hAnsi="宋体" w:cs="宋体"/>
                <w:vanish/>
                <w:kern w:val="0"/>
                <w:sz w:val="24"/>
              </w:rPr>
            </w:pPr>
          </w:p>
        </w:tc>
      </w:tr>
      <w:tr w:rsidR="0099058F" w14:paraId="4B7631FC"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4B7631E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F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F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1F5"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F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1F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1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1F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1FB" w14:textId="77777777" w:rsidR="0099058F" w:rsidRDefault="0099058F">
            <w:pPr>
              <w:widowControl/>
              <w:jc w:val="left"/>
              <w:rPr>
                <w:rFonts w:ascii="Times New Roman" w:eastAsia="宋体" w:hAnsi="宋体" w:cs="宋体"/>
                <w:vanish/>
                <w:kern w:val="0"/>
                <w:sz w:val="24"/>
              </w:rPr>
            </w:pPr>
          </w:p>
        </w:tc>
      </w:tr>
      <w:tr w:rsidR="0099058F" w14:paraId="4B76320A"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tcPr>
          <w:p w14:paraId="4B7631F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1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1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0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03"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0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0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0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0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09" w14:textId="77777777" w:rsidR="0099058F" w:rsidRDefault="0099058F">
            <w:pPr>
              <w:widowControl/>
              <w:jc w:val="left"/>
              <w:rPr>
                <w:rFonts w:ascii="Times New Roman" w:eastAsia="宋体" w:hAnsi="宋体" w:cs="宋体"/>
                <w:vanish/>
                <w:kern w:val="0"/>
                <w:sz w:val="24"/>
              </w:rPr>
            </w:pPr>
          </w:p>
        </w:tc>
      </w:tr>
      <w:tr w:rsidR="0099058F" w14:paraId="4B763218"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4B76320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0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0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0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10"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11"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1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1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17" w14:textId="77777777" w:rsidR="0099058F" w:rsidRDefault="0099058F">
            <w:pPr>
              <w:widowControl/>
              <w:jc w:val="left"/>
              <w:rPr>
                <w:rFonts w:ascii="Times New Roman" w:eastAsia="宋体" w:hAnsi="宋体" w:cs="宋体"/>
                <w:vanish/>
                <w:kern w:val="0"/>
                <w:sz w:val="24"/>
              </w:rPr>
            </w:pPr>
          </w:p>
        </w:tc>
      </w:tr>
      <w:tr w:rsidR="0099058F" w14:paraId="4B76322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B76321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1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1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1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1F"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21" w14:textId="77777777" w:rsidR="0099058F" w:rsidRDefault="0099058F">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2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25" w14:textId="77777777" w:rsidR="0099058F" w:rsidRDefault="0099058F">
            <w:pPr>
              <w:widowControl/>
              <w:jc w:val="left"/>
              <w:rPr>
                <w:rFonts w:ascii="Times New Roman" w:eastAsia="宋体" w:hAnsi="宋体" w:cs="宋体"/>
                <w:vanish/>
                <w:kern w:val="0"/>
                <w:sz w:val="24"/>
              </w:rPr>
            </w:pPr>
          </w:p>
        </w:tc>
      </w:tr>
      <w:tr w:rsidR="0099058F" w14:paraId="4B76323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22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2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2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2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2D"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2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3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3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33" w14:textId="77777777" w:rsidR="0099058F" w:rsidRDefault="0099058F">
            <w:pPr>
              <w:widowControl/>
              <w:jc w:val="left"/>
              <w:rPr>
                <w:rFonts w:ascii="Times New Roman" w:eastAsia="宋体" w:hAnsi="宋体" w:cs="宋体"/>
                <w:vanish/>
                <w:kern w:val="0"/>
                <w:sz w:val="24"/>
              </w:rPr>
            </w:pPr>
          </w:p>
        </w:tc>
      </w:tr>
      <w:tr w:rsidR="0099058F" w14:paraId="4B76324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23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3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3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3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3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3B"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3C"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3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3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4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43" w14:textId="77777777" w:rsidR="0099058F" w:rsidRDefault="0099058F">
            <w:pPr>
              <w:widowControl/>
              <w:jc w:val="left"/>
              <w:rPr>
                <w:rFonts w:ascii="Times New Roman" w:eastAsia="宋体" w:hAnsi="宋体" w:cs="宋体"/>
                <w:vanish/>
                <w:kern w:val="0"/>
                <w:sz w:val="24"/>
              </w:rPr>
            </w:pPr>
          </w:p>
        </w:tc>
      </w:tr>
      <w:tr w:rsidR="0099058F" w14:paraId="4B76324E"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8"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49" w14:textId="77777777" w:rsidR="0099058F" w:rsidRDefault="0099058F">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A"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B"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B76324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4D" w14:textId="77777777" w:rsidR="0099058F" w:rsidRDefault="0099058F">
            <w:pPr>
              <w:widowControl/>
              <w:jc w:val="left"/>
              <w:rPr>
                <w:rFonts w:ascii="Times New Roman" w:eastAsia="宋体" w:hAnsi="宋体" w:cs="宋体"/>
                <w:vanish/>
                <w:kern w:val="0"/>
                <w:sz w:val="24"/>
              </w:rPr>
            </w:pPr>
          </w:p>
        </w:tc>
      </w:tr>
      <w:tr w:rsidR="0099058F" w14:paraId="4B7632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24F"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5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5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57" w14:textId="77777777" w:rsidR="0099058F" w:rsidRDefault="0099058F">
            <w:pPr>
              <w:widowControl/>
              <w:jc w:val="left"/>
              <w:rPr>
                <w:rFonts w:ascii="Times New Roman" w:eastAsia="宋体" w:hAnsi="宋体" w:cs="宋体"/>
                <w:vanish/>
                <w:kern w:val="0"/>
                <w:sz w:val="24"/>
              </w:rPr>
            </w:pPr>
          </w:p>
        </w:tc>
      </w:tr>
      <w:tr w:rsidR="0099058F" w14:paraId="4B76326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25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5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5E"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5F" w14:textId="77777777" w:rsidR="0099058F" w:rsidRDefault="0099058F">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6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6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6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65" w14:textId="77777777" w:rsidR="0099058F" w:rsidRDefault="0099058F">
            <w:pPr>
              <w:widowControl/>
              <w:jc w:val="left"/>
              <w:rPr>
                <w:rFonts w:ascii="Times New Roman" w:eastAsia="宋体" w:hAnsi="宋体" w:cs="宋体"/>
                <w:vanish/>
                <w:kern w:val="0"/>
                <w:sz w:val="24"/>
              </w:rPr>
            </w:pPr>
          </w:p>
        </w:tc>
      </w:tr>
      <w:tr w:rsidR="0099058F" w14:paraId="4B76327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326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2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6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26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2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6C"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26D" w14:textId="77777777" w:rsidR="0099058F" w:rsidRDefault="0099058F">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2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6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27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2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2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B763273" w14:textId="77777777" w:rsidR="0099058F" w:rsidRDefault="0099058F">
            <w:pPr>
              <w:widowControl/>
              <w:jc w:val="left"/>
              <w:rPr>
                <w:rFonts w:ascii="Times New Roman" w:eastAsia="宋体" w:hAnsi="宋体" w:cs="宋体"/>
                <w:vanish/>
                <w:kern w:val="0"/>
                <w:sz w:val="24"/>
              </w:rPr>
            </w:pPr>
          </w:p>
        </w:tc>
      </w:tr>
    </w:tbl>
    <w:p w14:paraId="4B76327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market approach based on the quoted market prices or broker/dealer</w:t>
      </w:r>
      <w:r>
        <w:rPr>
          <w:rFonts w:ascii="Arial" w:eastAsia="宋体" w:hAnsi="Arial" w:cs="Arial"/>
          <w:color w:val="000000"/>
          <w:kern w:val="0"/>
          <w:sz w:val="20"/>
          <w:szCs w:val="20"/>
          <w:lang w:bidi="ar"/>
        </w:rPr>
        <w:t xml:space="preserve"> quotes of identical or comparable instruments.</w:t>
      </w:r>
    </w:p>
    <w:p w14:paraId="4B76327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Derivatives include foreign currency and commodity contracts. Our foreign currency forward contracts are valued using an income approach based on the present value of the forward rate less the contract rate m</w:t>
      </w:r>
      <w:r>
        <w:rPr>
          <w:rFonts w:ascii="Arial" w:eastAsia="宋体" w:hAnsi="Arial" w:cs="Arial"/>
          <w:color w:val="000000"/>
          <w:kern w:val="0"/>
          <w:sz w:val="20"/>
          <w:szCs w:val="20"/>
          <w:lang w:bidi="ar"/>
        </w:rPr>
        <w:t>ultiplied by the notional amount. Commodity derivatives are valued using an income approach based on the present value of the commodity index prices less the contract rate multiplied by the notional amount.</w:t>
      </w:r>
    </w:p>
    <w:p w14:paraId="4B763277"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106</w:t>
      </w:r>
    </w:p>
    <w:p w14:paraId="4B763278" w14:textId="77777777" w:rsidR="0099058F" w:rsidRDefault="00EB2559">
      <w:pPr>
        <w:widowControl/>
        <w:jc w:val="center"/>
      </w:pPr>
      <w:r>
        <w:rPr>
          <w:rFonts w:ascii="宋体" w:eastAsia="宋体" w:hAnsi="宋体" w:cs="宋体"/>
          <w:kern w:val="0"/>
          <w:sz w:val="24"/>
        </w:rPr>
        <w:pict w14:anchorId="4B763C61">
          <v:rect id="_x0000_i1132" style="width:6in;height:1.5pt" o:hralign="center" o:hrstd="t" o:hr="t" fillcolor="#a0a0a0" stroked="f"/>
        </w:pict>
      </w:r>
    </w:p>
    <w:p w14:paraId="4B763279"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27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Certain assets have been measured at fair value on a nonrecurring basis. The following table presents the nonrecurring losses recognized for the years ended </w:t>
      </w:r>
      <w:r>
        <w:rPr>
          <w:rFonts w:ascii="Arial" w:eastAsia="宋体" w:hAnsi="Arial" w:cs="Arial"/>
          <w:color w:val="000000"/>
          <w:kern w:val="0"/>
          <w:sz w:val="20"/>
          <w:szCs w:val="20"/>
          <w:lang w:bidi="ar"/>
        </w:rPr>
        <w:t>December 31 due to long-lived asset impairment, and the fair value and asset classification of the related assets as of the impairment date: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742"/>
        <w:gridCol w:w="37"/>
        <w:gridCol w:w="58"/>
        <w:gridCol w:w="645"/>
        <w:gridCol w:w="36"/>
        <w:gridCol w:w="36"/>
        <w:gridCol w:w="36"/>
        <w:gridCol w:w="36"/>
        <w:gridCol w:w="61"/>
        <w:gridCol w:w="618"/>
        <w:gridCol w:w="36"/>
        <w:gridCol w:w="36"/>
        <w:gridCol w:w="36"/>
        <w:gridCol w:w="36"/>
        <w:gridCol w:w="61"/>
        <w:gridCol w:w="618"/>
        <w:gridCol w:w="36"/>
        <w:gridCol w:w="36"/>
        <w:gridCol w:w="36"/>
        <w:gridCol w:w="36"/>
        <w:gridCol w:w="81"/>
        <w:gridCol w:w="641"/>
        <w:gridCol w:w="36"/>
        <w:gridCol w:w="36"/>
        <w:gridCol w:w="36"/>
        <w:gridCol w:w="36"/>
        <w:gridCol w:w="58"/>
        <w:gridCol w:w="578"/>
        <w:gridCol w:w="36"/>
        <w:gridCol w:w="36"/>
        <w:gridCol w:w="36"/>
        <w:gridCol w:w="36"/>
        <w:gridCol w:w="57"/>
        <w:gridCol w:w="622"/>
        <w:gridCol w:w="36"/>
        <w:gridCol w:w="36"/>
        <w:gridCol w:w="36"/>
        <w:gridCol w:w="36"/>
        <w:gridCol w:w="58"/>
        <w:gridCol w:w="621"/>
        <w:gridCol w:w="36"/>
        <w:gridCol w:w="36"/>
        <w:gridCol w:w="36"/>
        <w:gridCol w:w="36"/>
        <w:gridCol w:w="74"/>
        <w:gridCol w:w="605"/>
        <w:gridCol w:w="36"/>
      </w:tblGrid>
      <w:tr w:rsidR="0099058F" w14:paraId="4B7632AB" w14:textId="77777777">
        <w:tc>
          <w:tcPr>
            <w:tcW w:w="50" w:type="pct"/>
            <w:tcBorders>
              <w:top w:val="nil"/>
              <w:left w:val="nil"/>
              <w:bottom w:val="nil"/>
              <w:right w:val="nil"/>
            </w:tcBorders>
            <w:shd w:val="clear" w:color="auto" w:fill="auto"/>
            <w:vAlign w:val="bottom"/>
          </w:tcPr>
          <w:p w14:paraId="4B76327B" w14:textId="77777777" w:rsidR="0099058F" w:rsidRDefault="0099058F">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4B76327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7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7E"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7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1"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8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84"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8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7"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8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8A"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8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D"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8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8F"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90"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9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3"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9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96"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9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9"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9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9C"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9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9F"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A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A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A2"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A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A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A5" w14:textId="77777777" w:rsidR="0099058F" w:rsidRDefault="0099058F">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B7632A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A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2A8"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2A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2AA" w14:textId="77777777" w:rsidR="0099058F" w:rsidRDefault="0099058F">
            <w:pPr>
              <w:widowControl/>
              <w:jc w:val="left"/>
              <w:rPr>
                <w:rFonts w:ascii="Times New Roman" w:eastAsia="宋体" w:hAnsi="宋体" w:cs="宋体"/>
                <w:kern w:val="0"/>
                <w:sz w:val="24"/>
              </w:rPr>
            </w:pPr>
          </w:p>
        </w:tc>
      </w:tr>
      <w:tr w:rsidR="0099058F" w14:paraId="4B7632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2AC" w14:textId="77777777" w:rsidR="0099058F" w:rsidRDefault="0099058F">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B7632A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2AE" w14:textId="77777777" w:rsidR="0099058F" w:rsidRDefault="0099058F">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B7632A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99058F" w14:paraId="4B7632C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B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2B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2C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Losses</w:t>
            </w:r>
          </w:p>
        </w:tc>
      </w:tr>
      <w:tr w:rsidR="0099058F" w14:paraId="4B7632D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2C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C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2C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C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2C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C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2C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D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2D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2D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2D5" w14:textId="77777777" w:rsidR="0099058F" w:rsidRDefault="0099058F">
            <w:pPr>
              <w:widowControl/>
              <w:jc w:val="left"/>
              <w:rPr>
                <w:rFonts w:ascii="Times New Roman" w:eastAsia="宋体" w:hAnsi="宋体" w:cs="宋体"/>
                <w:kern w:val="0"/>
                <w:sz w:val="24"/>
              </w:rPr>
            </w:pPr>
          </w:p>
        </w:tc>
      </w:tr>
      <w:tr w:rsidR="0099058F" w14:paraId="4B7632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2D7"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D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D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D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D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E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E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E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E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E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E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E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E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2E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2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2EC" w14:textId="77777777" w:rsidR="0099058F" w:rsidRDefault="0099058F">
            <w:pPr>
              <w:widowControl/>
              <w:jc w:val="left"/>
              <w:rPr>
                <w:rFonts w:ascii="Times New Roman" w:eastAsia="宋体" w:hAnsi="宋体" w:cs="宋体"/>
                <w:kern w:val="0"/>
                <w:sz w:val="24"/>
              </w:rPr>
            </w:pPr>
          </w:p>
        </w:tc>
      </w:tr>
      <w:tr w:rsidR="0099058F" w14:paraId="4B763303"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B7632EE"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F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F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F7"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F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F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2F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2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2F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0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3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302" w14:textId="77777777" w:rsidR="0099058F" w:rsidRDefault="0099058F">
            <w:pPr>
              <w:widowControl/>
              <w:jc w:val="right"/>
              <w:rPr>
                <w:rFonts w:ascii="Times New Roman" w:eastAsia="宋体" w:hAnsi="宋体" w:cs="宋体"/>
                <w:kern w:val="0"/>
                <w:sz w:val="24"/>
              </w:rPr>
            </w:pPr>
          </w:p>
        </w:tc>
      </w:tr>
      <w:tr w:rsidR="0099058F" w14:paraId="4B7633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30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Assets and Acquired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0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0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0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0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0B"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0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0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0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1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1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16"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1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1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19" w14:textId="77777777" w:rsidR="0099058F" w:rsidRDefault="0099058F">
            <w:pPr>
              <w:widowControl/>
              <w:jc w:val="right"/>
              <w:rPr>
                <w:rFonts w:ascii="Times New Roman" w:eastAsia="宋体" w:hAnsi="宋体" w:cs="宋体"/>
                <w:kern w:val="0"/>
                <w:sz w:val="24"/>
              </w:rPr>
            </w:pPr>
          </w:p>
        </w:tc>
      </w:tr>
      <w:tr w:rsidR="0099058F" w14:paraId="4B76333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331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1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1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2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2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2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2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2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2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2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2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33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3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332" w14:textId="77777777" w:rsidR="0099058F" w:rsidRDefault="0099058F">
            <w:pPr>
              <w:widowControl/>
              <w:jc w:val="left"/>
              <w:rPr>
                <w:rFonts w:ascii="Times New Roman" w:eastAsia="宋体" w:hAnsi="宋体" w:cs="宋体"/>
                <w:kern w:val="0"/>
                <w:sz w:val="24"/>
              </w:rPr>
            </w:pPr>
          </w:p>
        </w:tc>
      </w:tr>
    </w:tbl>
    <w:p w14:paraId="4B76333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Level 3 Investments, Property, plant and equipment, Other assets and Acquired intangible assets were primarily valued using an income approach based on the discounted cash flows associated with the underlying assets. Level 2 P</w:t>
      </w:r>
      <w:r>
        <w:rPr>
          <w:rFonts w:ascii="Arial" w:eastAsia="宋体" w:hAnsi="Arial" w:cs="Arial"/>
          <w:color w:val="000000"/>
          <w:kern w:val="0"/>
          <w:sz w:val="20"/>
          <w:szCs w:val="20"/>
          <w:lang w:bidi="ar"/>
        </w:rPr>
        <w:t>roperty, plant and equipment were valued based on a third party valuation using a combination of income and market approaches that considered estimates of net operating income, capitalization rates and adjusted for as-is condition</w:t>
      </w:r>
      <w:r>
        <w:rPr>
          <w:rFonts w:ascii="Arial" w:eastAsia="宋体" w:hAnsi="Arial" w:cs="Arial"/>
          <w:color w:val="008080"/>
          <w:kern w:val="0"/>
          <w:sz w:val="24"/>
          <w:lang w:bidi="ar"/>
        </w:rPr>
        <w:t xml:space="preserve">. </w:t>
      </w:r>
      <w:r>
        <w:rPr>
          <w:rFonts w:ascii="Arial" w:eastAsia="宋体" w:hAnsi="Arial" w:cs="Arial"/>
          <w:color w:val="000000"/>
          <w:kern w:val="0"/>
          <w:sz w:val="20"/>
          <w:szCs w:val="20"/>
          <w:lang w:bidi="ar"/>
        </w:rPr>
        <w:t>The fair value of the im</w:t>
      </w:r>
      <w:r>
        <w:rPr>
          <w:rFonts w:ascii="Arial" w:eastAsia="宋体" w:hAnsi="Arial" w:cs="Arial"/>
          <w:color w:val="000000"/>
          <w:kern w:val="0"/>
          <w:sz w:val="20"/>
          <w:szCs w:val="20"/>
          <w:lang w:bidi="ar"/>
        </w:rPr>
        <w:t>paired customer financing assets includes operating lease equipment and investments in sales type-leases/finance leases and is derived by calculating a median collateral value from a consistent group of third party aircraft value publications. The values p</w:t>
      </w:r>
      <w:r>
        <w:rPr>
          <w:rFonts w:ascii="Arial" w:eastAsia="宋体" w:hAnsi="Arial" w:cs="Arial"/>
          <w:color w:val="000000"/>
          <w:kern w:val="0"/>
          <w:sz w:val="20"/>
          <w:szCs w:val="20"/>
          <w:lang w:bidi="ar"/>
        </w:rPr>
        <w:t>rovided by the third party aircraft publications are derived from their knowledge of market trades and other market factors. Management reviews the publications quarterly to assess the continued appropriateness and consistency with market trends. Under cer</w:t>
      </w:r>
      <w:r>
        <w:rPr>
          <w:rFonts w:ascii="Arial" w:eastAsia="宋体" w:hAnsi="Arial" w:cs="Arial"/>
          <w:color w:val="000000"/>
          <w:kern w:val="0"/>
          <w:sz w:val="20"/>
          <w:szCs w:val="20"/>
          <w:lang w:bidi="ar"/>
        </w:rPr>
        <w:t>tain circumstances, we adjust values based on the attributes and condition of the specific aircraft or equipment, usually when the features or use of the aircraft vary significantly from the more generic aircraft attributes covered by third party publicati</w:t>
      </w:r>
      <w:r>
        <w:rPr>
          <w:rFonts w:ascii="Arial" w:eastAsia="宋体" w:hAnsi="Arial" w:cs="Arial"/>
          <w:color w:val="000000"/>
          <w:kern w:val="0"/>
          <w:sz w:val="20"/>
          <w:szCs w:val="20"/>
          <w:lang w:bidi="ar"/>
        </w:rPr>
        <w:t>ons, or on the expected net sales price for the aircraft.</w:t>
      </w:r>
    </w:p>
    <w:p w14:paraId="4B76333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For Level 3 assets that were measured at fair value on a nonrecurring basis during the year ended December 31, 2022, the following table presents the fair value of those assets as of the measurement</w:t>
      </w:r>
      <w:r>
        <w:rPr>
          <w:rFonts w:ascii="Arial" w:eastAsia="宋体" w:hAnsi="Arial" w:cs="Arial"/>
          <w:color w:val="000000"/>
          <w:kern w:val="0"/>
          <w:sz w:val="20"/>
          <w:szCs w:val="20"/>
          <w:lang w:bidi="ar"/>
        </w:rPr>
        <w:t xml:space="preserve">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340"/>
        <w:gridCol w:w="36"/>
        <w:gridCol w:w="61"/>
        <w:gridCol w:w="644"/>
        <w:gridCol w:w="36"/>
        <w:gridCol w:w="36"/>
        <w:gridCol w:w="54"/>
        <w:gridCol w:w="36"/>
        <w:gridCol w:w="80"/>
        <w:gridCol w:w="1132"/>
        <w:gridCol w:w="36"/>
        <w:gridCol w:w="36"/>
        <w:gridCol w:w="54"/>
        <w:gridCol w:w="36"/>
        <w:gridCol w:w="67"/>
        <w:gridCol w:w="1474"/>
        <w:gridCol w:w="36"/>
        <w:gridCol w:w="36"/>
        <w:gridCol w:w="54"/>
        <w:gridCol w:w="36"/>
        <w:gridCol w:w="74"/>
        <w:gridCol w:w="1847"/>
        <w:gridCol w:w="36"/>
      </w:tblGrid>
      <w:tr w:rsidR="0099058F" w14:paraId="4B76334E" w14:textId="77777777">
        <w:trPr>
          <w:jc w:val="center"/>
        </w:trPr>
        <w:tc>
          <w:tcPr>
            <w:tcW w:w="50" w:type="pct"/>
            <w:tcBorders>
              <w:top w:val="nil"/>
              <w:left w:val="nil"/>
              <w:bottom w:val="nil"/>
              <w:right w:val="nil"/>
            </w:tcBorders>
            <w:shd w:val="clear" w:color="auto" w:fill="auto"/>
            <w:vAlign w:val="bottom"/>
          </w:tcPr>
          <w:p w14:paraId="4B763336" w14:textId="77777777" w:rsidR="0099058F" w:rsidRDefault="0099058F">
            <w:pPr>
              <w:widowControl/>
              <w:jc w:val="left"/>
              <w:rPr>
                <w:rFonts w:ascii="Times New Roman" w:eastAsia="宋体" w:hAnsi="宋体" w:cs="宋体"/>
                <w:kern w:val="0"/>
                <w:sz w:val="24"/>
              </w:rPr>
            </w:pPr>
          </w:p>
        </w:tc>
        <w:tc>
          <w:tcPr>
            <w:tcW w:w="1415" w:type="pct"/>
            <w:tcBorders>
              <w:top w:val="nil"/>
              <w:left w:val="nil"/>
              <w:bottom w:val="nil"/>
              <w:right w:val="nil"/>
            </w:tcBorders>
            <w:shd w:val="clear" w:color="auto" w:fill="auto"/>
            <w:vAlign w:val="bottom"/>
          </w:tcPr>
          <w:p w14:paraId="4B7633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3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39" w14:textId="77777777" w:rsidR="0099058F" w:rsidRDefault="0099058F">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B76333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3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3C" w14:textId="77777777" w:rsidR="0099058F" w:rsidRDefault="0099058F">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B76333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3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3F" w14:textId="77777777" w:rsidR="0099058F" w:rsidRDefault="0099058F">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B76334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2" w14:textId="77777777" w:rsidR="0099058F" w:rsidRDefault="0099058F">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B76334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45" w14:textId="77777777" w:rsidR="0099058F" w:rsidRDefault="0099058F">
            <w:pPr>
              <w:widowControl/>
              <w:jc w:val="left"/>
              <w:rPr>
                <w:rFonts w:ascii="Times New Roman" w:eastAsia="宋体" w:hAnsi="宋体" w:cs="宋体"/>
                <w:kern w:val="0"/>
                <w:sz w:val="24"/>
              </w:rPr>
            </w:pPr>
          </w:p>
        </w:tc>
        <w:tc>
          <w:tcPr>
            <w:tcW w:w="900" w:type="pct"/>
            <w:tcBorders>
              <w:top w:val="nil"/>
              <w:left w:val="nil"/>
              <w:bottom w:val="nil"/>
              <w:right w:val="nil"/>
            </w:tcBorders>
            <w:shd w:val="clear" w:color="auto" w:fill="auto"/>
            <w:vAlign w:val="bottom"/>
          </w:tcPr>
          <w:p w14:paraId="4B76334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8" w14:textId="77777777" w:rsidR="0099058F" w:rsidRDefault="0099058F">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B76334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4B" w14:textId="77777777" w:rsidR="0099058F" w:rsidRDefault="0099058F">
            <w:pPr>
              <w:widowControl/>
              <w:jc w:val="left"/>
              <w:rPr>
                <w:rFonts w:ascii="Times New Roman" w:eastAsia="宋体" w:hAnsi="宋体" w:cs="宋体"/>
                <w:kern w:val="0"/>
                <w:sz w:val="24"/>
              </w:rPr>
            </w:pPr>
          </w:p>
        </w:tc>
        <w:tc>
          <w:tcPr>
            <w:tcW w:w="1128" w:type="pct"/>
            <w:tcBorders>
              <w:top w:val="nil"/>
              <w:left w:val="nil"/>
              <w:bottom w:val="nil"/>
              <w:right w:val="nil"/>
            </w:tcBorders>
            <w:shd w:val="clear" w:color="auto" w:fill="auto"/>
            <w:vAlign w:val="bottom"/>
          </w:tcPr>
          <w:p w14:paraId="4B76334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4D" w14:textId="77777777" w:rsidR="0099058F" w:rsidRDefault="0099058F">
            <w:pPr>
              <w:widowControl/>
              <w:jc w:val="left"/>
              <w:rPr>
                <w:rFonts w:ascii="Times New Roman" w:eastAsia="宋体" w:hAnsi="宋体" w:cs="宋体"/>
                <w:kern w:val="0"/>
                <w:sz w:val="24"/>
              </w:rPr>
            </w:pPr>
          </w:p>
        </w:tc>
      </w:tr>
      <w:tr w:rsidR="0099058F" w14:paraId="4B76335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35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5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35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5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35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5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35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99058F" w14:paraId="4B763361"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58" w14:textId="77777777" w:rsidR="0099058F" w:rsidRDefault="00EB255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59"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5A" w14:textId="77777777" w:rsidR="0099058F" w:rsidRDefault="0099058F">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5B" w14:textId="77777777" w:rsidR="0099058F" w:rsidRDefault="00EB2559">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5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35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5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35F"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$40 - $51</w:t>
            </w:r>
            <w:r>
              <w:rPr>
                <w:rFonts w:ascii="Arial" w:eastAsia="宋体" w:hAnsi="Arial" w:cs="Arial"/>
                <w:color w:val="000000"/>
                <w:kern w:val="0"/>
                <w:sz w:val="13"/>
                <w:szCs w:val="13"/>
                <w:lang w:bidi="ar"/>
              </w:rPr>
              <w:t>(1)</w:t>
            </w:r>
          </w:p>
          <w:p w14:paraId="4B76336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$46</w:t>
            </w:r>
          </w:p>
        </w:tc>
      </w:tr>
      <w:tr w:rsidR="0099058F" w14:paraId="4B76336B"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62" w14:textId="77777777" w:rsidR="0099058F" w:rsidRDefault="0099058F">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63" w14:textId="77777777" w:rsidR="0099058F" w:rsidRDefault="0099058F">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3364" w14:textId="77777777" w:rsidR="0099058F" w:rsidRDefault="0099058F">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B763365" w14:textId="77777777" w:rsidR="0099058F" w:rsidRDefault="0099058F">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336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3367"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B76336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B76336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($4) - $5</w:t>
            </w:r>
            <w:r>
              <w:rPr>
                <w:rFonts w:ascii="Arial" w:eastAsia="宋体" w:hAnsi="Arial" w:cs="Arial"/>
                <w:color w:val="000000"/>
                <w:kern w:val="0"/>
                <w:sz w:val="13"/>
                <w:szCs w:val="13"/>
                <w:lang w:bidi="ar"/>
              </w:rPr>
              <w:t>(2)</w:t>
            </w:r>
          </w:p>
          <w:p w14:paraId="4B76336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$1</w:t>
            </w:r>
          </w:p>
        </w:tc>
      </w:tr>
    </w:tbl>
    <w:p w14:paraId="4B76336C" w14:textId="77777777" w:rsidR="0099058F" w:rsidRDefault="00EB255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 range represents the sum of the highest and lowest values for all aircraft subject to fair value measurement, according to the third party aircraft valuation publications that we use in our va</w:t>
      </w:r>
      <w:r>
        <w:rPr>
          <w:rFonts w:ascii="Arial" w:eastAsia="宋体" w:hAnsi="Arial" w:cs="Arial"/>
          <w:color w:val="000000"/>
          <w:kern w:val="0"/>
          <w:sz w:val="20"/>
          <w:szCs w:val="20"/>
          <w:lang w:bidi="ar"/>
        </w:rPr>
        <w:t>luation process.</w:t>
      </w:r>
    </w:p>
    <w:p w14:paraId="4B76336D"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represents the sum, for all aircraft subject to fair value measurement, of all downward adjustments based on consideration of individual aircraft attributes and condition. The positive amount represents the sum of </w:t>
      </w:r>
      <w:r>
        <w:rPr>
          <w:rFonts w:ascii="Arial" w:eastAsia="宋体" w:hAnsi="Arial" w:cs="Arial"/>
          <w:color w:val="000000"/>
          <w:kern w:val="0"/>
          <w:sz w:val="20"/>
          <w:szCs w:val="20"/>
          <w:lang w:bidi="ar"/>
        </w:rPr>
        <w:t>all such upward adjustments.</w:t>
      </w:r>
    </w:p>
    <w:p w14:paraId="4B76336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107</w:t>
      </w:r>
    </w:p>
    <w:p w14:paraId="4B76336F" w14:textId="77777777" w:rsidR="0099058F" w:rsidRDefault="00EB2559">
      <w:pPr>
        <w:widowControl/>
        <w:jc w:val="center"/>
      </w:pPr>
      <w:r>
        <w:rPr>
          <w:rFonts w:ascii="宋体" w:eastAsia="宋体" w:hAnsi="宋体" w:cs="宋体"/>
          <w:kern w:val="0"/>
          <w:sz w:val="24"/>
        </w:rPr>
        <w:pict w14:anchorId="4B763C62">
          <v:rect id="_x0000_i1133" style="width:6in;height:1.5pt" o:hralign="center" o:hrstd="t" o:hr="t" fillcolor="#a0a0a0" stroked="f"/>
        </w:pict>
      </w:r>
    </w:p>
    <w:p w14:paraId="4B76337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37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4B763372"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fair values and related carrying values of </w:t>
      </w:r>
      <w:r>
        <w:rPr>
          <w:rFonts w:ascii="Arial" w:eastAsia="宋体" w:hAnsi="Arial" w:cs="Arial"/>
          <w:color w:val="000000"/>
          <w:kern w:val="0"/>
          <w:sz w:val="20"/>
          <w:szCs w:val="20"/>
          <w:lang w:bidi="ar"/>
        </w:rPr>
        <w:t>financial instruments that are not required to be remeasured at fair value on the Consolidated Statements of Financial Position at December 31 were as follows:</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8"/>
        <w:gridCol w:w="3359"/>
        <w:gridCol w:w="37"/>
        <w:gridCol w:w="81"/>
        <w:gridCol w:w="774"/>
        <w:gridCol w:w="37"/>
        <w:gridCol w:w="37"/>
        <w:gridCol w:w="37"/>
        <w:gridCol w:w="37"/>
        <w:gridCol w:w="65"/>
        <w:gridCol w:w="831"/>
        <w:gridCol w:w="37"/>
        <w:gridCol w:w="37"/>
        <w:gridCol w:w="37"/>
        <w:gridCol w:w="37"/>
        <w:gridCol w:w="52"/>
        <w:gridCol w:w="764"/>
        <w:gridCol w:w="37"/>
        <w:gridCol w:w="37"/>
        <w:gridCol w:w="37"/>
        <w:gridCol w:w="36"/>
        <w:gridCol w:w="73"/>
        <w:gridCol w:w="745"/>
        <w:gridCol w:w="36"/>
        <w:gridCol w:w="36"/>
        <w:gridCol w:w="36"/>
        <w:gridCol w:w="36"/>
        <w:gridCol w:w="52"/>
        <w:gridCol w:w="767"/>
        <w:gridCol w:w="36"/>
      </w:tblGrid>
      <w:tr w:rsidR="0099058F" w14:paraId="4B763391" w14:textId="77777777">
        <w:tc>
          <w:tcPr>
            <w:tcW w:w="50" w:type="pct"/>
            <w:tcBorders>
              <w:top w:val="nil"/>
              <w:left w:val="nil"/>
              <w:bottom w:val="nil"/>
              <w:right w:val="nil"/>
            </w:tcBorders>
            <w:shd w:val="clear" w:color="auto" w:fill="auto"/>
            <w:vAlign w:val="bottom"/>
          </w:tcPr>
          <w:p w14:paraId="4B763373" w14:textId="77777777" w:rsidR="0099058F" w:rsidRDefault="0099058F">
            <w:pPr>
              <w:widowControl/>
              <w:jc w:val="left"/>
              <w:rPr>
                <w:rFonts w:ascii="Times New Roman" w:eastAsia="宋体" w:hAnsi="宋体" w:cs="宋体"/>
                <w:kern w:val="0"/>
                <w:sz w:val="24"/>
              </w:rPr>
            </w:pPr>
          </w:p>
        </w:tc>
        <w:tc>
          <w:tcPr>
            <w:tcW w:w="2042" w:type="pct"/>
            <w:tcBorders>
              <w:top w:val="nil"/>
              <w:left w:val="nil"/>
              <w:bottom w:val="nil"/>
              <w:right w:val="nil"/>
            </w:tcBorders>
            <w:shd w:val="clear" w:color="auto" w:fill="auto"/>
            <w:vAlign w:val="bottom"/>
          </w:tcPr>
          <w:p w14:paraId="4B76337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76"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7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9"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7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B"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7C" w14:textId="77777777" w:rsidR="0099058F" w:rsidRDefault="0099058F">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B76337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7F"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8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1"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82"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8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5"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8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88"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8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B"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8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8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8E"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8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90" w14:textId="77777777" w:rsidR="0099058F" w:rsidRDefault="0099058F">
            <w:pPr>
              <w:widowControl/>
              <w:jc w:val="left"/>
              <w:rPr>
                <w:rFonts w:ascii="Times New Roman" w:eastAsia="宋体" w:hAnsi="宋体" w:cs="宋体"/>
                <w:kern w:val="0"/>
                <w:sz w:val="24"/>
              </w:rPr>
            </w:pPr>
          </w:p>
        </w:tc>
      </w:tr>
      <w:tr w:rsidR="0099058F" w14:paraId="4B76339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92" w14:textId="77777777" w:rsidR="0099058F" w:rsidRDefault="0099058F">
            <w:pPr>
              <w:widowControl/>
              <w:jc w:val="left"/>
              <w:rPr>
                <w:rFonts w:ascii="Times New Roman" w:eastAsia="宋体" w:hAnsi="宋体" w:cs="宋体"/>
                <w:kern w:val="0"/>
                <w:sz w:val="24"/>
              </w:rPr>
            </w:pP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4B763393"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December 31, 2022</w:t>
            </w:r>
          </w:p>
        </w:tc>
      </w:tr>
      <w:tr w:rsidR="0099058F" w14:paraId="4B76339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39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39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39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3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39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3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39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3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39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3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99058F" w14:paraId="4B7633A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3A0"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3A9" w14:textId="77777777" w:rsidR="0099058F" w:rsidRDefault="0099058F">
            <w:pPr>
              <w:widowControl/>
              <w:jc w:val="left"/>
              <w:rPr>
                <w:rFonts w:ascii="Times New Roman" w:eastAsia="宋体" w:hAnsi="宋体" w:cs="宋体"/>
                <w:kern w:val="0"/>
                <w:sz w:val="24"/>
              </w:rPr>
            </w:pPr>
          </w:p>
        </w:tc>
      </w:tr>
      <w:tr w:rsidR="0099058F" w14:paraId="4B7633B5" w14:textId="77777777">
        <w:trPr>
          <w:hidden/>
        </w:trPr>
        <w:tc>
          <w:tcPr>
            <w:tcW w:w="0" w:type="auto"/>
            <w:gridSpan w:val="3"/>
            <w:tcBorders>
              <w:top w:val="nil"/>
              <w:left w:val="nil"/>
              <w:bottom w:val="nil"/>
              <w:right w:val="nil"/>
            </w:tcBorders>
            <w:shd w:val="clear" w:color="auto" w:fill="auto"/>
            <w:vAlign w:val="bottom"/>
          </w:tcPr>
          <w:p w14:paraId="4B7633A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A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A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A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A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B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B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B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B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3B4" w14:textId="77777777" w:rsidR="0099058F" w:rsidRDefault="0099058F">
            <w:pPr>
              <w:widowControl/>
              <w:jc w:val="left"/>
              <w:rPr>
                <w:rFonts w:ascii="Times New Roman" w:eastAsia="宋体" w:hAnsi="宋体" w:cs="宋体"/>
                <w:vanish/>
                <w:kern w:val="0"/>
                <w:sz w:val="24"/>
              </w:rPr>
            </w:pPr>
          </w:p>
        </w:tc>
      </w:tr>
      <w:tr w:rsidR="0099058F" w14:paraId="4B7633C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3B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B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B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B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B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B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3B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3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C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3C2" w14:textId="77777777" w:rsidR="0099058F" w:rsidRDefault="0099058F">
            <w:pPr>
              <w:widowControl/>
              <w:jc w:val="left"/>
              <w:rPr>
                <w:rFonts w:ascii="Times New Roman" w:eastAsia="宋体" w:hAnsi="宋体" w:cs="宋体"/>
                <w:kern w:val="0"/>
                <w:sz w:val="24"/>
              </w:rPr>
            </w:pPr>
          </w:p>
        </w:tc>
      </w:tr>
      <w:tr w:rsidR="0099058F" w14:paraId="4B7633C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3C4"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3CD" w14:textId="77777777" w:rsidR="0099058F" w:rsidRDefault="0099058F">
            <w:pPr>
              <w:widowControl/>
              <w:jc w:val="left"/>
              <w:rPr>
                <w:rFonts w:ascii="Times New Roman" w:eastAsia="宋体" w:hAnsi="宋体" w:cs="宋体"/>
                <w:kern w:val="0"/>
                <w:sz w:val="24"/>
              </w:rPr>
            </w:pPr>
          </w:p>
        </w:tc>
      </w:tr>
      <w:tr w:rsidR="0099058F" w14:paraId="4B7633DC" w14:textId="77777777">
        <w:tc>
          <w:tcPr>
            <w:tcW w:w="0" w:type="auto"/>
            <w:gridSpan w:val="3"/>
            <w:tcBorders>
              <w:top w:val="nil"/>
              <w:left w:val="nil"/>
              <w:bottom w:val="double" w:sz="2" w:space="0" w:color="000000"/>
              <w:right w:val="nil"/>
            </w:tcBorders>
            <w:shd w:val="clear" w:color="auto" w:fill="FFFFFF"/>
            <w:tcMar>
              <w:top w:w="40" w:type="dxa"/>
              <w:left w:w="560" w:type="dxa"/>
              <w:bottom w:w="40" w:type="dxa"/>
              <w:right w:w="20" w:type="dxa"/>
            </w:tcMar>
          </w:tcPr>
          <w:p w14:paraId="4B7633CF"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Debt, excluding finance lease obligations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3D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(56,794)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3D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3D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(52,856)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3D4"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3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(52,856)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3D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3DB" w14:textId="77777777" w:rsidR="0099058F" w:rsidRDefault="0099058F">
            <w:pPr>
              <w:widowControl/>
              <w:jc w:val="left"/>
              <w:rPr>
                <w:rFonts w:ascii="Times New Roman" w:eastAsia="宋体" w:hAnsi="宋体" w:cs="宋体"/>
                <w:kern w:val="0"/>
                <w:sz w:val="24"/>
              </w:rPr>
            </w:pPr>
          </w:p>
        </w:tc>
      </w:tr>
    </w:tbl>
    <w:p w14:paraId="4B7633DD"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8"/>
        <w:gridCol w:w="3360"/>
        <w:gridCol w:w="37"/>
        <w:gridCol w:w="75"/>
        <w:gridCol w:w="753"/>
        <w:gridCol w:w="36"/>
        <w:gridCol w:w="36"/>
        <w:gridCol w:w="36"/>
        <w:gridCol w:w="36"/>
        <w:gridCol w:w="65"/>
        <w:gridCol w:w="864"/>
        <w:gridCol w:w="36"/>
        <w:gridCol w:w="36"/>
        <w:gridCol w:w="36"/>
        <w:gridCol w:w="36"/>
        <w:gridCol w:w="50"/>
        <w:gridCol w:w="769"/>
        <w:gridCol w:w="36"/>
        <w:gridCol w:w="36"/>
        <w:gridCol w:w="36"/>
        <w:gridCol w:w="36"/>
        <w:gridCol w:w="73"/>
        <w:gridCol w:w="746"/>
        <w:gridCol w:w="36"/>
        <w:gridCol w:w="36"/>
        <w:gridCol w:w="36"/>
        <w:gridCol w:w="36"/>
        <w:gridCol w:w="50"/>
        <w:gridCol w:w="769"/>
        <w:gridCol w:w="36"/>
      </w:tblGrid>
      <w:tr w:rsidR="0099058F" w14:paraId="4B7633FC" w14:textId="77777777">
        <w:tc>
          <w:tcPr>
            <w:tcW w:w="50" w:type="pct"/>
            <w:tcBorders>
              <w:top w:val="nil"/>
              <w:left w:val="nil"/>
              <w:bottom w:val="nil"/>
              <w:right w:val="nil"/>
            </w:tcBorders>
            <w:shd w:val="clear" w:color="auto" w:fill="auto"/>
            <w:vAlign w:val="bottom"/>
          </w:tcPr>
          <w:p w14:paraId="4B7633DE" w14:textId="77777777" w:rsidR="0099058F" w:rsidRDefault="0099058F">
            <w:pPr>
              <w:widowControl/>
              <w:jc w:val="left"/>
              <w:rPr>
                <w:rFonts w:ascii="Times New Roman" w:eastAsia="宋体" w:hAnsi="宋体" w:cs="宋体"/>
                <w:kern w:val="0"/>
                <w:sz w:val="24"/>
              </w:rPr>
            </w:pPr>
          </w:p>
        </w:tc>
        <w:tc>
          <w:tcPr>
            <w:tcW w:w="2042" w:type="pct"/>
            <w:tcBorders>
              <w:top w:val="nil"/>
              <w:left w:val="nil"/>
              <w:bottom w:val="nil"/>
              <w:right w:val="nil"/>
            </w:tcBorders>
            <w:shd w:val="clear" w:color="auto" w:fill="auto"/>
            <w:vAlign w:val="bottom"/>
          </w:tcPr>
          <w:p w14:paraId="4B7633D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E1"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E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4"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E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E7" w14:textId="77777777" w:rsidR="0099058F" w:rsidRDefault="0099058F">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B7633E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A"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ED"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0"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F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F3"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F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6" w14:textId="77777777" w:rsidR="0099058F" w:rsidRDefault="0099058F">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B7633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3F9" w14:textId="77777777" w:rsidR="0099058F" w:rsidRDefault="0099058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B7633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3FB" w14:textId="77777777" w:rsidR="0099058F" w:rsidRDefault="0099058F">
            <w:pPr>
              <w:widowControl/>
              <w:jc w:val="left"/>
              <w:rPr>
                <w:rFonts w:ascii="Times New Roman" w:eastAsia="宋体" w:hAnsi="宋体" w:cs="宋体"/>
                <w:kern w:val="0"/>
                <w:sz w:val="24"/>
              </w:rPr>
            </w:pPr>
          </w:p>
        </w:tc>
      </w:tr>
      <w:tr w:rsidR="0099058F" w14:paraId="4B7633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3FD" w14:textId="77777777" w:rsidR="0099058F" w:rsidRDefault="0099058F">
            <w:pPr>
              <w:widowControl/>
              <w:jc w:val="left"/>
              <w:rPr>
                <w:rFonts w:ascii="Times New Roman" w:eastAsia="宋体" w:hAnsi="宋体" w:cs="宋体"/>
                <w:kern w:val="0"/>
                <w:sz w:val="24"/>
              </w:rPr>
            </w:pP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4B7633F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r>
      <w:tr w:rsidR="0099058F" w14:paraId="4B76340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40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40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40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4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40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4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40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40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40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40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99058F" w14:paraId="4B76341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40B"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0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0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0E"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0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1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1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1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1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14" w14:textId="77777777" w:rsidR="0099058F" w:rsidRDefault="0099058F">
            <w:pPr>
              <w:widowControl/>
              <w:jc w:val="left"/>
              <w:rPr>
                <w:rFonts w:ascii="Times New Roman" w:eastAsia="宋体" w:hAnsi="宋体" w:cs="宋体"/>
                <w:kern w:val="0"/>
                <w:sz w:val="24"/>
              </w:rPr>
            </w:pPr>
          </w:p>
        </w:tc>
      </w:tr>
      <w:tr w:rsidR="0099058F" w14:paraId="4B763420" w14:textId="77777777">
        <w:trPr>
          <w:hidden/>
        </w:trPr>
        <w:tc>
          <w:tcPr>
            <w:tcW w:w="0" w:type="auto"/>
            <w:gridSpan w:val="3"/>
            <w:tcBorders>
              <w:top w:val="nil"/>
              <w:left w:val="nil"/>
              <w:bottom w:val="nil"/>
              <w:right w:val="nil"/>
            </w:tcBorders>
            <w:shd w:val="clear" w:color="auto" w:fill="auto"/>
            <w:vAlign w:val="bottom"/>
          </w:tcPr>
          <w:p w14:paraId="4B76341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1F" w14:textId="77777777" w:rsidR="0099058F" w:rsidRDefault="0099058F">
            <w:pPr>
              <w:widowControl/>
              <w:jc w:val="left"/>
              <w:rPr>
                <w:rFonts w:ascii="Times New Roman" w:eastAsia="宋体" w:hAnsi="宋体" w:cs="宋体"/>
                <w:vanish/>
                <w:kern w:val="0"/>
                <w:sz w:val="24"/>
              </w:rPr>
            </w:pPr>
          </w:p>
        </w:tc>
      </w:tr>
      <w:tr w:rsidR="0099058F" w14:paraId="4B76342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B76342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2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2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2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2D" w14:textId="77777777" w:rsidR="0099058F" w:rsidRDefault="0099058F">
            <w:pPr>
              <w:widowControl/>
              <w:jc w:val="left"/>
              <w:rPr>
                <w:rFonts w:ascii="Times New Roman" w:eastAsia="宋体" w:hAnsi="宋体" w:cs="宋体"/>
                <w:kern w:val="0"/>
                <w:sz w:val="24"/>
              </w:rPr>
            </w:pPr>
          </w:p>
        </w:tc>
      </w:tr>
      <w:tr w:rsidR="0099058F" w14:paraId="4B7634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42F" w14:textId="77777777" w:rsidR="0099058F" w:rsidRDefault="00EB255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38" w14:textId="77777777" w:rsidR="0099058F" w:rsidRDefault="0099058F">
            <w:pPr>
              <w:widowControl/>
              <w:jc w:val="left"/>
              <w:rPr>
                <w:rFonts w:ascii="Times New Roman" w:eastAsia="宋体" w:hAnsi="宋体" w:cs="宋体"/>
                <w:kern w:val="0"/>
                <w:sz w:val="24"/>
              </w:rPr>
            </w:pPr>
          </w:p>
        </w:tc>
      </w:tr>
      <w:tr w:rsidR="0099058F" w14:paraId="4B763447" w14:textId="77777777">
        <w:tc>
          <w:tcPr>
            <w:tcW w:w="0" w:type="auto"/>
            <w:gridSpan w:val="3"/>
            <w:tcBorders>
              <w:top w:val="nil"/>
              <w:left w:val="nil"/>
              <w:bottom w:val="double" w:sz="2" w:space="0" w:color="000000"/>
              <w:right w:val="nil"/>
            </w:tcBorders>
            <w:shd w:val="clear" w:color="auto" w:fill="FFFFFF"/>
            <w:tcMar>
              <w:top w:w="40" w:type="dxa"/>
              <w:left w:w="560" w:type="dxa"/>
              <w:bottom w:w="40" w:type="dxa"/>
              <w:right w:w="20" w:type="dxa"/>
            </w:tcMar>
          </w:tcPr>
          <w:p w14:paraId="4B76343A" w14:textId="77777777" w:rsidR="0099058F" w:rsidRDefault="00EB2559">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Debt, excluding finance lease obligations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43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(57,921)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43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3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4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43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4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4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B76344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B76344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4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B763446" w14:textId="77777777" w:rsidR="0099058F" w:rsidRDefault="0099058F">
            <w:pPr>
              <w:widowControl/>
              <w:jc w:val="left"/>
              <w:rPr>
                <w:rFonts w:ascii="Times New Roman" w:eastAsia="宋体" w:hAnsi="宋体" w:cs="宋体"/>
                <w:kern w:val="0"/>
                <w:sz w:val="24"/>
              </w:rPr>
            </w:pPr>
          </w:p>
        </w:tc>
      </w:tr>
    </w:tbl>
    <w:p w14:paraId="4B763448"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w:t>
      </w:r>
      <w:r>
        <w:rPr>
          <w:rFonts w:ascii="Arial" w:eastAsia="宋体" w:hAnsi="Arial" w:cs="Arial"/>
          <w:color w:val="000000"/>
          <w:kern w:val="0"/>
          <w:sz w:val="20"/>
          <w:szCs w:val="20"/>
          <w:lang w:bidi="ar"/>
        </w:rPr>
        <w:t xml:space="preserve"> in the secondary market is classified as Level 2 and is based on current market yields. For our debt that is not traded in the secondary market, the fair value is classified as Level 2 and is based on our indicative borrowing cost derived from dealer quot</w:t>
      </w:r>
      <w:r>
        <w:rPr>
          <w:rFonts w:ascii="Arial" w:eastAsia="宋体" w:hAnsi="Arial" w:cs="Arial"/>
          <w:color w:val="000000"/>
          <w:kern w:val="0"/>
          <w:sz w:val="20"/>
          <w:szCs w:val="20"/>
          <w:lang w:bidi="ar"/>
        </w:rPr>
        <w:t>es or discounted cash flows. The fair values of our debt classified as Level 3 are based on discounted cash flow models using the implied yield from similar securities. With regard to other financial instruments with off-balance sheet risk, it is not pract</w:t>
      </w:r>
      <w:r>
        <w:rPr>
          <w:rFonts w:ascii="Arial" w:eastAsia="宋体" w:hAnsi="Arial" w:cs="Arial"/>
          <w:color w:val="000000"/>
          <w:kern w:val="0"/>
          <w:sz w:val="20"/>
          <w:szCs w:val="20"/>
          <w:lang w:bidi="ar"/>
        </w:rPr>
        <w:t>icable to estimate the fair value of our indemnifications and financing commitments because the amount and timing of those arrangements are uncertain. Items not included in the above disclosures include cash, restricted cash, time deposits and other deposi</w:t>
      </w:r>
      <w:r>
        <w:rPr>
          <w:rFonts w:ascii="Arial" w:eastAsia="宋体" w:hAnsi="Arial" w:cs="Arial"/>
          <w:color w:val="000000"/>
          <w:kern w:val="0"/>
          <w:sz w:val="20"/>
          <w:szCs w:val="20"/>
          <w:lang w:bidi="ar"/>
        </w:rPr>
        <w:t>ts, commercial paper, money market funds, Accounts receivable, Unbilled receivables, Other current assets, Accounts payable and long-term payables. The carrying values of those items, as reflected in the Consolidated Statements of Financial Position, appro</w:t>
      </w:r>
      <w:r>
        <w:rPr>
          <w:rFonts w:ascii="Arial" w:eastAsia="宋体" w:hAnsi="Arial" w:cs="Arial"/>
          <w:color w:val="000000"/>
          <w:kern w:val="0"/>
          <w:sz w:val="20"/>
          <w:szCs w:val="20"/>
          <w:lang w:bidi="ar"/>
        </w:rPr>
        <w:t>ximate their fair value at December 31, 2022 and 2021. The fair value of assets and liabilities whose carrying value approximates fair value is determined using Level 2 inputs, with the exception of cash (Level 1).</w:t>
      </w:r>
    </w:p>
    <w:p w14:paraId="4B763449"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21 – Legal Proceedings</w:t>
      </w:r>
    </w:p>
    <w:p w14:paraId="4B76344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w:t>
      </w:r>
      <w:r>
        <w:rPr>
          <w:rFonts w:ascii="Arial" w:eastAsia="宋体" w:hAnsi="Arial" w:cs="Arial"/>
          <w:color w:val="000000"/>
          <w:kern w:val="0"/>
          <w:sz w:val="20"/>
          <w:szCs w:val="20"/>
          <w:lang w:bidi="ar"/>
        </w:rPr>
        <w:t xml:space="preserve"> proceedings, claims and investigations related to products, contracts, employment and other matters are pending against us.</w:t>
      </w:r>
    </w:p>
    <w:p w14:paraId="4B76344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various U.S. government inquiries and investigations from which civil, criminal or administrative pr</w:t>
      </w:r>
      <w:r>
        <w:rPr>
          <w:rFonts w:ascii="Arial" w:eastAsia="宋体" w:hAnsi="Arial" w:cs="Arial"/>
          <w:color w:val="000000"/>
          <w:kern w:val="0"/>
          <w:sz w:val="20"/>
          <w:szCs w:val="20"/>
          <w:lang w:bidi="ar"/>
        </w:rPr>
        <w:t>oceedings could result or have resulted in the past. Such proceedings involve or could involve claims by the government for fines, penalties, compensatory and treble damages, restitution and/or forfeitures. Under government regulations, a company, or one o</w:t>
      </w:r>
      <w:r>
        <w:rPr>
          <w:rFonts w:ascii="Arial" w:eastAsia="宋体" w:hAnsi="Arial" w:cs="Arial"/>
          <w:color w:val="000000"/>
          <w:kern w:val="0"/>
          <w:sz w:val="20"/>
          <w:szCs w:val="20"/>
          <w:lang w:bidi="ar"/>
        </w:rPr>
        <w:t xml:space="preserve">r more of its operating divisions or subdivisions, can also be suspended or debarred from government contracts, or lose its export privileges, based on the results of investigations. Except as described below, we believe, </w:t>
      </w:r>
    </w:p>
    <w:p w14:paraId="4B76344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108</w:t>
      </w:r>
    </w:p>
    <w:p w14:paraId="4B76344D" w14:textId="77777777" w:rsidR="0099058F" w:rsidRDefault="00EB2559">
      <w:pPr>
        <w:widowControl/>
        <w:jc w:val="center"/>
      </w:pPr>
      <w:r>
        <w:rPr>
          <w:rFonts w:ascii="宋体" w:eastAsia="宋体" w:hAnsi="宋体" w:cs="宋体"/>
          <w:kern w:val="0"/>
          <w:sz w:val="24"/>
        </w:rPr>
        <w:pict w14:anchorId="4B763C63">
          <v:rect id="_x0000_i1134" style="width:6in;height:1.5pt" o:hralign="center" o:hrstd="t" o:hr="t" fillcolor="#a0a0a0" stroked="f"/>
        </w:pict>
      </w:r>
    </w:p>
    <w:p w14:paraId="4B76344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44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upon current information, that the outcome of any such legal proceeding, claim, or government dispute and investig</w:t>
      </w:r>
      <w:r>
        <w:rPr>
          <w:rFonts w:ascii="Arial" w:eastAsia="宋体" w:hAnsi="Arial" w:cs="Arial"/>
          <w:color w:val="000000"/>
          <w:kern w:val="0"/>
          <w:sz w:val="20"/>
          <w:szCs w:val="20"/>
          <w:lang w:bidi="ar"/>
        </w:rPr>
        <w:t>ation will not have a material effect on our financial position, results of operations or cash flows. Where it is reasonably possible that we will incur losses in excess of recorded amounts in connection with any of the matters set forth below, we will dis</w:t>
      </w:r>
      <w:r>
        <w:rPr>
          <w:rFonts w:ascii="Arial" w:eastAsia="宋体" w:hAnsi="Arial" w:cs="Arial"/>
          <w:color w:val="000000"/>
          <w:kern w:val="0"/>
          <w:sz w:val="20"/>
          <w:szCs w:val="20"/>
          <w:lang w:bidi="ar"/>
        </w:rPr>
        <w:t>close either the amount or range of reasonably possible losses in excess of such amounts or, where no such amount or range can be reasonably estimated, the reasons why no such estimate can be made.</w:t>
      </w:r>
    </w:p>
    <w:p w14:paraId="4B76345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w:t>
      </w:r>
      <w:r>
        <w:rPr>
          <w:rFonts w:ascii="Arial" w:eastAsia="宋体" w:hAnsi="Arial" w:cs="Arial"/>
          <w:color w:val="000000"/>
          <w:kern w:val="0"/>
          <w:sz w:val="20"/>
          <w:szCs w:val="20"/>
          <w:lang w:bidi="ar"/>
        </w:rPr>
        <w:t>ult of the October 29, 2018 accident of Lion Air Flight 610 and the March 10, 2019 accident of Ethiopian Airlines Flight 302. During 2021, we entered into (i) a Deferred Prosecution Agreement with the U.S. Department of Justice that resolved the Department</w:t>
      </w:r>
      <w:r>
        <w:rPr>
          <w:rFonts w:ascii="Arial" w:eastAsia="宋体" w:hAnsi="Arial" w:cs="Arial"/>
          <w:color w:val="000000"/>
          <w:kern w:val="0"/>
          <w:sz w:val="20"/>
          <w:szCs w:val="20"/>
          <w:lang w:bidi="ar"/>
        </w:rPr>
        <w:t xml:space="preserve"> of Justice’s previously disclosed investigation into us regarding the evaluation of the 737 MAX by the Federal Aviation Administration (FAA) as well as (ii) a proposed settlement with plaintiffs in a shareholder derivative lawsuit that resulted in the Com</w:t>
      </w:r>
      <w:r>
        <w:rPr>
          <w:rFonts w:ascii="Arial" w:eastAsia="宋体" w:hAnsi="Arial" w:cs="Arial"/>
          <w:color w:val="000000"/>
          <w:kern w:val="0"/>
          <w:sz w:val="20"/>
          <w:szCs w:val="20"/>
          <w:lang w:bidi="ar"/>
        </w:rPr>
        <w:t>pany receiving $219 in the second quarter of 2022. In September 2022, we settled a previously disclosed investigation by the Securities and Exchange Commission related to the 737 MAX accidents and consented to a civil penalty, which resulted in an earnings</w:t>
      </w:r>
      <w:r>
        <w:rPr>
          <w:rFonts w:ascii="Arial" w:eastAsia="宋体" w:hAnsi="Arial" w:cs="Arial"/>
          <w:color w:val="000000"/>
          <w:kern w:val="0"/>
          <w:sz w:val="20"/>
          <w:szCs w:val="20"/>
          <w:lang w:bidi="ar"/>
        </w:rPr>
        <w:t xml:space="preserve"> charge of $200 that was paid in October 2022. We cannot reasonably estimate a range of loss, if any, not covered by available insurance that we may incur as a result of any remaining pending lawsuits or other matters related to the accidents and the 737 M</w:t>
      </w:r>
      <w:r>
        <w:rPr>
          <w:rFonts w:ascii="Arial" w:eastAsia="宋体" w:hAnsi="Arial" w:cs="Arial"/>
          <w:color w:val="000000"/>
          <w:kern w:val="0"/>
          <w:sz w:val="20"/>
          <w:szCs w:val="20"/>
          <w:lang w:bidi="ar"/>
        </w:rPr>
        <w:t>AX.</w:t>
      </w:r>
    </w:p>
    <w:p w14:paraId="4B76345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2019, we entered into agreements with Embraer S.A. (Embraer) to establish joint ventures that included the commercial aircraft and services operations of Embraer, of which we were expected to acquire an 80 percent ownership stake for </w:t>
      </w:r>
      <w:r>
        <w:rPr>
          <w:rFonts w:ascii="Arial" w:eastAsia="宋体" w:hAnsi="Arial" w:cs="Arial"/>
          <w:color w:val="000000"/>
          <w:kern w:val="0"/>
          <w:sz w:val="20"/>
          <w:szCs w:val="20"/>
          <w:lang w:bidi="ar"/>
        </w:rPr>
        <w:t>$4,200, as well as a joint venture to promote and develop new markets for the C-390 Millennium. In 2020, we exercised our contractual right to terminate these agreements based on Embraer’s failure to meet certain required closing conditions. Embraer has di</w:t>
      </w:r>
      <w:r>
        <w:rPr>
          <w:rFonts w:ascii="Arial" w:eastAsia="宋体" w:hAnsi="Arial" w:cs="Arial"/>
          <w:color w:val="000000"/>
          <w:kern w:val="0"/>
          <w:sz w:val="20"/>
          <w:szCs w:val="20"/>
          <w:lang w:bidi="ar"/>
        </w:rPr>
        <w:t>sputed our right to terminate the agreements, and the dispute is currently in arbitration. We cannot reasonably estimate a range of loss, if any, that may result from the arbitration, which we currently expect to be completed in late 2023 or early 2024.</w:t>
      </w:r>
    </w:p>
    <w:p w14:paraId="4B763452"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w:t>
      </w:r>
      <w:r>
        <w:rPr>
          <w:rFonts w:ascii="Arial" w:eastAsia="宋体" w:hAnsi="Arial" w:cs="Arial"/>
          <w:b/>
          <w:bCs/>
          <w:color w:val="000000"/>
          <w:kern w:val="0"/>
          <w:sz w:val="20"/>
          <w:szCs w:val="20"/>
          <w:lang w:bidi="ar"/>
        </w:rPr>
        <w:t>te 22 – Segment and Revenue Information</w:t>
      </w:r>
    </w:p>
    <w:p w14:paraId="4B76345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measurements to review a segment’s operating results are Earnings/(loss) from operations and operating margins. We operate in four reportable segments: BCA, BDS, BGS and BCC. All other activ</w:t>
      </w:r>
      <w:r>
        <w:rPr>
          <w:rFonts w:ascii="Arial" w:eastAsia="宋体" w:hAnsi="Arial" w:cs="Arial"/>
          <w:color w:val="000000"/>
          <w:kern w:val="0"/>
          <w:sz w:val="20"/>
          <w:szCs w:val="20"/>
          <w:lang w:bidi="ar"/>
        </w:rPr>
        <w:t>ities fall within Unallocated items, eliminations and other. See page 58 for the Summary of Business Segment Data, which is an integral part of this note.</w:t>
      </w:r>
    </w:p>
    <w:p w14:paraId="4B76345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 markets commercial jet aircraft principally to the commercial airline indu</w:t>
      </w:r>
      <w:r>
        <w:rPr>
          <w:rFonts w:ascii="Arial" w:eastAsia="宋体" w:hAnsi="Arial" w:cs="Arial"/>
          <w:color w:val="000000"/>
          <w:kern w:val="0"/>
          <w:sz w:val="20"/>
          <w:szCs w:val="20"/>
          <w:lang w:bidi="ar"/>
        </w:rPr>
        <w:t>stry worldwide. Revenue on commercial aircraft contracts is recognized at the point in time when an aircraft is completed and accepted by the customer.</w:t>
      </w:r>
    </w:p>
    <w:p w14:paraId="4B76345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engages in the research, development, production and modification of the following products and rela</w:t>
      </w:r>
      <w:r>
        <w:rPr>
          <w:rFonts w:ascii="Arial" w:eastAsia="宋体" w:hAnsi="Arial" w:cs="Arial"/>
          <w:color w:val="000000"/>
          <w:kern w:val="0"/>
          <w:sz w:val="20"/>
          <w:szCs w:val="20"/>
          <w:lang w:bidi="ar"/>
        </w:rPr>
        <w:t>ted services: manned and unmanned military aircraft and weapons systems, surveillance and engagement, strategic defense and intelligence systems, satellite systems and space exploration. BDS revenue is generally recognized over the contract term (over time</w:t>
      </w:r>
      <w:r>
        <w:rPr>
          <w:rFonts w:ascii="Arial" w:eastAsia="宋体" w:hAnsi="Arial" w:cs="Arial"/>
          <w:color w:val="000000"/>
          <w:kern w:val="0"/>
          <w:sz w:val="20"/>
          <w:szCs w:val="20"/>
          <w:lang w:bidi="ar"/>
        </w:rPr>
        <w:t>) as costs are incurred.</w:t>
      </w:r>
    </w:p>
    <w:p w14:paraId="4B76345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commercial and government customers worldwide. BGS segment revenue and costs include certain products and</w:t>
      </w:r>
      <w:r>
        <w:rPr>
          <w:rFonts w:ascii="Arial" w:eastAsia="宋体" w:hAnsi="Arial" w:cs="Arial"/>
          <w:color w:val="000000"/>
          <w:kern w:val="0"/>
          <w:sz w:val="20"/>
          <w:szCs w:val="20"/>
          <w:lang w:bidi="ar"/>
        </w:rPr>
        <w:t xml:space="preserve"> services provided to other segments. Revenue on commercial spare parts contracts is recognized at the point in time when a spare part is delivered to the customer. Revenue on other contracts is generally recognized over the contract term (over time) as co</w:t>
      </w:r>
      <w:r>
        <w:rPr>
          <w:rFonts w:ascii="Arial" w:eastAsia="宋体" w:hAnsi="Arial" w:cs="Arial"/>
          <w:color w:val="000000"/>
          <w:kern w:val="0"/>
          <w:sz w:val="20"/>
          <w:szCs w:val="20"/>
          <w:lang w:bidi="ar"/>
        </w:rPr>
        <w:t>sts are incurred.</w:t>
      </w:r>
    </w:p>
    <w:p w14:paraId="4B76345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4B76345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109</w:t>
      </w:r>
    </w:p>
    <w:p w14:paraId="4B763459" w14:textId="77777777" w:rsidR="0099058F" w:rsidRDefault="00EB2559">
      <w:pPr>
        <w:widowControl/>
        <w:jc w:val="center"/>
      </w:pPr>
      <w:r>
        <w:rPr>
          <w:rFonts w:ascii="宋体" w:eastAsia="宋体" w:hAnsi="宋体" w:cs="宋体"/>
          <w:kern w:val="0"/>
          <w:sz w:val="24"/>
        </w:rPr>
        <w:pict w14:anchorId="4B763C64">
          <v:rect id="_x0000_i1135" style="width:6in;height:1.5pt" o:hralign="center" o:hrstd="t" o:hr="t" fillcolor="#a0a0a0" stroked="f"/>
        </w:pict>
      </w:r>
    </w:p>
    <w:p w14:paraId="4B76345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45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While our principal operations are in the United States, Canada and Australia, some key suppliers and subcontractors are located in Europe and Japan. Revenues, including foreign military s</w:t>
      </w:r>
      <w:r>
        <w:rPr>
          <w:rFonts w:ascii="Arial" w:eastAsia="宋体" w:hAnsi="Arial" w:cs="Arial"/>
          <w:color w:val="000000"/>
          <w:kern w:val="0"/>
          <w:sz w:val="20"/>
          <w:szCs w:val="20"/>
          <w:lang w:bidi="ar"/>
        </w:rPr>
        <w:t>ales, are reported by customer location and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16"/>
        <w:gridCol w:w="37"/>
        <w:gridCol w:w="66"/>
        <w:gridCol w:w="902"/>
        <w:gridCol w:w="36"/>
        <w:gridCol w:w="36"/>
        <w:gridCol w:w="36"/>
        <w:gridCol w:w="36"/>
        <w:gridCol w:w="72"/>
        <w:gridCol w:w="806"/>
        <w:gridCol w:w="36"/>
        <w:gridCol w:w="36"/>
        <w:gridCol w:w="36"/>
        <w:gridCol w:w="36"/>
        <w:gridCol w:w="74"/>
        <w:gridCol w:w="778"/>
        <w:gridCol w:w="36"/>
      </w:tblGrid>
      <w:tr w:rsidR="0099058F" w14:paraId="4B76346E" w14:textId="77777777">
        <w:tc>
          <w:tcPr>
            <w:tcW w:w="50" w:type="pct"/>
            <w:tcBorders>
              <w:top w:val="nil"/>
              <w:left w:val="nil"/>
              <w:bottom w:val="nil"/>
              <w:right w:val="nil"/>
            </w:tcBorders>
            <w:shd w:val="clear" w:color="auto" w:fill="auto"/>
            <w:vAlign w:val="bottom"/>
          </w:tcPr>
          <w:p w14:paraId="4B76345C" w14:textId="77777777" w:rsidR="0099058F" w:rsidRDefault="0099058F">
            <w:pPr>
              <w:widowControl/>
              <w:jc w:val="left"/>
              <w:rPr>
                <w:rFonts w:ascii="Times New Roman" w:eastAsia="宋体" w:hAnsi="宋体" w:cs="宋体"/>
                <w:kern w:val="0"/>
                <w:sz w:val="24"/>
              </w:rPr>
            </w:pPr>
          </w:p>
        </w:tc>
        <w:tc>
          <w:tcPr>
            <w:tcW w:w="3139" w:type="pct"/>
            <w:tcBorders>
              <w:top w:val="nil"/>
              <w:left w:val="nil"/>
              <w:bottom w:val="nil"/>
              <w:right w:val="nil"/>
            </w:tcBorders>
            <w:shd w:val="clear" w:color="auto" w:fill="auto"/>
            <w:vAlign w:val="bottom"/>
          </w:tcPr>
          <w:p w14:paraId="4B76345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5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45F"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46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46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465" w14:textId="77777777" w:rsidR="0099058F" w:rsidRDefault="0099058F">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4B76346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46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46B"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346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6D" w14:textId="77777777" w:rsidR="0099058F" w:rsidRDefault="0099058F">
            <w:pPr>
              <w:widowControl/>
              <w:jc w:val="left"/>
              <w:rPr>
                <w:rFonts w:ascii="Times New Roman" w:eastAsia="宋体" w:hAnsi="宋体" w:cs="宋体"/>
                <w:kern w:val="0"/>
                <w:sz w:val="24"/>
              </w:rPr>
            </w:pPr>
          </w:p>
        </w:tc>
      </w:tr>
      <w:tr w:rsidR="0099058F" w14:paraId="4B76347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46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4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47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4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4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47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47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47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4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47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7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4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$5,845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47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47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47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47E" w14:textId="77777777" w:rsidR="0099058F" w:rsidRDefault="0099058F">
            <w:pPr>
              <w:widowControl/>
              <w:jc w:val="left"/>
              <w:rPr>
                <w:rFonts w:ascii="Times New Roman" w:eastAsia="宋体" w:hAnsi="宋体" w:cs="宋体"/>
                <w:kern w:val="0"/>
                <w:sz w:val="24"/>
              </w:rPr>
            </w:pPr>
          </w:p>
        </w:tc>
      </w:tr>
      <w:tr w:rsidR="0099058F" w14:paraId="4B7634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48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8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8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8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8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8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88" w14:textId="77777777" w:rsidR="0099058F" w:rsidRDefault="0099058F">
            <w:pPr>
              <w:widowControl/>
              <w:jc w:val="left"/>
              <w:rPr>
                <w:rFonts w:ascii="Times New Roman" w:eastAsia="宋体" w:hAnsi="宋体" w:cs="宋体"/>
                <w:kern w:val="0"/>
                <w:sz w:val="24"/>
              </w:rPr>
            </w:pPr>
          </w:p>
        </w:tc>
      </w:tr>
      <w:tr w:rsidR="0099058F" w14:paraId="4B763490" w14:textId="77777777">
        <w:trPr>
          <w:hidden/>
        </w:trPr>
        <w:tc>
          <w:tcPr>
            <w:tcW w:w="0" w:type="auto"/>
            <w:gridSpan w:val="3"/>
            <w:tcBorders>
              <w:top w:val="nil"/>
              <w:left w:val="nil"/>
              <w:bottom w:val="nil"/>
              <w:right w:val="nil"/>
            </w:tcBorders>
            <w:shd w:val="clear" w:color="auto" w:fill="auto"/>
            <w:vAlign w:val="bottom"/>
          </w:tcPr>
          <w:p w14:paraId="4B76348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8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8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8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8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8F" w14:textId="77777777" w:rsidR="0099058F" w:rsidRDefault="0099058F">
            <w:pPr>
              <w:widowControl/>
              <w:jc w:val="left"/>
              <w:rPr>
                <w:rFonts w:ascii="Times New Roman" w:eastAsia="宋体" w:hAnsi="宋体" w:cs="宋体"/>
                <w:vanish/>
                <w:kern w:val="0"/>
                <w:sz w:val="24"/>
              </w:rPr>
            </w:pPr>
          </w:p>
        </w:tc>
      </w:tr>
      <w:tr w:rsidR="0099058F" w14:paraId="4B7634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49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9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9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9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99" w14:textId="77777777" w:rsidR="0099058F" w:rsidRDefault="0099058F">
            <w:pPr>
              <w:widowControl/>
              <w:jc w:val="left"/>
              <w:rPr>
                <w:rFonts w:ascii="Times New Roman" w:eastAsia="宋体" w:hAnsi="宋体" w:cs="宋体"/>
                <w:kern w:val="0"/>
                <w:sz w:val="24"/>
              </w:rPr>
            </w:pPr>
          </w:p>
        </w:tc>
      </w:tr>
      <w:tr w:rsidR="0099058F" w14:paraId="4B7634A1" w14:textId="77777777">
        <w:trPr>
          <w:hidden/>
        </w:trPr>
        <w:tc>
          <w:tcPr>
            <w:tcW w:w="0" w:type="auto"/>
            <w:gridSpan w:val="3"/>
            <w:tcBorders>
              <w:top w:val="nil"/>
              <w:left w:val="nil"/>
              <w:bottom w:val="nil"/>
              <w:right w:val="nil"/>
            </w:tcBorders>
            <w:shd w:val="clear" w:color="auto" w:fill="auto"/>
            <w:vAlign w:val="bottom"/>
          </w:tcPr>
          <w:p w14:paraId="4B76349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9C"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9D"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9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9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4A0" w14:textId="77777777" w:rsidR="0099058F" w:rsidRDefault="0099058F">
            <w:pPr>
              <w:widowControl/>
              <w:jc w:val="left"/>
              <w:rPr>
                <w:rFonts w:ascii="Times New Roman" w:eastAsia="宋体" w:hAnsi="宋体" w:cs="宋体"/>
                <w:vanish/>
                <w:kern w:val="0"/>
                <w:sz w:val="24"/>
              </w:rPr>
            </w:pPr>
          </w:p>
        </w:tc>
      </w:tr>
      <w:tr w:rsidR="0099058F" w14:paraId="4B7634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4A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Canada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A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A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A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A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A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AA" w14:textId="77777777" w:rsidR="0099058F" w:rsidRDefault="0099058F">
            <w:pPr>
              <w:widowControl/>
              <w:jc w:val="left"/>
              <w:rPr>
                <w:rFonts w:ascii="Times New Roman" w:eastAsia="宋体" w:hAnsi="宋体" w:cs="宋体"/>
                <w:kern w:val="0"/>
                <w:sz w:val="24"/>
              </w:rPr>
            </w:pPr>
          </w:p>
        </w:tc>
      </w:tr>
      <w:tr w:rsidR="0099058F" w14:paraId="4B7634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4A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Oceania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A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B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B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B4" w14:textId="77777777" w:rsidR="0099058F" w:rsidRDefault="0099058F">
            <w:pPr>
              <w:widowControl/>
              <w:jc w:val="left"/>
              <w:rPr>
                <w:rFonts w:ascii="Times New Roman" w:eastAsia="宋体" w:hAnsi="宋体" w:cs="宋体"/>
                <w:kern w:val="0"/>
                <w:sz w:val="24"/>
              </w:rPr>
            </w:pPr>
          </w:p>
        </w:tc>
      </w:tr>
      <w:tr w:rsidR="0099058F" w14:paraId="4B7634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4B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Africa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B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B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B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BE" w14:textId="77777777" w:rsidR="0099058F" w:rsidRDefault="0099058F">
            <w:pPr>
              <w:widowControl/>
              <w:jc w:val="left"/>
              <w:rPr>
                <w:rFonts w:ascii="Times New Roman" w:eastAsia="宋体" w:hAnsi="宋体" w:cs="宋体"/>
                <w:kern w:val="0"/>
                <w:sz w:val="24"/>
              </w:rPr>
            </w:pPr>
          </w:p>
        </w:tc>
      </w:tr>
      <w:tr w:rsidR="0099058F" w14:paraId="4B7634C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4C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Latin America, Caribbean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C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C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C8" w14:textId="77777777" w:rsidR="0099058F" w:rsidRDefault="0099058F">
            <w:pPr>
              <w:widowControl/>
              <w:jc w:val="left"/>
              <w:rPr>
                <w:rFonts w:ascii="Times New Roman" w:eastAsia="宋体" w:hAnsi="宋体" w:cs="宋体"/>
                <w:kern w:val="0"/>
                <w:sz w:val="24"/>
              </w:rPr>
            </w:pPr>
          </w:p>
        </w:tc>
      </w:tr>
      <w:tr w:rsidR="0099058F" w14:paraId="4B7634D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B7634C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4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27,374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4C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4C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4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23,196 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4C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4D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4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4D2" w14:textId="77777777" w:rsidR="0099058F" w:rsidRDefault="0099058F">
            <w:pPr>
              <w:widowControl/>
              <w:jc w:val="left"/>
              <w:rPr>
                <w:rFonts w:ascii="Times New Roman" w:eastAsia="宋体" w:hAnsi="宋体" w:cs="宋体"/>
                <w:kern w:val="0"/>
                <w:sz w:val="24"/>
              </w:rPr>
            </w:pPr>
          </w:p>
        </w:tc>
      </w:tr>
      <w:tr w:rsidR="0099058F" w14:paraId="4B7634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4D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39,218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39,076 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4D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4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4DC" w14:textId="77777777" w:rsidR="0099058F" w:rsidRDefault="0099058F">
            <w:pPr>
              <w:widowControl/>
              <w:jc w:val="left"/>
              <w:rPr>
                <w:rFonts w:ascii="Times New Roman" w:eastAsia="宋体" w:hAnsi="宋体" w:cs="宋体"/>
                <w:kern w:val="0"/>
                <w:sz w:val="24"/>
              </w:rPr>
            </w:pPr>
          </w:p>
        </w:tc>
      </w:tr>
      <w:tr w:rsidR="0099058F" w14:paraId="4B7634E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B7634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E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E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E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4E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4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4E6" w14:textId="77777777" w:rsidR="0099058F" w:rsidRDefault="0099058F">
            <w:pPr>
              <w:widowControl/>
              <w:jc w:val="left"/>
              <w:rPr>
                <w:rFonts w:ascii="Times New Roman" w:eastAsia="宋体" w:hAnsi="宋体" w:cs="宋体"/>
                <w:kern w:val="0"/>
                <w:sz w:val="24"/>
              </w:rPr>
            </w:pPr>
          </w:p>
        </w:tc>
      </w:tr>
      <w:tr w:rsidR="0099058F" w14:paraId="4B7634F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34E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revenues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4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4E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4E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4E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4E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4E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4E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4F0" w14:textId="77777777" w:rsidR="0099058F" w:rsidRDefault="0099058F">
            <w:pPr>
              <w:widowControl/>
              <w:jc w:val="left"/>
              <w:rPr>
                <w:rFonts w:ascii="Times New Roman" w:eastAsia="宋体" w:hAnsi="宋体" w:cs="宋体"/>
                <w:kern w:val="0"/>
                <w:sz w:val="24"/>
              </w:rPr>
            </w:pPr>
          </w:p>
        </w:tc>
      </w:tr>
    </w:tbl>
    <w:p w14:paraId="4B7634F2"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from the U.S. government (including foreign military sales through the U.S. government), </w:t>
      </w:r>
      <w:r>
        <w:rPr>
          <w:rFonts w:ascii="Arial" w:eastAsia="宋体" w:hAnsi="Arial" w:cs="Arial"/>
          <w:color w:val="000000"/>
          <w:kern w:val="0"/>
          <w:sz w:val="20"/>
          <w:szCs w:val="20"/>
          <w:lang w:bidi="ar"/>
        </w:rPr>
        <w:t>primarily recorded at BDS and BGS, represented 40%, 49% and 51% of consolidated revenues for 2022, 2021 and 2020, respectively. Approximately 4% of operating assets were located outside the United States as of December 31, 2022 and 2021.</w:t>
      </w:r>
    </w:p>
    <w:p w14:paraId="4B7634F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w:t>
      </w:r>
      <w:r>
        <w:rPr>
          <w:rFonts w:ascii="Arial" w:eastAsia="宋体" w:hAnsi="Arial" w:cs="Arial"/>
          <w:color w:val="000000"/>
          <w:kern w:val="0"/>
          <w:sz w:val="20"/>
          <w:szCs w:val="20"/>
          <w:lang w:bidi="ar"/>
        </w:rPr>
        <w:t>es present BCA, BDS and BGS revenues from contracts with customers disaggregated in a number of ways, such as geographic location, contract type and the method of revenue recognition. We believe these best depict how the nature, amount, timing and uncertai</w:t>
      </w:r>
      <w:r>
        <w:rPr>
          <w:rFonts w:ascii="Arial" w:eastAsia="宋体" w:hAnsi="Arial" w:cs="Arial"/>
          <w:color w:val="000000"/>
          <w:kern w:val="0"/>
          <w:sz w:val="20"/>
          <w:szCs w:val="20"/>
          <w:lang w:bidi="ar"/>
        </w:rPr>
        <w:t>nty of our revenues and cash flows are affected by economic factors.</w:t>
      </w:r>
    </w:p>
    <w:p w14:paraId="4B7634F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110</w:t>
      </w:r>
    </w:p>
    <w:p w14:paraId="4B7634F5" w14:textId="77777777" w:rsidR="0099058F" w:rsidRDefault="00EB2559">
      <w:pPr>
        <w:widowControl/>
        <w:jc w:val="center"/>
      </w:pPr>
      <w:r>
        <w:rPr>
          <w:rFonts w:ascii="宋体" w:eastAsia="宋体" w:hAnsi="宋体" w:cs="宋体"/>
          <w:kern w:val="0"/>
          <w:sz w:val="24"/>
        </w:rPr>
        <w:pict w14:anchorId="4B763C65">
          <v:rect id="_x0000_i1136" style="width:6in;height:1.5pt" o:hralign="center" o:hrstd="t" o:hr="t" fillcolor="#a0a0a0" stroked="f"/>
        </w:pict>
      </w:r>
    </w:p>
    <w:p w14:paraId="4B7634F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4F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by customer location </w:t>
      </w:r>
      <w:r>
        <w:rPr>
          <w:rFonts w:ascii="Arial" w:eastAsia="宋体" w:hAnsi="Arial" w:cs="Arial"/>
          <w:color w:val="000000"/>
          <w:kern w:val="0"/>
          <w:sz w:val="20"/>
          <w:szCs w:val="20"/>
          <w:lang w:bidi="ar"/>
        </w:rPr>
        <w:t>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950"/>
        <w:gridCol w:w="37"/>
        <w:gridCol w:w="66"/>
        <w:gridCol w:w="804"/>
        <w:gridCol w:w="198"/>
        <w:gridCol w:w="36"/>
        <w:gridCol w:w="36"/>
        <w:gridCol w:w="36"/>
        <w:gridCol w:w="66"/>
        <w:gridCol w:w="749"/>
        <w:gridCol w:w="198"/>
        <w:gridCol w:w="36"/>
        <w:gridCol w:w="36"/>
        <w:gridCol w:w="36"/>
        <w:gridCol w:w="66"/>
        <w:gridCol w:w="750"/>
        <w:gridCol w:w="198"/>
      </w:tblGrid>
      <w:tr w:rsidR="0099058F" w14:paraId="4B76350A" w14:textId="77777777">
        <w:tc>
          <w:tcPr>
            <w:tcW w:w="50" w:type="pct"/>
            <w:tcBorders>
              <w:top w:val="nil"/>
              <w:left w:val="nil"/>
              <w:bottom w:val="nil"/>
              <w:right w:val="nil"/>
            </w:tcBorders>
            <w:shd w:val="clear" w:color="auto" w:fill="auto"/>
            <w:vAlign w:val="bottom"/>
          </w:tcPr>
          <w:p w14:paraId="4B7634F8" w14:textId="77777777" w:rsidR="0099058F" w:rsidRDefault="0099058F">
            <w:pPr>
              <w:widowControl/>
              <w:jc w:val="left"/>
              <w:rPr>
                <w:rFonts w:ascii="Times New Roman" w:eastAsia="宋体" w:hAnsi="宋体" w:cs="宋体"/>
                <w:kern w:val="0"/>
                <w:sz w:val="24"/>
              </w:rPr>
            </w:pPr>
          </w:p>
        </w:tc>
        <w:tc>
          <w:tcPr>
            <w:tcW w:w="3025" w:type="pct"/>
            <w:tcBorders>
              <w:top w:val="nil"/>
              <w:left w:val="nil"/>
              <w:bottom w:val="nil"/>
              <w:right w:val="nil"/>
            </w:tcBorders>
            <w:shd w:val="clear" w:color="auto" w:fill="auto"/>
            <w:vAlign w:val="bottom"/>
          </w:tcPr>
          <w:p w14:paraId="4B7634F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F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4FB"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4F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F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4FE"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4F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0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501"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50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0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0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50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0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507"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50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09" w14:textId="77777777" w:rsidR="0099058F" w:rsidRDefault="0099058F">
            <w:pPr>
              <w:widowControl/>
              <w:jc w:val="left"/>
              <w:rPr>
                <w:rFonts w:ascii="Times New Roman" w:eastAsia="宋体" w:hAnsi="宋体" w:cs="宋体"/>
                <w:kern w:val="0"/>
                <w:sz w:val="24"/>
              </w:rPr>
            </w:pPr>
          </w:p>
        </w:tc>
      </w:tr>
      <w:tr w:rsidR="0099058F" w14:paraId="4B76351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0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0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50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0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50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1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51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51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1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1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15"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1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17" w14:textId="77777777" w:rsidR="0099058F" w:rsidRDefault="0099058F">
            <w:pPr>
              <w:widowControl/>
              <w:jc w:val="left"/>
              <w:rPr>
                <w:rFonts w:ascii="Times New Roman" w:eastAsia="宋体" w:hAnsi="宋体" w:cs="宋体"/>
                <w:kern w:val="0"/>
                <w:sz w:val="24"/>
              </w:rPr>
            </w:pPr>
          </w:p>
        </w:tc>
      </w:tr>
      <w:tr w:rsidR="0099058F" w14:paraId="4B76352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51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1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1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1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1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1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2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21" w14:textId="77777777" w:rsidR="0099058F" w:rsidRDefault="0099058F">
            <w:pPr>
              <w:widowControl/>
              <w:jc w:val="left"/>
              <w:rPr>
                <w:rFonts w:ascii="Times New Roman" w:eastAsia="宋体" w:hAnsi="宋体" w:cs="宋体"/>
                <w:kern w:val="0"/>
                <w:sz w:val="24"/>
              </w:rPr>
            </w:pPr>
          </w:p>
        </w:tc>
      </w:tr>
      <w:tr w:rsidR="0099058F" w14:paraId="4B76352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352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2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2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2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28"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2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2B" w14:textId="77777777" w:rsidR="0099058F" w:rsidRDefault="0099058F">
            <w:pPr>
              <w:widowControl/>
              <w:jc w:val="right"/>
              <w:rPr>
                <w:rFonts w:ascii="Times New Roman" w:eastAsia="宋体" w:hAnsi="宋体" w:cs="宋体"/>
                <w:kern w:val="0"/>
                <w:sz w:val="24"/>
              </w:rPr>
            </w:pPr>
          </w:p>
        </w:tc>
      </w:tr>
      <w:tr w:rsidR="0099058F" w14:paraId="4B76353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52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2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2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3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3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3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3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35" w14:textId="77777777" w:rsidR="0099058F" w:rsidRDefault="0099058F">
            <w:pPr>
              <w:widowControl/>
              <w:jc w:val="right"/>
              <w:rPr>
                <w:rFonts w:ascii="Times New Roman" w:eastAsia="宋体" w:hAnsi="宋体" w:cs="宋体"/>
                <w:kern w:val="0"/>
                <w:sz w:val="24"/>
              </w:rPr>
            </w:pPr>
          </w:p>
        </w:tc>
      </w:tr>
      <w:tr w:rsidR="0099058F" w14:paraId="4B76353D" w14:textId="77777777">
        <w:trPr>
          <w:hidden/>
        </w:trPr>
        <w:tc>
          <w:tcPr>
            <w:tcW w:w="0" w:type="auto"/>
            <w:gridSpan w:val="3"/>
            <w:tcBorders>
              <w:top w:val="nil"/>
              <w:left w:val="nil"/>
              <w:bottom w:val="nil"/>
              <w:right w:val="nil"/>
            </w:tcBorders>
            <w:shd w:val="clear" w:color="auto" w:fill="auto"/>
            <w:vAlign w:val="bottom"/>
          </w:tcPr>
          <w:p w14:paraId="4B76353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C" w14:textId="77777777" w:rsidR="0099058F" w:rsidRDefault="0099058F">
            <w:pPr>
              <w:widowControl/>
              <w:jc w:val="left"/>
              <w:rPr>
                <w:rFonts w:ascii="Times New Roman" w:eastAsia="宋体" w:hAnsi="宋体" w:cs="宋体"/>
                <w:vanish/>
                <w:kern w:val="0"/>
                <w:sz w:val="24"/>
              </w:rPr>
            </w:pPr>
          </w:p>
        </w:tc>
      </w:tr>
      <w:tr w:rsidR="0099058F" w14:paraId="4B763544" w14:textId="77777777">
        <w:trPr>
          <w:hidden/>
        </w:trPr>
        <w:tc>
          <w:tcPr>
            <w:tcW w:w="0" w:type="auto"/>
            <w:gridSpan w:val="3"/>
            <w:tcBorders>
              <w:top w:val="nil"/>
              <w:left w:val="nil"/>
              <w:bottom w:val="nil"/>
              <w:right w:val="nil"/>
            </w:tcBorders>
            <w:shd w:val="clear" w:color="auto" w:fill="auto"/>
            <w:vAlign w:val="bottom"/>
          </w:tcPr>
          <w:p w14:paraId="4B76353E"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3F"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3" w14:textId="77777777" w:rsidR="0099058F" w:rsidRDefault="0099058F">
            <w:pPr>
              <w:widowControl/>
              <w:jc w:val="left"/>
              <w:rPr>
                <w:rFonts w:ascii="Times New Roman" w:eastAsia="宋体" w:hAnsi="宋体" w:cs="宋体"/>
                <w:vanish/>
                <w:kern w:val="0"/>
                <w:sz w:val="24"/>
              </w:rPr>
            </w:pPr>
          </w:p>
        </w:tc>
      </w:tr>
      <w:tr w:rsidR="0099058F" w14:paraId="4B76354B" w14:textId="77777777">
        <w:trPr>
          <w:hidden/>
        </w:trPr>
        <w:tc>
          <w:tcPr>
            <w:tcW w:w="0" w:type="auto"/>
            <w:gridSpan w:val="3"/>
            <w:tcBorders>
              <w:top w:val="nil"/>
              <w:left w:val="nil"/>
              <w:bottom w:val="nil"/>
              <w:right w:val="nil"/>
            </w:tcBorders>
            <w:shd w:val="clear" w:color="auto" w:fill="auto"/>
            <w:vAlign w:val="bottom"/>
          </w:tcPr>
          <w:p w14:paraId="4B763545"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6"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54A" w14:textId="77777777" w:rsidR="0099058F" w:rsidRDefault="0099058F">
            <w:pPr>
              <w:widowControl/>
              <w:jc w:val="left"/>
              <w:rPr>
                <w:rFonts w:ascii="Times New Roman" w:eastAsia="宋体" w:hAnsi="宋体" w:cs="宋体"/>
                <w:vanish/>
                <w:kern w:val="0"/>
                <w:sz w:val="24"/>
              </w:rPr>
            </w:pPr>
          </w:p>
        </w:tc>
      </w:tr>
      <w:tr w:rsidR="0099058F" w14:paraId="4B76355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354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non-U.S.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4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4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4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5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5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5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5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54" w14:textId="77777777" w:rsidR="0099058F" w:rsidRDefault="0099058F">
            <w:pPr>
              <w:widowControl/>
              <w:jc w:val="right"/>
              <w:rPr>
                <w:rFonts w:ascii="Times New Roman" w:eastAsia="宋体" w:hAnsi="宋体" w:cs="宋体"/>
                <w:kern w:val="0"/>
                <w:sz w:val="24"/>
              </w:rPr>
            </w:pPr>
          </w:p>
        </w:tc>
      </w:tr>
      <w:tr w:rsidR="0099058F" w14:paraId="4B76355F"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B76355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5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558"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55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5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55B"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55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5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55E" w14:textId="77777777" w:rsidR="0099058F" w:rsidRDefault="0099058F">
            <w:pPr>
              <w:widowControl/>
              <w:jc w:val="right"/>
              <w:rPr>
                <w:rFonts w:ascii="Times New Roman" w:eastAsia="宋体" w:hAnsi="宋体" w:cs="宋体"/>
                <w:kern w:val="0"/>
                <w:sz w:val="24"/>
              </w:rPr>
            </w:pPr>
          </w:p>
        </w:tc>
      </w:tr>
      <w:tr w:rsidR="0099058F" w14:paraId="4B76356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356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6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6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6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6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6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6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6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68" w14:textId="77777777" w:rsidR="0099058F" w:rsidRDefault="0099058F">
            <w:pPr>
              <w:widowControl/>
              <w:jc w:val="right"/>
              <w:rPr>
                <w:rFonts w:ascii="Times New Roman" w:eastAsia="宋体" w:hAnsi="宋体" w:cs="宋体"/>
                <w:kern w:val="0"/>
                <w:sz w:val="24"/>
              </w:rPr>
            </w:pPr>
          </w:p>
        </w:tc>
      </w:tr>
      <w:tr w:rsidR="0099058F" w14:paraId="4B76357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56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6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6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6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6F"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7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72" w14:textId="77777777" w:rsidR="0099058F" w:rsidRDefault="0099058F">
            <w:pPr>
              <w:widowControl/>
              <w:jc w:val="right"/>
              <w:rPr>
                <w:rFonts w:ascii="Times New Roman" w:eastAsia="宋体" w:hAnsi="宋体" w:cs="宋体"/>
                <w:kern w:val="0"/>
                <w:sz w:val="24"/>
              </w:rPr>
            </w:pPr>
          </w:p>
        </w:tc>
      </w:tr>
      <w:tr w:rsidR="0099058F" w14:paraId="4B76357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57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Total </w:t>
            </w:r>
            <w:r>
              <w:rPr>
                <w:rFonts w:ascii="Arial" w:eastAsia="宋体" w:hAnsi="Arial" w:cs="Arial"/>
                <w:color w:val="000000"/>
                <w:kern w:val="0"/>
                <w:sz w:val="20"/>
                <w:szCs w:val="20"/>
                <w:lang w:bidi="ar"/>
              </w:rPr>
              <w:t>revenues from contracts with customers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7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25,750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576"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7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19,391 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579"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7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7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57C" w14:textId="77777777" w:rsidR="0099058F" w:rsidRDefault="0099058F">
            <w:pPr>
              <w:widowControl/>
              <w:jc w:val="right"/>
              <w:rPr>
                <w:rFonts w:ascii="Times New Roman" w:eastAsia="宋体" w:hAnsi="宋体" w:cs="宋体"/>
                <w:kern w:val="0"/>
                <w:sz w:val="24"/>
              </w:rPr>
            </w:pPr>
          </w:p>
        </w:tc>
      </w:tr>
      <w:tr w:rsidR="0099058F" w14:paraId="4B76358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57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8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8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83"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8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86" w14:textId="77777777" w:rsidR="0099058F" w:rsidRDefault="0099058F">
            <w:pPr>
              <w:widowControl/>
              <w:jc w:val="right"/>
              <w:rPr>
                <w:rFonts w:ascii="Times New Roman" w:eastAsia="宋体" w:hAnsi="宋体" w:cs="宋体"/>
                <w:kern w:val="0"/>
                <w:sz w:val="24"/>
              </w:rPr>
            </w:pPr>
          </w:p>
        </w:tc>
      </w:tr>
      <w:tr w:rsidR="0099058F" w14:paraId="4B76359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58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$25,867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58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8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58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8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58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590" w14:textId="77777777" w:rsidR="0099058F" w:rsidRDefault="0099058F">
            <w:pPr>
              <w:widowControl/>
              <w:jc w:val="left"/>
              <w:rPr>
                <w:rFonts w:ascii="Times New Roman" w:eastAsia="宋体" w:hAnsi="宋体" w:cs="宋体"/>
                <w:kern w:val="0"/>
                <w:sz w:val="24"/>
              </w:rPr>
            </w:pPr>
          </w:p>
        </w:tc>
      </w:tr>
      <w:tr w:rsidR="0099058F" w14:paraId="4B763598"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97" w14:textId="77777777" w:rsidR="0099058F" w:rsidRDefault="0099058F">
            <w:pPr>
              <w:widowControl/>
              <w:jc w:val="left"/>
              <w:rPr>
                <w:rFonts w:ascii="Times New Roman" w:eastAsia="宋体" w:hAnsi="宋体" w:cs="宋体"/>
                <w:kern w:val="0"/>
                <w:sz w:val="24"/>
              </w:rPr>
            </w:pPr>
          </w:p>
        </w:tc>
      </w:tr>
      <w:tr w:rsidR="0099058F" w14:paraId="4B7635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59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9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9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9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9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A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A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35A9"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A8" w14:textId="77777777" w:rsidR="0099058F" w:rsidRDefault="0099058F">
            <w:pPr>
              <w:widowControl/>
              <w:jc w:val="left"/>
              <w:rPr>
                <w:rFonts w:ascii="Times New Roman" w:eastAsia="宋体" w:hAnsi="宋体" w:cs="宋体"/>
                <w:kern w:val="0"/>
                <w:sz w:val="24"/>
              </w:rPr>
            </w:pPr>
          </w:p>
        </w:tc>
      </w:tr>
      <w:tr w:rsidR="0099058F" w14:paraId="4B7635B3"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35A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5A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5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5A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5A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5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5B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5B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5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35B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on contracts with customers, based on the </w:t>
      </w:r>
      <w:r>
        <w:rPr>
          <w:rFonts w:ascii="Arial" w:eastAsia="宋体" w:hAnsi="Arial" w:cs="Arial"/>
          <w:color w:val="000000"/>
          <w:kern w:val="0"/>
          <w:sz w:val="20"/>
          <w:szCs w:val="20"/>
          <w:lang w:bidi="ar"/>
        </w:rPr>
        <w:t>customer's location,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951"/>
        <w:gridCol w:w="36"/>
        <w:gridCol w:w="66"/>
        <w:gridCol w:w="804"/>
        <w:gridCol w:w="198"/>
        <w:gridCol w:w="36"/>
        <w:gridCol w:w="36"/>
        <w:gridCol w:w="36"/>
        <w:gridCol w:w="66"/>
        <w:gridCol w:w="750"/>
        <w:gridCol w:w="198"/>
        <w:gridCol w:w="36"/>
        <w:gridCol w:w="36"/>
        <w:gridCol w:w="36"/>
        <w:gridCol w:w="66"/>
        <w:gridCol w:w="750"/>
        <w:gridCol w:w="198"/>
      </w:tblGrid>
      <w:tr w:rsidR="0099058F" w14:paraId="4B7635C7" w14:textId="77777777">
        <w:tc>
          <w:tcPr>
            <w:tcW w:w="50" w:type="pct"/>
            <w:tcBorders>
              <w:top w:val="nil"/>
              <w:left w:val="nil"/>
              <w:bottom w:val="nil"/>
              <w:right w:val="nil"/>
            </w:tcBorders>
            <w:shd w:val="clear" w:color="auto" w:fill="auto"/>
            <w:vAlign w:val="bottom"/>
          </w:tcPr>
          <w:p w14:paraId="4B7635B5" w14:textId="77777777" w:rsidR="0099058F" w:rsidRDefault="0099058F">
            <w:pPr>
              <w:widowControl/>
              <w:jc w:val="left"/>
              <w:rPr>
                <w:rFonts w:ascii="Times New Roman" w:eastAsia="宋体" w:hAnsi="宋体" w:cs="宋体"/>
                <w:kern w:val="0"/>
                <w:sz w:val="24"/>
              </w:rPr>
            </w:pPr>
          </w:p>
        </w:tc>
        <w:tc>
          <w:tcPr>
            <w:tcW w:w="3025" w:type="pct"/>
            <w:tcBorders>
              <w:top w:val="nil"/>
              <w:left w:val="nil"/>
              <w:bottom w:val="nil"/>
              <w:right w:val="nil"/>
            </w:tcBorders>
            <w:shd w:val="clear" w:color="auto" w:fill="auto"/>
            <w:vAlign w:val="bottom"/>
          </w:tcPr>
          <w:p w14:paraId="4B7635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5B8"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5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B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BB"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5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B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5BE"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5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C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C1"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5C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C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5C4"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5C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5C6" w14:textId="77777777" w:rsidR="0099058F" w:rsidRDefault="0099058F">
            <w:pPr>
              <w:widowControl/>
              <w:jc w:val="left"/>
              <w:rPr>
                <w:rFonts w:ascii="Times New Roman" w:eastAsia="宋体" w:hAnsi="宋体" w:cs="宋体"/>
                <w:kern w:val="0"/>
                <w:sz w:val="24"/>
              </w:rPr>
            </w:pPr>
          </w:p>
        </w:tc>
      </w:tr>
      <w:tr w:rsidR="0099058F" w14:paraId="4B7635C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C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C9"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5C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CB"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5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5CD"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5D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5C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D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D1"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D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D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5D4" w14:textId="77777777" w:rsidR="0099058F" w:rsidRDefault="0099058F">
            <w:pPr>
              <w:widowControl/>
              <w:jc w:val="left"/>
              <w:rPr>
                <w:rFonts w:ascii="Times New Roman" w:eastAsia="宋体" w:hAnsi="宋体" w:cs="宋体"/>
                <w:kern w:val="0"/>
                <w:sz w:val="24"/>
              </w:rPr>
            </w:pPr>
          </w:p>
        </w:tc>
      </w:tr>
      <w:tr w:rsidR="0099058F" w14:paraId="4B7635D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5D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D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D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D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D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$19,869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D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5D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5D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5DE" w14:textId="77777777" w:rsidR="0099058F" w:rsidRDefault="0099058F">
            <w:pPr>
              <w:widowControl/>
              <w:jc w:val="left"/>
              <w:rPr>
                <w:rFonts w:ascii="Times New Roman" w:eastAsia="宋体" w:hAnsi="宋体" w:cs="宋体"/>
                <w:kern w:val="0"/>
                <w:sz w:val="24"/>
              </w:rPr>
            </w:pPr>
          </w:p>
        </w:tc>
      </w:tr>
      <w:tr w:rsidR="0099058F" w14:paraId="4B7635E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5E0"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E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E2"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E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E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E5"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E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E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E8" w14:textId="77777777" w:rsidR="0099058F" w:rsidRDefault="0099058F">
            <w:pPr>
              <w:widowControl/>
              <w:jc w:val="right"/>
              <w:rPr>
                <w:rFonts w:ascii="Times New Roman" w:eastAsia="宋体" w:hAnsi="宋体" w:cs="宋体"/>
                <w:kern w:val="0"/>
                <w:sz w:val="24"/>
              </w:rPr>
            </w:pPr>
          </w:p>
        </w:tc>
      </w:tr>
      <w:tr w:rsidR="0099058F" w14:paraId="4B7635F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5EA"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E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$23,162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5EC"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5ED"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E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5E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5F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5F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5F2" w14:textId="77777777" w:rsidR="0099058F" w:rsidRDefault="0099058F">
            <w:pPr>
              <w:widowControl/>
              <w:jc w:val="left"/>
              <w:rPr>
                <w:rFonts w:ascii="Times New Roman" w:eastAsia="宋体" w:hAnsi="宋体" w:cs="宋体"/>
                <w:kern w:val="0"/>
                <w:sz w:val="24"/>
              </w:rPr>
            </w:pPr>
          </w:p>
        </w:tc>
      </w:tr>
      <w:tr w:rsidR="0099058F" w14:paraId="4B7635FA"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7"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8"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5F9" w14:textId="77777777" w:rsidR="0099058F" w:rsidRDefault="0099058F">
            <w:pPr>
              <w:widowControl/>
              <w:jc w:val="left"/>
              <w:rPr>
                <w:rFonts w:ascii="Times New Roman" w:eastAsia="宋体" w:hAnsi="宋体" w:cs="宋体"/>
                <w:kern w:val="0"/>
                <w:sz w:val="24"/>
              </w:rPr>
            </w:pPr>
          </w:p>
        </w:tc>
      </w:tr>
      <w:tr w:rsidR="0099058F" w14:paraId="4B76360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5F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F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5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5F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5F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0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0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360B"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0A" w14:textId="77777777" w:rsidR="0099058F" w:rsidRDefault="0099058F">
            <w:pPr>
              <w:widowControl/>
              <w:jc w:val="left"/>
              <w:rPr>
                <w:rFonts w:ascii="Times New Roman" w:eastAsia="宋体" w:hAnsi="宋体" w:cs="宋体"/>
                <w:kern w:val="0"/>
                <w:sz w:val="24"/>
              </w:rPr>
            </w:pPr>
          </w:p>
        </w:tc>
      </w:tr>
      <w:tr w:rsidR="0099058F" w14:paraId="4B7636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60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0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0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0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1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1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1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1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1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361C"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1B" w14:textId="77777777" w:rsidR="0099058F" w:rsidRDefault="0099058F">
            <w:pPr>
              <w:widowControl/>
              <w:jc w:val="left"/>
              <w:rPr>
                <w:rFonts w:ascii="Times New Roman" w:eastAsia="宋体" w:hAnsi="宋体" w:cs="宋体"/>
                <w:kern w:val="0"/>
                <w:sz w:val="24"/>
              </w:rPr>
            </w:pPr>
          </w:p>
        </w:tc>
      </w:tr>
      <w:tr w:rsidR="0099058F" w14:paraId="4B76362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361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1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62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2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2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62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2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2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3627"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B763628"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111</w:t>
      </w:r>
    </w:p>
    <w:p w14:paraId="4B763629" w14:textId="77777777" w:rsidR="0099058F" w:rsidRDefault="00EB2559">
      <w:pPr>
        <w:widowControl/>
        <w:jc w:val="center"/>
      </w:pPr>
      <w:r>
        <w:rPr>
          <w:rFonts w:ascii="宋体" w:eastAsia="宋体" w:hAnsi="宋体" w:cs="宋体"/>
          <w:kern w:val="0"/>
          <w:sz w:val="24"/>
        </w:rPr>
        <w:pict w14:anchorId="4B763C66">
          <v:rect id="_x0000_i1137" style="width:6in;height:1.5pt" o:hralign="center" o:hrstd="t" o:hr="t" fillcolor="#a0a0a0" stroked="f"/>
        </w:pict>
      </w:r>
    </w:p>
    <w:p w14:paraId="4B76362A"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62B"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BGS revenues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971"/>
        <w:gridCol w:w="38"/>
        <w:gridCol w:w="66"/>
        <w:gridCol w:w="801"/>
        <w:gridCol w:w="198"/>
        <w:gridCol w:w="36"/>
        <w:gridCol w:w="36"/>
        <w:gridCol w:w="36"/>
        <w:gridCol w:w="66"/>
        <w:gridCol w:w="746"/>
        <w:gridCol w:w="198"/>
        <w:gridCol w:w="36"/>
        <w:gridCol w:w="36"/>
        <w:gridCol w:w="36"/>
        <w:gridCol w:w="68"/>
        <w:gridCol w:w="731"/>
        <w:gridCol w:w="198"/>
      </w:tblGrid>
      <w:tr w:rsidR="0099058F" w14:paraId="4B76363E" w14:textId="77777777">
        <w:tc>
          <w:tcPr>
            <w:tcW w:w="50" w:type="pct"/>
            <w:tcBorders>
              <w:top w:val="nil"/>
              <w:left w:val="nil"/>
              <w:bottom w:val="nil"/>
              <w:right w:val="nil"/>
            </w:tcBorders>
            <w:shd w:val="clear" w:color="auto" w:fill="auto"/>
            <w:vAlign w:val="bottom"/>
          </w:tcPr>
          <w:p w14:paraId="4B76362C" w14:textId="77777777" w:rsidR="0099058F" w:rsidRDefault="0099058F">
            <w:pPr>
              <w:widowControl/>
              <w:jc w:val="left"/>
              <w:rPr>
                <w:rFonts w:ascii="Times New Roman" w:eastAsia="宋体" w:hAnsi="宋体" w:cs="宋体"/>
                <w:kern w:val="0"/>
                <w:sz w:val="24"/>
              </w:rPr>
            </w:pPr>
          </w:p>
        </w:tc>
        <w:tc>
          <w:tcPr>
            <w:tcW w:w="3041" w:type="pct"/>
            <w:tcBorders>
              <w:top w:val="nil"/>
              <w:left w:val="nil"/>
              <w:bottom w:val="nil"/>
              <w:right w:val="nil"/>
            </w:tcBorders>
            <w:shd w:val="clear" w:color="auto" w:fill="auto"/>
            <w:vAlign w:val="bottom"/>
          </w:tcPr>
          <w:p w14:paraId="4B76362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2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2F"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63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63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35" w14:textId="77777777" w:rsidR="0099058F" w:rsidRDefault="0099058F">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B76363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63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3B" w14:textId="77777777" w:rsidR="0099058F" w:rsidRDefault="0099058F">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vAlign w:val="bottom"/>
          </w:tcPr>
          <w:p w14:paraId="4B76363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3D" w14:textId="77777777" w:rsidR="0099058F" w:rsidRDefault="0099058F">
            <w:pPr>
              <w:widowControl/>
              <w:jc w:val="left"/>
              <w:rPr>
                <w:rFonts w:ascii="Times New Roman" w:eastAsia="宋体" w:hAnsi="宋体" w:cs="宋体"/>
                <w:kern w:val="0"/>
                <w:sz w:val="24"/>
              </w:rPr>
            </w:pPr>
          </w:p>
        </w:tc>
      </w:tr>
      <w:tr w:rsidR="0099058F" w14:paraId="4B76364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3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December 31,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4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64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4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64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4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64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64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4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4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4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4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4B" w14:textId="77777777" w:rsidR="0099058F" w:rsidRDefault="0099058F">
            <w:pPr>
              <w:widowControl/>
              <w:jc w:val="left"/>
              <w:rPr>
                <w:rFonts w:ascii="Times New Roman" w:eastAsia="宋体" w:hAnsi="宋体" w:cs="宋体"/>
                <w:kern w:val="0"/>
                <w:sz w:val="24"/>
              </w:rPr>
            </w:pPr>
          </w:p>
        </w:tc>
      </w:tr>
      <w:tr w:rsidR="0099058F" w14:paraId="4B76365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B76364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5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5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5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5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5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55" w14:textId="77777777" w:rsidR="0099058F" w:rsidRDefault="0099058F">
            <w:pPr>
              <w:widowControl/>
              <w:jc w:val="left"/>
              <w:rPr>
                <w:rFonts w:ascii="Times New Roman" w:eastAsia="宋体" w:hAnsi="宋体" w:cs="宋体"/>
                <w:kern w:val="0"/>
                <w:sz w:val="24"/>
              </w:rPr>
            </w:pPr>
          </w:p>
        </w:tc>
      </w:tr>
      <w:tr w:rsidR="0099058F" w14:paraId="4B76366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365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5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5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5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5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5C"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5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5F" w14:textId="77777777" w:rsidR="0099058F" w:rsidRDefault="0099058F">
            <w:pPr>
              <w:widowControl/>
              <w:jc w:val="left"/>
              <w:rPr>
                <w:rFonts w:ascii="Times New Roman" w:eastAsia="宋体" w:hAnsi="宋体" w:cs="宋体"/>
                <w:kern w:val="0"/>
                <w:sz w:val="24"/>
              </w:rPr>
            </w:pPr>
          </w:p>
        </w:tc>
      </w:tr>
      <w:tr w:rsidR="0099058F" w14:paraId="4B76366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66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17,241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663"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66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666"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66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B763669" w14:textId="77777777" w:rsidR="0099058F" w:rsidRDefault="0099058F">
            <w:pPr>
              <w:widowControl/>
              <w:jc w:val="right"/>
              <w:rPr>
                <w:rFonts w:ascii="Times New Roman" w:eastAsia="宋体" w:hAnsi="宋体" w:cs="宋体"/>
                <w:kern w:val="0"/>
                <w:sz w:val="24"/>
              </w:rPr>
            </w:pPr>
          </w:p>
        </w:tc>
      </w:tr>
      <w:tr w:rsidR="0099058F" w14:paraId="4B76367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B76366B"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6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6D"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6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6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7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7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7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73" w14:textId="77777777" w:rsidR="0099058F" w:rsidRDefault="0099058F">
            <w:pPr>
              <w:widowControl/>
              <w:jc w:val="right"/>
              <w:rPr>
                <w:rFonts w:ascii="Times New Roman" w:eastAsia="宋体" w:hAnsi="宋体" w:cs="宋体"/>
                <w:kern w:val="0"/>
                <w:sz w:val="24"/>
              </w:rPr>
            </w:pPr>
          </w:p>
        </w:tc>
      </w:tr>
      <w:tr w:rsidR="0099058F" w14:paraId="4B76367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675"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7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$17,611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67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678"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7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67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67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6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67D" w14:textId="77777777" w:rsidR="0099058F" w:rsidRDefault="0099058F">
            <w:pPr>
              <w:widowControl/>
              <w:jc w:val="left"/>
              <w:rPr>
                <w:rFonts w:ascii="Times New Roman" w:eastAsia="宋体" w:hAnsi="宋体" w:cs="宋体"/>
                <w:kern w:val="0"/>
                <w:sz w:val="24"/>
              </w:rPr>
            </w:pPr>
          </w:p>
        </w:tc>
      </w:tr>
      <w:tr w:rsidR="0099058F" w14:paraId="4B763685"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7F"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80"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81"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8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8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B763684" w14:textId="77777777" w:rsidR="0099058F" w:rsidRDefault="0099058F">
            <w:pPr>
              <w:widowControl/>
              <w:jc w:val="left"/>
              <w:rPr>
                <w:rFonts w:ascii="Times New Roman" w:eastAsia="宋体" w:hAnsi="宋体" w:cs="宋体"/>
                <w:kern w:val="0"/>
                <w:sz w:val="24"/>
              </w:rPr>
            </w:pPr>
          </w:p>
        </w:tc>
      </w:tr>
      <w:tr w:rsidR="0099058F" w14:paraId="4B7636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68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8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8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8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8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8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8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8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8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3696"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95" w14:textId="77777777" w:rsidR="0099058F" w:rsidRDefault="0099058F">
            <w:pPr>
              <w:widowControl/>
              <w:jc w:val="left"/>
              <w:rPr>
                <w:rFonts w:ascii="Times New Roman" w:eastAsia="宋体" w:hAnsi="宋体" w:cs="宋体"/>
                <w:kern w:val="0"/>
                <w:sz w:val="24"/>
              </w:rPr>
            </w:pPr>
          </w:p>
        </w:tc>
      </w:tr>
      <w:tr w:rsidR="0099058F" w14:paraId="4B7636A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69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9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9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9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9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9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9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9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9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99058F" w14:paraId="4B7636A7"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A6" w14:textId="77777777" w:rsidR="0099058F" w:rsidRDefault="0099058F">
            <w:pPr>
              <w:widowControl/>
              <w:jc w:val="left"/>
              <w:rPr>
                <w:rFonts w:ascii="Times New Roman" w:eastAsia="宋体" w:hAnsi="宋体" w:cs="宋体"/>
                <w:kern w:val="0"/>
                <w:sz w:val="24"/>
              </w:rPr>
            </w:pPr>
          </w:p>
        </w:tc>
      </w:tr>
      <w:tr w:rsidR="0099058F" w14:paraId="4B7636B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B7636A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A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A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6A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A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A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B7636A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B7636A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B7636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B7636B2"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B7636B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in Equity Method Investments</w:t>
      </w:r>
    </w:p>
    <w:p w14:paraId="4B7636B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year ended December 31, 2022, our share of income from equity method investments was $56, primarily driven by investments held i</w:t>
      </w:r>
      <w:r>
        <w:rPr>
          <w:rFonts w:ascii="Arial" w:eastAsia="宋体" w:hAnsi="Arial" w:cs="Arial"/>
          <w:color w:val="000000"/>
          <w:kern w:val="0"/>
          <w:sz w:val="20"/>
          <w:szCs w:val="20"/>
          <w:lang w:bidi="ar"/>
        </w:rPr>
        <w:t xml:space="preserve">n Unallocated items, eliminations and other. For the years ended December 31, 2021 and 2020, our share of income from equity method investments was $40 and $86, primarily in our BDS segment. </w:t>
      </w:r>
    </w:p>
    <w:p w14:paraId="4B7636B5"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B7636B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includes contracts that we and our </w:t>
      </w:r>
      <w:r>
        <w:rPr>
          <w:rFonts w:ascii="Arial" w:eastAsia="宋体" w:hAnsi="Arial" w:cs="Arial"/>
          <w:color w:val="000000"/>
          <w:kern w:val="0"/>
          <w:sz w:val="20"/>
          <w:szCs w:val="20"/>
          <w:lang w:bidi="ar"/>
        </w:rPr>
        <w:t>customers are committed to perform. The value in backlog represents the estimated transaction prices on performance obligations to our customers for which work remains to be performed. Backlog is converted into revenue, primarily based on the cost incurred</w:t>
      </w:r>
      <w:r>
        <w:rPr>
          <w:rFonts w:ascii="Arial" w:eastAsia="宋体" w:hAnsi="Arial" w:cs="Arial"/>
          <w:color w:val="000000"/>
          <w:kern w:val="0"/>
          <w:sz w:val="20"/>
          <w:szCs w:val="20"/>
          <w:lang w:bidi="ar"/>
        </w:rPr>
        <w:t xml:space="preserve"> or at delivery and acceptance of products, depending on the applicable revenue recognition model.</w:t>
      </w:r>
    </w:p>
    <w:p w14:paraId="4B7636B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backlog at December 31, 2022 was $404,381. We expect approximately 17% to be converted to revenue through 2023 and approximately 71% through 2026, with t</w:t>
      </w:r>
      <w:r>
        <w:rPr>
          <w:rFonts w:ascii="Arial" w:eastAsia="宋体" w:hAnsi="Arial" w:cs="Arial"/>
          <w:color w:val="000000"/>
          <w:kern w:val="0"/>
          <w:sz w:val="20"/>
          <w:szCs w:val="20"/>
          <w:lang w:bidi="ar"/>
        </w:rPr>
        <w:t>he remainder thereafter. There is significant uncertainty regarding the timing of when backlog will convert into revenue due to timing of 787 deliveries from inventory, timing of 737 MAX delivery resumption in China, timing of entry into service of the 777</w:t>
      </w:r>
      <w:r>
        <w:rPr>
          <w:rFonts w:ascii="Arial" w:eastAsia="宋体" w:hAnsi="Arial" w:cs="Arial"/>
          <w:color w:val="000000"/>
          <w:kern w:val="0"/>
          <w:sz w:val="20"/>
          <w:szCs w:val="20"/>
          <w:lang w:bidi="ar"/>
        </w:rPr>
        <w:t>X, 737-7 and/or 737-10, and the lingering effects of the COVID-19 pandemic.</w:t>
      </w:r>
    </w:p>
    <w:p w14:paraId="4B7636B8" w14:textId="77777777" w:rsidR="0099058F" w:rsidRDefault="00EB2559">
      <w:pPr>
        <w:widowControl/>
        <w:spacing w:after="300"/>
        <w:rPr>
          <w:rFonts w:ascii="宋体" w:eastAsia="宋体" w:hAnsi="宋体" w:cs="宋体"/>
          <w:kern w:val="0"/>
          <w:sz w:val="24"/>
        </w:rPr>
      </w:pPr>
      <w:r>
        <w:rPr>
          <w:rFonts w:ascii="宋体" w:eastAsia="宋体" w:hAnsi="宋体" w:cs="宋体" w:hint="eastAsia"/>
          <w:kern w:val="0"/>
          <w:sz w:val="24"/>
          <w:lang w:bidi="ar"/>
        </w:rPr>
        <w:t xml:space="preserve"> </w:t>
      </w:r>
    </w:p>
    <w:p w14:paraId="4B7636B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112</w:t>
      </w:r>
    </w:p>
    <w:p w14:paraId="4B7636BA" w14:textId="77777777" w:rsidR="0099058F" w:rsidRDefault="00EB2559">
      <w:pPr>
        <w:widowControl/>
        <w:jc w:val="center"/>
      </w:pPr>
      <w:r>
        <w:rPr>
          <w:rFonts w:ascii="宋体" w:eastAsia="宋体" w:hAnsi="宋体" w:cs="宋体"/>
          <w:kern w:val="0"/>
          <w:sz w:val="24"/>
        </w:rPr>
        <w:pict w14:anchorId="4B763C67">
          <v:rect id="_x0000_i1138" style="width:6in;height:1.5pt" o:hralign="center" o:hrstd="t" o:hr="t" fillcolor="#a0a0a0" stroked="f"/>
        </w:pict>
      </w:r>
    </w:p>
    <w:p w14:paraId="4B7636B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6B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Unallocated Items, Eliminations and </w:t>
      </w:r>
      <w:r>
        <w:rPr>
          <w:rFonts w:ascii="Arial" w:eastAsia="宋体" w:hAnsi="Arial" w:cs="Arial"/>
          <w:b/>
          <w:bCs/>
          <w:color w:val="000000"/>
          <w:kern w:val="0"/>
          <w:sz w:val="20"/>
          <w:szCs w:val="20"/>
          <w:lang w:bidi="ar"/>
        </w:rPr>
        <w:t>other</w:t>
      </w:r>
    </w:p>
    <w:p w14:paraId="4B7636B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include common internal services that support Boeing’s global business operations, intercompany guarantees provided to BCC and eliminations of certain sales between segments. Such sales include aircraft sold </w:t>
      </w:r>
      <w:r>
        <w:rPr>
          <w:rFonts w:ascii="Arial" w:eastAsia="宋体" w:hAnsi="Arial" w:cs="Arial"/>
          <w:color w:val="000000"/>
          <w:kern w:val="0"/>
          <w:sz w:val="20"/>
          <w:szCs w:val="20"/>
          <w:lang w:bidi="ar"/>
        </w:rPr>
        <w:t>to our BCC segment that are leased by BCC to customers and considered transferred to the BCC segment. We generally allocate costs to business segments based on the U.S. federal cost accounting standards. Components of Unallocated items, eliminations and ot</w:t>
      </w:r>
      <w:r>
        <w:rPr>
          <w:rFonts w:ascii="Arial" w:eastAsia="宋体" w:hAnsi="Arial" w:cs="Arial"/>
          <w:color w:val="000000"/>
          <w:kern w:val="0"/>
          <w:sz w:val="20"/>
          <w:szCs w:val="20"/>
          <w:lang w:bidi="ar"/>
        </w:rPr>
        <w:t>her (expense)/income are shown in the following table.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0"/>
        <w:gridCol w:w="5618"/>
        <w:gridCol w:w="36"/>
        <w:gridCol w:w="80"/>
        <w:gridCol w:w="685"/>
        <w:gridCol w:w="36"/>
        <w:gridCol w:w="36"/>
        <w:gridCol w:w="36"/>
        <w:gridCol w:w="36"/>
        <w:gridCol w:w="80"/>
        <w:gridCol w:w="685"/>
        <w:gridCol w:w="36"/>
        <w:gridCol w:w="36"/>
        <w:gridCol w:w="36"/>
        <w:gridCol w:w="36"/>
        <w:gridCol w:w="79"/>
        <w:gridCol w:w="686"/>
        <w:gridCol w:w="36"/>
      </w:tblGrid>
      <w:tr w:rsidR="0099058F" w14:paraId="4B7636D0" w14:textId="77777777">
        <w:tc>
          <w:tcPr>
            <w:tcW w:w="50" w:type="pct"/>
            <w:tcBorders>
              <w:top w:val="nil"/>
              <w:left w:val="nil"/>
              <w:bottom w:val="nil"/>
              <w:right w:val="nil"/>
            </w:tcBorders>
            <w:shd w:val="clear" w:color="auto" w:fill="auto"/>
            <w:vAlign w:val="bottom"/>
          </w:tcPr>
          <w:p w14:paraId="4B7636BE"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36B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C1"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6C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6C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C7"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6C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A"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6C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6CD"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36C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6CF" w14:textId="77777777" w:rsidR="0099058F" w:rsidRDefault="0099058F">
            <w:pPr>
              <w:widowControl/>
              <w:jc w:val="left"/>
              <w:rPr>
                <w:rFonts w:ascii="Times New Roman" w:eastAsia="宋体" w:hAnsi="宋体" w:cs="宋体"/>
                <w:kern w:val="0"/>
                <w:sz w:val="24"/>
              </w:rPr>
            </w:pPr>
          </w:p>
        </w:tc>
      </w:tr>
      <w:tr w:rsidR="0099058F" w14:paraId="4B7636D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D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D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6D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D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6D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6D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6E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6D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6D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6D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D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6D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6D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6D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6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6E0" w14:textId="77777777" w:rsidR="0099058F" w:rsidRDefault="0099058F">
            <w:pPr>
              <w:widowControl/>
              <w:jc w:val="left"/>
              <w:rPr>
                <w:rFonts w:ascii="Times New Roman" w:eastAsia="宋体" w:hAnsi="宋体" w:cs="宋体"/>
                <w:kern w:val="0"/>
                <w:sz w:val="24"/>
              </w:rPr>
            </w:pPr>
          </w:p>
        </w:tc>
      </w:tr>
      <w:tr w:rsidR="0099058F" w14:paraId="4B7636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6E2"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E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E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E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E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E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E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E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EA" w14:textId="77777777" w:rsidR="0099058F" w:rsidRDefault="0099058F">
            <w:pPr>
              <w:widowControl/>
              <w:jc w:val="left"/>
              <w:rPr>
                <w:rFonts w:ascii="Times New Roman" w:eastAsia="宋体" w:hAnsi="宋体" w:cs="宋体"/>
                <w:kern w:val="0"/>
                <w:sz w:val="24"/>
              </w:rPr>
            </w:pPr>
          </w:p>
        </w:tc>
      </w:tr>
      <w:tr w:rsidR="0099058F" w14:paraId="4B7636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6EC"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previously capitalized </w:t>
            </w:r>
            <w:r>
              <w:rPr>
                <w:rFonts w:ascii="Arial" w:eastAsia="宋体" w:hAnsi="Arial" w:cs="Arial"/>
                <w:color w:val="000000"/>
                <w:kern w:val="0"/>
                <w:sz w:val="20"/>
                <w:szCs w:val="20"/>
                <w:lang w:bidi="ar"/>
              </w:rPr>
              <w:t>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E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E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F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F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6F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6F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6F4" w14:textId="77777777" w:rsidR="0099058F" w:rsidRDefault="0099058F">
            <w:pPr>
              <w:widowControl/>
              <w:jc w:val="left"/>
              <w:rPr>
                <w:rFonts w:ascii="Times New Roman" w:eastAsia="宋体" w:hAnsi="宋体" w:cs="宋体"/>
                <w:kern w:val="0"/>
                <w:sz w:val="24"/>
              </w:rPr>
            </w:pPr>
          </w:p>
        </w:tc>
      </w:tr>
      <w:tr w:rsidR="0099058F" w14:paraId="4B7636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6F6"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F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F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F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F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F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6F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6F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6FE" w14:textId="77777777" w:rsidR="0099058F" w:rsidRDefault="0099058F">
            <w:pPr>
              <w:widowControl/>
              <w:jc w:val="left"/>
              <w:rPr>
                <w:rFonts w:ascii="Times New Roman" w:eastAsia="宋体" w:hAnsi="宋体" w:cs="宋体"/>
                <w:kern w:val="0"/>
                <w:sz w:val="24"/>
              </w:rPr>
            </w:pPr>
          </w:p>
        </w:tc>
      </w:tr>
      <w:tr w:rsidR="0099058F" w14:paraId="4B763706" w14:textId="77777777">
        <w:trPr>
          <w:hidden/>
        </w:trPr>
        <w:tc>
          <w:tcPr>
            <w:tcW w:w="0" w:type="auto"/>
            <w:gridSpan w:val="3"/>
            <w:tcBorders>
              <w:top w:val="nil"/>
              <w:left w:val="nil"/>
              <w:bottom w:val="nil"/>
              <w:right w:val="nil"/>
            </w:tcBorders>
            <w:shd w:val="clear" w:color="auto" w:fill="auto"/>
            <w:vAlign w:val="bottom"/>
          </w:tcPr>
          <w:p w14:paraId="4B763700"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1"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2"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3"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4"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5" w14:textId="77777777" w:rsidR="0099058F" w:rsidRDefault="0099058F">
            <w:pPr>
              <w:widowControl/>
              <w:jc w:val="left"/>
              <w:rPr>
                <w:rFonts w:ascii="Times New Roman" w:eastAsia="宋体" w:hAnsi="宋体" w:cs="宋体"/>
                <w:vanish/>
                <w:kern w:val="0"/>
                <w:sz w:val="24"/>
              </w:rPr>
            </w:pPr>
          </w:p>
        </w:tc>
      </w:tr>
      <w:tr w:rsidR="0099058F" w14:paraId="4B76370D" w14:textId="77777777">
        <w:trPr>
          <w:hidden/>
        </w:trPr>
        <w:tc>
          <w:tcPr>
            <w:tcW w:w="0" w:type="auto"/>
            <w:gridSpan w:val="3"/>
            <w:tcBorders>
              <w:top w:val="nil"/>
              <w:left w:val="nil"/>
              <w:bottom w:val="nil"/>
              <w:right w:val="nil"/>
            </w:tcBorders>
            <w:shd w:val="clear" w:color="auto" w:fill="auto"/>
            <w:vAlign w:val="bottom"/>
          </w:tcPr>
          <w:p w14:paraId="4B763707"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8"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9"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A"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B" w14:textId="77777777" w:rsidR="0099058F" w:rsidRDefault="0099058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B76370C" w14:textId="77777777" w:rsidR="0099058F" w:rsidRDefault="0099058F">
            <w:pPr>
              <w:widowControl/>
              <w:jc w:val="left"/>
              <w:rPr>
                <w:rFonts w:ascii="Times New Roman" w:eastAsia="宋体" w:hAnsi="宋体" w:cs="宋体"/>
                <w:vanish/>
                <w:kern w:val="0"/>
                <w:sz w:val="24"/>
              </w:rPr>
            </w:pPr>
          </w:p>
        </w:tc>
      </w:tr>
      <w:tr w:rsidR="0099058F" w14:paraId="4B76371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70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1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16" w14:textId="77777777" w:rsidR="0099058F" w:rsidRDefault="0099058F">
            <w:pPr>
              <w:widowControl/>
              <w:jc w:val="left"/>
              <w:rPr>
                <w:rFonts w:ascii="Times New Roman" w:eastAsia="宋体" w:hAnsi="宋体" w:cs="宋体"/>
                <w:kern w:val="0"/>
                <w:sz w:val="24"/>
              </w:rPr>
            </w:pPr>
          </w:p>
        </w:tc>
      </w:tr>
      <w:tr w:rsidR="0099058F" w14:paraId="4B76372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B76371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7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1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71B"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7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1D"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B76371E"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B7637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20" w14:textId="77777777" w:rsidR="0099058F" w:rsidRDefault="0099058F">
            <w:pPr>
              <w:widowControl/>
              <w:jc w:val="left"/>
              <w:rPr>
                <w:rFonts w:ascii="Times New Roman" w:eastAsia="宋体" w:hAnsi="宋体" w:cs="宋体"/>
                <w:kern w:val="0"/>
                <w:sz w:val="24"/>
              </w:rPr>
            </w:pPr>
          </w:p>
        </w:tc>
      </w:tr>
      <w:tr w:rsidR="0099058F" w14:paraId="4B763728"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2"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3"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4"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5"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6" w14:textId="77777777" w:rsidR="0099058F" w:rsidRDefault="0099058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B763727" w14:textId="77777777" w:rsidR="0099058F" w:rsidRDefault="0099058F">
            <w:pPr>
              <w:widowControl/>
              <w:jc w:val="left"/>
              <w:rPr>
                <w:rFonts w:ascii="Times New Roman" w:eastAsia="宋体" w:hAnsi="宋体" w:cs="宋体"/>
                <w:kern w:val="0"/>
                <w:sz w:val="24"/>
              </w:rPr>
            </w:pPr>
          </w:p>
        </w:tc>
      </w:tr>
      <w:tr w:rsidR="0099058F" w14:paraId="4B7637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72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2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2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2C"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2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2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31" w14:textId="77777777" w:rsidR="0099058F" w:rsidRDefault="0099058F">
            <w:pPr>
              <w:widowControl/>
              <w:jc w:val="left"/>
              <w:rPr>
                <w:rFonts w:ascii="Times New Roman" w:eastAsia="宋体" w:hAnsi="宋体" w:cs="宋体"/>
                <w:kern w:val="0"/>
                <w:sz w:val="24"/>
              </w:rPr>
            </w:pPr>
          </w:p>
        </w:tc>
      </w:tr>
      <w:tr w:rsidR="0099058F" w14:paraId="4B76373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73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3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3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3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3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3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3B" w14:textId="77777777" w:rsidR="0099058F" w:rsidRDefault="0099058F">
            <w:pPr>
              <w:widowControl/>
              <w:jc w:val="left"/>
              <w:rPr>
                <w:rFonts w:ascii="Times New Roman" w:eastAsia="宋体" w:hAnsi="宋体" w:cs="宋体"/>
                <w:kern w:val="0"/>
                <w:sz w:val="24"/>
              </w:rPr>
            </w:pPr>
          </w:p>
        </w:tc>
      </w:tr>
      <w:tr w:rsidR="0099058F" w14:paraId="4B76374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373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73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3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740"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74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4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743"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74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45" w14:textId="77777777" w:rsidR="0099058F" w:rsidRDefault="0099058F">
            <w:pPr>
              <w:widowControl/>
              <w:jc w:val="left"/>
              <w:rPr>
                <w:rFonts w:ascii="Times New Roman" w:eastAsia="宋体" w:hAnsi="宋体" w:cs="宋体"/>
                <w:kern w:val="0"/>
                <w:sz w:val="24"/>
              </w:rPr>
            </w:pPr>
          </w:p>
        </w:tc>
      </w:tr>
    </w:tbl>
    <w:p w14:paraId="4B763747"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4B76374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Pension costs, comprising GAAP service and prior service costs, are allocated to BCA and the commercial operations at BGS. Pension costs are allocated to BDS and BGS businesses supporting government customer</w:t>
      </w:r>
      <w:r>
        <w:rPr>
          <w:rFonts w:ascii="Arial" w:eastAsia="宋体" w:hAnsi="Arial" w:cs="Arial"/>
          <w:color w:val="000000"/>
          <w:kern w:val="0"/>
          <w:sz w:val="20"/>
          <w:szCs w:val="20"/>
          <w:lang w:bidi="ar"/>
        </w:rPr>
        <w:t>s using U.S. Government Cost Accounting Standards (CAS), which employ different actuarial assumptions and accounting conventions than GAAP. These costs are allocable to government contracts. Other postretirement benefit costs are allocated to business segm</w:t>
      </w:r>
      <w:r>
        <w:rPr>
          <w:rFonts w:ascii="Arial" w:eastAsia="宋体" w:hAnsi="Arial" w:cs="Arial"/>
          <w:color w:val="000000"/>
          <w:kern w:val="0"/>
          <w:sz w:val="20"/>
          <w:szCs w:val="20"/>
          <w:lang w:bidi="ar"/>
        </w:rPr>
        <w:t>ents based on CAS, which is generally based on benefits paid. FAS/CAS service cost adjustment represents the difference between the Financial Accounting Standards (FAS) pension and postretirement service costs calculated under GAAP and costs allocated to t</w:t>
      </w:r>
      <w:r>
        <w:rPr>
          <w:rFonts w:ascii="Arial" w:eastAsia="宋体" w:hAnsi="Arial" w:cs="Arial"/>
          <w:color w:val="000000"/>
          <w:kern w:val="0"/>
          <w:sz w:val="20"/>
          <w:szCs w:val="20"/>
          <w:lang w:bidi="ar"/>
        </w:rPr>
        <w:t>he business segments. Non-operating pension and postretirement expenses represent the components of net periodic benefit costs other than service cost. These expenses are included in Other income, net.</w:t>
      </w:r>
    </w:p>
    <w:p w14:paraId="4B763749"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113</w:t>
      </w:r>
    </w:p>
    <w:p w14:paraId="4B76374A" w14:textId="77777777" w:rsidR="0099058F" w:rsidRDefault="00EB2559">
      <w:pPr>
        <w:widowControl/>
        <w:jc w:val="center"/>
      </w:pPr>
      <w:r>
        <w:rPr>
          <w:rFonts w:ascii="宋体" w:eastAsia="宋体" w:hAnsi="宋体" w:cs="宋体"/>
          <w:kern w:val="0"/>
          <w:sz w:val="24"/>
        </w:rPr>
        <w:pict w14:anchorId="4B763C68">
          <v:rect id="_x0000_i1139" style="width:6in;height:1.5pt" o:hralign="center" o:hrstd="t" o:hr="t" fillcolor="#a0a0a0" stroked="f"/>
        </w:pict>
      </w:r>
    </w:p>
    <w:p w14:paraId="4B76374B"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74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4B76374D"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069"/>
        <w:gridCol w:w="36"/>
        <w:gridCol w:w="76"/>
        <w:gridCol w:w="885"/>
        <w:gridCol w:w="36"/>
        <w:gridCol w:w="36"/>
        <w:gridCol w:w="36"/>
        <w:gridCol w:w="36"/>
        <w:gridCol w:w="76"/>
        <w:gridCol w:w="880"/>
        <w:gridCol w:w="36"/>
        <w:gridCol w:w="36"/>
        <w:gridCol w:w="36"/>
      </w:tblGrid>
      <w:tr w:rsidR="0099058F" w14:paraId="4B76375C" w14:textId="77777777">
        <w:tc>
          <w:tcPr>
            <w:tcW w:w="50" w:type="pct"/>
            <w:tcBorders>
              <w:top w:val="nil"/>
              <w:left w:val="nil"/>
              <w:bottom w:val="nil"/>
              <w:right w:val="nil"/>
            </w:tcBorders>
            <w:shd w:val="clear" w:color="auto" w:fill="auto"/>
            <w:vAlign w:val="bottom"/>
          </w:tcPr>
          <w:p w14:paraId="4B76374E" w14:textId="77777777" w:rsidR="0099058F" w:rsidRDefault="0099058F">
            <w:pPr>
              <w:widowControl/>
              <w:jc w:val="left"/>
              <w:rPr>
                <w:rFonts w:ascii="Times New Roman" w:eastAsia="宋体" w:hAnsi="宋体" w:cs="宋体"/>
                <w:kern w:val="0"/>
                <w:sz w:val="24"/>
              </w:rPr>
            </w:pPr>
          </w:p>
        </w:tc>
        <w:tc>
          <w:tcPr>
            <w:tcW w:w="3682" w:type="pct"/>
            <w:tcBorders>
              <w:top w:val="nil"/>
              <w:left w:val="nil"/>
              <w:bottom w:val="nil"/>
              <w:right w:val="nil"/>
            </w:tcBorders>
            <w:shd w:val="clear" w:color="auto" w:fill="auto"/>
            <w:vAlign w:val="bottom"/>
          </w:tcPr>
          <w:p w14:paraId="4B76374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5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51" w14:textId="77777777" w:rsidR="0099058F" w:rsidRDefault="0099058F">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4B76375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5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54"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75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56"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57" w14:textId="77777777" w:rsidR="0099058F" w:rsidRDefault="0099058F">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4B76375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59"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5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5B" w14:textId="77777777" w:rsidR="0099058F" w:rsidRDefault="0099058F">
            <w:pPr>
              <w:widowControl/>
              <w:jc w:val="left"/>
              <w:rPr>
                <w:rFonts w:ascii="Times New Roman" w:eastAsia="宋体" w:hAnsi="宋体" w:cs="宋体"/>
                <w:vanish/>
                <w:kern w:val="0"/>
                <w:sz w:val="24"/>
              </w:rPr>
            </w:pPr>
          </w:p>
        </w:tc>
      </w:tr>
      <w:tr w:rsidR="0099058F" w14:paraId="4B76376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5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5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7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6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4B763761"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62" w14:textId="77777777" w:rsidR="0099058F" w:rsidRDefault="0099058F">
            <w:pPr>
              <w:widowControl/>
              <w:jc w:val="left"/>
              <w:rPr>
                <w:rFonts w:ascii="Times New Roman" w:eastAsia="宋体" w:hAnsi="宋体" w:cs="宋体"/>
                <w:vanish/>
                <w:kern w:val="0"/>
                <w:sz w:val="24"/>
              </w:rPr>
            </w:pPr>
          </w:p>
        </w:tc>
      </w:tr>
      <w:tr w:rsidR="0099058F" w14:paraId="4B76376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764"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Commercial </w:t>
            </w:r>
            <w:r>
              <w:rPr>
                <w:rFonts w:ascii="Arial" w:eastAsia="宋体" w:hAnsi="Arial" w:cs="Arial"/>
                <w:color w:val="000000"/>
                <w:kern w:val="0"/>
                <w:sz w:val="20"/>
                <w:szCs w:val="20"/>
                <w:lang w:bidi="ar"/>
              </w:rPr>
              <w:t>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76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$75,212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76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76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7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$75,863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769"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6A"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6B" w14:textId="77777777" w:rsidR="0099058F" w:rsidRDefault="0099058F">
            <w:pPr>
              <w:widowControl/>
              <w:jc w:val="left"/>
              <w:rPr>
                <w:rFonts w:ascii="Times New Roman" w:eastAsia="宋体" w:hAnsi="宋体" w:cs="宋体"/>
                <w:vanish/>
                <w:kern w:val="0"/>
                <w:sz w:val="24"/>
              </w:rPr>
            </w:pPr>
          </w:p>
        </w:tc>
      </w:tr>
      <w:tr w:rsidR="0099058F" w14:paraId="4B76377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76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6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7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7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72"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73"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74" w14:textId="77777777" w:rsidR="0099058F" w:rsidRDefault="0099058F">
            <w:pPr>
              <w:widowControl/>
              <w:jc w:val="left"/>
              <w:rPr>
                <w:rFonts w:ascii="Times New Roman" w:eastAsia="宋体" w:hAnsi="宋体" w:cs="宋体"/>
                <w:vanish/>
                <w:kern w:val="0"/>
                <w:sz w:val="24"/>
              </w:rPr>
            </w:pPr>
          </w:p>
        </w:tc>
      </w:tr>
      <w:tr w:rsidR="0099058F" w14:paraId="4B76377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77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7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7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79"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7B"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7C"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7D" w14:textId="77777777" w:rsidR="0099058F" w:rsidRDefault="0099058F">
            <w:pPr>
              <w:widowControl/>
              <w:jc w:val="left"/>
              <w:rPr>
                <w:rFonts w:ascii="Times New Roman" w:eastAsia="宋体" w:hAnsi="宋体" w:cs="宋体"/>
                <w:vanish/>
                <w:kern w:val="0"/>
                <w:sz w:val="24"/>
              </w:rPr>
            </w:pPr>
          </w:p>
        </w:tc>
      </w:tr>
      <w:tr w:rsidR="0099058F" w14:paraId="4B7637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77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8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8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8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8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84"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85"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86" w14:textId="77777777" w:rsidR="0099058F" w:rsidRDefault="0099058F">
            <w:pPr>
              <w:widowControl/>
              <w:jc w:val="left"/>
              <w:rPr>
                <w:rFonts w:ascii="Times New Roman" w:eastAsia="宋体" w:hAnsi="宋体" w:cs="宋体"/>
                <w:vanish/>
                <w:kern w:val="0"/>
                <w:sz w:val="24"/>
              </w:rPr>
            </w:pPr>
          </w:p>
        </w:tc>
      </w:tr>
      <w:tr w:rsidR="0099058F" w14:paraId="4B76379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788"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8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29,803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8A"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8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8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8D" w14:textId="77777777" w:rsidR="0099058F" w:rsidRDefault="0099058F">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8E"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8F" w14:textId="77777777" w:rsidR="0099058F" w:rsidRDefault="0099058F">
            <w:pPr>
              <w:widowControl/>
              <w:jc w:val="left"/>
              <w:rPr>
                <w:rFonts w:ascii="Times New Roman" w:eastAsia="宋体" w:hAnsi="宋体" w:cs="宋体"/>
                <w:vanish/>
                <w:kern w:val="0"/>
                <w:sz w:val="24"/>
              </w:rPr>
            </w:pPr>
          </w:p>
        </w:tc>
      </w:tr>
      <w:tr w:rsidR="0099058F" w14:paraId="4B76379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3791"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79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9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79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79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796" w14:textId="77777777" w:rsidR="0099058F" w:rsidRDefault="0099058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B763797" w14:textId="77777777" w:rsidR="0099058F" w:rsidRDefault="0099058F">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B763798" w14:textId="77777777" w:rsidR="0099058F" w:rsidRDefault="0099058F">
            <w:pPr>
              <w:widowControl/>
              <w:jc w:val="left"/>
              <w:rPr>
                <w:rFonts w:ascii="Times New Roman" w:eastAsia="宋体" w:hAnsi="宋体" w:cs="宋体"/>
                <w:vanish/>
                <w:kern w:val="0"/>
                <w:sz w:val="24"/>
              </w:rPr>
            </w:pPr>
          </w:p>
        </w:tc>
      </w:tr>
    </w:tbl>
    <w:p w14:paraId="4B76379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Assets included in Unallocated items, eliminations and other primarily consist of Cash and cash equivalents, Short-term and other investments, tax assets, capitalized interest, and assets managed centrally on behalf of the four principal business segments </w:t>
      </w:r>
      <w:r>
        <w:rPr>
          <w:rFonts w:ascii="Arial" w:eastAsia="宋体" w:hAnsi="Arial" w:cs="Arial"/>
          <w:color w:val="000000"/>
          <w:kern w:val="0"/>
          <w:sz w:val="20"/>
          <w:szCs w:val="20"/>
          <w:lang w:bidi="ar"/>
        </w:rPr>
        <w:t>and intercompany eliminations.</w:t>
      </w:r>
    </w:p>
    <w:p w14:paraId="4B76379B"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Capital Expenditures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72"/>
        <w:gridCol w:w="691"/>
        <w:gridCol w:w="36"/>
        <w:gridCol w:w="36"/>
        <w:gridCol w:w="36"/>
        <w:gridCol w:w="36"/>
        <w:gridCol w:w="54"/>
        <w:gridCol w:w="701"/>
        <w:gridCol w:w="36"/>
        <w:gridCol w:w="36"/>
        <w:gridCol w:w="36"/>
        <w:gridCol w:w="36"/>
        <w:gridCol w:w="71"/>
        <w:gridCol w:w="687"/>
        <w:gridCol w:w="36"/>
      </w:tblGrid>
      <w:tr w:rsidR="0099058F" w14:paraId="4B7637AE" w14:textId="77777777">
        <w:tc>
          <w:tcPr>
            <w:tcW w:w="50" w:type="pct"/>
            <w:tcBorders>
              <w:top w:val="nil"/>
              <w:left w:val="nil"/>
              <w:bottom w:val="nil"/>
              <w:right w:val="nil"/>
            </w:tcBorders>
            <w:shd w:val="clear" w:color="auto" w:fill="auto"/>
            <w:vAlign w:val="bottom"/>
          </w:tcPr>
          <w:p w14:paraId="4B76379C"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379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9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9F"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7A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7A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A5"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7A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8"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7A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AB"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37A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AD" w14:textId="77777777" w:rsidR="0099058F" w:rsidRDefault="0099058F">
            <w:pPr>
              <w:widowControl/>
              <w:jc w:val="left"/>
              <w:rPr>
                <w:rFonts w:ascii="Times New Roman" w:eastAsia="宋体" w:hAnsi="宋体" w:cs="宋体"/>
                <w:kern w:val="0"/>
                <w:sz w:val="24"/>
              </w:rPr>
            </w:pPr>
          </w:p>
        </w:tc>
      </w:tr>
      <w:tr w:rsidR="0099058F" w14:paraId="4B7637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A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B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7B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B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7B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B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7B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7B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7B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7B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7B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7B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7B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7B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7B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7BE" w14:textId="77777777" w:rsidR="0099058F" w:rsidRDefault="0099058F">
            <w:pPr>
              <w:widowControl/>
              <w:jc w:val="left"/>
              <w:rPr>
                <w:rFonts w:ascii="Times New Roman" w:eastAsia="宋体" w:hAnsi="宋体" w:cs="宋体"/>
                <w:kern w:val="0"/>
                <w:sz w:val="24"/>
              </w:rPr>
            </w:pPr>
          </w:p>
        </w:tc>
      </w:tr>
      <w:tr w:rsidR="0099058F" w14:paraId="4B7637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7C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C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C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C3"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C4"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C6"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C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C8" w14:textId="77777777" w:rsidR="0099058F" w:rsidRDefault="0099058F">
            <w:pPr>
              <w:widowControl/>
              <w:jc w:val="left"/>
              <w:rPr>
                <w:rFonts w:ascii="Times New Roman" w:eastAsia="宋体" w:hAnsi="宋体" w:cs="宋体"/>
                <w:kern w:val="0"/>
                <w:sz w:val="24"/>
              </w:rPr>
            </w:pPr>
          </w:p>
        </w:tc>
      </w:tr>
      <w:tr w:rsidR="0099058F" w14:paraId="4B7637D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7C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C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CD"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C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C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7D0"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7D1"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7D2" w14:textId="77777777" w:rsidR="0099058F" w:rsidRDefault="0099058F">
            <w:pPr>
              <w:widowControl/>
              <w:jc w:val="left"/>
              <w:rPr>
                <w:rFonts w:ascii="Times New Roman" w:eastAsia="宋体" w:hAnsi="宋体" w:cs="宋体"/>
                <w:kern w:val="0"/>
                <w:sz w:val="24"/>
              </w:rPr>
            </w:pPr>
          </w:p>
        </w:tc>
      </w:tr>
      <w:tr w:rsidR="0099058F" w14:paraId="4B7637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7D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D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D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D7"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D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D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7DA"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7D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7DC" w14:textId="77777777" w:rsidR="0099058F" w:rsidRDefault="0099058F">
            <w:pPr>
              <w:widowControl/>
              <w:jc w:val="left"/>
              <w:rPr>
                <w:rFonts w:ascii="Times New Roman" w:eastAsia="宋体" w:hAnsi="宋体" w:cs="宋体"/>
                <w:kern w:val="0"/>
                <w:sz w:val="24"/>
              </w:rPr>
            </w:pPr>
          </w:p>
        </w:tc>
      </w:tr>
      <w:tr w:rsidR="0099058F" w14:paraId="4B7637E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B7637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7D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7E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7E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7E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7E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B7637E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B7637E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B7637E6" w14:textId="77777777" w:rsidR="0099058F" w:rsidRDefault="0099058F">
            <w:pPr>
              <w:widowControl/>
              <w:jc w:val="left"/>
              <w:rPr>
                <w:rFonts w:ascii="Times New Roman" w:eastAsia="宋体" w:hAnsi="宋体" w:cs="宋体"/>
                <w:kern w:val="0"/>
                <w:sz w:val="24"/>
              </w:rPr>
            </w:pPr>
          </w:p>
        </w:tc>
      </w:tr>
    </w:tbl>
    <w:p w14:paraId="4B7637E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Capital expenditures for Unallocated items, eliminations and other relate primarily to assets managed centrally on behalf of the four principal </w:t>
      </w:r>
      <w:r>
        <w:rPr>
          <w:rFonts w:ascii="Arial" w:eastAsia="宋体" w:hAnsi="Arial" w:cs="Arial"/>
          <w:color w:val="000000"/>
          <w:kern w:val="0"/>
          <w:sz w:val="20"/>
          <w:szCs w:val="20"/>
          <w:lang w:bidi="ar"/>
        </w:rPr>
        <w:t>business segments.</w:t>
      </w:r>
    </w:p>
    <w:p w14:paraId="4B7637E9" w14:textId="77777777" w:rsidR="0099058F" w:rsidRDefault="00EB2559">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Depreciation and Amortization</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72"/>
        <w:gridCol w:w="691"/>
        <w:gridCol w:w="36"/>
        <w:gridCol w:w="36"/>
        <w:gridCol w:w="36"/>
        <w:gridCol w:w="36"/>
        <w:gridCol w:w="72"/>
        <w:gridCol w:w="683"/>
        <w:gridCol w:w="36"/>
        <w:gridCol w:w="36"/>
        <w:gridCol w:w="36"/>
        <w:gridCol w:w="36"/>
        <w:gridCol w:w="71"/>
        <w:gridCol w:w="687"/>
        <w:gridCol w:w="36"/>
      </w:tblGrid>
      <w:tr w:rsidR="0099058F" w14:paraId="4B7637FC" w14:textId="77777777">
        <w:tc>
          <w:tcPr>
            <w:tcW w:w="50" w:type="pct"/>
            <w:tcBorders>
              <w:top w:val="nil"/>
              <w:left w:val="nil"/>
              <w:bottom w:val="nil"/>
              <w:right w:val="nil"/>
            </w:tcBorders>
            <w:shd w:val="clear" w:color="auto" w:fill="auto"/>
            <w:vAlign w:val="bottom"/>
          </w:tcPr>
          <w:p w14:paraId="4B7637EA" w14:textId="77777777" w:rsidR="0099058F" w:rsidRDefault="0099058F">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B7637E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E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ED"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7E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E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0"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7F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F3" w14:textId="77777777" w:rsidR="0099058F" w:rsidRDefault="0099058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B7637F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6"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7F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7F9" w14:textId="77777777" w:rsidR="0099058F" w:rsidRDefault="0099058F">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B7637F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7FB" w14:textId="77777777" w:rsidR="0099058F" w:rsidRDefault="0099058F">
            <w:pPr>
              <w:widowControl/>
              <w:jc w:val="left"/>
              <w:rPr>
                <w:rFonts w:ascii="Times New Roman" w:eastAsia="宋体" w:hAnsi="宋体" w:cs="宋体"/>
                <w:kern w:val="0"/>
                <w:sz w:val="24"/>
              </w:rPr>
            </w:pPr>
          </w:p>
        </w:tc>
      </w:tr>
      <w:tr w:rsidR="0099058F" w14:paraId="4B7638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FD"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7F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7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80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80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80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99058F" w14:paraId="4B76380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B76380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80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806"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807"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80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80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80A"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B76380B"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B76380C" w14:textId="77777777" w:rsidR="0099058F" w:rsidRDefault="0099058F">
            <w:pPr>
              <w:widowControl/>
              <w:jc w:val="left"/>
              <w:rPr>
                <w:rFonts w:ascii="Times New Roman" w:eastAsia="宋体" w:hAnsi="宋体" w:cs="宋体"/>
                <w:kern w:val="0"/>
                <w:sz w:val="24"/>
              </w:rPr>
            </w:pPr>
          </w:p>
        </w:tc>
      </w:tr>
      <w:tr w:rsidR="0099058F" w14:paraId="4B7638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80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0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1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81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1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1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814"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1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16" w14:textId="77777777" w:rsidR="0099058F" w:rsidRDefault="0099058F">
            <w:pPr>
              <w:widowControl/>
              <w:jc w:val="left"/>
              <w:rPr>
                <w:rFonts w:ascii="Times New Roman" w:eastAsia="宋体" w:hAnsi="宋体" w:cs="宋体"/>
                <w:kern w:val="0"/>
                <w:sz w:val="24"/>
              </w:rPr>
            </w:pPr>
          </w:p>
        </w:tc>
      </w:tr>
      <w:tr w:rsidR="0099058F" w14:paraId="4B7638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81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1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1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81B"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1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1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81E"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1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20" w14:textId="77777777" w:rsidR="0099058F" w:rsidRDefault="0099058F">
            <w:pPr>
              <w:widowControl/>
              <w:jc w:val="left"/>
              <w:rPr>
                <w:rFonts w:ascii="Times New Roman" w:eastAsia="宋体" w:hAnsi="宋体" w:cs="宋体"/>
                <w:kern w:val="0"/>
                <w:sz w:val="24"/>
              </w:rPr>
            </w:pPr>
          </w:p>
        </w:tc>
      </w:tr>
      <w:tr w:rsidR="0099058F" w14:paraId="4B7638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B76382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Boeing </w:t>
            </w:r>
            <w:r>
              <w:rPr>
                <w:rFonts w:ascii="Arial" w:eastAsia="宋体" w:hAnsi="Arial" w:cs="Arial"/>
                <w:color w:val="000000"/>
                <w:kern w:val="0"/>
                <w:sz w:val="20"/>
                <w:szCs w:val="20"/>
                <w:lang w:bidi="ar"/>
              </w:rPr>
              <w:t>Capital Corporation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2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825"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26"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2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828"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829"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82A" w14:textId="77777777" w:rsidR="0099058F" w:rsidRDefault="0099058F">
            <w:pPr>
              <w:widowControl/>
              <w:jc w:val="left"/>
              <w:rPr>
                <w:rFonts w:ascii="Times New Roman" w:eastAsia="宋体" w:hAnsi="宋体" w:cs="宋体"/>
                <w:kern w:val="0"/>
                <w:sz w:val="24"/>
              </w:rPr>
            </w:pPr>
          </w:p>
        </w:tc>
      </w:tr>
      <w:tr w:rsidR="0099058F" w14:paraId="4B76383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B76382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Centrally Managed Assets</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2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2E"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82F"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3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3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832"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833"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834" w14:textId="77777777" w:rsidR="0099058F" w:rsidRDefault="0099058F">
            <w:pPr>
              <w:widowControl/>
              <w:jc w:val="right"/>
              <w:rPr>
                <w:rFonts w:ascii="Times New Roman" w:eastAsia="宋体" w:hAnsi="宋体" w:cs="宋体"/>
                <w:kern w:val="0"/>
                <w:sz w:val="24"/>
              </w:rPr>
            </w:pPr>
          </w:p>
        </w:tc>
      </w:tr>
      <w:tr w:rsidR="0099058F" w14:paraId="4B76383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B76383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837" w14:textId="77777777" w:rsidR="0099058F" w:rsidRDefault="00EB255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$1,979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83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839"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83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83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83C"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83D"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83E" w14:textId="77777777" w:rsidR="0099058F" w:rsidRDefault="0099058F">
            <w:pPr>
              <w:widowControl/>
              <w:jc w:val="left"/>
              <w:rPr>
                <w:rFonts w:ascii="Times New Roman" w:eastAsia="宋体" w:hAnsi="宋体" w:cs="宋体"/>
                <w:kern w:val="0"/>
                <w:sz w:val="24"/>
              </w:rPr>
            </w:pPr>
          </w:p>
        </w:tc>
      </w:tr>
    </w:tbl>
    <w:p w14:paraId="4B763840" w14:textId="77777777" w:rsidR="0099058F" w:rsidRDefault="00EB255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Amounts shown in the table represent depreciation and amortization expense recorded by the individual business segments. </w:t>
      </w:r>
      <w:r>
        <w:rPr>
          <w:rFonts w:ascii="Arial" w:eastAsia="宋体" w:hAnsi="Arial" w:cs="Arial"/>
          <w:color w:val="000000"/>
          <w:kern w:val="0"/>
          <w:sz w:val="20"/>
          <w:szCs w:val="20"/>
          <w:lang w:bidi="ar"/>
        </w:rPr>
        <w:t>Depreciation and amortization for centrally managed assets are included in segment operating earnings based on usage and occupancy. In 2022, $643 was included in the primary business segments, of which $360, $230 and $53 was included in BCA, BDS and BGS, r</w:t>
      </w:r>
      <w:r>
        <w:rPr>
          <w:rFonts w:ascii="Arial" w:eastAsia="宋体" w:hAnsi="Arial" w:cs="Arial"/>
          <w:color w:val="000000"/>
          <w:kern w:val="0"/>
          <w:sz w:val="20"/>
          <w:szCs w:val="20"/>
          <w:lang w:bidi="ar"/>
        </w:rPr>
        <w:t>espectively. In 2021, $668 was included in the primary business segments, of which $386, $222 and $60 was included in BCA, BDS and BGS, respectively. In 2020, $689 was included in the primary business segments, of which $397, $236 and $56 was included in B</w:t>
      </w:r>
      <w:r>
        <w:rPr>
          <w:rFonts w:ascii="Arial" w:eastAsia="宋体" w:hAnsi="Arial" w:cs="Arial"/>
          <w:color w:val="000000"/>
          <w:kern w:val="0"/>
          <w:sz w:val="20"/>
          <w:szCs w:val="20"/>
          <w:lang w:bidi="ar"/>
        </w:rPr>
        <w:t>CA, BDS and BGS, respectively.</w:t>
      </w:r>
    </w:p>
    <w:p w14:paraId="4B763841"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114</w:t>
      </w:r>
    </w:p>
    <w:p w14:paraId="4B763842" w14:textId="77777777" w:rsidR="0099058F" w:rsidRDefault="00EB2559">
      <w:pPr>
        <w:widowControl/>
        <w:jc w:val="center"/>
      </w:pPr>
      <w:r>
        <w:rPr>
          <w:rFonts w:ascii="宋体" w:eastAsia="宋体" w:hAnsi="宋体" w:cs="宋体"/>
          <w:kern w:val="0"/>
          <w:sz w:val="24"/>
        </w:rPr>
        <w:pict w14:anchorId="4B763C69">
          <v:rect id="_x0000_i1140" style="width:6in;height:1.5pt" o:hralign="center" o:hrstd="t" o:hr="t" fillcolor="#a0a0a0" stroked="f"/>
        </w:pict>
      </w:r>
    </w:p>
    <w:p w14:paraId="4B763843"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44" w14:textId="77777777" w:rsidR="0099058F" w:rsidRDefault="00EB255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4B76384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To the </w:t>
      </w:r>
      <w:r>
        <w:rPr>
          <w:rFonts w:ascii="Arial" w:eastAsia="宋体" w:hAnsi="Arial" w:cs="Arial"/>
          <w:color w:val="000000"/>
          <w:kern w:val="0"/>
          <w:sz w:val="20"/>
          <w:szCs w:val="20"/>
          <w:lang w:bidi="ar"/>
        </w:rPr>
        <w:t>shareholders and the Board of Directors of The Boeing Company</w:t>
      </w:r>
    </w:p>
    <w:p w14:paraId="4B763846"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Opinion on the Financial Statements</w:t>
      </w:r>
    </w:p>
    <w:p w14:paraId="4B76384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audited the accompanying consolidated statements of financial position of The Boeing Company and subsidiaries (the "Company") as of December 31, 2022 </w:t>
      </w:r>
      <w:r>
        <w:rPr>
          <w:rFonts w:ascii="Arial" w:eastAsia="宋体" w:hAnsi="Arial" w:cs="Arial"/>
          <w:color w:val="000000"/>
          <w:kern w:val="0"/>
          <w:sz w:val="20"/>
          <w:szCs w:val="20"/>
          <w:lang w:bidi="ar"/>
        </w:rPr>
        <w:t>and 2021, the related consolidated statements of operations, comprehensive income, equity, and cash flows, for each of the three years in the period ended December 31, 2022, and the related notes (collectively referred to as the "financial statements"). In</w:t>
      </w:r>
      <w:r>
        <w:rPr>
          <w:rFonts w:ascii="Arial" w:eastAsia="宋体" w:hAnsi="Arial" w:cs="Arial"/>
          <w:color w:val="000000"/>
          <w:kern w:val="0"/>
          <w:sz w:val="20"/>
          <w:szCs w:val="20"/>
          <w:lang w:bidi="ar"/>
        </w:rPr>
        <w:t xml:space="preserve"> our opinion, the financial statements present fairly, in all material respects, the financial position of the Company as of December 31, 2022 and 2021, and the results of its operations and its cash flows for each of the three years in the period ended De</w:t>
      </w:r>
      <w:r>
        <w:rPr>
          <w:rFonts w:ascii="Arial" w:eastAsia="宋体" w:hAnsi="Arial" w:cs="Arial"/>
          <w:color w:val="000000"/>
          <w:kern w:val="0"/>
          <w:sz w:val="20"/>
          <w:szCs w:val="20"/>
          <w:lang w:bidi="ar"/>
        </w:rPr>
        <w:t>cember 31, 2022, in conformity with accounting principles generally accepted in the United States of America.</w:t>
      </w:r>
    </w:p>
    <w:p w14:paraId="4B76384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audited, in accordance with the standards of the Public Company Accounting Oversight Board (United States) (PCAOB), the Company's int</w:t>
      </w:r>
      <w:r>
        <w:rPr>
          <w:rFonts w:ascii="Arial" w:eastAsia="宋体" w:hAnsi="Arial" w:cs="Arial"/>
          <w:color w:val="000000"/>
          <w:kern w:val="0"/>
          <w:sz w:val="20"/>
          <w:szCs w:val="20"/>
          <w:lang w:bidi="ar"/>
        </w:rPr>
        <w:t xml:space="preserve">ernal control over financial reporting as of December 31, 2022, based on criteria established in </w:t>
      </w:r>
      <w:r>
        <w:rPr>
          <w:rFonts w:ascii="Arial" w:eastAsia="宋体" w:hAnsi="Arial" w:cs="Arial"/>
          <w:i/>
          <w:iCs/>
          <w:color w:val="000000"/>
          <w:kern w:val="0"/>
          <w:sz w:val="20"/>
          <w:szCs w:val="20"/>
          <w:lang w:bidi="ar"/>
        </w:rPr>
        <w:t>Internal Control — Integrated Framework (2013)</w:t>
      </w:r>
      <w:r>
        <w:rPr>
          <w:rFonts w:ascii="Arial" w:eastAsia="宋体" w:hAnsi="Arial" w:cs="Arial"/>
          <w:color w:val="000000"/>
          <w:kern w:val="0"/>
          <w:sz w:val="20"/>
          <w:szCs w:val="20"/>
          <w:lang w:bidi="ar"/>
        </w:rPr>
        <w:t xml:space="preserve"> issued by the Committee of Sponsoring Organizations of the Treadway Commission and our report dated January 27, </w:t>
      </w:r>
      <w:r>
        <w:rPr>
          <w:rFonts w:ascii="Arial" w:eastAsia="宋体" w:hAnsi="Arial" w:cs="Arial"/>
          <w:color w:val="000000"/>
          <w:kern w:val="0"/>
          <w:sz w:val="20"/>
          <w:szCs w:val="20"/>
          <w:lang w:bidi="ar"/>
        </w:rPr>
        <w:t>2023, expressed an unqualified opinion on the Company's internal control over financial reporting.</w:t>
      </w:r>
    </w:p>
    <w:p w14:paraId="4B763849"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Basis for Opinion</w:t>
      </w:r>
    </w:p>
    <w:p w14:paraId="4B76384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These financial statements are the responsibility of the Company's management. Our responsibility is to express an opinion on the Company's</w:t>
      </w:r>
      <w:r>
        <w:rPr>
          <w:rFonts w:ascii="Arial" w:eastAsia="宋体" w:hAnsi="Arial" w:cs="Arial"/>
          <w:color w:val="000000"/>
          <w:kern w:val="0"/>
          <w:sz w:val="20"/>
          <w:szCs w:val="20"/>
          <w:lang w:bidi="ar"/>
        </w:rPr>
        <w:t xml:space="preserve"> financial statements based on our audits. We are a public accounting firm registered with the PCAOB and are required to be independent with respect to the Company in accordance with the U.S. federal securities laws and the applicable rules and regulations</w:t>
      </w:r>
      <w:r>
        <w:rPr>
          <w:rFonts w:ascii="Arial" w:eastAsia="宋体" w:hAnsi="Arial" w:cs="Arial"/>
          <w:color w:val="000000"/>
          <w:kern w:val="0"/>
          <w:sz w:val="20"/>
          <w:szCs w:val="20"/>
          <w:lang w:bidi="ar"/>
        </w:rPr>
        <w:t xml:space="preserve"> of the Securities and Exchange Commission and the PCAOB.</w:t>
      </w:r>
    </w:p>
    <w:p w14:paraId="4B76384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conducted our audits in accordance with the standards of the PCAOB. Those standards require that we plan and perform the audit to obtain reasonable assurance about whether the financial statement</w:t>
      </w:r>
      <w:r>
        <w:rPr>
          <w:rFonts w:ascii="Arial" w:eastAsia="宋体" w:hAnsi="Arial" w:cs="Arial"/>
          <w:color w:val="000000"/>
          <w:kern w:val="0"/>
          <w:sz w:val="20"/>
          <w:szCs w:val="20"/>
          <w:lang w:bidi="ar"/>
        </w:rPr>
        <w:t>s are free of material misstatement, whether due to error or fraud. Our audits included performing procedures to assess the risks of material misstatement of the financial statements, whether due to error or fraud, and performing procedures that respond to</w:t>
      </w:r>
      <w:r>
        <w:rPr>
          <w:rFonts w:ascii="Arial" w:eastAsia="宋体" w:hAnsi="Arial" w:cs="Arial"/>
          <w:color w:val="000000"/>
          <w:kern w:val="0"/>
          <w:sz w:val="20"/>
          <w:szCs w:val="20"/>
          <w:lang w:bidi="ar"/>
        </w:rPr>
        <w:t xml:space="preserve"> those risks. Such procedures included examining, on a test basis, evidence regarding the amounts and disclosures in the financial statements. Our audits also included evaluating the accounting principles used and significant estimates made by management, </w:t>
      </w:r>
      <w:r>
        <w:rPr>
          <w:rFonts w:ascii="Arial" w:eastAsia="宋体" w:hAnsi="Arial" w:cs="Arial"/>
          <w:color w:val="000000"/>
          <w:kern w:val="0"/>
          <w:sz w:val="20"/>
          <w:szCs w:val="20"/>
          <w:lang w:bidi="ar"/>
        </w:rPr>
        <w:t>as well as evaluating the overall presentation of the financial statements. We believe that our audits provide a reasonable basis for our opinion.</w:t>
      </w:r>
    </w:p>
    <w:p w14:paraId="4B76384C"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Critical Audit Matters</w:t>
      </w:r>
    </w:p>
    <w:p w14:paraId="4B76384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critical audit matters communicated below are matters arising from the current-per</w:t>
      </w:r>
      <w:r>
        <w:rPr>
          <w:rFonts w:ascii="Arial" w:eastAsia="宋体" w:hAnsi="Arial" w:cs="Arial"/>
          <w:color w:val="000000"/>
          <w:kern w:val="0"/>
          <w:sz w:val="20"/>
          <w:szCs w:val="20"/>
          <w:lang w:bidi="ar"/>
        </w:rPr>
        <w:t>iod audit of the financial statements that were communicated or required to be communicated to the audit committee and that (1) relate to accounts or disclosures that are material to the financial statements and (2) involved our especially challenging, sub</w:t>
      </w:r>
      <w:r>
        <w:rPr>
          <w:rFonts w:ascii="Arial" w:eastAsia="宋体" w:hAnsi="Arial" w:cs="Arial"/>
          <w:color w:val="000000"/>
          <w:kern w:val="0"/>
          <w:sz w:val="20"/>
          <w:szCs w:val="20"/>
          <w:lang w:bidi="ar"/>
        </w:rPr>
        <w:t>jective, or complex judgments. The communication of critical audit matters does not alter in any way our opinion on the financial statements, taken as a whole, and we are not, by communicating the critical audit matters below, providing separate opinions o</w:t>
      </w:r>
      <w:r>
        <w:rPr>
          <w:rFonts w:ascii="Arial" w:eastAsia="宋体" w:hAnsi="Arial" w:cs="Arial"/>
          <w:color w:val="000000"/>
          <w:kern w:val="0"/>
          <w:sz w:val="20"/>
          <w:szCs w:val="20"/>
          <w:lang w:bidi="ar"/>
        </w:rPr>
        <w:t>n the critical audit matters or on the accounts or disclosures to which they relate.</w:t>
      </w:r>
    </w:p>
    <w:p w14:paraId="4B76384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115</w:t>
      </w:r>
    </w:p>
    <w:p w14:paraId="4B76384F" w14:textId="77777777" w:rsidR="0099058F" w:rsidRDefault="00EB2559">
      <w:pPr>
        <w:widowControl/>
        <w:jc w:val="center"/>
      </w:pPr>
      <w:r>
        <w:rPr>
          <w:rFonts w:ascii="宋体" w:eastAsia="宋体" w:hAnsi="宋体" w:cs="宋体"/>
          <w:kern w:val="0"/>
          <w:sz w:val="24"/>
        </w:rPr>
        <w:pict w14:anchorId="4B763C6A">
          <v:rect id="_x0000_i1141" style="width:6in;height:1.5pt" o:hralign="center" o:hrstd="t" o:hr="t" fillcolor="#a0a0a0" stroked="f"/>
        </w:pict>
      </w:r>
    </w:p>
    <w:p w14:paraId="4B76385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51"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Cost Estimates for Fixed-Price Development Contracts — Refer to Notes 1 and 13 to the financial statements</w:t>
      </w:r>
    </w:p>
    <w:p w14:paraId="4B763852" w14:textId="77777777" w:rsidR="0099058F" w:rsidRDefault="00EB2559">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Critical Audit Matter Description</w:t>
      </w:r>
    </w:p>
    <w:p w14:paraId="4B763853" w14:textId="77777777" w:rsidR="0099058F" w:rsidRDefault="00EB2559">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more fully described in Notes 1 and 13 to th</w:t>
      </w:r>
      <w:r>
        <w:rPr>
          <w:rFonts w:ascii="Arial" w:eastAsia="宋体" w:hAnsi="Arial" w:cs="Arial"/>
          <w:color w:val="000000"/>
          <w:kern w:val="0"/>
          <w:sz w:val="20"/>
          <w:szCs w:val="20"/>
          <w:lang w:bidi="ar"/>
        </w:rPr>
        <w:t>e consolidated financial statements, the Company recognizes revenue over time for long-term contracts as goods are produced or services are rendered. The Company uses costs incurred as the method for determining progress, and revenue is recognized based on</w:t>
      </w:r>
      <w:r>
        <w:rPr>
          <w:rFonts w:ascii="Arial" w:eastAsia="宋体" w:hAnsi="Arial" w:cs="Arial"/>
          <w:color w:val="000000"/>
          <w:kern w:val="0"/>
          <w:sz w:val="20"/>
          <w:szCs w:val="20"/>
          <w:lang w:bidi="ar"/>
        </w:rPr>
        <w:t xml:space="preserve"> costs incurred to date plus an estimate of margin at completion. The process of estimating margin at completion involves estimating the costs to complete production of goods or rendering of services and comparing those costs to the estimated final revenue</w:t>
      </w:r>
      <w:r>
        <w:rPr>
          <w:rFonts w:ascii="Arial" w:eastAsia="宋体" w:hAnsi="Arial" w:cs="Arial"/>
          <w:color w:val="000000"/>
          <w:kern w:val="0"/>
          <w:sz w:val="20"/>
          <w:szCs w:val="20"/>
          <w:lang w:bidi="ar"/>
        </w:rPr>
        <w:t xml:space="preserve"> amount. Margins on fixed-price development contracts are inherently uncertain in that revenue is fixed while the estimates of costs required to complete these contracts are subject to significant variability. The operational and technical complexities of </w:t>
      </w:r>
      <w:r>
        <w:rPr>
          <w:rFonts w:ascii="Arial" w:eastAsia="宋体" w:hAnsi="Arial" w:cs="Arial"/>
          <w:color w:val="000000"/>
          <w:kern w:val="0"/>
          <w:sz w:val="20"/>
          <w:szCs w:val="20"/>
          <w:lang w:bidi="ar"/>
        </w:rPr>
        <w:t>fixed-price development contracts create financial risk, which could increase the estimates of costs and result in lower margins or material reach-forward losses. The ongoing effects of macroeconomic challenges, including supply chain disruption, labor sho</w:t>
      </w:r>
      <w:r>
        <w:rPr>
          <w:rFonts w:ascii="Arial" w:eastAsia="宋体" w:hAnsi="Arial" w:cs="Arial"/>
          <w:color w:val="000000"/>
          <w:kern w:val="0"/>
          <w:sz w:val="20"/>
          <w:szCs w:val="20"/>
          <w:lang w:bidi="ar"/>
        </w:rPr>
        <w:t xml:space="preserve">rtages, and inflationary pressures compound these complexities and related financial risks. </w:t>
      </w:r>
    </w:p>
    <w:p w14:paraId="4B763854" w14:textId="77777777" w:rsidR="0099058F" w:rsidRDefault="00EB2559">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Given the complexities of certain of the Company’s fixed-price development contracts, including the KC-46A Tanker, Commercial Crew, United States Air Force VC-25B </w:t>
      </w:r>
      <w:r>
        <w:rPr>
          <w:rFonts w:ascii="Arial" w:eastAsia="宋体" w:hAnsi="Arial" w:cs="Arial"/>
          <w:color w:val="000000"/>
          <w:kern w:val="0"/>
          <w:sz w:val="20"/>
          <w:szCs w:val="20"/>
          <w:lang w:bidi="ar"/>
        </w:rPr>
        <w:t>Presidential Aircraft, T-7A Redhawk, and MQ-25 contracts, the limited amount of historical data available in certain instances and significant judgments necessary to estimate future costs at completion, auditing these estimates involved extensive audit eff</w:t>
      </w:r>
      <w:r>
        <w:rPr>
          <w:rFonts w:ascii="Arial" w:eastAsia="宋体" w:hAnsi="Arial" w:cs="Arial"/>
          <w:color w:val="000000"/>
          <w:kern w:val="0"/>
          <w:sz w:val="20"/>
          <w:szCs w:val="20"/>
          <w:lang w:bidi="ar"/>
        </w:rPr>
        <w:t xml:space="preserve">ort, a high degree of auditor judgment, and required audit professionals with specialized industry experience. </w:t>
      </w:r>
    </w:p>
    <w:p w14:paraId="4B763855" w14:textId="77777777" w:rsidR="0099058F" w:rsidRDefault="00EB2559">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B763856" w14:textId="77777777" w:rsidR="0099058F" w:rsidRDefault="00EB2559">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Our audit procedures related to the cost estimates for the KC-46A Tanker, </w:t>
      </w:r>
      <w:r>
        <w:rPr>
          <w:rFonts w:ascii="Arial" w:eastAsia="宋体" w:hAnsi="Arial" w:cs="Arial"/>
          <w:color w:val="000000"/>
          <w:kern w:val="0"/>
          <w:sz w:val="20"/>
          <w:szCs w:val="20"/>
          <w:lang w:bidi="ar"/>
        </w:rPr>
        <w:t>Commercial Crew, United States Air Force VC-25B Presidential Aircraft, T-7A Redhawk, and MQ-25 fixed-price development contracts included the following, among others:</w:t>
      </w:r>
    </w:p>
    <w:p w14:paraId="4B763857"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appropriateness and consistency of management’s methods used in </w:t>
      </w:r>
      <w:r>
        <w:rPr>
          <w:rFonts w:ascii="Arial" w:eastAsia="宋体" w:hAnsi="Arial" w:cs="Arial"/>
          <w:color w:val="000000"/>
          <w:kern w:val="0"/>
          <w:sz w:val="20"/>
          <w:szCs w:val="20"/>
          <w:lang w:bidi="ar"/>
        </w:rPr>
        <w:t>developing its estimates.</w:t>
      </w:r>
    </w:p>
    <w:p w14:paraId="4B763858"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reasonableness of judgments made and significant assumptions used by management relating to key cost and schedule estimates, including the effects of supply chain disruptions, labor shortages, and inflationary pr</w:t>
      </w:r>
      <w:r>
        <w:rPr>
          <w:rFonts w:ascii="Arial" w:eastAsia="宋体" w:hAnsi="Arial" w:cs="Arial"/>
          <w:color w:val="000000"/>
          <w:kern w:val="0"/>
          <w:sz w:val="20"/>
          <w:szCs w:val="20"/>
          <w:lang w:bidi="ar"/>
        </w:rPr>
        <w:t>essures. We also evaluated the ranges and probabilities of reasonably possible outcomes, and where management set its point estimate within the range.</w:t>
      </w:r>
    </w:p>
    <w:p w14:paraId="4B763859"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appropriateness of the timing of changes to key estimates, including evaluating the tim</w:t>
      </w:r>
      <w:r>
        <w:rPr>
          <w:rFonts w:ascii="Arial" w:eastAsia="宋体" w:hAnsi="Arial" w:cs="Arial"/>
          <w:color w:val="000000"/>
          <w:kern w:val="0"/>
          <w:sz w:val="20"/>
          <w:szCs w:val="20"/>
          <w:lang w:bidi="ar"/>
        </w:rPr>
        <w:t xml:space="preserve">eline of key events and knowledge points that led to management’s determination that a change in estimate was necessary. </w:t>
      </w:r>
    </w:p>
    <w:p w14:paraId="4B76385A"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inquired of project managers, engineers, supply chain leadership, and others directly involved with the execution of contracts to </w:t>
      </w:r>
      <w:r>
        <w:rPr>
          <w:rFonts w:ascii="Arial" w:eastAsia="宋体" w:hAnsi="Arial" w:cs="Arial"/>
          <w:color w:val="000000"/>
          <w:kern w:val="0"/>
          <w:sz w:val="20"/>
          <w:szCs w:val="20"/>
          <w:lang w:bidi="ar"/>
        </w:rPr>
        <w:t xml:space="preserve">evaluate management’s ability to achieve the key cost and schedule estimates, as well as evaluate project status and challenges which may affect total estimated costs to complete. </w:t>
      </w:r>
    </w:p>
    <w:p w14:paraId="4B76385B"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observed the project work site when key estimates related to tangible o</w:t>
      </w:r>
      <w:r>
        <w:rPr>
          <w:rFonts w:ascii="Arial" w:eastAsia="宋体" w:hAnsi="Arial" w:cs="Arial"/>
          <w:color w:val="000000"/>
          <w:kern w:val="0"/>
          <w:sz w:val="20"/>
          <w:szCs w:val="20"/>
          <w:lang w:bidi="ar"/>
        </w:rPr>
        <w:t>r physical progress of the project.</w:t>
      </w:r>
    </w:p>
    <w:p w14:paraId="4B76385C"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tested the accuracy and completeness of the key data used in developing estimates. We </w:t>
      </w:r>
    </w:p>
    <w:p w14:paraId="4B76385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116</w:t>
      </w:r>
    </w:p>
    <w:p w14:paraId="4B76385E" w14:textId="77777777" w:rsidR="0099058F" w:rsidRDefault="00EB2559">
      <w:pPr>
        <w:widowControl/>
        <w:jc w:val="center"/>
      </w:pPr>
      <w:r>
        <w:rPr>
          <w:rFonts w:ascii="宋体" w:eastAsia="宋体" w:hAnsi="宋体" w:cs="宋体"/>
          <w:kern w:val="0"/>
          <w:sz w:val="24"/>
        </w:rPr>
        <w:pict w14:anchorId="4B763C6B">
          <v:rect id="_x0000_i1142" style="width:6in;height:1.5pt" o:hralign="center" o:hrstd="t" o:hr="t" fillcolor="#a0a0a0" stroked="f"/>
        </w:pict>
      </w:r>
    </w:p>
    <w:p w14:paraId="4B76385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6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developed independent expectations of reasonable outcomes using, in part, the program’s data and compared our expectations to management’s estimates.</w:t>
      </w:r>
    </w:p>
    <w:p w14:paraId="4B763861"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performed retrospective reviews wh</w:t>
      </w:r>
      <w:r>
        <w:rPr>
          <w:rFonts w:ascii="Arial" w:eastAsia="宋体" w:hAnsi="Arial" w:cs="Arial"/>
          <w:color w:val="000000"/>
          <w:kern w:val="0"/>
          <w:sz w:val="20"/>
          <w:szCs w:val="20"/>
          <w:lang w:bidi="ar"/>
        </w:rPr>
        <w:t>en evaluating the thoroughness and precision of management’s estimation process and effectiveness of the related internal controls by comparing actual outcomes to previous estimates and the related financial statement impact, and evaluating key judgments m</w:t>
      </w:r>
      <w:r>
        <w:rPr>
          <w:rFonts w:ascii="Arial" w:eastAsia="宋体" w:hAnsi="Arial" w:cs="Arial"/>
          <w:color w:val="000000"/>
          <w:kern w:val="0"/>
          <w:sz w:val="20"/>
          <w:szCs w:val="20"/>
          <w:lang w:bidi="ar"/>
        </w:rPr>
        <w:t>ade by management when determining the timing of changes to key estimates.</w:t>
      </w:r>
    </w:p>
    <w:p w14:paraId="4B763862"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effectiveness of internal controls including, those over the review of significant judgments made and assumptions used to develop key estimates, key data used in deve</w:t>
      </w:r>
      <w:r>
        <w:rPr>
          <w:rFonts w:ascii="Arial" w:eastAsia="宋体" w:hAnsi="Arial" w:cs="Arial"/>
          <w:color w:val="000000"/>
          <w:kern w:val="0"/>
          <w:sz w:val="20"/>
          <w:szCs w:val="20"/>
          <w:lang w:bidi="ar"/>
        </w:rPr>
        <w:t xml:space="preserve">loping the estimates and the mathematical extrapolation of such data. </w:t>
      </w:r>
    </w:p>
    <w:p w14:paraId="4B76386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Accounting Estimates for the 777X Program — Refer to Notes 1, 7, and 22 to the financial statements</w:t>
      </w:r>
    </w:p>
    <w:p w14:paraId="4B763864" w14:textId="77777777" w:rsidR="0099058F" w:rsidRDefault="00EB2559">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Critical Audit Matter Description</w:t>
      </w:r>
    </w:p>
    <w:p w14:paraId="4B763865"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introduction of new aircraft programs i</w:t>
      </w:r>
      <w:r>
        <w:rPr>
          <w:rFonts w:ascii="Arial" w:eastAsia="宋体" w:hAnsi="Arial" w:cs="Arial"/>
          <w:color w:val="000000"/>
          <w:kern w:val="0"/>
          <w:sz w:val="20"/>
          <w:szCs w:val="20"/>
          <w:lang w:bidi="ar"/>
        </w:rPr>
        <w:t>nvolves increased risk associated with meeting development, certification and production schedules. The Company uses program accounting to compute cost of sales and margin for each commercial airplane sold. The use of program accounting requires estimating</w:t>
      </w:r>
      <w:r>
        <w:rPr>
          <w:rFonts w:ascii="Arial" w:eastAsia="宋体" w:hAnsi="Arial" w:cs="Arial"/>
          <w:color w:val="000000"/>
          <w:kern w:val="0"/>
          <w:sz w:val="20"/>
          <w:szCs w:val="20"/>
          <w:lang w:bidi="ar"/>
        </w:rPr>
        <w:t xml:space="preserve"> and demonstrating customer demand for the number of units included in the program (program accounting quantity) and estimating the sales and costs over the expected life of each program. In particular, estimating the sales and costs associated with the in</w:t>
      </w:r>
      <w:r>
        <w:rPr>
          <w:rFonts w:ascii="Arial" w:eastAsia="宋体" w:hAnsi="Arial" w:cs="Arial"/>
          <w:color w:val="000000"/>
          <w:kern w:val="0"/>
          <w:sz w:val="20"/>
          <w:szCs w:val="20"/>
          <w:lang w:bidi="ar"/>
        </w:rPr>
        <w:t>itial program accounting quantity and the unsold units within the program accounting quantity involve measurement uncertainty resulting in a range of reasonable outcomes. Additionally, the level of effort to meet regulatory requirements and achieve certifi</w:t>
      </w:r>
      <w:r>
        <w:rPr>
          <w:rFonts w:ascii="Arial" w:eastAsia="宋体" w:hAnsi="Arial" w:cs="Arial"/>
          <w:color w:val="000000"/>
          <w:kern w:val="0"/>
          <w:sz w:val="20"/>
          <w:szCs w:val="20"/>
          <w:lang w:bidi="ar"/>
        </w:rPr>
        <w:t>cation may be challenging to predict, including potential delays in the timing of entry into service and corresponding increases in estimated costs. Changes to the revenue and cost estimates related to the program accounting quantity or regulatory requirem</w:t>
      </w:r>
      <w:r>
        <w:rPr>
          <w:rFonts w:ascii="Arial" w:eastAsia="宋体" w:hAnsi="Arial" w:cs="Arial"/>
          <w:color w:val="000000"/>
          <w:kern w:val="0"/>
          <w:sz w:val="20"/>
          <w:szCs w:val="20"/>
          <w:lang w:bidi="ar"/>
        </w:rPr>
        <w:t>ents to achieve certification could occur, resulting in lower margins or material reach-forward losses. Auditing the estimated revenues and costs for the 777X program involved extensive audit effort, a high degree of auditor judgment, and required audit pr</w:t>
      </w:r>
      <w:r>
        <w:rPr>
          <w:rFonts w:ascii="Arial" w:eastAsia="宋体" w:hAnsi="Arial" w:cs="Arial"/>
          <w:color w:val="000000"/>
          <w:kern w:val="0"/>
          <w:sz w:val="20"/>
          <w:szCs w:val="20"/>
          <w:lang w:bidi="ar"/>
        </w:rPr>
        <w:t>ofessionals with specialized industry experience.</w:t>
      </w:r>
    </w:p>
    <w:p w14:paraId="4B763866" w14:textId="77777777" w:rsidR="0099058F" w:rsidRDefault="00EB2559">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B76386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audit procedures related to the estimated revenues and costs for the anticipated 777X initial program accounting quantity included the following,</w:t>
      </w:r>
      <w:r>
        <w:rPr>
          <w:rFonts w:ascii="Arial" w:eastAsia="宋体" w:hAnsi="Arial" w:cs="Arial"/>
          <w:color w:val="000000"/>
          <w:kern w:val="0"/>
          <w:sz w:val="20"/>
          <w:szCs w:val="20"/>
          <w:lang w:bidi="ar"/>
        </w:rPr>
        <w:t xml:space="preserve"> among others:</w:t>
      </w:r>
    </w:p>
    <w:p w14:paraId="4B763868"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inquired of management, including individuals responsible for sales and pricing, to evaluate the status of current sales campaigns, short and long-term market demand, and status of negotiations with individual customers. </w:t>
      </w:r>
    </w:p>
    <w:p w14:paraId="4B763869"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w:t>
      </w:r>
      <w:r>
        <w:rPr>
          <w:rFonts w:ascii="Arial" w:eastAsia="宋体" w:hAnsi="Arial" w:cs="Arial"/>
          <w:color w:val="000000"/>
          <w:kern w:val="0"/>
          <w:sz w:val="20"/>
          <w:szCs w:val="20"/>
          <w:lang w:bidi="ar"/>
        </w:rPr>
        <w:t>compared management’s estimate of market demand to external industry sources of expected demand.</w:t>
      </w:r>
    </w:p>
    <w:p w14:paraId="4B76386A"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management’s ability to estimate program revenue by comparison to historical estimates and actual results on other commercial programs.</w:t>
      </w:r>
    </w:p>
    <w:p w14:paraId="4B76386B"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w:t>
      </w:r>
      <w:r>
        <w:rPr>
          <w:rFonts w:ascii="Arial" w:eastAsia="宋体" w:hAnsi="Arial" w:cs="Arial"/>
          <w:color w:val="000000"/>
          <w:kern w:val="0"/>
          <w:sz w:val="20"/>
          <w:szCs w:val="20"/>
          <w:lang w:bidi="ar"/>
        </w:rPr>
        <w:t xml:space="preserve">ated the consistency of management’s methods and the appropriateness of significant assumptions used in developing its revenue estimates related to the initial program accounting quantity and unsold units within the program accounting quantity. </w:t>
      </w:r>
    </w:p>
    <w:p w14:paraId="4B76386C"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w:t>
      </w:r>
      <w:r>
        <w:rPr>
          <w:rFonts w:ascii="Arial" w:eastAsia="宋体" w:hAnsi="Arial" w:cs="Arial"/>
          <w:color w:val="000000"/>
          <w:kern w:val="0"/>
          <w:sz w:val="20"/>
          <w:szCs w:val="20"/>
          <w:lang w:bidi="ar"/>
        </w:rPr>
        <w:t>ted the appropriateness and consistency of management’s methods used in developing its cost estimates.</w:t>
      </w:r>
    </w:p>
    <w:p w14:paraId="4B76386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117</w:t>
      </w:r>
    </w:p>
    <w:p w14:paraId="4B76386E" w14:textId="77777777" w:rsidR="0099058F" w:rsidRDefault="00EB2559">
      <w:pPr>
        <w:widowControl/>
        <w:jc w:val="center"/>
      </w:pPr>
      <w:r>
        <w:rPr>
          <w:rFonts w:ascii="宋体" w:eastAsia="宋体" w:hAnsi="宋体" w:cs="宋体"/>
          <w:kern w:val="0"/>
          <w:sz w:val="24"/>
        </w:rPr>
        <w:pict w14:anchorId="4B763C6C">
          <v:rect id="_x0000_i1143" style="width:6in;height:1.5pt" o:hralign="center" o:hrstd="t" o:hr="t" fillcolor="#a0a0a0" stroked="f"/>
        </w:pict>
      </w:r>
    </w:p>
    <w:p w14:paraId="4B76386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70"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those directly involved with the certification of the aircraft to evaluate the challenges and timeline to achieve certification, which may affect total estimated costs.</w:t>
      </w:r>
    </w:p>
    <w:p w14:paraId="4B763871"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w:t>
      </w:r>
      <w:r>
        <w:rPr>
          <w:rFonts w:ascii="Arial" w:eastAsia="宋体" w:hAnsi="Arial" w:cs="Arial"/>
          <w:color w:val="000000"/>
          <w:kern w:val="0"/>
          <w:sz w:val="20"/>
          <w:szCs w:val="20"/>
          <w:lang w:bidi="ar"/>
        </w:rPr>
        <w:t xml:space="preserve"> evaluated communications with regulatory bodies for information contradictory with management’s certification timeline assumptions.</w:t>
      </w:r>
    </w:p>
    <w:p w14:paraId="4B763872"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effectiveness of internal controls, including those over the review of significant judgments made and assump</w:t>
      </w:r>
      <w:r>
        <w:rPr>
          <w:rFonts w:ascii="Arial" w:eastAsia="宋体" w:hAnsi="Arial" w:cs="Arial"/>
          <w:color w:val="000000"/>
          <w:kern w:val="0"/>
          <w:sz w:val="20"/>
          <w:szCs w:val="20"/>
          <w:lang w:bidi="ar"/>
        </w:rPr>
        <w:t xml:space="preserve">tions used to develop key estimates, key data used in developing the estimates and the mathematical extrapolation of such data. </w:t>
      </w:r>
    </w:p>
    <w:p w14:paraId="4B76387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Accounting Revenue Estimates for the 787 Program — Refer to Notes 1, 7, and 22 to the financial statements</w:t>
      </w:r>
    </w:p>
    <w:p w14:paraId="4B763874" w14:textId="77777777" w:rsidR="0099058F" w:rsidRDefault="00EB2559">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Critical Audit Matter Description </w:t>
      </w:r>
    </w:p>
    <w:p w14:paraId="4B763875"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6387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Production quality issues and supply chain disruption for the 787 program have resulted in increased risk associated with forecasted revenue estimates primarily due to the difficulty in assessing the value of considerat</w:t>
      </w:r>
      <w:r>
        <w:rPr>
          <w:rFonts w:ascii="Arial" w:eastAsia="宋体" w:hAnsi="Arial" w:cs="Arial"/>
          <w:color w:val="000000"/>
          <w:kern w:val="0"/>
          <w:sz w:val="20"/>
          <w:szCs w:val="20"/>
          <w:lang w:bidi="ar"/>
        </w:rPr>
        <w:t>ion expected to be provided to customers as a result of delivery delays. The Company uses program accounting to compute cost of sales and margin for each commercial airplane sold. The use of program accounting requires estimating the revenue expected to be</w:t>
      </w:r>
      <w:r>
        <w:rPr>
          <w:rFonts w:ascii="Arial" w:eastAsia="宋体" w:hAnsi="Arial" w:cs="Arial"/>
          <w:color w:val="000000"/>
          <w:kern w:val="0"/>
          <w:sz w:val="20"/>
          <w:szCs w:val="20"/>
          <w:lang w:bidi="ar"/>
        </w:rPr>
        <w:t xml:space="preserve"> earned upon delivery of the aircraft included in the program’s accounting quantity. While the 787 program resumed deliveries in 2022, the forecasted delivery schedule and the value of the consideration expected to be provided to customers for delivery del</w:t>
      </w:r>
      <w:r>
        <w:rPr>
          <w:rFonts w:ascii="Arial" w:eastAsia="宋体" w:hAnsi="Arial" w:cs="Arial"/>
          <w:color w:val="000000"/>
          <w:kern w:val="0"/>
          <w:sz w:val="20"/>
          <w:szCs w:val="20"/>
          <w:lang w:bidi="ar"/>
        </w:rPr>
        <w:t>ays continue to be key factors that affect estimated revenue. There is estimation uncertainty related to the revenue forecasts of aircraft which have reached or are expected to reach a delivery delay period that provides the customer with a contractual ter</w:t>
      </w:r>
      <w:r>
        <w:rPr>
          <w:rFonts w:ascii="Arial" w:eastAsia="宋体" w:hAnsi="Arial" w:cs="Arial"/>
          <w:color w:val="000000"/>
          <w:kern w:val="0"/>
          <w:sz w:val="20"/>
          <w:szCs w:val="20"/>
          <w:lang w:bidi="ar"/>
        </w:rPr>
        <w:t>mination right. Changes to the expected delivery schedule could result in additional consideration to customers. This could result in lower margins or material reach-forward losses. Auditing the estimated revenues for the 787 program involved extensive aud</w:t>
      </w:r>
      <w:r>
        <w:rPr>
          <w:rFonts w:ascii="Arial" w:eastAsia="宋体" w:hAnsi="Arial" w:cs="Arial"/>
          <w:color w:val="000000"/>
          <w:kern w:val="0"/>
          <w:sz w:val="20"/>
          <w:szCs w:val="20"/>
          <w:lang w:bidi="ar"/>
        </w:rPr>
        <w:t xml:space="preserve">it effort, a high degree of auditor judgment, and required professionals with specialized industry experience. </w:t>
      </w:r>
    </w:p>
    <w:p w14:paraId="4B763877"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B763878"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audit procedures related to the estimated revenues for the 787 program included the</w:t>
      </w:r>
      <w:r>
        <w:rPr>
          <w:rFonts w:ascii="Arial" w:eastAsia="宋体" w:hAnsi="Arial" w:cs="Arial"/>
          <w:color w:val="000000"/>
          <w:kern w:val="0"/>
          <w:sz w:val="20"/>
          <w:szCs w:val="20"/>
          <w:lang w:bidi="ar"/>
        </w:rPr>
        <w:t xml:space="preserve"> following, among others:</w:t>
      </w:r>
    </w:p>
    <w:p w14:paraId="4B763879"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management, including operational and supply chain leadership, to assess the assumptions related to the supply chain disruption impacts on the delivery schedule and the estimated timeline for completion of rework.</w:t>
      </w:r>
    </w:p>
    <w:p w14:paraId="4B76387A"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appropriateness and consistency of management’s method used in developing the delivery schedule assumptions, including the impact of production quality issues and supply chain disruption. </w:t>
      </w:r>
    </w:p>
    <w:p w14:paraId="4B76387B"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management, including individuals</w:t>
      </w:r>
      <w:r>
        <w:rPr>
          <w:rFonts w:ascii="Arial" w:eastAsia="宋体" w:hAnsi="Arial" w:cs="Arial"/>
          <w:color w:val="000000"/>
          <w:kern w:val="0"/>
          <w:sz w:val="20"/>
          <w:szCs w:val="20"/>
          <w:lang w:bidi="ar"/>
        </w:rPr>
        <w:t xml:space="preserve"> responsible for sales and pricing, to evaluate the status of current contracts with customers and estimated consideration to be provided to customers.</w:t>
      </w:r>
    </w:p>
    <w:p w14:paraId="4B76387C"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consistency of management’s methods and the appropriateness of significant assumptions</w:t>
      </w:r>
      <w:r>
        <w:rPr>
          <w:rFonts w:ascii="Arial" w:eastAsia="宋体" w:hAnsi="Arial" w:cs="Arial"/>
          <w:color w:val="000000"/>
          <w:kern w:val="0"/>
          <w:sz w:val="20"/>
          <w:szCs w:val="20"/>
          <w:lang w:bidi="ar"/>
        </w:rPr>
        <w:t xml:space="preserve"> used in developing its estimates related to forecasted revenue for aircraft which have or are expected to have delivery delays. </w:t>
      </w:r>
    </w:p>
    <w:p w14:paraId="4B76387D"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effectiveness of internal controls, including those over the review of significant judgments made and assumptio</w:t>
      </w:r>
      <w:r>
        <w:rPr>
          <w:rFonts w:ascii="Arial" w:eastAsia="宋体" w:hAnsi="Arial" w:cs="Arial"/>
          <w:color w:val="000000"/>
          <w:kern w:val="0"/>
          <w:sz w:val="20"/>
          <w:szCs w:val="20"/>
          <w:lang w:bidi="ar"/>
        </w:rPr>
        <w:t xml:space="preserve">ns used to develop key estimates, key data used in developing the estimates and the mathematical extrapolation of such data. </w:t>
      </w:r>
    </w:p>
    <w:p w14:paraId="4B76387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118</w:t>
      </w:r>
    </w:p>
    <w:p w14:paraId="4B76387F" w14:textId="77777777" w:rsidR="0099058F" w:rsidRDefault="00EB2559">
      <w:pPr>
        <w:widowControl/>
        <w:jc w:val="center"/>
      </w:pPr>
      <w:r>
        <w:rPr>
          <w:rFonts w:ascii="宋体" w:eastAsia="宋体" w:hAnsi="宋体" w:cs="宋体"/>
          <w:kern w:val="0"/>
          <w:sz w:val="24"/>
        </w:rPr>
        <w:pict w14:anchorId="4B763C6D">
          <v:rect id="_x0000_i1144" style="width:6in;height:1.5pt" o:hralign="center" o:hrstd="t" o:hr="t" fillcolor="#a0a0a0" stroked="f"/>
        </w:pict>
      </w:r>
    </w:p>
    <w:p w14:paraId="4B76388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81"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63882" w14:textId="77777777" w:rsidR="0099058F" w:rsidRDefault="00EB2559">
      <w:pPr>
        <w:widowControl/>
        <w:spacing w:before="100" w:after="420"/>
        <w:rPr>
          <w:rFonts w:ascii="宋体" w:eastAsia="宋体" w:hAnsi="宋体" w:cs="宋体"/>
          <w:kern w:val="0"/>
          <w:sz w:val="24"/>
        </w:rPr>
      </w:pPr>
      <w:r>
        <w:rPr>
          <w:rFonts w:ascii="Arial" w:eastAsia="宋体" w:hAnsi="Arial" w:cs="Arial"/>
          <w:color w:val="000000"/>
          <w:kern w:val="0"/>
          <w:sz w:val="20"/>
          <w:szCs w:val="20"/>
          <w:lang w:bidi="ar"/>
        </w:rPr>
        <w:t>/s/ Deloitte &amp; Touche LLP</w:t>
      </w:r>
    </w:p>
    <w:p w14:paraId="4B763883" w14:textId="77777777" w:rsidR="0099058F" w:rsidRDefault="00EB2559">
      <w:pPr>
        <w:widowControl/>
        <w:jc w:val="left"/>
        <w:rPr>
          <w:rFonts w:ascii="宋体" w:eastAsia="宋体" w:hAnsi="宋体" w:cs="宋体"/>
          <w:kern w:val="0"/>
          <w:sz w:val="24"/>
        </w:rPr>
      </w:pPr>
      <w:r>
        <w:rPr>
          <w:rFonts w:ascii="Arial" w:eastAsia="宋体" w:hAnsi="Arial" w:cs="Arial"/>
          <w:color w:val="000000"/>
          <w:kern w:val="0"/>
          <w:sz w:val="20"/>
          <w:szCs w:val="20"/>
          <w:lang w:bidi="ar"/>
        </w:rPr>
        <w:t>Chicago, Illinois</w:t>
      </w:r>
    </w:p>
    <w:p w14:paraId="4B763884"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January 27, 2023</w:t>
      </w:r>
    </w:p>
    <w:p w14:paraId="4B763885" w14:textId="77777777" w:rsidR="0099058F" w:rsidRDefault="00EB2559">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B763886"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 xml:space="preserve">We have served as the Company's auditor since at least 1934; however, an earlier year could not be reliably </w:t>
      </w:r>
      <w:r>
        <w:rPr>
          <w:rFonts w:ascii="Arial" w:eastAsia="宋体" w:hAnsi="Arial" w:cs="Arial"/>
          <w:color w:val="000000"/>
          <w:kern w:val="0"/>
          <w:sz w:val="20"/>
          <w:szCs w:val="20"/>
          <w:lang w:bidi="ar"/>
        </w:rPr>
        <w:t>determined.</w:t>
      </w:r>
    </w:p>
    <w:p w14:paraId="4B763887"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119</w:t>
      </w:r>
    </w:p>
    <w:p w14:paraId="4B763888" w14:textId="77777777" w:rsidR="0099058F" w:rsidRDefault="00EB2559">
      <w:pPr>
        <w:widowControl/>
        <w:jc w:val="center"/>
      </w:pPr>
      <w:r>
        <w:rPr>
          <w:rFonts w:ascii="宋体" w:eastAsia="宋体" w:hAnsi="宋体" w:cs="宋体"/>
          <w:kern w:val="0"/>
          <w:sz w:val="24"/>
        </w:rPr>
        <w:pict w14:anchorId="4B763C6E">
          <v:rect id="_x0000_i1145" style="width:6in;height:1.5pt" o:hralign="center" o:hrstd="t" o:hr="t" fillcolor="#a0a0a0" stroked="f"/>
        </w:pict>
      </w:r>
    </w:p>
    <w:p w14:paraId="4B763889"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8A" w14:textId="77777777" w:rsidR="0099058F" w:rsidRDefault="00EB255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4B76388B" w14:textId="77777777" w:rsidR="0099058F" w:rsidRDefault="00EB2559">
      <w:pPr>
        <w:widowControl/>
        <w:spacing w:after="120"/>
        <w:rPr>
          <w:rFonts w:ascii="宋体" w:eastAsia="宋体" w:hAnsi="宋体" w:cs="宋体"/>
          <w:kern w:val="0"/>
          <w:sz w:val="24"/>
        </w:rPr>
      </w:pPr>
      <w:r>
        <w:rPr>
          <w:rFonts w:ascii="Arial" w:eastAsia="宋体" w:hAnsi="Arial" w:cs="Arial"/>
          <w:color w:val="000000"/>
          <w:kern w:val="0"/>
          <w:sz w:val="20"/>
          <w:szCs w:val="20"/>
          <w:lang w:bidi="ar"/>
        </w:rPr>
        <w:t xml:space="preserve">To the shareholders and the Board of </w:t>
      </w:r>
      <w:r>
        <w:rPr>
          <w:rFonts w:ascii="Arial" w:eastAsia="宋体" w:hAnsi="Arial" w:cs="Arial"/>
          <w:color w:val="000000"/>
          <w:kern w:val="0"/>
          <w:sz w:val="20"/>
          <w:szCs w:val="20"/>
          <w:lang w:bidi="ar"/>
        </w:rPr>
        <w:t>Directors of The Boeing Company</w:t>
      </w:r>
    </w:p>
    <w:p w14:paraId="4B76388C" w14:textId="77777777" w:rsidR="0099058F" w:rsidRDefault="00EB2559">
      <w:pPr>
        <w:widowControl/>
        <w:spacing w:before="120" w:after="240"/>
        <w:rPr>
          <w:rFonts w:ascii="宋体" w:eastAsia="宋体" w:hAnsi="宋体" w:cs="宋体"/>
          <w:kern w:val="0"/>
          <w:sz w:val="24"/>
        </w:rPr>
      </w:pPr>
      <w:r>
        <w:rPr>
          <w:rFonts w:ascii="Arial" w:eastAsia="宋体" w:hAnsi="Arial" w:cs="Arial"/>
          <w:b/>
          <w:bCs/>
          <w:color w:val="000000"/>
          <w:kern w:val="0"/>
          <w:sz w:val="20"/>
          <w:szCs w:val="20"/>
          <w:lang w:bidi="ar"/>
        </w:rPr>
        <w:t>Opinion on Internal Control over Financial Reporting</w:t>
      </w:r>
    </w:p>
    <w:p w14:paraId="4B76388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audited the internal control over financial reporting of The Boeing Company and subsidiaries (the “Company”) as of December 31, 2022, based on criteria established</w:t>
      </w:r>
      <w:r>
        <w:rPr>
          <w:rFonts w:ascii="Arial" w:eastAsia="宋体" w:hAnsi="Arial" w:cs="Arial"/>
          <w:color w:val="000000"/>
          <w:kern w:val="0"/>
          <w:sz w:val="20"/>
          <w:szCs w:val="20"/>
          <w:lang w:bidi="ar"/>
        </w:rPr>
        <w:t xml:space="preserve"> in </w:t>
      </w:r>
      <w:r>
        <w:rPr>
          <w:rFonts w:ascii="Arial" w:eastAsia="宋体" w:hAnsi="Arial" w:cs="Arial"/>
          <w:i/>
          <w:iCs/>
          <w:color w:val="000000"/>
          <w:kern w:val="0"/>
          <w:sz w:val="20"/>
          <w:szCs w:val="20"/>
          <w:lang w:bidi="ar"/>
        </w:rPr>
        <w:t xml:space="preserve">Internal Control </w:t>
      </w:r>
      <w:r>
        <w:rPr>
          <w:rFonts w:ascii="Arial" w:eastAsia="宋体" w:hAnsi="Arial" w:cs="Arial"/>
          <w:color w:val="000000"/>
          <w:kern w:val="0"/>
          <w:sz w:val="20"/>
          <w:szCs w:val="20"/>
          <w:lang w:bidi="ar"/>
        </w:rPr>
        <w:t>—</w:t>
      </w:r>
      <w:r>
        <w:rPr>
          <w:rFonts w:ascii="Arial" w:eastAsia="宋体" w:hAnsi="Arial" w:cs="Arial"/>
          <w:i/>
          <w:iCs/>
          <w:color w:val="000000"/>
          <w:kern w:val="0"/>
          <w:sz w:val="20"/>
          <w:szCs w:val="20"/>
          <w:lang w:bidi="ar"/>
        </w:rPr>
        <w:t xml:space="preserve"> Integrated Framework (2013</w:t>
      </w:r>
      <w:r>
        <w:rPr>
          <w:rFonts w:ascii="Arial" w:eastAsia="宋体" w:hAnsi="Arial" w:cs="Arial"/>
          <w:color w:val="000000"/>
          <w:kern w:val="0"/>
          <w:sz w:val="20"/>
          <w:szCs w:val="20"/>
          <w:lang w:bidi="ar"/>
        </w:rPr>
        <w:t xml:space="preserve">) issued by the Committee of Sponsoring Organizations of the Treadway Commission (COSO). In our opinion, the Company maintained, in all material respects, effective internal control over financial reporting </w:t>
      </w:r>
      <w:r>
        <w:rPr>
          <w:rFonts w:ascii="Arial" w:eastAsia="宋体" w:hAnsi="Arial" w:cs="Arial"/>
          <w:color w:val="000000"/>
          <w:kern w:val="0"/>
          <w:sz w:val="20"/>
          <w:szCs w:val="20"/>
          <w:lang w:bidi="ar"/>
        </w:rPr>
        <w:t>as of December 31, 2022, based on criteria established in</w:t>
      </w:r>
      <w:r>
        <w:rPr>
          <w:rFonts w:ascii="Arial" w:eastAsia="宋体" w:hAnsi="Arial" w:cs="Arial"/>
          <w:i/>
          <w:iCs/>
          <w:color w:val="000000"/>
          <w:kern w:val="0"/>
          <w:sz w:val="20"/>
          <w:szCs w:val="20"/>
          <w:lang w:bidi="ar"/>
        </w:rPr>
        <w:t xml:space="preserve"> Internal Control </w:t>
      </w:r>
      <w:r>
        <w:rPr>
          <w:rFonts w:ascii="Arial" w:eastAsia="宋体" w:hAnsi="Arial" w:cs="Arial"/>
          <w:color w:val="000000"/>
          <w:kern w:val="0"/>
          <w:sz w:val="20"/>
          <w:szCs w:val="20"/>
          <w:lang w:bidi="ar"/>
        </w:rPr>
        <w:t>—</w:t>
      </w:r>
      <w:r>
        <w:rPr>
          <w:rFonts w:ascii="Arial" w:eastAsia="宋体" w:hAnsi="Arial" w:cs="Arial"/>
          <w:i/>
          <w:iCs/>
          <w:color w:val="000000"/>
          <w:kern w:val="0"/>
          <w:sz w:val="20"/>
          <w:szCs w:val="20"/>
          <w:lang w:bidi="ar"/>
        </w:rPr>
        <w:t xml:space="preserve"> Integrated Framework (2013)</w:t>
      </w:r>
      <w:r>
        <w:rPr>
          <w:rFonts w:ascii="Arial" w:eastAsia="宋体" w:hAnsi="Arial" w:cs="Arial"/>
          <w:color w:val="000000"/>
          <w:kern w:val="0"/>
          <w:sz w:val="20"/>
          <w:szCs w:val="20"/>
          <w:lang w:bidi="ar"/>
        </w:rPr>
        <w:t xml:space="preserve"> issued by COSO. </w:t>
      </w:r>
    </w:p>
    <w:p w14:paraId="4B76388E"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audited, in accordance with the standards of the Public Company Accounting Oversight Board (United States) (PCAOB), the c</w:t>
      </w:r>
      <w:r>
        <w:rPr>
          <w:rFonts w:ascii="Arial" w:eastAsia="宋体" w:hAnsi="Arial" w:cs="Arial"/>
          <w:color w:val="000000"/>
          <w:kern w:val="0"/>
          <w:sz w:val="20"/>
          <w:szCs w:val="20"/>
          <w:lang w:bidi="ar"/>
        </w:rPr>
        <w:t>onsolidated financial statements as of and for the year ended December 31, 2022 of the Company, and our report dated January 27, 2023 expressed an unqualified opinion on those financial statements.</w:t>
      </w:r>
    </w:p>
    <w:p w14:paraId="4B76388F"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Basis for Opinion</w:t>
      </w:r>
    </w:p>
    <w:p w14:paraId="4B76389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Company’s management is responsible </w:t>
      </w:r>
      <w:r>
        <w:rPr>
          <w:rFonts w:ascii="Arial" w:eastAsia="宋体" w:hAnsi="Arial" w:cs="Arial"/>
          <w:color w:val="000000"/>
          <w:kern w:val="0"/>
          <w:sz w:val="20"/>
          <w:szCs w:val="20"/>
          <w:lang w:bidi="ar"/>
        </w:rPr>
        <w:t>for maintaining effective internal control over financial reporting and for its assessment of the effectiveness of internal control over financial reporting, included in the accompanying Management’s Report on Internal Control Over Financial Reporting. Our</w:t>
      </w:r>
      <w:r>
        <w:rPr>
          <w:rFonts w:ascii="Arial" w:eastAsia="宋体" w:hAnsi="Arial" w:cs="Arial"/>
          <w:color w:val="000000"/>
          <w:kern w:val="0"/>
          <w:sz w:val="20"/>
          <w:szCs w:val="20"/>
          <w:lang w:bidi="ar"/>
        </w:rPr>
        <w:t xml:space="preserve"> responsibility is to express an opinion on the Company’s internal control over financial reporting based on our audit. We are a public accounting firm registered with the PCAOB and are required to be independent with respect to the Company in accordance w</w:t>
      </w:r>
      <w:r>
        <w:rPr>
          <w:rFonts w:ascii="Arial" w:eastAsia="宋体" w:hAnsi="Arial" w:cs="Arial"/>
          <w:color w:val="000000"/>
          <w:kern w:val="0"/>
          <w:sz w:val="20"/>
          <w:szCs w:val="20"/>
          <w:lang w:bidi="ar"/>
        </w:rPr>
        <w:t>ith the U.S. federal securities laws and the applicable rules and regulations of the Securities and Exchange Commission and the PCAOB.</w:t>
      </w:r>
    </w:p>
    <w:p w14:paraId="4B763891"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conducted our audit in accordance with the standards of the PCAOB. Those standards require that we plan and perform th</w:t>
      </w:r>
      <w:r>
        <w:rPr>
          <w:rFonts w:ascii="Arial" w:eastAsia="宋体" w:hAnsi="Arial" w:cs="Arial"/>
          <w:color w:val="000000"/>
          <w:kern w:val="0"/>
          <w:sz w:val="20"/>
          <w:szCs w:val="20"/>
          <w:lang w:bidi="ar"/>
        </w:rPr>
        <w:t>e audit to obtain reasonable assurance about whether effective internal control over financial reporting was maintained in all material respects. Our audit included obtaining an understanding of internal control over financial reporting, assessing the risk</w:t>
      </w:r>
      <w:r>
        <w:rPr>
          <w:rFonts w:ascii="Arial" w:eastAsia="宋体" w:hAnsi="Arial" w:cs="Arial"/>
          <w:color w:val="000000"/>
          <w:kern w:val="0"/>
          <w:sz w:val="20"/>
          <w:szCs w:val="20"/>
          <w:lang w:bidi="ar"/>
        </w:rPr>
        <w:t xml:space="preserve"> that a material weakness exists, testing and evaluating the design and operating effectiveness of internal control based on the assessed risk, and performing such other procedures as we considered necessary in the circumstances. We believe that our audit </w:t>
      </w:r>
      <w:r>
        <w:rPr>
          <w:rFonts w:ascii="Arial" w:eastAsia="宋体" w:hAnsi="Arial" w:cs="Arial"/>
          <w:color w:val="000000"/>
          <w:kern w:val="0"/>
          <w:sz w:val="20"/>
          <w:szCs w:val="20"/>
          <w:lang w:bidi="ar"/>
        </w:rPr>
        <w:t>provides a reasonable basis for our opinion.</w:t>
      </w:r>
    </w:p>
    <w:p w14:paraId="4B763892"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Definition and Limitations of Internal Control over Financial Reporting</w:t>
      </w:r>
    </w:p>
    <w:p w14:paraId="4B763893"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A company’s internal control over financial reporting is a process designed to provide reasonable assurance regarding the reliability of fi</w:t>
      </w:r>
      <w:r>
        <w:rPr>
          <w:rFonts w:ascii="Arial" w:eastAsia="宋体" w:hAnsi="Arial" w:cs="Arial"/>
          <w:color w:val="000000"/>
          <w:kern w:val="0"/>
          <w:sz w:val="20"/>
          <w:szCs w:val="20"/>
          <w:lang w:bidi="ar"/>
        </w:rPr>
        <w:t>nancial reporting and the preparation of financial statements for external purposes in accordance with generally accepted accounting principles. A company’s internal control over financial reporting includes those policies and procedures that (1) pertain t</w:t>
      </w:r>
      <w:r>
        <w:rPr>
          <w:rFonts w:ascii="Arial" w:eastAsia="宋体" w:hAnsi="Arial" w:cs="Arial"/>
          <w:color w:val="000000"/>
          <w:kern w:val="0"/>
          <w:sz w:val="20"/>
          <w:szCs w:val="20"/>
          <w:lang w:bidi="ar"/>
        </w:rPr>
        <w:t>o the maintenance of records that, in reasonable detail, accurately and fairly reflect the transactions and dispositions of the assets of the company; (2) provide reasonable assurance that transactions are recorded as necessary to permit preparation of fin</w:t>
      </w:r>
      <w:r>
        <w:rPr>
          <w:rFonts w:ascii="Arial" w:eastAsia="宋体" w:hAnsi="Arial" w:cs="Arial"/>
          <w:color w:val="000000"/>
          <w:kern w:val="0"/>
          <w:sz w:val="20"/>
          <w:szCs w:val="20"/>
          <w:lang w:bidi="ar"/>
        </w:rPr>
        <w:t>ancial statements in accordance with generally accepted accounting principles, and that receipts and expenditures of the company are being made only in accordance with authorizations of management and directors of the company; and (3) provide reasonable as</w:t>
      </w:r>
      <w:r>
        <w:rPr>
          <w:rFonts w:ascii="Arial" w:eastAsia="宋体" w:hAnsi="Arial" w:cs="Arial"/>
          <w:color w:val="000000"/>
          <w:kern w:val="0"/>
          <w:sz w:val="20"/>
          <w:szCs w:val="20"/>
          <w:lang w:bidi="ar"/>
        </w:rPr>
        <w:t>surance regarding prevention or timely detection of unauthorized acquisition, use, or disposition of the company’s assets that could have a material effect on the financial statements.</w:t>
      </w:r>
    </w:p>
    <w:p w14:paraId="4B76389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120</w:t>
      </w:r>
    </w:p>
    <w:p w14:paraId="4B763895" w14:textId="77777777" w:rsidR="0099058F" w:rsidRDefault="00EB2559">
      <w:pPr>
        <w:widowControl/>
        <w:jc w:val="center"/>
      </w:pPr>
      <w:r>
        <w:rPr>
          <w:rFonts w:ascii="宋体" w:eastAsia="宋体" w:hAnsi="宋体" w:cs="宋体"/>
          <w:kern w:val="0"/>
          <w:sz w:val="24"/>
        </w:rPr>
        <w:pict w14:anchorId="4B763C6F">
          <v:rect id="_x0000_i1146" style="width:6in;height:1.5pt" o:hralign="center" o:hrstd="t" o:hr="t" fillcolor="#a0a0a0" stroked="f"/>
        </w:pict>
      </w:r>
    </w:p>
    <w:p w14:paraId="4B76389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9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Because of its inherent limitations, internal control over financial reporting may not prevent or detect misstatements. Also, projections of any evaluation of effectiveness to future pe</w:t>
      </w:r>
      <w:r>
        <w:rPr>
          <w:rFonts w:ascii="Arial" w:eastAsia="宋体" w:hAnsi="Arial" w:cs="Arial"/>
          <w:color w:val="000000"/>
          <w:kern w:val="0"/>
          <w:sz w:val="20"/>
          <w:szCs w:val="20"/>
          <w:lang w:bidi="ar"/>
        </w:rPr>
        <w:t>riods are subject to the risk that controls may become inadequate because of changes in conditions, or that the degree of compliance with the policies or procedures may deteriorate.</w:t>
      </w:r>
    </w:p>
    <w:p w14:paraId="4B763898" w14:textId="77777777" w:rsidR="0099058F" w:rsidRDefault="00EB2559">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4B763899" w14:textId="77777777" w:rsidR="0099058F" w:rsidRDefault="00EB2559">
      <w:pPr>
        <w:widowControl/>
        <w:spacing w:after="120"/>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4B76389A" w14:textId="77777777" w:rsidR="0099058F" w:rsidRDefault="00EB2559">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4B76389B" w14:textId="77777777" w:rsidR="0099058F" w:rsidRDefault="00EB2559">
      <w:pPr>
        <w:widowControl/>
        <w:spacing w:after="120"/>
        <w:rPr>
          <w:rFonts w:ascii="宋体" w:eastAsia="宋体" w:hAnsi="宋体" w:cs="宋体"/>
          <w:kern w:val="0"/>
          <w:sz w:val="24"/>
        </w:rPr>
      </w:pPr>
      <w:r>
        <w:rPr>
          <w:rFonts w:ascii="Arial" w:eastAsia="宋体" w:hAnsi="Arial" w:cs="Arial"/>
          <w:color w:val="000000"/>
          <w:kern w:val="0"/>
          <w:sz w:val="20"/>
          <w:szCs w:val="20"/>
          <w:lang w:bidi="ar"/>
        </w:rPr>
        <w:t>Chicago, Illinois</w:t>
      </w:r>
    </w:p>
    <w:p w14:paraId="4B76389C" w14:textId="77777777" w:rsidR="0099058F" w:rsidRDefault="00EB2559">
      <w:pPr>
        <w:widowControl/>
        <w:spacing w:after="120"/>
        <w:rPr>
          <w:rFonts w:ascii="宋体" w:eastAsia="宋体" w:hAnsi="宋体" w:cs="宋体"/>
          <w:kern w:val="0"/>
          <w:sz w:val="24"/>
        </w:rPr>
      </w:pPr>
      <w:r>
        <w:rPr>
          <w:rFonts w:ascii="Arial" w:eastAsia="宋体" w:hAnsi="Arial" w:cs="Arial"/>
          <w:color w:val="000000"/>
          <w:kern w:val="0"/>
          <w:sz w:val="20"/>
          <w:szCs w:val="20"/>
          <w:lang w:bidi="ar"/>
        </w:rPr>
        <w:t xml:space="preserve">January 27, 2023 </w:t>
      </w:r>
    </w:p>
    <w:p w14:paraId="4B76389D"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121</w:t>
      </w:r>
    </w:p>
    <w:p w14:paraId="4B76389E" w14:textId="77777777" w:rsidR="0099058F" w:rsidRDefault="00EB2559">
      <w:pPr>
        <w:widowControl/>
        <w:jc w:val="center"/>
      </w:pPr>
      <w:r>
        <w:rPr>
          <w:rFonts w:ascii="宋体" w:eastAsia="宋体" w:hAnsi="宋体" w:cs="宋体"/>
          <w:kern w:val="0"/>
          <w:sz w:val="24"/>
        </w:rPr>
        <w:pict w14:anchorId="4B763C70">
          <v:rect id="_x0000_i1147" style="width:6in;height:1.5pt" o:hralign="center" o:hrstd="t" o:hr="t" fillcolor="#a0a0a0" stroked="f"/>
        </w:pict>
      </w:r>
    </w:p>
    <w:p w14:paraId="4B76389F"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A0"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9. Changes in and Disagreements with Accountants on Accounting and Financial Disclosure</w:t>
      </w:r>
    </w:p>
    <w:p w14:paraId="4B7638A1"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None.</w:t>
      </w:r>
    </w:p>
    <w:p w14:paraId="4B7638A2"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9A. </w:t>
      </w:r>
      <w:r>
        <w:rPr>
          <w:rFonts w:ascii="Arial" w:eastAsia="宋体" w:hAnsi="Arial" w:cs="Arial"/>
          <w:b/>
          <w:bCs/>
          <w:color w:val="000000"/>
          <w:kern w:val="0"/>
          <w:sz w:val="20"/>
          <w:szCs w:val="20"/>
          <w:lang w:bidi="ar"/>
        </w:rPr>
        <w:t>Controls and Procedures</w:t>
      </w:r>
    </w:p>
    <w:p w14:paraId="4B7638A3" w14:textId="77777777" w:rsidR="0099058F" w:rsidRDefault="00EB2559">
      <w:pPr>
        <w:widowControl/>
        <w:spacing w:after="180"/>
        <w:ind w:left="360" w:hanging="360"/>
        <w:jc w:val="left"/>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4B7638A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 and procedures as of December 31, 2022 and have concluded that these disclosure cont</w:t>
      </w:r>
      <w:r>
        <w:rPr>
          <w:rFonts w:ascii="Arial" w:eastAsia="宋体" w:hAnsi="Arial" w:cs="Arial"/>
          <w:color w:val="000000"/>
          <w:kern w:val="0"/>
          <w:sz w:val="20"/>
          <w:szCs w:val="20"/>
          <w:lang w:bidi="ar"/>
        </w:rPr>
        <w:t>rols and procedures are effective to ensure that information required to be disclosed by us in the reports that we file or submit under the Securities Exchange Act of 1934 is recorded, processed, summarized and reported within the time periods specified in</w:t>
      </w:r>
      <w:r>
        <w:rPr>
          <w:rFonts w:ascii="Arial" w:eastAsia="宋体" w:hAnsi="Arial" w:cs="Arial"/>
          <w:color w:val="000000"/>
          <w:kern w:val="0"/>
          <w:sz w:val="20"/>
          <w:szCs w:val="20"/>
          <w:lang w:bidi="ar"/>
        </w:rPr>
        <w:t xml:space="preserve"> the Securities and Exchange Commission’s rules and forms and is accumulated and communicated to our management, including the Chief Executive Officer and Chief Financial Officer, as appropriate to allow timely decisions regarding required disclosure.</w:t>
      </w:r>
    </w:p>
    <w:p w14:paraId="4B7638A5"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(b)M</w:t>
      </w:r>
      <w:r>
        <w:rPr>
          <w:rFonts w:ascii="Arial" w:eastAsia="宋体" w:hAnsi="Arial" w:cs="Arial"/>
          <w:color w:val="000000"/>
          <w:kern w:val="0"/>
          <w:sz w:val="20"/>
          <w:szCs w:val="20"/>
          <w:lang w:bidi="ar"/>
        </w:rPr>
        <w:t>anagement’s Report on Internal Control Over Financial Reporting.</w:t>
      </w:r>
    </w:p>
    <w:p w14:paraId="4B7638A6"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management is responsible for establishing and maintaining adequate internal control over financial reporting, as such term is defined in Exchange Act Rules 13a-15(f). Our management cond</w:t>
      </w:r>
      <w:r>
        <w:rPr>
          <w:rFonts w:ascii="Arial" w:eastAsia="宋体" w:hAnsi="Arial" w:cs="Arial"/>
          <w:color w:val="000000"/>
          <w:kern w:val="0"/>
          <w:sz w:val="20"/>
          <w:szCs w:val="20"/>
          <w:lang w:bidi="ar"/>
        </w:rPr>
        <w:t>ucted an evaluation of the effectiveness of our internal control over financial reporting based on the framework in Internal Control – Integrated Framework (2013) issued by the Committee of Sponsoring Organizations of the Treadway Commission. Based on this</w:t>
      </w:r>
      <w:r>
        <w:rPr>
          <w:rFonts w:ascii="Arial" w:eastAsia="宋体" w:hAnsi="Arial" w:cs="Arial"/>
          <w:color w:val="000000"/>
          <w:kern w:val="0"/>
          <w:sz w:val="20"/>
          <w:szCs w:val="20"/>
          <w:lang w:bidi="ar"/>
        </w:rPr>
        <w:t xml:space="preserve"> evaluation under the framework in Internal Control – Integrated Framework, our management concluded that our internal control over financial reporting was effective as of December 31, 2022.</w:t>
      </w:r>
    </w:p>
    <w:p w14:paraId="4B7638A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internal control over financial reporting as of December 31, </w:t>
      </w:r>
      <w:r>
        <w:rPr>
          <w:rFonts w:ascii="Arial" w:eastAsia="宋体" w:hAnsi="Arial" w:cs="Arial"/>
          <w:color w:val="000000"/>
          <w:kern w:val="0"/>
          <w:sz w:val="20"/>
          <w:szCs w:val="20"/>
          <w:lang w:bidi="ar"/>
        </w:rPr>
        <w:t>2022, has been audited by Deloitte &amp; Touche LLP, an independent registered public accounting firm, as stated in their report which is included in Item 8 of this report and is incorporated by reference herein.</w:t>
      </w:r>
    </w:p>
    <w:p w14:paraId="4B7638A8" w14:textId="77777777" w:rsidR="0099058F" w:rsidRDefault="00EB255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(c)Changes in Internal Controls Over Financial </w:t>
      </w:r>
      <w:r>
        <w:rPr>
          <w:rFonts w:ascii="Arial" w:eastAsia="宋体" w:hAnsi="Arial" w:cs="Arial"/>
          <w:color w:val="000000"/>
          <w:kern w:val="0"/>
          <w:sz w:val="20"/>
          <w:szCs w:val="20"/>
          <w:lang w:bidi="ar"/>
        </w:rPr>
        <w:t>Reporting.</w:t>
      </w:r>
    </w:p>
    <w:p w14:paraId="4B7638A9"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in our internal control over financial reporting that occurred during the fourth quarter of 2022 that have materially affected or are reasonably likely to materially affect our internal control over financial reporting.</w:t>
      </w:r>
    </w:p>
    <w:p w14:paraId="4B7638AA"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w:t>
      </w:r>
      <w:r>
        <w:rPr>
          <w:rFonts w:ascii="Arial" w:eastAsia="宋体" w:hAnsi="Arial" w:cs="Arial"/>
          <w:b/>
          <w:bCs/>
          <w:color w:val="000000"/>
          <w:kern w:val="0"/>
          <w:sz w:val="20"/>
          <w:szCs w:val="20"/>
          <w:lang w:bidi="ar"/>
        </w:rPr>
        <w:t>m 9B. Other Information</w:t>
      </w:r>
    </w:p>
    <w:p w14:paraId="4B7638AB"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None.</w:t>
      </w:r>
    </w:p>
    <w:p w14:paraId="4B7638AC"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9C. Disclosure Regarding Foreign Jurisdictions that Prevent Inspections</w:t>
      </w:r>
    </w:p>
    <w:p w14:paraId="4B7638AD"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None.</w:t>
      </w:r>
    </w:p>
    <w:p w14:paraId="4B7638A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122</w:t>
      </w:r>
    </w:p>
    <w:p w14:paraId="4B7638AF" w14:textId="77777777" w:rsidR="0099058F" w:rsidRDefault="00EB2559">
      <w:pPr>
        <w:widowControl/>
        <w:jc w:val="center"/>
      </w:pPr>
      <w:r>
        <w:rPr>
          <w:rFonts w:ascii="宋体" w:eastAsia="宋体" w:hAnsi="宋体" w:cs="宋体"/>
          <w:kern w:val="0"/>
          <w:sz w:val="24"/>
        </w:rPr>
        <w:pict w14:anchorId="4B763C71">
          <v:rect id="_x0000_i1148" style="width:6in;height:1.5pt" o:hralign="center" o:hrstd="t" o:hr="t" fillcolor="#a0a0a0" stroked="f"/>
        </w:pict>
      </w:r>
    </w:p>
    <w:p w14:paraId="4B7638B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8B1" w14:textId="77777777" w:rsidR="0099058F" w:rsidRDefault="00EB255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Part III</w:t>
      </w:r>
    </w:p>
    <w:p w14:paraId="4B7638B2"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38B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10. Directors, Executive Officers and Corporate Governance</w:t>
      </w:r>
    </w:p>
    <w:p w14:paraId="4B7638B4"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executive officers and their ages as of January 27, 2023,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6"/>
        <w:gridCol w:w="69"/>
        <w:gridCol w:w="439"/>
        <w:gridCol w:w="36"/>
        <w:gridCol w:w="70"/>
        <w:gridCol w:w="5549"/>
        <w:gridCol w:w="36"/>
      </w:tblGrid>
      <w:tr w:rsidR="0099058F" w14:paraId="4B7638BE" w14:textId="77777777">
        <w:tc>
          <w:tcPr>
            <w:tcW w:w="50" w:type="pct"/>
            <w:tcBorders>
              <w:top w:val="nil"/>
              <w:left w:val="nil"/>
              <w:bottom w:val="nil"/>
              <w:right w:val="nil"/>
            </w:tcBorders>
            <w:shd w:val="clear" w:color="auto" w:fill="auto"/>
            <w:vAlign w:val="bottom"/>
          </w:tcPr>
          <w:p w14:paraId="4B7638B5" w14:textId="77777777" w:rsidR="0099058F" w:rsidRDefault="0099058F">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B7638B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B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B8"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638B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B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BB" w14:textId="77777777" w:rsidR="0099058F" w:rsidRDefault="0099058F">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B7638B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BD" w14:textId="77777777" w:rsidR="0099058F" w:rsidRDefault="0099058F">
            <w:pPr>
              <w:widowControl/>
              <w:jc w:val="left"/>
              <w:rPr>
                <w:rFonts w:ascii="Times New Roman" w:eastAsia="宋体" w:hAnsi="宋体" w:cs="宋体"/>
                <w:kern w:val="0"/>
                <w:sz w:val="24"/>
              </w:rPr>
            </w:pPr>
          </w:p>
        </w:tc>
      </w:tr>
      <w:tr w:rsidR="0099058F" w14:paraId="4B7638C2"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B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C0"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C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99058F" w14:paraId="4B7638C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8C3"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Bertrand-Marc Allen</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8C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8C5"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Strategy Officer and Senior Vice President, Strategy and Corporate Development since October 2020. Mr. Allen previously served as Senior Vice President and </w:t>
            </w:r>
            <w:r>
              <w:rPr>
                <w:rFonts w:ascii="Arial" w:eastAsia="宋体" w:hAnsi="Arial" w:cs="Arial"/>
                <w:color w:val="000000"/>
                <w:kern w:val="0"/>
                <w:sz w:val="20"/>
                <w:szCs w:val="20"/>
                <w:lang w:bidi="ar"/>
              </w:rPr>
              <w:t>President, Embraer Partnership and Group Operations from April 2019 to October 2020; Senior Vice President and President, Boeing International from February 2015 to April 2019; President of Boeing Capital Corporation from March 2014 to February 2015; Corpo</w:t>
            </w:r>
            <w:r>
              <w:rPr>
                <w:rFonts w:ascii="Arial" w:eastAsia="宋体" w:hAnsi="Arial" w:cs="Arial"/>
                <w:color w:val="000000"/>
                <w:kern w:val="0"/>
                <w:sz w:val="20"/>
                <w:szCs w:val="20"/>
                <w:lang w:bidi="ar"/>
              </w:rPr>
              <w:t>rate Vice President, Boeing International and Chairman and President of Boeing (China) Co., Ltd. from March 2011 to March 2014; and Vice President, Global Law Affairs from May 2007 to March 2011. Mr. Allen serves on the board of directors of Procter &amp; Gamb</w:t>
            </w:r>
            <w:r>
              <w:rPr>
                <w:rFonts w:ascii="Arial" w:eastAsia="宋体" w:hAnsi="Arial" w:cs="Arial"/>
                <w:color w:val="000000"/>
                <w:kern w:val="0"/>
                <w:sz w:val="20"/>
                <w:szCs w:val="20"/>
                <w:lang w:bidi="ar"/>
              </w:rPr>
              <w:t>le Co.</w:t>
            </w:r>
          </w:p>
        </w:tc>
      </w:tr>
      <w:tr w:rsidR="0099058F" w14:paraId="4B7638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7"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Brian R. Besanceney</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8"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9"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Communications Officer and Senior Vice President, Communications since August 2022. Prior to joining Boeing, Mr. Besanceney served as Senior Vice President and Chief Communications Officer for Walmart Inc. from </w:t>
            </w:r>
            <w:r>
              <w:rPr>
                <w:rFonts w:ascii="Arial" w:eastAsia="宋体" w:hAnsi="Arial" w:cs="Arial"/>
                <w:color w:val="000000"/>
                <w:kern w:val="0"/>
                <w:sz w:val="20"/>
                <w:szCs w:val="20"/>
                <w:lang w:bidi="ar"/>
              </w:rPr>
              <w:t xml:space="preserve">April 2016 to August 2022. Prior to that he held executive-level positions for The Walt Disney Company including Senior Vice President of Public Affairs from 2010 to 2016 and Vice President of Public Affairs and Business Development for Disney’s Parks and </w:t>
            </w:r>
            <w:r>
              <w:rPr>
                <w:rFonts w:ascii="Arial" w:eastAsia="宋体" w:hAnsi="Arial" w:cs="Arial"/>
                <w:color w:val="000000"/>
                <w:kern w:val="0"/>
                <w:sz w:val="20"/>
                <w:szCs w:val="20"/>
                <w:lang w:bidi="ar"/>
              </w:rPr>
              <w:t>Resorts division from 2009 to 2010.</w:t>
            </w:r>
          </w:p>
        </w:tc>
      </w:tr>
      <w:tr w:rsidR="0099058F" w14:paraId="4B7638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B"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David L. Calhoun</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C"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CD"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President and Chief Executive Officer since January 2020 and a member of the Board of Directors since June 2009. Previously, Mr. Calhoun served as Senior Managing Director &amp; Head of Private Equity Po</w:t>
            </w:r>
            <w:r>
              <w:rPr>
                <w:rFonts w:ascii="Arial" w:eastAsia="宋体" w:hAnsi="Arial" w:cs="Arial"/>
                <w:color w:val="000000"/>
                <w:kern w:val="0"/>
                <w:sz w:val="20"/>
                <w:szCs w:val="20"/>
                <w:lang w:bidi="ar"/>
              </w:rPr>
              <w:t xml:space="preserve">rtfolio Operations at The Blackstone Group from January 2014 to January 2020. Prior to that, Mr. Calhoun served as Chairman of the Board of Nielsen Holdings plc from January 2014 to January 2016, as Chief Executive Officer of Nielsen Holdings plc from May </w:t>
            </w:r>
            <w:r>
              <w:rPr>
                <w:rFonts w:ascii="Arial" w:eastAsia="宋体" w:hAnsi="Arial" w:cs="Arial"/>
                <w:color w:val="000000"/>
                <w:kern w:val="0"/>
                <w:sz w:val="20"/>
                <w:szCs w:val="20"/>
                <w:lang w:bidi="ar"/>
              </w:rPr>
              <w:t xml:space="preserve">2010 to January 2014, and as Chairman of the Executive Board and Chief Executive Officer of The Nielsen Company B.V. from August 2006 to January 2014. Prior to joining Nielsen, he served as Vice Chairman of General Electric Company and President and Chief </w:t>
            </w:r>
            <w:r>
              <w:rPr>
                <w:rFonts w:ascii="Arial" w:eastAsia="宋体" w:hAnsi="Arial" w:cs="Arial"/>
                <w:color w:val="000000"/>
                <w:kern w:val="0"/>
                <w:sz w:val="20"/>
                <w:szCs w:val="20"/>
                <w:lang w:bidi="ar"/>
              </w:rPr>
              <w:t>Executive Officer of GE Infrastructure. During his 26-year tenure at GE, he ran multiple business units including GE Transportation, GE Aircraft Engines, GE Employers Reinsurance Corporation, GE Lighting and GE Transportation Systems. Mr. Calhoun also serv</w:t>
            </w:r>
            <w:r>
              <w:rPr>
                <w:rFonts w:ascii="Arial" w:eastAsia="宋体" w:hAnsi="Arial" w:cs="Arial"/>
                <w:color w:val="000000"/>
                <w:kern w:val="0"/>
                <w:sz w:val="20"/>
                <w:szCs w:val="20"/>
                <w:lang w:bidi="ar"/>
              </w:rPr>
              <w:t>es on the board of directors of Caterpillar Inc.</w:t>
            </w:r>
          </w:p>
        </w:tc>
      </w:tr>
    </w:tbl>
    <w:p w14:paraId="4B7638CF"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123</w:t>
      </w:r>
    </w:p>
    <w:p w14:paraId="4B7638D0" w14:textId="77777777" w:rsidR="0099058F" w:rsidRDefault="00EB2559">
      <w:pPr>
        <w:widowControl/>
        <w:jc w:val="center"/>
      </w:pPr>
      <w:r>
        <w:rPr>
          <w:rFonts w:ascii="宋体" w:eastAsia="宋体" w:hAnsi="宋体" w:cs="宋体"/>
          <w:kern w:val="0"/>
          <w:sz w:val="24"/>
        </w:rPr>
        <w:pict w14:anchorId="4B763C72">
          <v:rect id="_x0000_i1149" style="width:6in;height:1.5pt" o:hralign="center" o:hrstd="t" o:hr="t" fillcolor="#a0a0a0" stroked="f"/>
        </w:pict>
      </w:r>
    </w:p>
    <w:p w14:paraId="4B7638D1"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7"/>
        <w:gridCol w:w="69"/>
        <w:gridCol w:w="438"/>
        <w:gridCol w:w="36"/>
        <w:gridCol w:w="69"/>
        <w:gridCol w:w="5549"/>
        <w:gridCol w:w="37"/>
      </w:tblGrid>
      <w:tr w:rsidR="0099058F" w14:paraId="4B7638DB" w14:textId="77777777">
        <w:tc>
          <w:tcPr>
            <w:tcW w:w="50" w:type="pct"/>
            <w:tcBorders>
              <w:top w:val="nil"/>
              <w:left w:val="nil"/>
              <w:bottom w:val="nil"/>
              <w:right w:val="nil"/>
            </w:tcBorders>
            <w:shd w:val="clear" w:color="auto" w:fill="auto"/>
            <w:vAlign w:val="bottom"/>
          </w:tcPr>
          <w:p w14:paraId="4B7638D2" w14:textId="77777777" w:rsidR="0099058F" w:rsidRDefault="0099058F">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B7638D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D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D5"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638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D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D8" w14:textId="77777777" w:rsidR="0099058F" w:rsidRDefault="0099058F">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B7638D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DA" w14:textId="77777777" w:rsidR="0099058F" w:rsidRDefault="0099058F">
            <w:pPr>
              <w:widowControl/>
              <w:jc w:val="left"/>
              <w:rPr>
                <w:rFonts w:ascii="Times New Roman" w:eastAsia="宋体" w:hAnsi="宋体" w:cs="宋体"/>
                <w:kern w:val="0"/>
                <w:sz w:val="24"/>
              </w:rPr>
            </w:pPr>
          </w:p>
        </w:tc>
      </w:tr>
      <w:tr w:rsidR="0099058F" w14:paraId="4B7638DF"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D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DD"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8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Principal Occupation or </w:t>
            </w:r>
            <w:r>
              <w:rPr>
                <w:rFonts w:ascii="Arial" w:eastAsia="宋体" w:hAnsi="Arial" w:cs="Arial"/>
                <w:color w:val="000000"/>
                <w:kern w:val="0"/>
                <w:sz w:val="20"/>
                <w:szCs w:val="20"/>
                <w:lang w:bidi="ar"/>
              </w:rPr>
              <w:t>Employment/Other Business Affiliations</w:t>
            </w:r>
          </w:p>
        </w:tc>
      </w:tr>
      <w:tr w:rsidR="0099058F" w14:paraId="4B7638E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0"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Theodore Colbert III</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1"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2"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Executive Vice President, President and Chief Executive Officer, Boeing Defense, Space &amp; Security since April 2022. Mr. Colbert previously served as Executive Vice President, President and Chi</w:t>
            </w:r>
            <w:r>
              <w:rPr>
                <w:rFonts w:ascii="Arial" w:eastAsia="宋体" w:hAnsi="Arial" w:cs="Arial"/>
                <w:color w:val="000000"/>
                <w:kern w:val="0"/>
                <w:sz w:val="20"/>
                <w:szCs w:val="20"/>
                <w:lang w:bidi="ar"/>
              </w:rPr>
              <w:t>ef Executive Officer, Boeing Global Services from October 2019 to March 2022; Chief Information Officer and Senior Vice President, Information Technology &amp; Data Analytics from April 2016 to October 2019; Chief Information Officer and Vice President of Info</w:t>
            </w:r>
            <w:r>
              <w:rPr>
                <w:rFonts w:ascii="Arial" w:eastAsia="宋体" w:hAnsi="Arial" w:cs="Arial"/>
                <w:color w:val="000000"/>
                <w:kern w:val="0"/>
                <w:sz w:val="20"/>
                <w:szCs w:val="20"/>
                <w:lang w:bidi="ar"/>
              </w:rPr>
              <w:t>rmation Technology from November 2013 to April 2016; Vice President of Information Technology Infrastructure from December 2011 to November 2013; and Vice President of IT Business Systems from September 2010 to December 2011. Mr. Colbert serves on the boar</w:t>
            </w:r>
            <w:r>
              <w:rPr>
                <w:rFonts w:ascii="Arial" w:eastAsia="宋体" w:hAnsi="Arial" w:cs="Arial"/>
                <w:color w:val="000000"/>
                <w:kern w:val="0"/>
                <w:sz w:val="20"/>
                <w:szCs w:val="20"/>
                <w:lang w:bidi="ar"/>
              </w:rPr>
              <w:t>d of directors of Archer-Daniels-Midland Company.</w:t>
            </w:r>
          </w:p>
        </w:tc>
      </w:tr>
      <w:tr w:rsidR="0099058F" w14:paraId="4B7638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Michael D’Ambrose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5"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6"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Human Resources Officer and Executive Vice President, Human Resources since June 2021. Prior to joining Boeing in July 2020 as Executive Vice Present, Human Resources, Mr. </w:t>
            </w:r>
            <w:r>
              <w:rPr>
                <w:rFonts w:ascii="Arial" w:eastAsia="宋体" w:hAnsi="Arial" w:cs="Arial"/>
                <w:color w:val="000000"/>
                <w:kern w:val="0"/>
                <w:sz w:val="20"/>
                <w:szCs w:val="20"/>
                <w:lang w:bidi="ar"/>
              </w:rPr>
              <w:t>D'Ambrose served as Senior Vice President and Chief Human Resources Officer for Archer-Daniels-Midland Company from October 2006 to June 2020. Previously, he served in a series of executive-level business and human resources positions, including chief huma</w:t>
            </w:r>
            <w:r>
              <w:rPr>
                <w:rFonts w:ascii="Arial" w:eastAsia="宋体" w:hAnsi="Arial" w:cs="Arial"/>
                <w:color w:val="000000"/>
                <w:kern w:val="0"/>
                <w:sz w:val="20"/>
                <w:szCs w:val="20"/>
                <w:lang w:bidi="ar"/>
              </w:rPr>
              <w:t>n resources officer at Citigroup, First Data Corporation and Toys 'R' Us, Inc.</w:t>
            </w:r>
          </w:p>
        </w:tc>
      </w:tr>
      <w:tr w:rsidR="0099058F" w14:paraId="4B7638E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8"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Stanley A. Deal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9"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A" w14:textId="77777777" w:rsidR="0099058F" w:rsidRDefault="00EB2559">
            <w:pPr>
              <w:widowControl/>
              <w:spacing w:before="120" w:after="120"/>
              <w:textAlignment w:val="top"/>
              <w:rPr>
                <w:rFonts w:ascii="宋体" w:eastAsia="宋体" w:hAnsi="宋体" w:cs="宋体"/>
                <w:kern w:val="0"/>
                <w:sz w:val="24"/>
              </w:rPr>
            </w:pPr>
            <w:r>
              <w:rPr>
                <w:rFonts w:ascii="Arial" w:eastAsia="宋体" w:hAnsi="Arial" w:cs="Arial"/>
                <w:color w:val="000000"/>
                <w:kern w:val="0"/>
                <w:sz w:val="20"/>
                <w:szCs w:val="20"/>
                <w:lang w:bidi="ar"/>
              </w:rPr>
              <w:t>Executive Vice President, President and Chief Executive Officer, Boeing Commercial Airplanes since October 2019. Mr. Deal joined Boeing in 1986, and his prev</w:t>
            </w:r>
            <w:r>
              <w:rPr>
                <w:rFonts w:ascii="Arial" w:eastAsia="宋体" w:hAnsi="Arial" w:cs="Arial"/>
                <w:color w:val="000000"/>
                <w:kern w:val="0"/>
                <w:sz w:val="20"/>
                <w:szCs w:val="20"/>
                <w:lang w:bidi="ar"/>
              </w:rPr>
              <w:t>ious positions include Executive Vice President, President and Chief Executive Officer, Boeing Global Services from November 2016 to October 2019; Senior Vice President of Commercial Aviation Services from March 2014 to November 2016; Vice President and Ge</w:t>
            </w:r>
            <w:r>
              <w:rPr>
                <w:rFonts w:ascii="Arial" w:eastAsia="宋体" w:hAnsi="Arial" w:cs="Arial"/>
                <w:color w:val="000000"/>
                <w:kern w:val="0"/>
                <w:sz w:val="20"/>
                <w:szCs w:val="20"/>
                <w:lang w:bidi="ar"/>
              </w:rPr>
              <w:t>neral Manager of Supply Chain Management and Operations for Commercial Airplanes from September 2011 to February 2014; Vice President of Supplier Management from February 2010 to August 2011; and Vice President of Asia Pacific Sales from December 2006 to J</w:t>
            </w:r>
            <w:r>
              <w:rPr>
                <w:rFonts w:ascii="Arial" w:eastAsia="宋体" w:hAnsi="Arial" w:cs="Arial"/>
                <w:color w:val="000000"/>
                <w:kern w:val="0"/>
                <w:sz w:val="20"/>
                <w:szCs w:val="20"/>
                <w:lang w:bidi="ar"/>
              </w:rPr>
              <w:t>anuary 2010.</w:t>
            </w:r>
          </w:p>
        </w:tc>
      </w:tr>
      <w:tr w:rsidR="0099058F" w14:paraId="4B7638E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Susan Doniz</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D"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EE"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Information Officer and Senior Vice President, Information Technology &amp; Data Analytics since May 2020. Prior to joining Boeing, Ms. Doniz served as Global Chief Information Officer of Qantas Airways Limited from </w:t>
            </w:r>
            <w:r>
              <w:rPr>
                <w:rFonts w:ascii="Arial" w:eastAsia="宋体" w:hAnsi="Arial" w:cs="Arial"/>
                <w:color w:val="000000"/>
                <w:kern w:val="0"/>
                <w:sz w:val="20"/>
                <w:szCs w:val="20"/>
                <w:lang w:bidi="ar"/>
              </w:rPr>
              <w:t>January 2017 to April 2020; as strategic advisor to the Global CEO of SAP SE on transformation and technology issues in support of customers from September 2015 to January 2017; and Global Product, Digital Strategy and Chief Information Officer of AIMIA In</w:t>
            </w:r>
            <w:r>
              <w:rPr>
                <w:rFonts w:ascii="Arial" w:eastAsia="宋体" w:hAnsi="Arial" w:cs="Arial"/>
                <w:color w:val="000000"/>
                <w:kern w:val="0"/>
                <w:sz w:val="20"/>
                <w:szCs w:val="20"/>
                <w:lang w:bidi="ar"/>
              </w:rPr>
              <w:t>c. from June 2011 to January 2015.</w:t>
            </w:r>
          </w:p>
        </w:tc>
      </w:tr>
      <w:tr w:rsidR="0099058F" w14:paraId="4B7638F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F0"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Brett C. Gerry</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F1"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8F2"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Chief Legal Officer and Executive Vice President, Global Compliance since May 2020. Mr. Gerry previously served as Senior Vice President and General Counsel from May 2019 to May 2020; President of Boein</w:t>
            </w:r>
            <w:r>
              <w:rPr>
                <w:rFonts w:ascii="Arial" w:eastAsia="宋体" w:hAnsi="Arial" w:cs="Arial"/>
                <w:color w:val="000000"/>
                <w:kern w:val="0"/>
                <w:sz w:val="20"/>
                <w:szCs w:val="20"/>
                <w:lang w:bidi="ar"/>
              </w:rPr>
              <w:t>g Japan from February 2016 to May 2019; Vice President and General Counsel, Boeing Commercial Airplanes from March 2009 to March 2016; and Chief Counsel, Network and Space Systems from September 2008 to March 2009.</w:t>
            </w:r>
          </w:p>
        </w:tc>
      </w:tr>
    </w:tbl>
    <w:p w14:paraId="4B7638F4"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124</w:t>
      </w:r>
    </w:p>
    <w:p w14:paraId="4B7638F5" w14:textId="77777777" w:rsidR="0099058F" w:rsidRDefault="00EB2559">
      <w:pPr>
        <w:widowControl/>
        <w:jc w:val="center"/>
      </w:pPr>
      <w:r>
        <w:rPr>
          <w:rFonts w:ascii="宋体" w:eastAsia="宋体" w:hAnsi="宋体" w:cs="宋体"/>
          <w:kern w:val="0"/>
          <w:sz w:val="24"/>
        </w:rPr>
        <w:pict w14:anchorId="4B763C73">
          <v:rect id="_x0000_i1150" style="width:6in;height:1.5pt" o:hralign="center" o:hrstd="t" o:hr="t" fillcolor="#a0a0a0" stroked="f"/>
        </w:pict>
      </w:r>
    </w:p>
    <w:p w14:paraId="4B7638F6"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7"/>
        <w:gridCol w:w="69"/>
        <w:gridCol w:w="438"/>
        <w:gridCol w:w="36"/>
        <w:gridCol w:w="70"/>
        <w:gridCol w:w="5549"/>
        <w:gridCol w:w="36"/>
      </w:tblGrid>
      <w:tr w:rsidR="0099058F" w14:paraId="4B763900" w14:textId="77777777">
        <w:tc>
          <w:tcPr>
            <w:tcW w:w="50" w:type="pct"/>
            <w:tcBorders>
              <w:top w:val="nil"/>
              <w:left w:val="nil"/>
              <w:bottom w:val="nil"/>
              <w:right w:val="nil"/>
            </w:tcBorders>
            <w:shd w:val="clear" w:color="auto" w:fill="auto"/>
            <w:vAlign w:val="bottom"/>
          </w:tcPr>
          <w:p w14:paraId="4B7638F7" w14:textId="77777777" w:rsidR="0099058F" w:rsidRDefault="0099058F">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B7638F8"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F9"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FA"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638F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FC"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8FD" w14:textId="77777777" w:rsidR="0099058F" w:rsidRDefault="0099058F">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B7638FE"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8FF" w14:textId="77777777" w:rsidR="0099058F" w:rsidRDefault="0099058F">
            <w:pPr>
              <w:widowControl/>
              <w:jc w:val="left"/>
              <w:rPr>
                <w:rFonts w:ascii="Times New Roman" w:eastAsia="宋体" w:hAnsi="宋体" w:cs="宋体"/>
                <w:kern w:val="0"/>
                <w:sz w:val="24"/>
              </w:rPr>
            </w:pPr>
          </w:p>
        </w:tc>
      </w:tr>
      <w:tr w:rsidR="0099058F" w14:paraId="4B763904"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0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0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0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99058F" w14:paraId="4B76390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5" w14:textId="77777777" w:rsidR="0099058F" w:rsidRDefault="00EB2559">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Gregory L. Hyslop</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7"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Engineer and Executive Vice </w:t>
            </w:r>
            <w:r>
              <w:rPr>
                <w:rFonts w:ascii="Arial" w:eastAsia="宋体" w:hAnsi="Arial" w:cs="Arial"/>
                <w:color w:val="000000"/>
                <w:kern w:val="0"/>
                <w:sz w:val="20"/>
                <w:szCs w:val="20"/>
                <w:lang w:bidi="ar"/>
              </w:rPr>
              <w:t>President, Engineering, Test &amp; Technology since December 2020. Dr. Hyslop's previous positions include Chief Engineer and Senior Vice President, Engineering, Test &amp; Technology from August 2019 to December 2020; Chief Technology Officer and Senior Vice Pres</w:t>
            </w:r>
            <w:r>
              <w:rPr>
                <w:rFonts w:ascii="Arial" w:eastAsia="宋体" w:hAnsi="Arial" w:cs="Arial"/>
                <w:color w:val="000000"/>
                <w:kern w:val="0"/>
                <w:sz w:val="20"/>
                <w:szCs w:val="20"/>
                <w:lang w:bidi="ar"/>
              </w:rPr>
              <w:t>ident, Engineering, Test &amp; Technology from March 2016 to August 2019; Vice President and General Manager of Boeing Research and Technology from February 2013 to March 2016; and Vice President and General Manager of Boeing Strategic Missile &amp; Defense System</w:t>
            </w:r>
            <w:r>
              <w:rPr>
                <w:rFonts w:ascii="Arial" w:eastAsia="宋体" w:hAnsi="Arial" w:cs="Arial"/>
                <w:color w:val="000000"/>
                <w:kern w:val="0"/>
                <w:sz w:val="20"/>
                <w:szCs w:val="20"/>
                <w:lang w:bidi="ar"/>
              </w:rPr>
              <w:t>s from March 2009 to February 2013.</w:t>
            </w:r>
          </w:p>
        </w:tc>
      </w:tr>
      <w:tr w:rsidR="0099058F" w14:paraId="4B76390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Brendan J. Nelson</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A"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B"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Senior Vice President and President, Boeing International since January 2023. Dr. Nelson previously served as President of Boeing Australia, New Zealand and South Pacific from February 2020 to </w:t>
            </w:r>
            <w:r>
              <w:rPr>
                <w:rFonts w:ascii="Arial" w:eastAsia="宋体" w:hAnsi="Arial" w:cs="Arial"/>
                <w:color w:val="000000"/>
                <w:kern w:val="0"/>
                <w:sz w:val="20"/>
                <w:szCs w:val="20"/>
                <w:lang w:bidi="ar"/>
              </w:rPr>
              <w:t>January 2023. Prior to joining Boeing, he served as the Director of the Australian War Memorial from December 2012 to December 2019 and as the Australian Ambassador to Belgium, Luxembourg, the European Union and NATO from February 2010 to November 2012.</w:t>
            </w:r>
          </w:p>
        </w:tc>
      </w:tr>
      <w:tr w:rsidR="0099058F" w14:paraId="4B7639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Z</w:t>
            </w:r>
            <w:r>
              <w:rPr>
                <w:rFonts w:ascii="Arial" w:eastAsia="宋体" w:hAnsi="Arial" w:cs="Arial"/>
                <w:color w:val="000000"/>
                <w:kern w:val="0"/>
                <w:sz w:val="20"/>
                <w:szCs w:val="20"/>
                <w:lang w:bidi="ar"/>
              </w:rPr>
              <w:t>iad S. Ojakli</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E"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0F"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Executive Vice President, Government Operations since October 2021. Prior to joining Boeing, Mr. Ojakli served as a managing partner and Senior Vice President of Global Government Affairs at SoftBank Group Corp. from August 2018 to Septemb</w:t>
            </w:r>
            <w:r>
              <w:rPr>
                <w:rFonts w:ascii="Arial" w:eastAsia="宋体" w:hAnsi="Arial" w:cs="Arial"/>
                <w:color w:val="000000"/>
                <w:kern w:val="0"/>
                <w:sz w:val="20"/>
                <w:szCs w:val="20"/>
                <w:lang w:bidi="ar"/>
              </w:rPr>
              <w:t>er 2020. Prior to that, he served as Group Vice President, Government &amp; Community Relations at Ford Motor Company from January 2004 to July 2018.</w:t>
            </w:r>
          </w:p>
        </w:tc>
      </w:tr>
      <w:tr w:rsidR="0099058F" w14:paraId="4B76391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1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Stephanie F. Pope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1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13" w14:textId="77777777" w:rsidR="0099058F" w:rsidRDefault="00EB2559">
            <w:pPr>
              <w:widowControl/>
              <w:spacing w:after="240"/>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President, President and Chief Executive Officer, Boeing Global Services </w:t>
            </w:r>
            <w:r>
              <w:rPr>
                <w:rFonts w:ascii="Arial" w:eastAsia="宋体" w:hAnsi="Arial" w:cs="Arial"/>
                <w:color w:val="000000"/>
                <w:kern w:val="0"/>
                <w:sz w:val="20"/>
                <w:szCs w:val="20"/>
                <w:lang w:bidi="ar"/>
              </w:rPr>
              <w:t>since April 2022. Ms. Pope joined Boeing in 1994, and her previous positions include Vice President and Chief Financial Officer of Boeing Commercial Airplanes from December 2020 to March 2022; Vice President and Chief Financial Officer of Boeing Global Ser</w:t>
            </w:r>
            <w:r>
              <w:rPr>
                <w:rFonts w:ascii="Arial" w:eastAsia="宋体" w:hAnsi="Arial" w:cs="Arial"/>
                <w:color w:val="000000"/>
                <w:kern w:val="0"/>
                <w:sz w:val="20"/>
                <w:szCs w:val="20"/>
                <w:lang w:bidi="ar"/>
              </w:rPr>
              <w:t>vices from January 2017 to December 2020; Vice President of Finance and Controller for Boeing Defense, Space &amp; Security from August 2016 to December 2016; and Vice President, Financial Planning &amp; Analysis from February 2013 to July 2016.</w:t>
            </w:r>
          </w:p>
        </w:tc>
      </w:tr>
    </w:tbl>
    <w:p w14:paraId="4B763915"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125</w:t>
      </w:r>
    </w:p>
    <w:p w14:paraId="4B763916" w14:textId="77777777" w:rsidR="0099058F" w:rsidRDefault="00EB2559">
      <w:pPr>
        <w:widowControl/>
        <w:jc w:val="center"/>
      </w:pPr>
      <w:r>
        <w:rPr>
          <w:rFonts w:ascii="宋体" w:eastAsia="宋体" w:hAnsi="宋体" w:cs="宋体"/>
          <w:kern w:val="0"/>
          <w:sz w:val="24"/>
        </w:rPr>
        <w:pict w14:anchorId="4B763C74">
          <v:rect id="_x0000_i1151" style="width:6in;height:1.5pt" o:hralign="center" o:hrstd="t" o:hr="t" fillcolor="#a0a0a0" stroked="f"/>
        </w:pict>
      </w:r>
    </w:p>
    <w:p w14:paraId="4B763917"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6"/>
        <w:gridCol w:w="69"/>
        <w:gridCol w:w="439"/>
        <w:gridCol w:w="36"/>
        <w:gridCol w:w="70"/>
        <w:gridCol w:w="5549"/>
        <w:gridCol w:w="36"/>
      </w:tblGrid>
      <w:tr w:rsidR="0099058F" w14:paraId="4B763921" w14:textId="77777777">
        <w:tc>
          <w:tcPr>
            <w:tcW w:w="50" w:type="pct"/>
            <w:tcBorders>
              <w:top w:val="nil"/>
              <w:left w:val="nil"/>
              <w:bottom w:val="nil"/>
              <w:right w:val="nil"/>
            </w:tcBorders>
            <w:shd w:val="clear" w:color="auto" w:fill="auto"/>
            <w:vAlign w:val="bottom"/>
          </w:tcPr>
          <w:p w14:paraId="4B763918" w14:textId="77777777" w:rsidR="0099058F" w:rsidRDefault="0099058F">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B76391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1A"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1B" w14:textId="77777777" w:rsidR="0099058F" w:rsidRDefault="0099058F">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B76391C"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1D"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1E" w14:textId="77777777" w:rsidR="0099058F" w:rsidRDefault="0099058F">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B76391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20" w14:textId="77777777" w:rsidR="0099058F" w:rsidRDefault="0099058F">
            <w:pPr>
              <w:widowControl/>
              <w:jc w:val="left"/>
              <w:rPr>
                <w:rFonts w:ascii="Times New Roman" w:eastAsia="宋体" w:hAnsi="宋体" w:cs="宋体"/>
                <w:kern w:val="0"/>
                <w:sz w:val="24"/>
              </w:rPr>
            </w:pPr>
          </w:p>
        </w:tc>
      </w:tr>
      <w:tr w:rsidR="0099058F" w14:paraId="4B763925"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2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23"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B76392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99058F" w14:paraId="4B76392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2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Brian J. West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27"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28"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w:t>
            </w:r>
            <w:r>
              <w:rPr>
                <w:rFonts w:ascii="Arial" w:eastAsia="宋体" w:hAnsi="Arial" w:cs="Arial"/>
                <w:color w:val="000000"/>
                <w:kern w:val="0"/>
                <w:sz w:val="20"/>
                <w:szCs w:val="20"/>
                <w:lang w:bidi="ar"/>
              </w:rPr>
              <w:t>President and Chief Financial Officer since August 2021. Prior to joining Boeing, Mr. West served as Chief Financial Officer of Refinitiv Holdings (a London Stock Exchange Group business and provider of financial markets data and infrastructure) from Novem</w:t>
            </w:r>
            <w:r>
              <w:rPr>
                <w:rFonts w:ascii="Arial" w:eastAsia="宋体" w:hAnsi="Arial" w:cs="Arial"/>
                <w:color w:val="000000"/>
                <w:kern w:val="0"/>
                <w:sz w:val="20"/>
                <w:szCs w:val="20"/>
                <w:lang w:bidi="ar"/>
              </w:rPr>
              <w:t xml:space="preserve">ber 2018 to June 2021. Prior to that, he served as Chief Financial Officer and Executive Vice President of Operations of Oscar Insurance Corporation from January 2016 to October 2018. Mr. West served as Chief Operating Officer of Nielsen Holdings plc from </w:t>
            </w:r>
            <w:r>
              <w:rPr>
                <w:rFonts w:ascii="Arial" w:eastAsia="宋体" w:hAnsi="Arial" w:cs="Arial"/>
                <w:color w:val="000000"/>
                <w:kern w:val="0"/>
                <w:sz w:val="20"/>
                <w:szCs w:val="20"/>
                <w:lang w:bidi="ar"/>
              </w:rPr>
              <w:t xml:space="preserve">March 2014 to December 2015 and as Chief Financial Officer of Nielsen Holdings plc (or its predecessor) from February 2007 to March 2014. Prior to joining Nielsen, Mr. West was employed by the General Electric Company as the Chief Financial Officer of its </w:t>
            </w:r>
            <w:r>
              <w:rPr>
                <w:rFonts w:ascii="Arial" w:eastAsia="宋体" w:hAnsi="Arial" w:cs="Arial"/>
                <w:color w:val="000000"/>
                <w:kern w:val="0"/>
                <w:sz w:val="20"/>
                <w:szCs w:val="20"/>
                <w:lang w:bidi="ar"/>
              </w:rPr>
              <w:t xml:space="preserve">GE Aviation division from June 2005 to February 2007 and Chief Financial Officer of its GE Aviation Services division from March 2004 to June 2005. Prior to that, Mr. West held several senior financial positions across General Electric Company businesses, </w:t>
            </w:r>
            <w:r>
              <w:rPr>
                <w:rFonts w:ascii="Arial" w:eastAsia="宋体" w:hAnsi="Arial" w:cs="Arial"/>
                <w:color w:val="000000"/>
                <w:kern w:val="0"/>
                <w:sz w:val="20"/>
                <w:szCs w:val="20"/>
                <w:lang w:bidi="ar"/>
              </w:rPr>
              <w:t>including Plastics, NBC, Energy and Transportation.</w:t>
            </w:r>
          </w:p>
        </w:tc>
      </w:tr>
    </w:tbl>
    <w:p w14:paraId="4B76392A" w14:textId="77777777" w:rsidR="0099058F" w:rsidRDefault="00EB2559">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Codes of Ethics.</w:t>
      </w:r>
      <w:r>
        <w:rPr>
          <w:rFonts w:ascii="Arial" w:eastAsia="宋体" w:hAnsi="Arial" w:cs="Arial"/>
          <w:color w:val="000000"/>
          <w:kern w:val="0"/>
          <w:sz w:val="20"/>
          <w:szCs w:val="20"/>
          <w:lang w:bidi="ar"/>
        </w:rPr>
        <w:t xml:space="preserve"> We have adopted (1) The Boeing Company Code of Ethical Business Conduct for the Board of Directors; and (2) The Boeing Code of Conduct that applies to all employees, including our CEO (collectively, the Codes of Conduct). The Codes of Conduct are posted o</w:t>
      </w:r>
      <w:r>
        <w:rPr>
          <w:rFonts w:ascii="Arial" w:eastAsia="宋体" w:hAnsi="Arial" w:cs="Arial"/>
          <w:color w:val="000000"/>
          <w:kern w:val="0"/>
          <w:sz w:val="20"/>
          <w:szCs w:val="20"/>
          <w:lang w:bidi="ar"/>
        </w:rPr>
        <w:t>n our website, www.boeing.com/company/general-info/corporate-governance.page. We intend to disclose promptly on our website any amendments to, or waivers of, the Codes of Conduct covering our CEO, CFO and/or Controller.</w:t>
      </w:r>
    </w:p>
    <w:p w14:paraId="4B76392B"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No family relationships exist among </w:t>
      </w:r>
      <w:r>
        <w:rPr>
          <w:rFonts w:ascii="Arial" w:eastAsia="宋体" w:hAnsi="Arial" w:cs="Arial"/>
          <w:color w:val="000000"/>
          <w:kern w:val="0"/>
          <w:sz w:val="20"/>
          <w:szCs w:val="20"/>
          <w:lang w:bidi="ar"/>
        </w:rPr>
        <w:t>any of the executive officers, directors or director nominees.</w:t>
      </w:r>
    </w:p>
    <w:p w14:paraId="4B76392C"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Additional information required by this item will be included under the captions “Election of Directors,” “Stock Ownership Information” and “Board Committees” in our proxy statement, which will</w:t>
      </w:r>
      <w:r>
        <w:rPr>
          <w:rFonts w:ascii="Arial" w:eastAsia="宋体" w:hAnsi="Arial" w:cs="Arial"/>
          <w:color w:val="000000"/>
          <w:kern w:val="0"/>
          <w:sz w:val="20"/>
          <w:szCs w:val="20"/>
          <w:lang w:bidi="ar"/>
        </w:rPr>
        <w:t xml:space="preserve"> be filed with the SEC no later than 120 days after December 31, 2022 and that information is incorporated by reference herein (the “2023 Proxy Statement”).</w:t>
      </w:r>
    </w:p>
    <w:p w14:paraId="4B76392D"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11. Executive Compensation</w:t>
      </w:r>
    </w:p>
    <w:p w14:paraId="4B76392E" w14:textId="77777777" w:rsidR="0099058F" w:rsidRDefault="00EB2559">
      <w:pPr>
        <w:widowControl/>
        <w:rPr>
          <w:rFonts w:ascii="宋体" w:eastAsia="宋体" w:hAnsi="宋体" w:cs="宋体"/>
          <w:kern w:val="0"/>
          <w:sz w:val="24"/>
        </w:rPr>
      </w:pPr>
      <w:r>
        <w:rPr>
          <w:rFonts w:ascii="Arial" w:eastAsia="宋体" w:hAnsi="Arial" w:cs="Arial"/>
          <w:color w:val="000000"/>
          <w:kern w:val="0"/>
          <w:sz w:val="20"/>
          <w:szCs w:val="20"/>
          <w:lang w:bidi="ar"/>
        </w:rPr>
        <w:t>The information required by this item will be included under the ca</w:t>
      </w:r>
      <w:r>
        <w:rPr>
          <w:rFonts w:ascii="Arial" w:eastAsia="宋体" w:hAnsi="Arial" w:cs="Arial"/>
          <w:color w:val="000000"/>
          <w:kern w:val="0"/>
          <w:sz w:val="20"/>
          <w:szCs w:val="20"/>
          <w:lang w:bidi="ar"/>
        </w:rPr>
        <w:t>ptions “Compensation Discussion and Analysis,” “Compensation of Executive Officers,” “Compensation of Directors,” in the 2023 Proxy Statement, and that information is incorporated by reference herein.</w:t>
      </w:r>
    </w:p>
    <w:p w14:paraId="4B76392F"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3930"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126</w:t>
      </w:r>
    </w:p>
    <w:p w14:paraId="4B763931" w14:textId="77777777" w:rsidR="0099058F" w:rsidRDefault="00EB2559">
      <w:pPr>
        <w:widowControl/>
        <w:jc w:val="center"/>
      </w:pPr>
      <w:r>
        <w:rPr>
          <w:rFonts w:ascii="宋体" w:eastAsia="宋体" w:hAnsi="宋体" w:cs="宋体"/>
          <w:kern w:val="0"/>
          <w:sz w:val="24"/>
        </w:rPr>
        <w:pict w14:anchorId="4B763C75">
          <v:rect id="_x0000_i1152" style="width:6in;height:1.5pt" o:hralign="center" o:hrstd="t" o:hr="t" fillcolor="#a0a0a0" stroked="f"/>
        </w:pict>
      </w:r>
    </w:p>
    <w:p w14:paraId="4B763932"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933"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12. Security Ownership of Certain Beneficial Owners and Management and Related Stockholder Matters</w:t>
      </w:r>
    </w:p>
    <w:p w14:paraId="4B763934" w14:textId="77777777" w:rsidR="0099058F" w:rsidRDefault="00EB255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Equity Compensation Plan Information</w:t>
      </w:r>
    </w:p>
    <w:p w14:paraId="4B763935"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Our equity </w:t>
      </w:r>
      <w:r>
        <w:rPr>
          <w:rFonts w:ascii="Arial" w:eastAsia="宋体" w:hAnsi="Arial" w:cs="Arial"/>
          <w:color w:val="000000"/>
          <w:kern w:val="0"/>
          <w:sz w:val="20"/>
          <w:szCs w:val="20"/>
          <w:lang w:bidi="ar"/>
        </w:rPr>
        <w:t>compensation plans approved by our shareholders provide for the issuance of common stock to officers and other employees, directors and consultants. The following table sets forth information regarding outstanding options and units, and shares available fo</w:t>
      </w:r>
      <w:r>
        <w:rPr>
          <w:rFonts w:ascii="Arial" w:eastAsia="宋体" w:hAnsi="Arial" w:cs="Arial"/>
          <w:color w:val="000000"/>
          <w:kern w:val="0"/>
          <w:sz w:val="20"/>
          <w:szCs w:val="20"/>
          <w:lang w:bidi="ar"/>
        </w:rPr>
        <w:t>r future issuance under these plans as of December 31, 2022:</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5"/>
        <w:gridCol w:w="2595"/>
        <w:gridCol w:w="38"/>
        <w:gridCol w:w="87"/>
        <w:gridCol w:w="1535"/>
        <w:gridCol w:w="36"/>
        <w:gridCol w:w="36"/>
        <w:gridCol w:w="36"/>
        <w:gridCol w:w="36"/>
        <w:gridCol w:w="89"/>
        <w:gridCol w:w="1578"/>
        <w:gridCol w:w="36"/>
        <w:gridCol w:w="36"/>
        <w:gridCol w:w="36"/>
        <w:gridCol w:w="36"/>
        <w:gridCol w:w="88"/>
        <w:gridCol w:w="1957"/>
        <w:gridCol w:w="36"/>
      </w:tblGrid>
      <w:tr w:rsidR="0099058F" w14:paraId="4B763948" w14:textId="77777777">
        <w:tc>
          <w:tcPr>
            <w:tcW w:w="50" w:type="pct"/>
            <w:tcBorders>
              <w:top w:val="nil"/>
              <w:left w:val="nil"/>
              <w:bottom w:val="nil"/>
              <w:right w:val="nil"/>
            </w:tcBorders>
            <w:shd w:val="clear" w:color="auto" w:fill="auto"/>
            <w:vAlign w:val="bottom"/>
          </w:tcPr>
          <w:p w14:paraId="4B763936" w14:textId="77777777" w:rsidR="0099058F" w:rsidRDefault="0099058F">
            <w:pPr>
              <w:widowControl/>
              <w:jc w:val="left"/>
              <w:rPr>
                <w:rFonts w:ascii="Times New Roman" w:eastAsia="宋体" w:hAnsi="宋体" w:cs="宋体"/>
                <w:kern w:val="0"/>
                <w:sz w:val="24"/>
              </w:rPr>
            </w:pPr>
          </w:p>
        </w:tc>
        <w:tc>
          <w:tcPr>
            <w:tcW w:w="1798" w:type="pct"/>
            <w:tcBorders>
              <w:top w:val="nil"/>
              <w:left w:val="nil"/>
              <w:bottom w:val="nil"/>
              <w:right w:val="nil"/>
            </w:tcBorders>
            <w:shd w:val="clear" w:color="auto" w:fill="auto"/>
            <w:vAlign w:val="bottom"/>
          </w:tcPr>
          <w:p w14:paraId="4B76393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38"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39" w14:textId="77777777" w:rsidR="0099058F" w:rsidRDefault="0099058F">
            <w:pPr>
              <w:widowControl/>
              <w:jc w:val="left"/>
              <w:rPr>
                <w:rFonts w:ascii="Times New Roman" w:eastAsia="宋体" w:hAnsi="宋体" w:cs="宋体"/>
                <w:kern w:val="0"/>
                <w:sz w:val="24"/>
              </w:rPr>
            </w:pPr>
          </w:p>
        </w:tc>
        <w:tc>
          <w:tcPr>
            <w:tcW w:w="892" w:type="pct"/>
            <w:tcBorders>
              <w:top w:val="nil"/>
              <w:left w:val="nil"/>
              <w:bottom w:val="nil"/>
              <w:right w:val="nil"/>
            </w:tcBorders>
            <w:shd w:val="clear" w:color="auto" w:fill="auto"/>
            <w:vAlign w:val="bottom"/>
          </w:tcPr>
          <w:p w14:paraId="4B76393A"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3B"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3C"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93D"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3E"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3F" w14:textId="77777777" w:rsidR="0099058F" w:rsidRDefault="0099058F">
            <w:pPr>
              <w:widowControl/>
              <w:jc w:val="left"/>
              <w:rPr>
                <w:rFonts w:ascii="Times New Roman" w:eastAsia="宋体" w:hAnsi="宋体" w:cs="宋体"/>
                <w:kern w:val="0"/>
                <w:sz w:val="24"/>
              </w:rPr>
            </w:pPr>
          </w:p>
        </w:tc>
        <w:tc>
          <w:tcPr>
            <w:tcW w:w="892" w:type="pct"/>
            <w:tcBorders>
              <w:top w:val="nil"/>
              <w:left w:val="nil"/>
              <w:bottom w:val="nil"/>
              <w:right w:val="nil"/>
            </w:tcBorders>
            <w:shd w:val="clear" w:color="auto" w:fill="auto"/>
            <w:vAlign w:val="bottom"/>
          </w:tcPr>
          <w:p w14:paraId="4B763940"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4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42" w14:textId="77777777" w:rsidR="0099058F" w:rsidRDefault="0099058F">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B763943"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44"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45" w14:textId="77777777" w:rsidR="0099058F" w:rsidRDefault="0099058F">
            <w:pPr>
              <w:widowControl/>
              <w:jc w:val="left"/>
              <w:rPr>
                <w:rFonts w:ascii="Times New Roman" w:eastAsia="宋体" w:hAnsi="宋体" w:cs="宋体"/>
                <w:kern w:val="0"/>
                <w:sz w:val="24"/>
              </w:rPr>
            </w:pPr>
          </w:p>
        </w:tc>
        <w:tc>
          <w:tcPr>
            <w:tcW w:w="1113" w:type="pct"/>
            <w:tcBorders>
              <w:top w:val="nil"/>
              <w:left w:val="nil"/>
              <w:bottom w:val="nil"/>
              <w:right w:val="nil"/>
            </w:tcBorders>
            <w:shd w:val="clear" w:color="auto" w:fill="auto"/>
            <w:vAlign w:val="bottom"/>
          </w:tcPr>
          <w:p w14:paraId="4B76394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47" w14:textId="77777777" w:rsidR="0099058F" w:rsidRDefault="0099058F">
            <w:pPr>
              <w:widowControl/>
              <w:jc w:val="left"/>
              <w:rPr>
                <w:rFonts w:ascii="Times New Roman" w:eastAsia="宋体" w:hAnsi="宋体" w:cs="宋体"/>
                <w:kern w:val="0"/>
                <w:sz w:val="24"/>
              </w:rPr>
            </w:pPr>
          </w:p>
        </w:tc>
      </w:tr>
      <w:tr w:rsidR="0099058F" w14:paraId="4B7639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949"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Plan Category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94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Number of shares</w:t>
            </w:r>
            <w:r>
              <w:rPr>
                <w:rFonts w:ascii="Arial" w:eastAsia="宋体" w:hAnsi="Arial" w:cs="Arial"/>
                <w:color w:val="000000"/>
                <w:kern w:val="0"/>
                <w:sz w:val="20"/>
                <w:szCs w:val="20"/>
                <w:lang w:bidi="ar"/>
              </w:rPr>
              <w:br/>
              <w:t>to be issued upon exercise of outstanding</w:t>
            </w:r>
            <w:r>
              <w:rPr>
                <w:rFonts w:ascii="Arial" w:eastAsia="宋体" w:hAnsi="Arial" w:cs="Arial"/>
                <w:color w:val="000000"/>
                <w:kern w:val="0"/>
                <w:sz w:val="20"/>
                <w:szCs w:val="20"/>
                <w:lang w:bidi="ar"/>
              </w:rPr>
              <w:br/>
              <w:t>options and units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94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Weighted-average</w:t>
            </w:r>
            <w:r>
              <w:rPr>
                <w:rFonts w:ascii="Arial" w:eastAsia="宋体" w:hAnsi="Arial" w:cs="Arial"/>
                <w:color w:val="000000"/>
                <w:kern w:val="0"/>
                <w:sz w:val="20"/>
                <w:szCs w:val="20"/>
                <w:lang w:bidi="ar"/>
              </w:rPr>
              <w:br/>
              <w:t>exercise price of</w:t>
            </w:r>
            <w:r>
              <w:rPr>
                <w:rFonts w:ascii="Arial" w:eastAsia="宋体" w:hAnsi="Arial" w:cs="Arial"/>
                <w:color w:val="000000"/>
                <w:kern w:val="0"/>
                <w:sz w:val="20"/>
                <w:szCs w:val="20"/>
                <w:lang w:bidi="ar"/>
              </w:rPr>
              <w:br/>
              <w:t>outstanding</w:t>
            </w:r>
            <w:r>
              <w:rPr>
                <w:rFonts w:ascii="Arial" w:eastAsia="宋体" w:hAnsi="Arial" w:cs="Arial"/>
                <w:color w:val="000000"/>
                <w:kern w:val="0"/>
                <w:sz w:val="20"/>
                <w:szCs w:val="20"/>
                <w:lang w:bidi="ar"/>
              </w:rPr>
              <w:br/>
              <w:t>options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4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94E"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Number of securities</w:t>
            </w:r>
            <w:r>
              <w:rPr>
                <w:rFonts w:ascii="Arial" w:eastAsia="宋体" w:hAnsi="Arial" w:cs="Arial"/>
                <w:color w:val="000000"/>
                <w:kern w:val="0"/>
                <w:sz w:val="20"/>
                <w:szCs w:val="20"/>
                <w:lang w:bidi="ar"/>
              </w:rPr>
              <w:br/>
              <w:t>remaining available for</w:t>
            </w:r>
            <w:r>
              <w:rPr>
                <w:rFonts w:ascii="Arial" w:eastAsia="宋体" w:hAnsi="Arial" w:cs="Arial"/>
                <w:color w:val="000000"/>
                <w:kern w:val="0"/>
                <w:sz w:val="20"/>
                <w:szCs w:val="20"/>
                <w:lang w:bidi="ar"/>
              </w:rPr>
              <w:br/>
              <w:t>future issuance under</w:t>
            </w:r>
            <w:r>
              <w:rPr>
                <w:rFonts w:ascii="Arial" w:eastAsia="宋体" w:hAnsi="Arial" w:cs="Arial"/>
                <w:color w:val="000000"/>
                <w:kern w:val="0"/>
                <w:sz w:val="20"/>
                <w:szCs w:val="20"/>
                <w:lang w:bidi="ar"/>
              </w:rPr>
              <w:br/>
              <w:t>equity compensation</w:t>
            </w:r>
            <w:r>
              <w:rPr>
                <w:rFonts w:ascii="Arial" w:eastAsia="宋体" w:hAnsi="Arial" w:cs="Arial"/>
                <w:color w:val="000000"/>
                <w:kern w:val="0"/>
                <w:sz w:val="20"/>
                <w:szCs w:val="20"/>
                <w:lang w:bidi="ar"/>
              </w:rPr>
              <w:br/>
              <w:t>plans (excluding</w:t>
            </w:r>
            <w:r>
              <w:rPr>
                <w:rFonts w:ascii="Arial" w:eastAsia="宋体" w:hAnsi="Arial" w:cs="Arial"/>
                <w:color w:val="000000"/>
                <w:kern w:val="0"/>
                <w:sz w:val="20"/>
                <w:szCs w:val="20"/>
                <w:lang w:bidi="ar"/>
              </w:rPr>
              <w:br/>
              <w:t>shares reflected</w:t>
            </w:r>
            <w:r>
              <w:rPr>
                <w:rFonts w:ascii="Arial" w:eastAsia="宋体" w:hAnsi="Arial" w:cs="Arial"/>
                <w:color w:val="000000"/>
                <w:kern w:val="0"/>
                <w:sz w:val="20"/>
                <w:szCs w:val="20"/>
                <w:lang w:bidi="ar"/>
              </w:rPr>
              <w:br/>
              <w:t>in column (a))</w:t>
            </w:r>
          </w:p>
        </w:tc>
      </w:tr>
      <w:tr w:rsidR="0099058F" w14:paraId="4B76395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950"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951"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952"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953"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B763954"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955"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r>
      <w:tr w:rsidR="0099058F" w14:paraId="4B76395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B763957"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compensation plans approved by shareholders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958"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959"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95A"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95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B76395C" w14:textId="77777777" w:rsidR="0099058F" w:rsidRDefault="0099058F">
            <w:pPr>
              <w:widowControl/>
              <w:jc w:val="left"/>
              <w:rPr>
                <w:rFonts w:ascii="Times New Roman" w:eastAsia="宋体" w:hAnsi="宋体" w:cs="宋体"/>
                <w:kern w:val="0"/>
                <w:sz w:val="24"/>
              </w:rPr>
            </w:pPr>
          </w:p>
        </w:tc>
      </w:tr>
      <w:tr w:rsidR="0099058F" w14:paraId="4B76396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B76395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95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1,390,769 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960"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61" w14:textId="77777777" w:rsidR="0099058F" w:rsidRDefault="0099058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96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96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65" w14:textId="77777777" w:rsidR="0099058F" w:rsidRDefault="0099058F">
            <w:pPr>
              <w:widowControl/>
              <w:jc w:val="left"/>
              <w:rPr>
                <w:rFonts w:ascii="Times New Roman" w:eastAsia="宋体" w:hAnsi="宋体" w:cs="宋体"/>
                <w:kern w:val="0"/>
                <w:sz w:val="24"/>
              </w:rPr>
            </w:pPr>
          </w:p>
        </w:tc>
      </w:tr>
      <w:tr w:rsidR="0099058F" w14:paraId="4B76396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B76396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B76396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671,837 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B763969"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6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6D" w14:textId="77777777" w:rsidR="0099058F" w:rsidRDefault="0099058F">
            <w:pPr>
              <w:widowControl/>
              <w:jc w:val="left"/>
              <w:rPr>
                <w:rFonts w:ascii="Times New Roman" w:eastAsia="宋体" w:hAnsi="宋体" w:cs="宋体"/>
                <w:kern w:val="0"/>
                <w:sz w:val="24"/>
              </w:rPr>
            </w:pPr>
          </w:p>
        </w:tc>
      </w:tr>
      <w:tr w:rsidR="0099058F" w14:paraId="4B7639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B76396F"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stock units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B763970"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11,870,813 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B763971" w14:textId="77777777" w:rsidR="0099058F" w:rsidRDefault="0099058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7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7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7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B763975" w14:textId="77777777" w:rsidR="0099058F" w:rsidRDefault="0099058F">
            <w:pPr>
              <w:widowControl/>
              <w:jc w:val="left"/>
              <w:rPr>
                <w:rFonts w:ascii="Times New Roman" w:eastAsia="宋体" w:hAnsi="宋体" w:cs="宋体"/>
                <w:kern w:val="0"/>
                <w:sz w:val="24"/>
              </w:rPr>
            </w:pPr>
          </w:p>
        </w:tc>
      </w:tr>
      <w:tr w:rsidR="0099058F" w14:paraId="4B76397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977" w14:textId="77777777" w:rsidR="0099058F" w:rsidRDefault="00EB255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compensation plans not approved by shareholders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978"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7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97A"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B76397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B76397C"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r>
      <w:tr w:rsidR="0099058F" w14:paraId="4B76398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B76397E"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13"/>
                <w:szCs w:val="13"/>
                <w:lang w:bidi="ar"/>
              </w:rPr>
              <w:t>(2)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97F"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13,933,419 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980" w14:textId="77777777" w:rsidR="0099058F" w:rsidRDefault="0099058F">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981"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98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98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B763984" w14:textId="77777777" w:rsidR="0099058F" w:rsidRDefault="0099058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B763985"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3,918,585 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B763986" w14:textId="77777777" w:rsidR="0099058F" w:rsidRDefault="0099058F">
            <w:pPr>
              <w:widowControl/>
              <w:jc w:val="right"/>
              <w:rPr>
                <w:rFonts w:ascii="Times New Roman" w:eastAsia="宋体" w:hAnsi="宋体" w:cs="宋体"/>
                <w:kern w:val="0"/>
                <w:sz w:val="24"/>
              </w:rPr>
            </w:pPr>
          </w:p>
        </w:tc>
      </w:tr>
    </w:tbl>
    <w:p w14:paraId="4B763988" w14:textId="77777777" w:rsidR="0099058F" w:rsidRDefault="00EB2559">
      <w:pPr>
        <w:widowControl/>
        <w:spacing w:after="60"/>
        <w:ind w:left="450" w:hanging="45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Includes 420,412 shares issuable in respect of </w:t>
      </w:r>
      <w:r>
        <w:rPr>
          <w:rFonts w:ascii="Arial" w:eastAsia="宋体" w:hAnsi="Arial" w:cs="Arial"/>
          <w:color w:val="000000"/>
          <w:kern w:val="0"/>
          <w:sz w:val="20"/>
          <w:szCs w:val="20"/>
          <w:lang w:bidi="ar"/>
        </w:rPr>
        <w:t>Performance-Based Restricted Stock Units subject to the satisfaction of performance criteria and assumes payout at maximum levels.</w:t>
      </w:r>
    </w:p>
    <w:p w14:paraId="4B763989" w14:textId="77777777" w:rsidR="0099058F" w:rsidRDefault="00EB2559">
      <w:pPr>
        <w:widowControl/>
        <w:spacing w:after="180"/>
        <w:ind w:left="450" w:hanging="45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Excludes the potential Performance Awards which the Compensation Committee has the discretion to pay in cash, </w:t>
      </w:r>
      <w:r>
        <w:rPr>
          <w:rFonts w:ascii="Arial" w:eastAsia="宋体" w:hAnsi="Arial" w:cs="Arial"/>
          <w:color w:val="000000"/>
          <w:kern w:val="0"/>
          <w:sz w:val="20"/>
          <w:szCs w:val="20"/>
          <w:lang w:bidi="ar"/>
        </w:rPr>
        <w:t>stock or a combination of both after the three-year performance period which ended December 31, 2022.</w:t>
      </w:r>
    </w:p>
    <w:p w14:paraId="4B76398A"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further information, see Note 17 to our Consolidated Financial Statements.</w:t>
      </w:r>
    </w:p>
    <w:p w14:paraId="4B76398B"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additional information required by this item will be included under the</w:t>
      </w:r>
      <w:r>
        <w:rPr>
          <w:rFonts w:ascii="Arial" w:eastAsia="宋体" w:hAnsi="Arial" w:cs="Arial"/>
          <w:color w:val="000000"/>
          <w:kern w:val="0"/>
          <w:sz w:val="20"/>
          <w:szCs w:val="20"/>
          <w:lang w:bidi="ar"/>
        </w:rPr>
        <w:t xml:space="preserve"> caption “Stock Ownership Information” in the 2023 Proxy Statement, and that information is incorporated by reference herein.</w:t>
      </w:r>
    </w:p>
    <w:p w14:paraId="4B76398C"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13. Certain Relationships and Related Transactions, and Director Independence</w:t>
      </w:r>
    </w:p>
    <w:p w14:paraId="4B76398D"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information required by this item will be i</w:t>
      </w:r>
      <w:r>
        <w:rPr>
          <w:rFonts w:ascii="Arial" w:eastAsia="宋体" w:hAnsi="Arial" w:cs="Arial"/>
          <w:color w:val="000000"/>
          <w:kern w:val="0"/>
          <w:sz w:val="20"/>
          <w:szCs w:val="20"/>
          <w:lang w:bidi="ar"/>
        </w:rPr>
        <w:t>ncluded under the captions “Related Person Transactions” and “Director Independence” in the 2023 Proxy Statement, and that information is incorporated by reference herein.</w:t>
      </w:r>
    </w:p>
    <w:p w14:paraId="4B76398E"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14. Principal Accountant Fees and Services</w:t>
      </w:r>
    </w:p>
    <w:p w14:paraId="4B76398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independent registered public ac</w:t>
      </w:r>
      <w:r>
        <w:rPr>
          <w:rFonts w:ascii="Arial" w:eastAsia="宋体" w:hAnsi="Arial" w:cs="Arial"/>
          <w:color w:val="000000"/>
          <w:kern w:val="0"/>
          <w:sz w:val="20"/>
          <w:szCs w:val="20"/>
          <w:lang w:bidi="ar"/>
        </w:rPr>
        <w:t xml:space="preserve">counting firm is Deloitte &amp; Touche LLP (PCAOB ID No. 34). </w:t>
      </w:r>
    </w:p>
    <w:p w14:paraId="4B763990"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information required by this item will be included under the caption “Independent Auditor Fees” in the 2023 Proxy Statement, and that information is incorporated by reference herein.</w:t>
      </w:r>
    </w:p>
    <w:p w14:paraId="4B763991"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B76399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127</w:t>
      </w:r>
    </w:p>
    <w:p w14:paraId="4B763993" w14:textId="77777777" w:rsidR="0099058F" w:rsidRDefault="00EB2559">
      <w:pPr>
        <w:widowControl/>
        <w:jc w:val="center"/>
      </w:pPr>
      <w:r>
        <w:rPr>
          <w:rFonts w:ascii="宋体" w:eastAsia="宋体" w:hAnsi="宋体" w:cs="宋体"/>
          <w:kern w:val="0"/>
          <w:sz w:val="24"/>
        </w:rPr>
        <w:pict w14:anchorId="4B763C76">
          <v:rect id="_x0000_i1153" style="width:6in;height:1.5pt" o:hralign="center" o:hrstd="t" o:hr="t" fillcolor="#a0a0a0" stroked="f"/>
        </w:pict>
      </w:r>
    </w:p>
    <w:p w14:paraId="4B76399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995" w14:textId="77777777" w:rsidR="0099058F" w:rsidRDefault="00EB2559">
      <w:pPr>
        <w:widowControl/>
        <w:spacing w:before="300" w:after="3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B763996" w14:textId="77777777" w:rsidR="0099058F" w:rsidRDefault="00EB2559">
      <w:pPr>
        <w:widowControl/>
        <w:spacing w:before="300" w:after="300"/>
        <w:jc w:val="center"/>
        <w:rPr>
          <w:rFonts w:ascii="宋体" w:eastAsia="宋体" w:hAnsi="宋体" w:cs="宋体"/>
          <w:kern w:val="0"/>
          <w:sz w:val="24"/>
        </w:rPr>
      </w:pPr>
      <w:r>
        <w:rPr>
          <w:rFonts w:ascii="Arial" w:eastAsia="宋体" w:hAnsi="Arial" w:cs="Arial"/>
          <w:b/>
          <w:bCs/>
          <w:color w:val="000000"/>
          <w:kern w:val="0"/>
          <w:sz w:val="20"/>
          <w:szCs w:val="20"/>
          <w:lang w:bidi="ar"/>
        </w:rPr>
        <w:t>PART IV</w:t>
      </w:r>
    </w:p>
    <w:p w14:paraId="4B763997" w14:textId="77777777" w:rsidR="0099058F" w:rsidRDefault="00EB2559">
      <w:pPr>
        <w:widowControl/>
        <w:spacing w:before="300" w:after="120"/>
        <w:rPr>
          <w:rFonts w:ascii="宋体" w:eastAsia="宋体" w:hAnsi="宋体" w:cs="宋体"/>
          <w:kern w:val="0"/>
          <w:sz w:val="24"/>
        </w:rPr>
      </w:pPr>
      <w:r>
        <w:rPr>
          <w:rFonts w:ascii="Arial" w:eastAsia="宋体" w:hAnsi="Arial" w:cs="Arial"/>
          <w:b/>
          <w:bCs/>
          <w:color w:val="000000"/>
          <w:kern w:val="0"/>
          <w:sz w:val="20"/>
          <w:szCs w:val="20"/>
          <w:lang w:bidi="ar"/>
        </w:rPr>
        <w:t>Item 15. Exhibits and Financial Statement Schedules</w:t>
      </w:r>
    </w:p>
    <w:p w14:paraId="4B763998"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color w:val="000000"/>
          <w:kern w:val="0"/>
          <w:sz w:val="20"/>
          <w:szCs w:val="20"/>
          <w:lang w:bidi="ar"/>
        </w:rPr>
        <w:t>(a)List of documents filed as part of this report:</w:t>
      </w:r>
    </w:p>
    <w:p w14:paraId="4B763999"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1.Finan</w:t>
      </w:r>
      <w:r>
        <w:rPr>
          <w:rFonts w:ascii="Arial" w:eastAsia="宋体" w:hAnsi="Arial" w:cs="Arial"/>
          <w:b/>
          <w:bCs/>
          <w:color w:val="000000"/>
          <w:kern w:val="0"/>
          <w:sz w:val="20"/>
          <w:szCs w:val="20"/>
          <w:lang w:bidi="ar"/>
        </w:rPr>
        <w:t>cial Statements</w:t>
      </w:r>
    </w:p>
    <w:p w14:paraId="4B76399A"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Our consolidated financial statements are as set forth under Item 8 of this report on Form 10-K.</w:t>
      </w:r>
    </w:p>
    <w:p w14:paraId="4B76399B"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2.Financial Statement Schedules</w:t>
      </w:r>
    </w:p>
    <w:p w14:paraId="4B76399C" w14:textId="77777777" w:rsidR="0099058F" w:rsidRDefault="00EB2559">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All schedules are omitted because they are not applicable, not required or the information is included in </w:t>
      </w:r>
      <w:r>
        <w:rPr>
          <w:rFonts w:ascii="Arial" w:eastAsia="宋体" w:hAnsi="Arial" w:cs="Arial"/>
          <w:color w:val="000000"/>
          <w:kern w:val="0"/>
          <w:sz w:val="20"/>
          <w:szCs w:val="20"/>
          <w:lang w:bidi="ar"/>
        </w:rPr>
        <w:t>the consolidated financial statements.</w:t>
      </w:r>
    </w:p>
    <w:p w14:paraId="4B76399D" w14:textId="77777777" w:rsidR="0099058F" w:rsidRDefault="00EB2559">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3.Exhibits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805"/>
        <w:gridCol w:w="36"/>
        <w:gridCol w:w="69"/>
        <w:gridCol w:w="7307"/>
        <w:gridCol w:w="37"/>
      </w:tblGrid>
      <w:tr w:rsidR="0099058F" w14:paraId="4B7639A4" w14:textId="77777777">
        <w:tc>
          <w:tcPr>
            <w:tcW w:w="50" w:type="pct"/>
            <w:tcBorders>
              <w:top w:val="nil"/>
              <w:left w:val="nil"/>
              <w:bottom w:val="nil"/>
              <w:right w:val="nil"/>
            </w:tcBorders>
            <w:shd w:val="clear" w:color="auto" w:fill="auto"/>
            <w:vAlign w:val="bottom"/>
          </w:tcPr>
          <w:p w14:paraId="4B76399E"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399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A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A1" w14:textId="77777777" w:rsidR="0099058F" w:rsidRDefault="0099058F">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B7639A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A3" w14:textId="77777777" w:rsidR="0099058F" w:rsidRDefault="0099058F">
            <w:pPr>
              <w:widowControl/>
              <w:jc w:val="left"/>
              <w:rPr>
                <w:rFonts w:ascii="Times New Roman" w:eastAsia="宋体" w:hAnsi="宋体" w:cs="宋体"/>
                <w:kern w:val="0"/>
                <w:sz w:val="24"/>
              </w:rPr>
            </w:pPr>
          </w:p>
        </w:tc>
      </w:tr>
      <w:tr w:rsidR="0099058F" w14:paraId="4B7639A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A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A6" w14:textId="77777777" w:rsidR="0099058F" w:rsidRDefault="00EB2559">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 xml:space="preserve">Amended and Restated Certificate of Incorporation of The Boeing Company dated May 5, 2006 (Exhibit </w:t>
              </w:r>
              <w:r>
                <w:rPr>
                  <w:rStyle w:val="a4"/>
                  <w:rFonts w:ascii="Arial" w:eastAsia="宋体" w:hAnsi="Arial" w:cs="Arial"/>
                  <w:kern w:val="0"/>
                  <w:sz w:val="20"/>
                  <w:szCs w:val="20"/>
                </w:rPr>
                <w:t>3.1 to the Company’s Current Report on Form 8-K dated May 1, 2006)</w:t>
              </w:r>
            </w:hyperlink>
          </w:p>
        </w:tc>
      </w:tr>
      <w:tr w:rsidR="0099058F" w14:paraId="4B7639A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A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A9" w14:textId="77777777" w:rsidR="0099058F" w:rsidRDefault="0099058F">
            <w:pPr>
              <w:widowControl/>
              <w:jc w:val="left"/>
              <w:rPr>
                <w:rFonts w:ascii="Times New Roman" w:eastAsia="宋体" w:hAnsi="宋体" w:cs="宋体"/>
                <w:kern w:val="0"/>
                <w:sz w:val="24"/>
              </w:rPr>
            </w:pPr>
          </w:p>
        </w:tc>
      </w:tr>
      <w:tr w:rsidR="0099058F" w14:paraId="4B7639A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A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AC" w14:textId="77777777" w:rsidR="0099058F" w:rsidRDefault="00EB2559">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By-Laws of The Boeing Company, as amended and restated, effective June 28, 2022 (Exhibit 3.2 to the Company's Form 10-Q for the quarter ended June 30, 202</w:t>
              </w:r>
              <w:r>
                <w:rPr>
                  <w:rStyle w:val="a4"/>
                  <w:rFonts w:ascii="Arial" w:eastAsia="宋体" w:hAnsi="Arial" w:cs="Arial"/>
                  <w:kern w:val="0"/>
                  <w:sz w:val="20"/>
                  <w:szCs w:val="20"/>
                </w:rPr>
                <w:t>2)</w:t>
              </w:r>
            </w:hyperlink>
          </w:p>
        </w:tc>
      </w:tr>
      <w:tr w:rsidR="0099058F" w14:paraId="4B7639B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AF" w14:textId="77777777" w:rsidR="0099058F" w:rsidRDefault="0099058F">
            <w:pPr>
              <w:widowControl/>
              <w:jc w:val="left"/>
              <w:rPr>
                <w:rFonts w:ascii="Times New Roman" w:eastAsia="宋体" w:hAnsi="宋体" w:cs="宋体"/>
                <w:kern w:val="0"/>
                <w:sz w:val="24"/>
              </w:rPr>
            </w:pPr>
          </w:p>
        </w:tc>
      </w:tr>
      <w:tr w:rsidR="0099058F" w14:paraId="4B7639B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2" w14:textId="77777777" w:rsidR="0099058F" w:rsidRDefault="00EB2559">
            <w:pPr>
              <w:widowControl/>
              <w:jc w:val="left"/>
              <w:textAlignment w:val="top"/>
              <w:rPr>
                <w:rFonts w:ascii="宋体" w:eastAsia="宋体" w:hAnsi="宋体" w:cs="宋体"/>
                <w:kern w:val="0"/>
                <w:sz w:val="24"/>
              </w:rPr>
            </w:pPr>
            <w:hyperlink r:id="rId8" w:history="1">
              <w:r>
                <w:rPr>
                  <w:rStyle w:val="a4"/>
                  <w:rFonts w:ascii="Arial" w:eastAsia="宋体" w:hAnsi="Arial" w:cs="Arial"/>
                  <w:kern w:val="0"/>
                  <w:sz w:val="20"/>
                  <w:szCs w:val="20"/>
                </w:rPr>
                <w:t>Description of The Boeing Company Securities Registered under Section 12 of the Exchange Act (Exhibit 4.1 to the Company’s Form 10-K for</w:t>
              </w:r>
              <w:r>
                <w:rPr>
                  <w:rStyle w:val="a4"/>
                  <w:rFonts w:ascii="Arial" w:eastAsia="宋体" w:hAnsi="Arial" w:cs="Arial"/>
                  <w:kern w:val="0"/>
                  <w:sz w:val="20"/>
                  <w:szCs w:val="20"/>
                </w:rPr>
                <w:t xml:space="preserve"> the year ended December 31, 2019)</w:t>
              </w:r>
            </w:hyperlink>
          </w:p>
        </w:tc>
      </w:tr>
      <w:tr w:rsidR="0099058F" w14:paraId="4B7639B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B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B5" w14:textId="77777777" w:rsidR="0099058F" w:rsidRDefault="0099058F">
            <w:pPr>
              <w:widowControl/>
              <w:jc w:val="left"/>
              <w:rPr>
                <w:rFonts w:ascii="Times New Roman" w:eastAsia="宋体" w:hAnsi="宋体" w:cs="宋体"/>
                <w:kern w:val="0"/>
                <w:sz w:val="24"/>
              </w:rPr>
            </w:pPr>
          </w:p>
        </w:tc>
      </w:tr>
      <w:tr w:rsidR="0099058F" w14:paraId="4B7639B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8" w14:textId="77777777" w:rsidR="0099058F" w:rsidRDefault="00EB2559">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 xml:space="preserve">364-Day Credit Agreement, dated as of August 25, 2022, among The Boeing Company for itself and on behalf of </w:t>
              </w:r>
              <w:r>
                <w:rPr>
                  <w:rStyle w:val="a4"/>
                  <w:rFonts w:ascii="Arial" w:eastAsia="宋体" w:hAnsi="Arial" w:cs="Arial"/>
                  <w:kern w:val="0"/>
                  <w:sz w:val="20"/>
                  <w:szCs w:val="20"/>
                </w:rPr>
                <w:t>its Subsidiaries, as a Borrower, the Lenders party hereto, Citibank, N.A., as administrative agent, JPMorgan Chase Bank, N.A. as syndication agent and Citibank, N.A. and JPMorgan Chase Bank N.A., as joint lead arrangers and joint book managers (Exhibit 10.</w:t>
              </w:r>
              <w:r>
                <w:rPr>
                  <w:rStyle w:val="a4"/>
                  <w:rFonts w:ascii="Arial" w:eastAsia="宋体" w:hAnsi="Arial" w:cs="Arial"/>
                  <w:kern w:val="0"/>
                  <w:sz w:val="20"/>
                  <w:szCs w:val="20"/>
                </w:rPr>
                <w:t>1 to the Company’s Current Report on Form 8-K, dated August 25, 2022)</w:t>
              </w:r>
            </w:hyperlink>
          </w:p>
        </w:tc>
      </w:tr>
      <w:tr w:rsidR="0099058F" w14:paraId="4B7639B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B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BB" w14:textId="77777777" w:rsidR="0099058F" w:rsidRDefault="0099058F">
            <w:pPr>
              <w:widowControl/>
              <w:jc w:val="left"/>
              <w:rPr>
                <w:rFonts w:ascii="Times New Roman" w:eastAsia="宋体" w:hAnsi="宋体" w:cs="宋体"/>
                <w:kern w:val="0"/>
                <w:sz w:val="24"/>
              </w:rPr>
            </w:pPr>
          </w:p>
        </w:tc>
      </w:tr>
      <w:tr w:rsidR="0099058F" w14:paraId="4B7639B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BE" w14:textId="77777777" w:rsidR="0099058F" w:rsidRDefault="00EB2559">
            <w:pPr>
              <w:widowControl/>
              <w:jc w:val="left"/>
              <w:textAlignment w:val="top"/>
              <w:rPr>
                <w:rFonts w:ascii="宋体" w:eastAsia="宋体" w:hAnsi="宋体" w:cs="宋体"/>
                <w:kern w:val="0"/>
                <w:sz w:val="24"/>
              </w:rPr>
            </w:pPr>
            <w:hyperlink r:id="rId10" w:history="1">
              <w:r>
                <w:rPr>
                  <w:rStyle w:val="a4"/>
                  <w:rFonts w:ascii="Arial" w:eastAsia="宋体" w:hAnsi="Arial" w:cs="Arial"/>
                  <w:kern w:val="0"/>
                  <w:sz w:val="20"/>
                  <w:szCs w:val="20"/>
                </w:rPr>
                <w:t>Three-Year Credit Agreement, dated as of August 25, 2022, among The Boeing Company for itself and on behalf of its Subsidiaries, as a Borrower, the Lenders part</w:t>
              </w:r>
              <w:r>
                <w:rPr>
                  <w:rStyle w:val="a4"/>
                  <w:rFonts w:ascii="Arial" w:eastAsia="宋体" w:hAnsi="Arial" w:cs="Arial"/>
                  <w:kern w:val="0"/>
                  <w:sz w:val="20"/>
                  <w:szCs w:val="20"/>
                </w:rPr>
                <w:t xml:space="preserve">y hereto, Citibank, N.A., as administrative agent, JPMorgan Chase Bank, N.A., as syndication agent and Citibank, N.A. and JPMorgan Chase Bank, N.A., as joint lead arrangers and joint book managers (Exhibit 10.2 to the Company’s Current Report on Form 8-K, </w:t>
              </w:r>
              <w:r>
                <w:rPr>
                  <w:rStyle w:val="a4"/>
                  <w:rFonts w:ascii="Arial" w:eastAsia="宋体" w:hAnsi="Arial" w:cs="Arial"/>
                  <w:kern w:val="0"/>
                  <w:sz w:val="20"/>
                  <w:szCs w:val="20"/>
                </w:rPr>
                <w:t>dated August 25, 2022)</w:t>
              </w:r>
            </w:hyperlink>
          </w:p>
        </w:tc>
      </w:tr>
      <w:tr w:rsidR="0099058F" w14:paraId="4B7639C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1" w14:textId="77777777" w:rsidR="0099058F" w:rsidRDefault="0099058F">
            <w:pPr>
              <w:widowControl/>
              <w:jc w:val="left"/>
              <w:rPr>
                <w:rFonts w:ascii="Times New Roman" w:eastAsia="宋体" w:hAnsi="宋体" w:cs="宋体"/>
                <w:kern w:val="0"/>
                <w:sz w:val="24"/>
              </w:rPr>
            </w:pPr>
          </w:p>
        </w:tc>
      </w:tr>
      <w:tr w:rsidR="0099058F" w14:paraId="4B7639C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C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C4" w14:textId="77777777" w:rsidR="0099058F" w:rsidRDefault="00EB2559">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 xml:space="preserve">Five-Year Credit Agreement, dated as of October 30, 2019, among The Boeing Company, for itself and on behalf of its </w:t>
              </w:r>
              <w:r>
                <w:rPr>
                  <w:rStyle w:val="a4"/>
                  <w:rFonts w:ascii="Arial" w:eastAsia="宋体" w:hAnsi="Arial" w:cs="Arial"/>
                  <w:kern w:val="0"/>
                  <w:sz w:val="20"/>
                  <w:szCs w:val="20"/>
                </w:rPr>
                <w:t>Subsidiaries, as a Borrower, the Lenders party hereto, Citibank, N.A., as administrative agent, JPMorgan Chase Bank, N.A., as syndication agent and Citibank N.A. and JPMorgan Chase Bank, N.A., as joint lead arrangers and joint book managers (Exhibit 10.2 t</w:t>
              </w:r>
              <w:r>
                <w:rPr>
                  <w:rStyle w:val="a4"/>
                  <w:rFonts w:ascii="Arial" w:eastAsia="宋体" w:hAnsi="Arial" w:cs="Arial"/>
                  <w:kern w:val="0"/>
                  <w:sz w:val="20"/>
                  <w:szCs w:val="20"/>
                </w:rPr>
                <w:t>o the Company’s Current Report on Form 8-K dated October 30, 2019</w:t>
              </w:r>
            </w:hyperlink>
          </w:p>
        </w:tc>
      </w:tr>
      <w:tr w:rsidR="0099058F" w14:paraId="4B7639C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7" w14:textId="77777777" w:rsidR="0099058F" w:rsidRDefault="0099058F">
            <w:pPr>
              <w:widowControl/>
              <w:jc w:val="left"/>
              <w:rPr>
                <w:rFonts w:ascii="Times New Roman" w:eastAsia="宋体" w:hAnsi="宋体" w:cs="宋体"/>
                <w:kern w:val="0"/>
                <w:sz w:val="24"/>
              </w:rPr>
            </w:pPr>
          </w:p>
        </w:tc>
      </w:tr>
      <w:tr w:rsidR="0099058F" w14:paraId="4B7639C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C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CA" w14:textId="77777777" w:rsidR="0099058F" w:rsidRDefault="00EB2559">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 xml:space="preserve">Amendment No. 1, dated as of August 25, 2022, to Five-Year Credit Agreement, dated as of October 30, 2019, among The Boeing Company for itself and on behalf of </w:t>
              </w:r>
              <w:r>
                <w:rPr>
                  <w:rStyle w:val="a4"/>
                  <w:rFonts w:ascii="Arial" w:eastAsia="宋体" w:hAnsi="Arial" w:cs="Arial"/>
                  <w:kern w:val="0"/>
                  <w:sz w:val="20"/>
                  <w:szCs w:val="20"/>
                </w:rPr>
                <w:t>its Subsidiaries, as a Borrower, the Lenders party hereto, Citibank, N.A., as administrative agent, JPMorgan Chase Bank, N.A., as syndication agent and Citibank N.A. and JPMorgan Chase Bank, N.A., as joint lead arrangers and joint book managers (Exhibit 10</w:t>
              </w:r>
              <w:r>
                <w:rPr>
                  <w:rStyle w:val="a4"/>
                  <w:rFonts w:ascii="Arial" w:eastAsia="宋体" w:hAnsi="Arial" w:cs="Arial"/>
                  <w:kern w:val="0"/>
                  <w:sz w:val="20"/>
                  <w:szCs w:val="20"/>
                </w:rPr>
                <w:t>.3 to the Company’s Current Report on Form 8-K, dated August 25, 2022)</w:t>
              </w:r>
            </w:hyperlink>
          </w:p>
        </w:tc>
      </w:tr>
      <w:tr w:rsidR="0099058F" w14:paraId="4B7639C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CD" w14:textId="77777777" w:rsidR="0099058F" w:rsidRDefault="0099058F">
            <w:pPr>
              <w:widowControl/>
              <w:jc w:val="left"/>
              <w:rPr>
                <w:rFonts w:ascii="Times New Roman" w:eastAsia="宋体" w:hAnsi="宋体" w:cs="宋体"/>
                <w:kern w:val="0"/>
                <w:sz w:val="24"/>
              </w:rPr>
            </w:pPr>
          </w:p>
        </w:tc>
      </w:tr>
      <w:tr w:rsidR="0099058F" w14:paraId="4B7639D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C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D0" w14:textId="77777777" w:rsidR="0099058F" w:rsidRDefault="00EB2559">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Joint Venture Master Agreement, dated as of May 2, 2005, by and among Lockheed Martin</w:t>
              </w:r>
              <w:r>
                <w:rPr>
                  <w:rStyle w:val="a4"/>
                  <w:rFonts w:ascii="Arial" w:eastAsia="宋体" w:hAnsi="Arial" w:cs="Arial"/>
                  <w:kern w:val="0"/>
                  <w:sz w:val="20"/>
                  <w:szCs w:val="20"/>
                </w:rPr>
                <w:t xml:space="preserve"> Corporation, The Boeing Company and United Launch Alliance, L.L.C. (Exhibit (10)(i) to the Company’s Form 10-Q for the quarter ended June 30, 2005)</w:t>
              </w:r>
            </w:hyperlink>
          </w:p>
        </w:tc>
      </w:tr>
    </w:tbl>
    <w:p w14:paraId="4B7639D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128</w:t>
      </w:r>
    </w:p>
    <w:p w14:paraId="4B7639D3" w14:textId="77777777" w:rsidR="0099058F" w:rsidRDefault="00EB2559">
      <w:pPr>
        <w:widowControl/>
        <w:jc w:val="center"/>
      </w:pPr>
      <w:r>
        <w:rPr>
          <w:rFonts w:ascii="宋体" w:eastAsia="宋体" w:hAnsi="宋体" w:cs="宋体"/>
          <w:kern w:val="0"/>
          <w:sz w:val="24"/>
        </w:rPr>
        <w:pict w14:anchorId="4B763C77">
          <v:rect id="_x0000_i1154" style="width:6in;height:1.5pt" o:hralign="center" o:hrstd="t" o:hr="t" fillcolor="#a0a0a0" stroked="f"/>
        </w:pict>
      </w:r>
    </w:p>
    <w:p w14:paraId="4B7639D4"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805"/>
        <w:gridCol w:w="36"/>
        <w:gridCol w:w="69"/>
        <w:gridCol w:w="7307"/>
        <w:gridCol w:w="37"/>
      </w:tblGrid>
      <w:tr w:rsidR="0099058F" w14:paraId="4B7639DB" w14:textId="77777777">
        <w:tc>
          <w:tcPr>
            <w:tcW w:w="50" w:type="pct"/>
            <w:tcBorders>
              <w:top w:val="nil"/>
              <w:left w:val="nil"/>
              <w:bottom w:val="nil"/>
              <w:right w:val="nil"/>
            </w:tcBorders>
            <w:shd w:val="clear" w:color="auto" w:fill="auto"/>
            <w:vAlign w:val="bottom"/>
          </w:tcPr>
          <w:p w14:paraId="4B7639D5"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39D6"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D7"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9D8" w14:textId="77777777" w:rsidR="0099058F" w:rsidRDefault="0099058F">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B7639D9"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9DA" w14:textId="77777777" w:rsidR="0099058F" w:rsidRDefault="0099058F">
            <w:pPr>
              <w:widowControl/>
              <w:jc w:val="left"/>
              <w:rPr>
                <w:rFonts w:ascii="Times New Roman" w:eastAsia="宋体" w:hAnsi="宋体" w:cs="宋体"/>
                <w:kern w:val="0"/>
                <w:sz w:val="24"/>
              </w:rPr>
            </w:pPr>
          </w:p>
        </w:tc>
      </w:tr>
      <w:tr w:rsidR="0099058F" w14:paraId="4B7639D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D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DD" w14:textId="77777777" w:rsidR="0099058F" w:rsidRDefault="0099058F">
            <w:pPr>
              <w:widowControl/>
              <w:jc w:val="left"/>
              <w:rPr>
                <w:rFonts w:ascii="Times New Roman" w:eastAsia="宋体" w:hAnsi="宋体" w:cs="宋体"/>
                <w:kern w:val="0"/>
                <w:sz w:val="24"/>
              </w:rPr>
            </w:pPr>
          </w:p>
        </w:tc>
      </w:tr>
      <w:tr w:rsidR="0099058F" w14:paraId="4B7639E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D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E0" w14:textId="77777777" w:rsidR="0099058F" w:rsidRDefault="00EB2559">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Delta Inventory Supply Agreement, dated as of December 1, 2006, by and between United Launch Alliance, L.L.C. and The Boeing Company (Exhibit (10)(vi) to the Company’s</w:t>
              </w:r>
              <w:r>
                <w:rPr>
                  <w:rStyle w:val="a4"/>
                  <w:rFonts w:ascii="Arial" w:eastAsia="宋体" w:hAnsi="Arial" w:cs="Arial"/>
                  <w:kern w:val="0"/>
                  <w:sz w:val="20"/>
                  <w:szCs w:val="20"/>
                </w:rPr>
                <w:t xml:space="preserve"> Form 10-K for the year ended December 31, 2006)</w:t>
              </w:r>
            </w:hyperlink>
          </w:p>
        </w:tc>
      </w:tr>
      <w:tr w:rsidR="0099058F" w14:paraId="4B7639E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3" w14:textId="77777777" w:rsidR="0099058F" w:rsidRDefault="0099058F">
            <w:pPr>
              <w:widowControl/>
              <w:jc w:val="left"/>
              <w:rPr>
                <w:rFonts w:ascii="Times New Roman" w:eastAsia="宋体" w:hAnsi="宋体" w:cs="宋体"/>
                <w:kern w:val="0"/>
                <w:sz w:val="24"/>
              </w:rPr>
            </w:pPr>
          </w:p>
        </w:tc>
      </w:tr>
      <w:tr w:rsidR="0099058F" w14:paraId="4B7639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E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E6" w14:textId="77777777" w:rsidR="0099058F" w:rsidRDefault="00EB2559">
            <w:pPr>
              <w:widowControl/>
              <w:jc w:val="left"/>
              <w:textAlignment w:val="top"/>
              <w:rPr>
                <w:rFonts w:ascii="宋体" w:eastAsia="宋体" w:hAnsi="宋体" w:cs="宋体"/>
                <w:kern w:val="0"/>
                <w:sz w:val="24"/>
              </w:rPr>
            </w:pPr>
            <w:hyperlink r:id="rId15" w:history="1">
              <w:r>
                <w:rPr>
                  <w:rStyle w:val="a4"/>
                  <w:rFonts w:ascii="Arial" w:eastAsia="宋体" w:hAnsi="Arial" w:cs="Arial"/>
                  <w:kern w:val="0"/>
                  <w:sz w:val="20"/>
                  <w:szCs w:val="20"/>
                </w:rPr>
                <w:t>Deferred Prosecution Agreement dated January 6, 2021 (Exhibit 10.1 to the Company’s Current Report on Form 8-K dated January 6, 2021)</w:t>
              </w:r>
            </w:hyperlink>
          </w:p>
        </w:tc>
      </w:tr>
      <w:tr w:rsidR="0099058F" w14:paraId="4B7639E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9" w14:textId="77777777" w:rsidR="0099058F" w:rsidRDefault="0099058F">
            <w:pPr>
              <w:widowControl/>
              <w:jc w:val="left"/>
              <w:rPr>
                <w:rFonts w:ascii="Times New Roman" w:eastAsia="宋体" w:hAnsi="宋体" w:cs="宋体"/>
                <w:kern w:val="0"/>
                <w:sz w:val="24"/>
              </w:rPr>
            </w:pPr>
          </w:p>
        </w:tc>
      </w:tr>
      <w:tr w:rsidR="0099058F" w14:paraId="4B7639E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E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EC" w14:textId="77777777" w:rsidR="0099058F" w:rsidRDefault="00EB2559">
            <w:pPr>
              <w:widowControl/>
              <w:jc w:val="left"/>
              <w:textAlignment w:val="top"/>
              <w:rPr>
                <w:rFonts w:ascii="宋体" w:eastAsia="宋体" w:hAnsi="宋体" w:cs="宋体"/>
                <w:kern w:val="0"/>
                <w:sz w:val="24"/>
              </w:rPr>
            </w:pPr>
            <w:hyperlink r:id="rId16" w:history="1">
              <w:r>
                <w:rPr>
                  <w:rStyle w:val="a4"/>
                  <w:rFonts w:ascii="Arial" w:eastAsia="宋体" w:hAnsi="Arial" w:cs="Arial"/>
                  <w:kern w:val="0"/>
                  <w:sz w:val="20"/>
                  <w:szCs w:val="20"/>
                </w:rPr>
                <w:t>Summary of Non employee Director Compensation (Exhibit 10.6 to the Company’s Form 10-K for the year ended December 31, 2019)*</w:t>
              </w:r>
            </w:hyperlink>
          </w:p>
        </w:tc>
      </w:tr>
      <w:tr w:rsidR="0099058F" w14:paraId="4B7639F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EF" w14:textId="77777777" w:rsidR="0099058F" w:rsidRDefault="0099058F">
            <w:pPr>
              <w:widowControl/>
              <w:jc w:val="left"/>
              <w:rPr>
                <w:rFonts w:ascii="Times New Roman" w:eastAsia="宋体" w:hAnsi="宋体" w:cs="宋体"/>
                <w:kern w:val="0"/>
                <w:sz w:val="24"/>
              </w:rPr>
            </w:pPr>
          </w:p>
        </w:tc>
      </w:tr>
      <w:tr w:rsidR="0099058F" w14:paraId="4B7639F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2" w14:textId="77777777" w:rsidR="0099058F" w:rsidRDefault="00EB2559">
            <w:pPr>
              <w:widowControl/>
              <w:textAlignment w:val="top"/>
              <w:rPr>
                <w:rFonts w:ascii="宋体" w:eastAsia="宋体" w:hAnsi="宋体" w:cs="宋体"/>
                <w:kern w:val="0"/>
                <w:sz w:val="24"/>
              </w:rPr>
            </w:pPr>
            <w:hyperlink r:id="rId17" w:history="1">
              <w:r>
                <w:rPr>
                  <w:rStyle w:val="a4"/>
                  <w:rFonts w:ascii="Arial" w:eastAsia="宋体" w:hAnsi="Arial" w:cs="Arial"/>
                  <w:kern w:val="0"/>
                  <w:sz w:val="20"/>
                  <w:szCs w:val="20"/>
                </w:rPr>
                <w:t xml:space="preserve">Deferred Compensation Plan for Directors of The Boeing Company, as amended and restated effective January 1, 2008 (Exhibit 10.2 to the Company’s Current Report on Form </w:t>
              </w:r>
              <w:r>
                <w:rPr>
                  <w:rStyle w:val="a4"/>
                  <w:rFonts w:ascii="Arial" w:eastAsia="宋体" w:hAnsi="Arial" w:cs="Arial"/>
                  <w:kern w:val="0"/>
                  <w:sz w:val="20"/>
                  <w:szCs w:val="20"/>
                </w:rPr>
                <w:t>8-K dated October 28, 2007)*</w:t>
              </w:r>
            </w:hyperlink>
          </w:p>
        </w:tc>
      </w:tr>
      <w:tr w:rsidR="0099058F" w14:paraId="4B7639F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F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F5" w14:textId="77777777" w:rsidR="0099058F" w:rsidRDefault="0099058F">
            <w:pPr>
              <w:widowControl/>
              <w:jc w:val="left"/>
              <w:rPr>
                <w:rFonts w:ascii="Times New Roman" w:eastAsia="宋体" w:hAnsi="宋体" w:cs="宋体"/>
                <w:kern w:val="0"/>
                <w:sz w:val="24"/>
              </w:rPr>
            </w:pPr>
          </w:p>
        </w:tc>
      </w:tr>
      <w:tr w:rsidR="0099058F" w14:paraId="4B7639F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8" w14:textId="77777777" w:rsidR="0099058F" w:rsidRDefault="00EB2559">
            <w:pPr>
              <w:widowControl/>
              <w:jc w:val="left"/>
              <w:textAlignment w:val="top"/>
              <w:rPr>
                <w:rFonts w:ascii="宋体" w:eastAsia="宋体" w:hAnsi="宋体" w:cs="宋体"/>
                <w:kern w:val="0"/>
                <w:sz w:val="24"/>
              </w:rPr>
            </w:pPr>
            <w:hyperlink r:id="rId18" w:history="1">
              <w:r>
                <w:rPr>
                  <w:rStyle w:val="a4"/>
                  <w:rFonts w:ascii="Arial" w:eastAsia="宋体" w:hAnsi="Arial" w:cs="Arial"/>
                  <w:kern w:val="0"/>
                  <w:sz w:val="20"/>
                  <w:szCs w:val="20"/>
                </w:rPr>
                <w:t xml:space="preserve">The Boeing Company Annual Incentive Plan, as amended and restated February 24, 2020 (formerly known as </w:t>
              </w:r>
              <w:r>
                <w:rPr>
                  <w:rStyle w:val="a4"/>
                  <w:rFonts w:ascii="Arial" w:eastAsia="宋体" w:hAnsi="Arial" w:cs="Arial"/>
                  <w:kern w:val="0"/>
                  <w:sz w:val="20"/>
                  <w:szCs w:val="20"/>
                </w:rPr>
                <w:t>the Incentive Compensation Plan for Employees of The Boeing Company and Subsidiaries) (Exhibit 10.2 to the Company’s Form 10-Q for the quarter ended March 31, 2020)*</w:t>
              </w:r>
            </w:hyperlink>
          </w:p>
        </w:tc>
      </w:tr>
      <w:tr w:rsidR="0099058F" w14:paraId="4B7639F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F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9FB" w14:textId="77777777" w:rsidR="0099058F" w:rsidRDefault="0099058F">
            <w:pPr>
              <w:widowControl/>
              <w:jc w:val="left"/>
              <w:rPr>
                <w:rFonts w:ascii="Times New Roman" w:eastAsia="宋体" w:hAnsi="宋体" w:cs="宋体"/>
                <w:kern w:val="0"/>
                <w:sz w:val="24"/>
              </w:rPr>
            </w:pPr>
          </w:p>
        </w:tc>
      </w:tr>
      <w:tr w:rsidR="0099058F" w14:paraId="4B7639F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9FE" w14:textId="77777777" w:rsidR="0099058F" w:rsidRDefault="00EB2559">
            <w:pPr>
              <w:widowControl/>
              <w:textAlignment w:val="top"/>
              <w:rPr>
                <w:rFonts w:ascii="宋体" w:eastAsia="宋体" w:hAnsi="宋体" w:cs="宋体"/>
                <w:kern w:val="0"/>
                <w:sz w:val="24"/>
              </w:rPr>
            </w:pPr>
            <w:hyperlink r:id="rId19" w:history="1">
              <w:r>
                <w:rPr>
                  <w:rStyle w:val="a4"/>
                  <w:rFonts w:ascii="Arial" w:eastAsia="宋体" w:hAnsi="Arial" w:cs="Arial"/>
                  <w:kern w:val="0"/>
                  <w:sz w:val="20"/>
                  <w:szCs w:val="20"/>
                </w:rPr>
                <w:t xml:space="preserve">The Boeing Company 1997 Incentive Stock Plan, as amended effective May 1, 2000 and further amended effective January 1, 2008 (Exhibit 10.5 to the Company’s </w:t>
              </w:r>
              <w:r>
                <w:rPr>
                  <w:rStyle w:val="a4"/>
                  <w:rFonts w:ascii="Arial" w:eastAsia="宋体" w:hAnsi="Arial" w:cs="Arial"/>
                  <w:kern w:val="0"/>
                  <w:sz w:val="20"/>
                  <w:szCs w:val="20"/>
                </w:rPr>
                <w:t>Current Report on Form 8-K dated October 28, 2007)*</w:t>
              </w:r>
            </w:hyperlink>
          </w:p>
        </w:tc>
      </w:tr>
      <w:tr w:rsidR="0099058F" w14:paraId="4B763A0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1" w14:textId="77777777" w:rsidR="0099058F" w:rsidRDefault="0099058F">
            <w:pPr>
              <w:widowControl/>
              <w:jc w:val="left"/>
              <w:rPr>
                <w:rFonts w:ascii="Times New Roman" w:eastAsia="宋体" w:hAnsi="宋体" w:cs="宋体"/>
                <w:kern w:val="0"/>
                <w:sz w:val="24"/>
              </w:rPr>
            </w:pPr>
          </w:p>
        </w:tc>
      </w:tr>
      <w:tr w:rsidR="0099058F" w14:paraId="4B763A0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0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04" w14:textId="77777777" w:rsidR="0099058F" w:rsidRDefault="00EB2559">
            <w:pPr>
              <w:widowControl/>
              <w:textAlignment w:val="top"/>
              <w:rPr>
                <w:rFonts w:ascii="宋体" w:eastAsia="宋体" w:hAnsi="宋体" w:cs="宋体"/>
                <w:kern w:val="0"/>
                <w:sz w:val="24"/>
              </w:rPr>
            </w:pPr>
            <w:hyperlink r:id="rId20" w:history="1">
              <w:r>
                <w:rPr>
                  <w:rStyle w:val="a4"/>
                  <w:rFonts w:ascii="Arial" w:eastAsia="宋体" w:hAnsi="Arial" w:cs="Arial"/>
                  <w:kern w:val="0"/>
                  <w:sz w:val="20"/>
                  <w:szCs w:val="20"/>
                </w:rPr>
                <w:t>Supplemental Executive Retirement Plan for Employees of The Boeing Company, as amended an</w:t>
              </w:r>
              <w:r>
                <w:rPr>
                  <w:rStyle w:val="a4"/>
                  <w:rFonts w:ascii="Arial" w:eastAsia="宋体" w:hAnsi="Arial" w:cs="Arial"/>
                  <w:kern w:val="0"/>
                  <w:sz w:val="20"/>
                  <w:szCs w:val="20"/>
                </w:rPr>
                <w:t>d restated as of January 1, 2016 (Exhibit (10)(xvi) to the Company’s Form 10-K for the year ended December 31, 2015)*</w:t>
              </w:r>
            </w:hyperlink>
          </w:p>
        </w:tc>
      </w:tr>
      <w:tr w:rsidR="0099058F" w14:paraId="4B763A0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7" w14:textId="77777777" w:rsidR="0099058F" w:rsidRDefault="0099058F">
            <w:pPr>
              <w:widowControl/>
              <w:jc w:val="left"/>
              <w:rPr>
                <w:rFonts w:ascii="Times New Roman" w:eastAsia="宋体" w:hAnsi="宋体" w:cs="宋体"/>
                <w:kern w:val="0"/>
                <w:sz w:val="24"/>
              </w:rPr>
            </w:pPr>
          </w:p>
        </w:tc>
      </w:tr>
      <w:tr w:rsidR="0099058F" w14:paraId="4B763A0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0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0A" w14:textId="77777777" w:rsidR="0099058F" w:rsidRDefault="00EB2559">
            <w:pPr>
              <w:widowControl/>
              <w:jc w:val="left"/>
              <w:textAlignment w:val="top"/>
              <w:rPr>
                <w:rFonts w:ascii="宋体" w:eastAsia="宋体" w:hAnsi="宋体" w:cs="宋体"/>
                <w:kern w:val="0"/>
                <w:sz w:val="24"/>
              </w:rPr>
            </w:pPr>
            <w:hyperlink r:id="rId21" w:history="1">
              <w:r>
                <w:rPr>
                  <w:rStyle w:val="a4"/>
                  <w:rFonts w:ascii="Arial" w:eastAsia="宋体" w:hAnsi="Arial" w:cs="Arial"/>
                  <w:kern w:val="0"/>
                  <w:sz w:val="20"/>
                  <w:szCs w:val="20"/>
                </w:rPr>
                <w:t>The Boeing Company Executive Supplemental Savings Plan, as amended and restated effective January 1, 2022*</w:t>
              </w:r>
            </w:hyperlink>
          </w:p>
        </w:tc>
      </w:tr>
      <w:tr w:rsidR="0099058F" w14:paraId="4B763A0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0D" w14:textId="77777777" w:rsidR="0099058F" w:rsidRDefault="0099058F">
            <w:pPr>
              <w:widowControl/>
              <w:jc w:val="left"/>
              <w:rPr>
                <w:rFonts w:ascii="Times New Roman" w:eastAsia="宋体" w:hAnsi="宋体" w:cs="宋体"/>
                <w:kern w:val="0"/>
                <w:sz w:val="24"/>
              </w:rPr>
            </w:pPr>
          </w:p>
        </w:tc>
      </w:tr>
      <w:tr w:rsidR="0099058F" w14:paraId="4B763A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0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10" w14:textId="77777777" w:rsidR="0099058F" w:rsidRDefault="00EB2559">
            <w:pPr>
              <w:widowControl/>
              <w:textAlignment w:val="top"/>
              <w:rPr>
                <w:rFonts w:ascii="宋体" w:eastAsia="宋体" w:hAnsi="宋体" w:cs="宋体"/>
                <w:kern w:val="0"/>
                <w:sz w:val="24"/>
              </w:rPr>
            </w:pPr>
            <w:hyperlink r:id="rId22" w:history="1">
              <w:r>
                <w:rPr>
                  <w:rStyle w:val="a4"/>
                  <w:rFonts w:ascii="Arial" w:eastAsia="宋体" w:hAnsi="Arial" w:cs="Arial"/>
                  <w:kern w:val="0"/>
                  <w:sz w:val="20"/>
                  <w:szCs w:val="20"/>
                </w:rPr>
                <w:t xml:space="preserve">The Boeing Company Executive Layoff Benefits Plan, as amended and restated effective January 1, 2017 (Exhibit (10)(xviii) to the Company’s Form 10-K for the </w:t>
              </w:r>
              <w:r>
                <w:rPr>
                  <w:rStyle w:val="a4"/>
                  <w:rFonts w:ascii="Arial" w:eastAsia="宋体" w:hAnsi="Arial" w:cs="Arial"/>
                  <w:kern w:val="0"/>
                  <w:sz w:val="20"/>
                  <w:szCs w:val="20"/>
                </w:rPr>
                <w:t>year ended December 31, 2016)*</w:t>
              </w:r>
            </w:hyperlink>
          </w:p>
        </w:tc>
      </w:tr>
      <w:tr w:rsidR="0099058F" w14:paraId="4B763A1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3" w14:textId="77777777" w:rsidR="0099058F" w:rsidRDefault="0099058F">
            <w:pPr>
              <w:widowControl/>
              <w:jc w:val="left"/>
              <w:rPr>
                <w:rFonts w:ascii="Times New Roman" w:eastAsia="宋体" w:hAnsi="宋体" w:cs="宋体"/>
                <w:kern w:val="0"/>
                <w:sz w:val="24"/>
              </w:rPr>
            </w:pPr>
          </w:p>
        </w:tc>
      </w:tr>
      <w:tr w:rsidR="0099058F" w14:paraId="4B763A1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1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16" w14:textId="77777777" w:rsidR="0099058F" w:rsidRDefault="00EB2559">
            <w:pPr>
              <w:widowControl/>
              <w:textAlignment w:val="top"/>
              <w:rPr>
                <w:rFonts w:ascii="宋体" w:eastAsia="宋体" w:hAnsi="宋体" w:cs="宋体"/>
                <w:kern w:val="0"/>
                <w:sz w:val="24"/>
              </w:rPr>
            </w:pPr>
            <w:hyperlink r:id="rId23" w:history="1">
              <w:r>
                <w:rPr>
                  <w:rStyle w:val="a4"/>
                  <w:rFonts w:ascii="Arial" w:eastAsia="宋体" w:hAnsi="Arial" w:cs="Arial"/>
                  <w:kern w:val="0"/>
                  <w:sz w:val="20"/>
                  <w:szCs w:val="20"/>
                </w:rPr>
                <w:t xml:space="preserve">The Boeing Company 2003 Incentive Stock Plan, as amended and restated effective December 9, 2021 </w:t>
              </w:r>
              <w:r>
                <w:rPr>
                  <w:rStyle w:val="a4"/>
                  <w:rFonts w:ascii="Arial" w:eastAsia="宋体" w:hAnsi="Arial" w:cs="Arial"/>
                  <w:kern w:val="0"/>
                  <w:sz w:val="20"/>
                  <w:szCs w:val="20"/>
                </w:rPr>
                <w:t>(Exhibit 10.16 to the Company’s Form 10-K for the year ended December 31, 2021)*</w:t>
              </w:r>
            </w:hyperlink>
          </w:p>
        </w:tc>
      </w:tr>
      <w:tr w:rsidR="0099058F" w14:paraId="4B763A1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9" w14:textId="77777777" w:rsidR="0099058F" w:rsidRDefault="0099058F">
            <w:pPr>
              <w:widowControl/>
              <w:jc w:val="left"/>
              <w:rPr>
                <w:rFonts w:ascii="Times New Roman" w:eastAsia="宋体" w:hAnsi="宋体" w:cs="宋体"/>
                <w:kern w:val="0"/>
                <w:sz w:val="24"/>
              </w:rPr>
            </w:pPr>
          </w:p>
        </w:tc>
      </w:tr>
      <w:tr w:rsidR="0099058F" w14:paraId="4B763A1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1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1C" w14:textId="77777777" w:rsidR="0099058F" w:rsidRDefault="00EB2559">
            <w:pPr>
              <w:widowControl/>
              <w:textAlignment w:val="top"/>
              <w:rPr>
                <w:rFonts w:ascii="宋体" w:eastAsia="宋体" w:hAnsi="宋体" w:cs="宋体"/>
                <w:kern w:val="0"/>
                <w:sz w:val="24"/>
              </w:rPr>
            </w:pPr>
            <w:hyperlink r:id="rId24" w:history="1">
              <w:r>
                <w:rPr>
                  <w:rStyle w:val="a4"/>
                  <w:rFonts w:ascii="Arial" w:eastAsia="宋体" w:hAnsi="Arial" w:cs="Arial"/>
                  <w:kern w:val="0"/>
                  <w:sz w:val="20"/>
                  <w:szCs w:val="20"/>
                </w:rPr>
                <w:t>Form of Non-Qualified Stock Option Grant Notice of Terms (Exhibit (10)(xvii)(b) to the Company’s Form 10-K for the year ended December 31, 2010)*</w:t>
              </w:r>
            </w:hyperlink>
          </w:p>
        </w:tc>
      </w:tr>
      <w:tr w:rsidR="0099058F" w14:paraId="4B763A2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1F" w14:textId="77777777" w:rsidR="0099058F" w:rsidRDefault="0099058F">
            <w:pPr>
              <w:widowControl/>
              <w:jc w:val="left"/>
              <w:rPr>
                <w:rFonts w:ascii="Times New Roman" w:eastAsia="宋体" w:hAnsi="宋体" w:cs="宋体"/>
                <w:kern w:val="0"/>
                <w:sz w:val="24"/>
              </w:rPr>
            </w:pPr>
          </w:p>
        </w:tc>
      </w:tr>
      <w:tr w:rsidR="0099058F" w14:paraId="4B763A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2" w14:textId="77777777" w:rsidR="0099058F" w:rsidRDefault="00EB2559">
            <w:pPr>
              <w:widowControl/>
              <w:jc w:val="left"/>
              <w:textAlignment w:val="top"/>
              <w:rPr>
                <w:rFonts w:ascii="宋体" w:eastAsia="宋体" w:hAnsi="宋体" w:cs="宋体"/>
                <w:kern w:val="0"/>
                <w:sz w:val="24"/>
              </w:rPr>
            </w:pPr>
            <w:hyperlink r:id="rId25" w:history="1">
              <w:r>
                <w:rPr>
                  <w:rStyle w:val="a4"/>
                  <w:rFonts w:ascii="Arial" w:eastAsia="宋体" w:hAnsi="Arial" w:cs="Arial"/>
                  <w:kern w:val="0"/>
                  <w:sz w:val="20"/>
                  <w:szCs w:val="20"/>
                </w:rPr>
                <w:t>Form of U.S. Notice of Terms of Non-Qualified Stock Option (Exhibit 10.1 to the Company’s 10-Q for the quarter ended March 31, 2021)*</w:t>
              </w:r>
            </w:hyperlink>
          </w:p>
        </w:tc>
      </w:tr>
      <w:tr w:rsidR="0099058F" w14:paraId="4B763A2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2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25" w14:textId="77777777" w:rsidR="0099058F" w:rsidRDefault="0099058F">
            <w:pPr>
              <w:widowControl/>
              <w:jc w:val="left"/>
              <w:rPr>
                <w:rFonts w:ascii="Times New Roman" w:eastAsia="宋体" w:hAnsi="宋体" w:cs="宋体"/>
                <w:kern w:val="0"/>
                <w:sz w:val="24"/>
              </w:rPr>
            </w:pPr>
          </w:p>
        </w:tc>
      </w:tr>
      <w:tr w:rsidR="0099058F" w14:paraId="4B763A2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8" w14:textId="77777777" w:rsidR="0099058F" w:rsidRDefault="00EB2559">
            <w:pPr>
              <w:widowControl/>
              <w:jc w:val="left"/>
              <w:textAlignment w:val="top"/>
              <w:rPr>
                <w:rFonts w:ascii="宋体" w:eastAsia="宋体" w:hAnsi="宋体" w:cs="宋体"/>
                <w:kern w:val="0"/>
                <w:sz w:val="24"/>
              </w:rPr>
            </w:pPr>
            <w:hyperlink r:id="rId26" w:history="1">
              <w:r>
                <w:rPr>
                  <w:rStyle w:val="a4"/>
                  <w:rFonts w:ascii="Arial" w:eastAsia="宋体" w:hAnsi="Arial" w:cs="Arial"/>
                  <w:kern w:val="0"/>
                  <w:sz w:val="20"/>
                  <w:szCs w:val="20"/>
                </w:rPr>
                <w:t>Form of International Notice of Terms of Non-Qualified Stock Option (Exhibit 10.2 to the Company’s 10-Q for the quarter ended March 31, 2021)*</w:t>
              </w:r>
            </w:hyperlink>
          </w:p>
        </w:tc>
      </w:tr>
      <w:tr w:rsidR="0099058F" w14:paraId="4B763A2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2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2B" w14:textId="77777777" w:rsidR="0099058F" w:rsidRDefault="0099058F">
            <w:pPr>
              <w:widowControl/>
              <w:jc w:val="left"/>
              <w:rPr>
                <w:rFonts w:ascii="Times New Roman" w:eastAsia="宋体" w:hAnsi="宋体" w:cs="宋体"/>
                <w:kern w:val="0"/>
                <w:sz w:val="24"/>
              </w:rPr>
            </w:pPr>
          </w:p>
        </w:tc>
      </w:tr>
      <w:tr w:rsidR="0099058F" w14:paraId="4B763A2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2E" w14:textId="77777777" w:rsidR="0099058F" w:rsidRDefault="00EB2559">
            <w:pPr>
              <w:widowControl/>
              <w:jc w:val="left"/>
              <w:textAlignment w:val="top"/>
              <w:rPr>
                <w:rFonts w:ascii="宋体" w:eastAsia="宋体" w:hAnsi="宋体" w:cs="宋体"/>
                <w:kern w:val="0"/>
                <w:sz w:val="24"/>
              </w:rPr>
            </w:pPr>
            <w:hyperlink r:id="rId27" w:history="1">
              <w:r>
                <w:rPr>
                  <w:rStyle w:val="a4"/>
                  <w:rFonts w:ascii="Arial" w:eastAsia="宋体" w:hAnsi="Arial" w:cs="Arial"/>
                  <w:kern w:val="0"/>
                  <w:sz w:val="20"/>
                  <w:szCs w:val="20"/>
                </w:rPr>
                <w:t>Form of U.S. Notice of Terms of Non-Qualified Stock Option for CEO (Exhibit 10.3 to the Company’s 10-Q for the quarter ended March 31, 2021)*</w:t>
              </w:r>
            </w:hyperlink>
          </w:p>
        </w:tc>
      </w:tr>
      <w:tr w:rsidR="0099058F" w14:paraId="4B763A3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1" w14:textId="77777777" w:rsidR="0099058F" w:rsidRDefault="0099058F">
            <w:pPr>
              <w:widowControl/>
              <w:jc w:val="left"/>
              <w:rPr>
                <w:rFonts w:ascii="Times New Roman" w:eastAsia="宋体" w:hAnsi="宋体" w:cs="宋体"/>
                <w:kern w:val="0"/>
                <w:sz w:val="24"/>
              </w:rPr>
            </w:pPr>
          </w:p>
        </w:tc>
      </w:tr>
      <w:tr w:rsidR="0099058F" w14:paraId="4B763A3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3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34" w14:textId="77777777" w:rsidR="0099058F" w:rsidRDefault="00EB2559">
            <w:pPr>
              <w:widowControl/>
              <w:textAlignment w:val="top"/>
              <w:rPr>
                <w:rFonts w:ascii="宋体" w:eastAsia="宋体" w:hAnsi="宋体" w:cs="宋体"/>
                <w:kern w:val="0"/>
                <w:sz w:val="24"/>
              </w:rPr>
            </w:pPr>
            <w:hyperlink r:id="rId28" w:history="1">
              <w:r>
                <w:rPr>
                  <w:rStyle w:val="a4"/>
                  <w:rFonts w:ascii="Arial" w:eastAsia="宋体" w:hAnsi="Arial" w:cs="Arial"/>
                  <w:kern w:val="0"/>
                  <w:sz w:val="20"/>
                  <w:szCs w:val="20"/>
                </w:rPr>
                <w:t>Form of U.S. Notice of Terms of Restricted Stock Units (Exhibit 10.4 to the Company’s 10-Q for the quarter ended March 31, 2021)*</w:t>
              </w:r>
            </w:hyperlink>
          </w:p>
        </w:tc>
      </w:tr>
      <w:tr w:rsidR="0099058F" w14:paraId="4B763A3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7" w14:textId="77777777" w:rsidR="0099058F" w:rsidRDefault="0099058F">
            <w:pPr>
              <w:widowControl/>
              <w:jc w:val="left"/>
              <w:rPr>
                <w:rFonts w:ascii="Times New Roman" w:eastAsia="宋体" w:hAnsi="宋体" w:cs="宋体"/>
                <w:kern w:val="0"/>
                <w:sz w:val="24"/>
              </w:rPr>
            </w:pPr>
          </w:p>
        </w:tc>
      </w:tr>
      <w:tr w:rsidR="0099058F" w14:paraId="4B763A3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3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3A" w14:textId="77777777" w:rsidR="0099058F" w:rsidRDefault="00EB2559">
            <w:pPr>
              <w:widowControl/>
              <w:textAlignment w:val="top"/>
              <w:rPr>
                <w:rFonts w:ascii="宋体" w:eastAsia="宋体" w:hAnsi="宋体" w:cs="宋体"/>
                <w:kern w:val="0"/>
                <w:sz w:val="24"/>
              </w:rPr>
            </w:pPr>
            <w:hyperlink r:id="rId29" w:history="1">
              <w:r>
                <w:rPr>
                  <w:rStyle w:val="a4"/>
                  <w:rFonts w:ascii="Arial" w:eastAsia="宋体" w:hAnsi="Arial" w:cs="Arial"/>
                  <w:kern w:val="0"/>
                  <w:sz w:val="20"/>
                  <w:szCs w:val="20"/>
                </w:rPr>
                <w:t>Form of International Notice of Terms of Restricted Stock Units (Exhibit 10.5 to the Company’s 10-Q for the quarter ended March 31, 2021)*</w:t>
              </w:r>
            </w:hyperlink>
          </w:p>
        </w:tc>
      </w:tr>
      <w:tr w:rsidR="0099058F" w14:paraId="4B763A3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3D" w14:textId="77777777" w:rsidR="0099058F" w:rsidRDefault="0099058F">
            <w:pPr>
              <w:widowControl/>
              <w:jc w:val="left"/>
              <w:rPr>
                <w:rFonts w:ascii="Times New Roman" w:eastAsia="宋体" w:hAnsi="宋体" w:cs="宋体"/>
                <w:kern w:val="0"/>
                <w:sz w:val="24"/>
              </w:rPr>
            </w:pPr>
          </w:p>
        </w:tc>
      </w:tr>
      <w:tr w:rsidR="0099058F" w14:paraId="4B763A4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3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40" w14:textId="77777777" w:rsidR="0099058F" w:rsidRDefault="00EB2559">
            <w:pPr>
              <w:widowControl/>
              <w:textAlignment w:val="top"/>
              <w:rPr>
                <w:rFonts w:ascii="宋体" w:eastAsia="宋体" w:hAnsi="宋体" w:cs="宋体"/>
                <w:kern w:val="0"/>
                <w:sz w:val="24"/>
              </w:rPr>
            </w:pPr>
            <w:hyperlink r:id="rId30" w:history="1">
              <w:r>
                <w:rPr>
                  <w:rStyle w:val="a4"/>
                  <w:rFonts w:ascii="Arial" w:eastAsia="宋体" w:hAnsi="Arial" w:cs="Arial"/>
                  <w:kern w:val="0"/>
                  <w:sz w:val="20"/>
                  <w:szCs w:val="20"/>
                </w:rPr>
                <w:t>Form of U.S. Notice of Terms of Restricted Stock Units for CEO (Exhibit 10.6 to the Company’s 10-Q for the quarter ended March 31, 2021)*</w:t>
              </w:r>
            </w:hyperlink>
          </w:p>
        </w:tc>
      </w:tr>
      <w:tr w:rsidR="0099058F" w14:paraId="4B763A4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4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43" w14:textId="77777777" w:rsidR="0099058F" w:rsidRDefault="0099058F">
            <w:pPr>
              <w:widowControl/>
              <w:jc w:val="left"/>
              <w:rPr>
                <w:rFonts w:ascii="Times New Roman" w:eastAsia="宋体" w:hAnsi="宋体" w:cs="宋体"/>
                <w:kern w:val="0"/>
                <w:sz w:val="24"/>
              </w:rPr>
            </w:pPr>
          </w:p>
        </w:tc>
      </w:tr>
      <w:tr w:rsidR="0099058F" w14:paraId="4B763A4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4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46" w14:textId="77777777" w:rsidR="0099058F" w:rsidRDefault="00EB2559">
            <w:pPr>
              <w:widowControl/>
              <w:jc w:val="left"/>
              <w:textAlignment w:val="top"/>
              <w:rPr>
                <w:rFonts w:ascii="宋体" w:eastAsia="宋体" w:hAnsi="宋体" w:cs="宋体"/>
                <w:kern w:val="0"/>
                <w:sz w:val="24"/>
              </w:rPr>
            </w:pPr>
            <w:hyperlink r:id="rId31" w:history="1">
              <w:r>
                <w:rPr>
                  <w:rStyle w:val="a4"/>
                  <w:rFonts w:ascii="Arial" w:eastAsia="宋体" w:hAnsi="Arial" w:cs="Arial"/>
                  <w:kern w:val="0"/>
                  <w:sz w:val="20"/>
                  <w:szCs w:val="20"/>
                </w:rPr>
                <w:t>Form of Notice of Terms of Supplemental Restricted Stock Units (Exhibit 10.2 to the Company’s Current Report on Form 8-K dated June 29, 2021)*</w:t>
              </w:r>
            </w:hyperlink>
          </w:p>
        </w:tc>
      </w:tr>
      <w:tr w:rsidR="0099058F" w14:paraId="4B763A4A" w14:textId="77777777">
        <w:trPr>
          <w:trHeight w:val="1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4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49" w14:textId="77777777" w:rsidR="0099058F" w:rsidRDefault="0099058F">
            <w:pPr>
              <w:widowControl/>
              <w:jc w:val="left"/>
              <w:rPr>
                <w:rFonts w:ascii="Times New Roman" w:eastAsia="宋体" w:hAnsi="宋体" w:cs="宋体"/>
                <w:kern w:val="0"/>
                <w:sz w:val="24"/>
              </w:rPr>
            </w:pPr>
          </w:p>
        </w:tc>
      </w:tr>
    </w:tbl>
    <w:p w14:paraId="4B763A4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129</w:t>
      </w:r>
    </w:p>
    <w:p w14:paraId="4B763A4C" w14:textId="77777777" w:rsidR="0099058F" w:rsidRDefault="00EB2559">
      <w:pPr>
        <w:widowControl/>
        <w:jc w:val="center"/>
      </w:pPr>
      <w:r>
        <w:rPr>
          <w:rFonts w:ascii="宋体" w:eastAsia="宋体" w:hAnsi="宋体" w:cs="宋体"/>
          <w:kern w:val="0"/>
          <w:sz w:val="24"/>
        </w:rPr>
        <w:pict w14:anchorId="4B763C78">
          <v:rect id="_x0000_i1155" style="width:6in;height:1.5pt" o:hralign="center" o:hrstd="t" o:hr="t" fillcolor="#a0a0a0" stroked="f"/>
        </w:pict>
      </w:r>
    </w:p>
    <w:p w14:paraId="4B763A4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805"/>
        <w:gridCol w:w="36"/>
        <w:gridCol w:w="69"/>
        <w:gridCol w:w="7307"/>
        <w:gridCol w:w="37"/>
      </w:tblGrid>
      <w:tr w:rsidR="0099058F" w14:paraId="4B763A54" w14:textId="77777777">
        <w:tc>
          <w:tcPr>
            <w:tcW w:w="50" w:type="pct"/>
            <w:tcBorders>
              <w:top w:val="nil"/>
              <w:left w:val="nil"/>
              <w:bottom w:val="nil"/>
              <w:right w:val="nil"/>
            </w:tcBorders>
            <w:shd w:val="clear" w:color="auto" w:fill="auto"/>
            <w:vAlign w:val="bottom"/>
          </w:tcPr>
          <w:p w14:paraId="4B763A4E"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3A4F"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A50"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A51" w14:textId="77777777" w:rsidR="0099058F" w:rsidRDefault="0099058F">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B763A5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A53" w14:textId="77777777" w:rsidR="0099058F" w:rsidRDefault="0099058F">
            <w:pPr>
              <w:widowControl/>
              <w:jc w:val="left"/>
              <w:rPr>
                <w:rFonts w:ascii="Times New Roman" w:eastAsia="宋体" w:hAnsi="宋体" w:cs="宋体"/>
                <w:kern w:val="0"/>
                <w:sz w:val="24"/>
              </w:rPr>
            </w:pPr>
          </w:p>
        </w:tc>
      </w:tr>
      <w:tr w:rsidR="0099058F" w14:paraId="4B763A5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5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56" w14:textId="77777777" w:rsidR="0099058F" w:rsidRDefault="00EB2559">
            <w:pPr>
              <w:widowControl/>
              <w:jc w:val="left"/>
              <w:textAlignment w:val="top"/>
              <w:rPr>
                <w:rFonts w:ascii="宋体" w:eastAsia="宋体" w:hAnsi="宋体" w:cs="宋体"/>
                <w:kern w:val="0"/>
                <w:sz w:val="24"/>
              </w:rPr>
            </w:pPr>
            <w:hyperlink r:id="rId32" w:history="1">
              <w:r>
                <w:rPr>
                  <w:rStyle w:val="a4"/>
                  <w:rFonts w:ascii="Arial" w:eastAsia="宋体" w:hAnsi="Arial" w:cs="Arial"/>
                  <w:kern w:val="0"/>
                  <w:sz w:val="20"/>
                  <w:szCs w:val="20"/>
                </w:rPr>
                <w:t>Form of Notice of Terms of Supplemental Non-Qualified Stock Option (Exhibit 10.3 to the Company’s Current Report on Form 8-K dated June 29, 2021)*</w:t>
              </w:r>
            </w:hyperlink>
          </w:p>
        </w:tc>
      </w:tr>
      <w:tr w:rsidR="0099058F" w14:paraId="4B763A5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5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59" w14:textId="77777777" w:rsidR="0099058F" w:rsidRDefault="0099058F">
            <w:pPr>
              <w:widowControl/>
              <w:jc w:val="left"/>
              <w:rPr>
                <w:rFonts w:ascii="Times New Roman" w:eastAsia="宋体" w:hAnsi="宋体" w:cs="宋体"/>
                <w:kern w:val="0"/>
                <w:sz w:val="24"/>
              </w:rPr>
            </w:pPr>
          </w:p>
        </w:tc>
      </w:tr>
      <w:tr w:rsidR="0099058F" w14:paraId="4B763A5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5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5C" w14:textId="77777777" w:rsidR="0099058F" w:rsidRDefault="00EB2559">
            <w:pPr>
              <w:widowControl/>
              <w:jc w:val="left"/>
              <w:textAlignment w:val="top"/>
              <w:rPr>
                <w:rFonts w:ascii="宋体" w:eastAsia="宋体" w:hAnsi="宋体" w:cs="宋体"/>
                <w:kern w:val="0"/>
                <w:sz w:val="24"/>
              </w:rPr>
            </w:pPr>
            <w:hyperlink r:id="rId33" w:history="1">
              <w:r>
                <w:rPr>
                  <w:rStyle w:val="a4"/>
                  <w:rFonts w:ascii="Arial" w:eastAsia="宋体" w:hAnsi="Arial" w:cs="Arial"/>
                  <w:kern w:val="0"/>
                  <w:sz w:val="20"/>
                  <w:szCs w:val="20"/>
                </w:rPr>
                <w:t>Form of Notice of Terms of Performance-Based Restricted Stock Units (Exhibit 10.3 to the Company’s Form 10-Q for the quarter ended March 31, 2</w:t>
              </w:r>
              <w:r>
                <w:rPr>
                  <w:rStyle w:val="a4"/>
                  <w:rFonts w:ascii="Arial" w:eastAsia="宋体" w:hAnsi="Arial" w:cs="Arial"/>
                  <w:kern w:val="0"/>
                  <w:sz w:val="20"/>
                  <w:szCs w:val="20"/>
                </w:rPr>
                <w:t>020)*</w:t>
              </w:r>
            </w:hyperlink>
          </w:p>
        </w:tc>
      </w:tr>
      <w:tr w:rsidR="0099058F" w14:paraId="4B763A6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5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5F" w14:textId="77777777" w:rsidR="0099058F" w:rsidRDefault="0099058F">
            <w:pPr>
              <w:widowControl/>
              <w:jc w:val="left"/>
              <w:rPr>
                <w:rFonts w:ascii="Times New Roman" w:eastAsia="宋体" w:hAnsi="宋体" w:cs="宋体"/>
                <w:kern w:val="0"/>
                <w:sz w:val="24"/>
              </w:rPr>
            </w:pPr>
          </w:p>
        </w:tc>
      </w:tr>
      <w:tr w:rsidR="0099058F" w14:paraId="4B763A6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2" w14:textId="77777777" w:rsidR="0099058F" w:rsidRDefault="00EB2559">
            <w:pPr>
              <w:widowControl/>
              <w:jc w:val="left"/>
              <w:textAlignment w:val="top"/>
              <w:rPr>
                <w:rFonts w:ascii="宋体" w:eastAsia="宋体" w:hAnsi="宋体" w:cs="宋体"/>
                <w:kern w:val="0"/>
                <w:sz w:val="24"/>
              </w:rPr>
            </w:pPr>
            <w:hyperlink r:id="rId34" w:history="1">
              <w:r>
                <w:rPr>
                  <w:rStyle w:val="a4"/>
                  <w:rFonts w:ascii="Arial" w:eastAsia="宋体" w:hAnsi="Arial" w:cs="Arial"/>
                  <w:kern w:val="0"/>
                  <w:sz w:val="20"/>
                  <w:szCs w:val="20"/>
                </w:rPr>
                <w:t>Form of Performance Award Notice (Exhibit 10.4 to the Company’s Form 10-Q for the quarter ended March 31, 2020)*</w:t>
              </w:r>
            </w:hyperlink>
          </w:p>
        </w:tc>
      </w:tr>
      <w:tr w:rsidR="0099058F" w14:paraId="4B763A6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6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65" w14:textId="77777777" w:rsidR="0099058F" w:rsidRDefault="0099058F">
            <w:pPr>
              <w:widowControl/>
              <w:jc w:val="left"/>
              <w:rPr>
                <w:rFonts w:ascii="Times New Roman" w:eastAsia="宋体" w:hAnsi="宋体" w:cs="宋体"/>
                <w:kern w:val="0"/>
                <w:sz w:val="24"/>
              </w:rPr>
            </w:pPr>
          </w:p>
        </w:tc>
      </w:tr>
      <w:tr w:rsidR="0099058F" w14:paraId="4B763A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8" w14:textId="77777777" w:rsidR="0099058F" w:rsidRDefault="00EB2559">
            <w:pPr>
              <w:widowControl/>
              <w:jc w:val="left"/>
              <w:textAlignment w:val="top"/>
              <w:rPr>
                <w:rFonts w:ascii="宋体" w:eastAsia="宋体" w:hAnsi="宋体" w:cs="宋体"/>
                <w:kern w:val="0"/>
                <w:sz w:val="24"/>
              </w:rPr>
            </w:pPr>
            <w:hyperlink r:id="rId35" w:history="1">
              <w:r>
                <w:rPr>
                  <w:rStyle w:val="a4"/>
                  <w:rFonts w:ascii="Arial" w:eastAsia="宋体" w:hAnsi="Arial" w:cs="Arial"/>
                  <w:kern w:val="0"/>
                  <w:sz w:val="20"/>
                  <w:szCs w:val="20"/>
                </w:rPr>
                <w:t>Form of Notice of Terms of Restricted Stock Units (Exhibit 10.5 to the Company’s Form 10-Q for the quarter ended March 31, 2020)*</w:t>
              </w:r>
            </w:hyperlink>
          </w:p>
        </w:tc>
      </w:tr>
      <w:tr w:rsidR="0099058F" w14:paraId="4B763A6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6B" w14:textId="77777777" w:rsidR="0099058F" w:rsidRDefault="0099058F">
            <w:pPr>
              <w:widowControl/>
              <w:jc w:val="left"/>
              <w:rPr>
                <w:rFonts w:ascii="Times New Roman" w:eastAsia="宋体" w:hAnsi="宋体" w:cs="宋体"/>
                <w:kern w:val="0"/>
                <w:sz w:val="24"/>
              </w:rPr>
            </w:pPr>
          </w:p>
        </w:tc>
      </w:tr>
      <w:tr w:rsidR="0099058F" w14:paraId="4B763A6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6E" w14:textId="77777777" w:rsidR="0099058F" w:rsidRDefault="00EB2559">
            <w:pPr>
              <w:widowControl/>
              <w:jc w:val="left"/>
              <w:textAlignment w:val="top"/>
              <w:rPr>
                <w:rFonts w:ascii="宋体" w:eastAsia="宋体" w:hAnsi="宋体" w:cs="宋体"/>
                <w:kern w:val="0"/>
                <w:sz w:val="24"/>
              </w:rPr>
            </w:pPr>
            <w:hyperlink r:id="rId36" w:history="1">
              <w:r>
                <w:rPr>
                  <w:rStyle w:val="a4"/>
                  <w:rFonts w:ascii="Arial" w:eastAsia="宋体" w:hAnsi="Arial" w:cs="Arial"/>
                  <w:kern w:val="0"/>
                  <w:sz w:val="20"/>
                  <w:szCs w:val="20"/>
                </w:rPr>
                <w:t>Form of International Notice of Terms of Performance-Based Restricted Stock Units (Exhibit 10.6 to the Company’s Form 10-Q for the quarter ended Marc</w:t>
              </w:r>
              <w:r>
                <w:rPr>
                  <w:rStyle w:val="a4"/>
                  <w:rFonts w:ascii="Arial" w:eastAsia="宋体" w:hAnsi="Arial" w:cs="Arial"/>
                  <w:kern w:val="0"/>
                  <w:sz w:val="20"/>
                  <w:szCs w:val="20"/>
                </w:rPr>
                <w:t>h 31, 2020)*</w:t>
              </w:r>
            </w:hyperlink>
          </w:p>
        </w:tc>
      </w:tr>
      <w:tr w:rsidR="0099058F" w14:paraId="4B763A7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1" w14:textId="77777777" w:rsidR="0099058F" w:rsidRDefault="0099058F">
            <w:pPr>
              <w:widowControl/>
              <w:jc w:val="left"/>
              <w:rPr>
                <w:rFonts w:ascii="Times New Roman" w:eastAsia="宋体" w:hAnsi="宋体" w:cs="宋体"/>
                <w:kern w:val="0"/>
                <w:sz w:val="24"/>
              </w:rPr>
            </w:pPr>
          </w:p>
        </w:tc>
      </w:tr>
      <w:tr w:rsidR="0099058F" w14:paraId="4B763A7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7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74" w14:textId="77777777" w:rsidR="0099058F" w:rsidRDefault="00EB2559">
            <w:pPr>
              <w:widowControl/>
              <w:jc w:val="left"/>
              <w:textAlignment w:val="top"/>
              <w:rPr>
                <w:rFonts w:ascii="宋体" w:eastAsia="宋体" w:hAnsi="宋体" w:cs="宋体"/>
                <w:kern w:val="0"/>
                <w:sz w:val="24"/>
              </w:rPr>
            </w:pPr>
            <w:hyperlink r:id="rId37" w:history="1">
              <w:r>
                <w:rPr>
                  <w:rStyle w:val="a4"/>
                  <w:rFonts w:ascii="Arial" w:eastAsia="宋体" w:hAnsi="Arial" w:cs="Arial"/>
                  <w:kern w:val="0"/>
                  <w:sz w:val="20"/>
                  <w:szCs w:val="20"/>
                </w:rPr>
                <w:t xml:space="preserve">Form of International Performance Award Notice (Exhibit 10.7 to the Company’s Form 10-Q for the quarter ended March 31, </w:t>
              </w:r>
              <w:r>
                <w:rPr>
                  <w:rStyle w:val="a4"/>
                  <w:rFonts w:ascii="Arial" w:eastAsia="宋体" w:hAnsi="Arial" w:cs="Arial"/>
                  <w:kern w:val="0"/>
                  <w:sz w:val="20"/>
                  <w:szCs w:val="20"/>
                </w:rPr>
                <w:t>2020)*</w:t>
              </w:r>
            </w:hyperlink>
          </w:p>
        </w:tc>
      </w:tr>
      <w:tr w:rsidR="0099058F" w14:paraId="4B763A7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7" w14:textId="77777777" w:rsidR="0099058F" w:rsidRDefault="0099058F">
            <w:pPr>
              <w:widowControl/>
              <w:jc w:val="left"/>
              <w:rPr>
                <w:rFonts w:ascii="Times New Roman" w:eastAsia="宋体" w:hAnsi="宋体" w:cs="宋体"/>
                <w:kern w:val="0"/>
                <w:sz w:val="24"/>
              </w:rPr>
            </w:pPr>
          </w:p>
        </w:tc>
      </w:tr>
      <w:tr w:rsidR="0099058F" w14:paraId="4B763A7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7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7A" w14:textId="77777777" w:rsidR="0099058F" w:rsidRDefault="00EB2559">
            <w:pPr>
              <w:widowControl/>
              <w:jc w:val="left"/>
              <w:textAlignment w:val="top"/>
              <w:rPr>
                <w:rFonts w:ascii="宋体" w:eastAsia="宋体" w:hAnsi="宋体" w:cs="宋体"/>
                <w:kern w:val="0"/>
                <w:sz w:val="24"/>
              </w:rPr>
            </w:pPr>
            <w:hyperlink r:id="rId38" w:history="1">
              <w:r>
                <w:rPr>
                  <w:rStyle w:val="a4"/>
                  <w:rFonts w:ascii="Arial" w:eastAsia="宋体" w:hAnsi="Arial" w:cs="Arial"/>
                  <w:kern w:val="0"/>
                  <w:sz w:val="20"/>
                  <w:szCs w:val="20"/>
                </w:rPr>
                <w:t>Form of International Notice of Terms of Restricted Stock Units (Exhibit 10.8 to the Company’s Form 10-Q for the quarter ended Ma</w:t>
              </w:r>
              <w:r>
                <w:rPr>
                  <w:rStyle w:val="a4"/>
                  <w:rFonts w:ascii="Arial" w:eastAsia="宋体" w:hAnsi="Arial" w:cs="Arial"/>
                  <w:kern w:val="0"/>
                  <w:sz w:val="20"/>
                  <w:szCs w:val="20"/>
                </w:rPr>
                <w:t>rch 31, 2020)*</w:t>
              </w:r>
            </w:hyperlink>
          </w:p>
        </w:tc>
      </w:tr>
      <w:tr w:rsidR="0099058F" w14:paraId="4B763A7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7D" w14:textId="77777777" w:rsidR="0099058F" w:rsidRDefault="0099058F">
            <w:pPr>
              <w:widowControl/>
              <w:jc w:val="left"/>
              <w:rPr>
                <w:rFonts w:ascii="Times New Roman" w:eastAsia="宋体" w:hAnsi="宋体" w:cs="宋体"/>
                <w:kern w:val="0"/>
                <w:sz w:val="24"/>
              </w:rPr>
            </w:pPr>
          </w:p>
        </w:tc>
      </w:tr>
      <w:tr w:rsidR="0099058F" w14:paraId="4B763A8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7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80" w14:textId="77777777" w:rsidR="0099058F" w:rsidRDefault="00EB2559">
            <w:pPr>
              <w:widowControl/>
              <w:jc w:val="left"/>
              <w:textAlignment w:val="top"/>
              <w:rPr>
                <w:rFonts w:ascii="宋体" w:eastAsia="宋体" w:hAnsi="宋体" w:cs="宋体"/>
                <w:kern w:val="0"/>
                <w:sz w:val="24"/>
              </w:rPr>
            </w:pPr>
            <w:hyperlink r:id="rId39" w:history="1">
              <w:r>
                <w:rPr>
                  <w:rStyle w:val="a4"/>
                  <w:rFonts w:ascii="Arial" w:eastAsia="宋体" w:hAnsi="Arial" w:cs="Arial"/>
                  <w:kern w:val="0"/>
                  <w:sz w:val="20"/>
                  <w:szCs w:val="20"/>
                </w:rPr>
                <w:t xml:space="preserve">Notice of Terms of Supplemental Restricted Stock Units, dated February 24, 2020 (Exhibit 10.1 to the Company's Current Report on </w:t>
              </w:r>
              <w:r>
                <w:rPr>
                  <w:rStyle w:val="a4"/>
                  <w:rFonts w:ascii="Arial" w:eastAsia="宋体" w:hAnsi="Arial" w:cs="Arial"/>
                  <w:kern w:val="0"/>
                  <w:sz w:val="20"/>
                  <w:szCs w:val="20"/>
                </w:rPr>
                <w:t>Form 8-K dated February 23, 2020)*</w:t>
              </w:r>
            </w:hyperlink>
          </w:p>
        </w:tc>
      </w:tr>
      <w:tr w:rsidR="0099058F" w14:paraId="4B763A8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3" w14:textId="77777777" w:rsidR="0099058F" w:rsidRDefault="0099058F">
            <w:pPr>
              <w:widowControl/>
              <w:jc w:val="left"/>
              <w:rPr>
                <w:rFonts w:ascii="Times New Roman" w:eastAsia="宋体" w:hAnsi="宋体" w:cs="宋体"/>
                <w:kern w:val="0"/>
                <w:sz w:val="24"/>
              </w:rPr>
            </w:pPr>
          </w:p>
        </w:tc>
      </w:tr>
      <w:tr w:rsidR="0099058F" w14:paraId="4B763A8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8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86" w14:textId="77777777" w:rsidR="0099058F" w:rsidRDefault="00EB2559">
            <w:pPr>
              <w:widowControl/>
              <w:jc w:val="left"/>
              <w:textAlignment w:val="top"/>
              <w:rPr>
                <w:rFonts w:ascii="宋体" w:eastAsia="宋体" w:hAnsi="宋体" w:cs="宋体"/>
                <w:kern w:val="0"/>
                <w:sz w:val="24"/>
              </w:rPr>
            </w:pPr>
            <w:hyperlink r:id="rId40" w:history="1">
              <w:r>
                <w:rPr>
                  <w:rStyle w:val="a4"/>
                  <w:rFonts w:ascii="Arial" w:eastAsia="宋体" w:hAnsi="Arial" w:cs="Arial"/>
                  <w:kern w:val="0"/>
                  <w:sz w:val="20"/>
                  <w:szCs w:val="20"/>
                </w:rPr>
                <w:t xml:space="preserve">Notice of Terms of Supplemental Performance-Based Restricted Stock Units, dated February 24, 2020 </w:t>
              </w:r>
              <w:r>
                <w:rPr>
                  <w:rStyle w:val="a4"/>
                  <w:rFonts w:ascii="Arial" w:eastAsia="宋体" w:hAnsi="Arial" w:cs="Arial"/>
                  <w:kern w:val="0"/>
                  <w:sz w:val="20"/>
                  <w:szCs w:val="20"/>
                </w:rPr>
                <w:t>(Exhibit 10.2 to the Company's Current Report on Form 8-K dated February 23, 2020)*</w:t>
              </w:r>
            </w:hyperlink>
          </w:p>
        </w:tc>
      </w:tr>
      <w:tr w:rsidR="0099058F" w14:paraId="4B763A8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9" w14:textId="77777777" w:rsidR="0099058F" w:rsidRDefault="0099058F">
            <w:pPr>
              <w:widowControl/>
              <w:jc w:val="left"/>
              <w:rPr>
                <w:rFonts w:ascii="Times New Roman" w:eastAsia="宋体" w:hAnsi="宋体" w:cs="宋体"/>
                <w:kern w:val="0"/>
                <w:sz w:val="24"/>
              </w:rPr>
            </w:pPr>
          </w:p>
        </w:tc>
      </w:tr>
      <w:tr w:rsidR="0099058F" w14:paraId="4B763A8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8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8C" w14:textId="77777777" w:rsidR="0099058F" w:rsidRDefault="00EB2559">
            <w:pPr>
              <w:widowControl/>
              <w:jc w:val="left"/>
              <w:textAlignment w:val="top"/>
              <w:rPr>
                <w:rFonts w:ascii="宋体" w:eastAsia="宋体" w:hAnsi="宋体" w:cs="宋体"/>
                <w:kern w:val="0"/>
                <w:sz w:val="24"/>
              </w:rPr>
            </w:pPr>
            <w:hyperlink r:id="rId41" w:history="1">
              <w:r>
                <w:rPr>
                  <w:rStyle w:val="a4"/>
                  <w:rFonts w:ascii="Arial" w:eastAsia="宋体" w:hAnsi="Arial" w:cs="Arial"/>
                  <w:kern w:val="0"/>
                  <w:sz w:val="20"/>
                  <w:szCs w:val="20"/>
                </w:rPr>
                <w:t>Form of International Notice of Terms of Supplementa</w:t>
              </w:r>
              <w:r>
                <w:rPr>
                  <w:rStyle w:val="a4"/>
                  <w:rFonts w:ascii="Arial" w:eastAsia="宋体" w:hAnsi="Arial" w:cs="Arial"/>
                  <w:kern w:val="0"/>
                  <w:sz w:val="20"/>
                  <w:szCs w:val="20"/>
                </w:rPr>
                <w:t>l Restricted Stock Units (Exhibit 10.2 to the Company’s Form 10-Q for the quarter ended June 30, 2020)*</w:t>
              </w:r>
            </w:hyperlink>
          </w:p>
        </w:tc>
      </w:tr>
      <w:tr w:rsidR="0099058F" w14:paraId="4B763A9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8F" w14:textId="77777777" w:rsidR="0099058F" w:rsidRDefault="0099058F">
            <w:pPr>
              <w:widowControl/>
              <w:jc w:val="left"/>
              <w:rPr>
                <w:rFonts w:ascii="Times New Roman" w:eastAsia="宋体" w:hAnsi="宋体" w:cs="宋体"/>
                <w:kern w:val="0"/>
                <w:sz w:val="24"/>
              </w:rPr>
            </w:pPr>
          </w:p>
        </w:tc>
      </w:tr>
      <w:tr w:rsidR="0099058F" w14:paraId="4B763A9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1"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2" w14:textId="77777777" w:rsidR="0099058F" w:rsidRDefault="00EB2559">
            <w:pPr>
              <w:widowControl/>
              <w:jc w:val="left"/>
              <w:textAlignment w:val="top"/>
              <w:rPr>
                <w:rFonts w:ascii="宋体" w:eastAsia="宋体" w:hAnsi="宋体" w:cs="宋体"/>
                <w:kern w:val="0"/>
                <w:sz w:val="24"/>
              </w:rPr>
            </w:pPr>
            <w:hyperlink r:id="rId42" w:history="1">
              <w:r>
                <w:rPr>
                  <w:rStyle w:val="a4"/>
                  <w:rFonts w:ascii="Arial" w:eastAsia="宋体" w:hAnsi="Arial" w:cs="Arial"/>
                  <w:kern w:val="0"/>
                  <w:sz w:val="20"/>
                  <w:szCs w:val="20"/>
                </w:rPr>
                <w:t>U.S. Notice of Terms of Non-Qualified Premium-Priced Stock Option for CEO, dated February 16, 2022 (Exhibit 10.1 to the Company’s Form 10-Q for the quar</w:t>
              </w:r>
              <w:r>
                <w:rPr>
                  <w:rStyle w:val="a4"/>
                  <w:rFonts w:ascii="Arial" w:eastAsia="宋体" w:hAnsi="Arial" w:cs="Arial"/>
                  <w:kern w:val="0"/>
                  <w:sz w:val="20"/>
                  <w:szCs w:val="20"/>
                </w:rPr>
                <w:t>ter ended March 31, 2022)*</w:t>
              </w:r>
            </w:hyperlink>
          </w:p>
        </w:tc>
      </w:tr>
      <w:tr w:rsidR="0099058F" w14:paraId="4B763A9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94"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95" w14:textId="77777777" w:rsidR="0099058F" w:rsidRDefault="0099058F">
            <w:pPr>
              <w:widowControl/>
              <w:jc w:val="left"/>
              <w:rPr>
                <w:rFonts w:ascii="Times New Roman" w:eastAsia="宋体" w:hAnsi="宋体" w:cs="宋体"/>
                <w:kern w:val="0"/>
                <w:sz w:val="24"/>
              </w:rPr>
            </w:pPr>
          </w:p>
        </w:tc>
      </w:tr>
      <w:tr w:rsidR="0099058F" w14:paraId="4B763A9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7"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8" w14:textId="77777777" w:rsidR="0099058F" w:rsidRDefault="00EB2559">
            <w:pPr>
              <w:widowControl/>
              <w:jc w:val="left"/>
              <w:textAlignment w:val="top"/>
              <w:rPr>
                <w:rFonts w:ascii="宋体" w:eastAsia="宋体" w:hAnsi="宋体" w:cs="宋体"/>
                <w:kern w:val="0"/>
                <w:sz w:val="24"/>
              </w:rPr>
            </w:pPr>
            <w:hyperlink r:id="rId43" w:history="1">
              <w:r>
                <w:rPr>
                  <w:rStyle w:val="a4"/>
                  <w:rFonts w:ascii="Arial" w:eastAsia="宋体" w:hAnsi="Arial" w:cs="Arial"/>
                  <w:kern w:val="0"/>
                  <w:sz w:val="20"/>
                  <w:szCs w:val="20"/>
                </w:rPr>
                <w:t xml:space="preserve">U.S. Notice of Terms of Long-Term Incentive Restricted Stock Units for CEO, dated February 16, 2022 </w:t>
              </w:r>
              <w:r>
                <w:rPr>
                  <w:rStyle w:val="a4"/>
                  <w:rFonts w:ascii="Arial" w:eastAsia="宋体" w:hAnsi="Arial" w:cs="Arial"/>
                  <w:kern w:val="0"/>
                  <w:sz w:val="20"/>
                  <w:szCs w:val="20"/>
                </w:rPr>
                <w:t>(Exhibit 10.2 to the Company’s Form 10-Q for the quarter ended March 31, 2022)*</w:t>
              </w:r>
            </w:hyperlink>
          </w:p>
        </w:tc>
      </w:tr>
      <w:tr w:rsidR="0099058F" w14:paraId="4B763A9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9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9B" w14:textId="77777777" w:rsidR="0099058F" w:rsidRDefault="0099058F">
            <w:pPr>
              <w:widowControl/>
              <w:jc w:val="left"/>
              <w:rPr>
                <w:rFonts w:ascii="Times New Roman" w:eastAsia="宋体" w:hAnsi="宋体" w:cs="宋体"/>
                <w:kern w:val="0"/>
                <w:sz w:val="24"/>
              </w:rPr>
            </w:pPr>
          </w:p>
        </w:tc>
      </w:tr>
      <w:tr w:rsidR="0099058F" w14:paraId="4B763A9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D"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9E" w14:textId="77777777" w:rsidR="0099058F" w:rsidRDefault="00EB2559">
            <w:pPr>
              <w:widowControl/>
              <w:jc w:val="left"/>
              <w:textAlignment w:val="top"/>
              <w:rPr>
                <w:rFonts w:ascii="宋体" w:eastAsia="宋体" w:hAnsi="宋体" w:cs="宋体"/>
                <w:kern w:val="0"/>
                <w:sz w:val="24"/>
              </w:rPr>
            </w:pPr>
            <w:hyperlink r:id="rId44" w:history="1">
              <w:r>
                <w:rPr>
                  <w:rStyle w:val="a4"/>
                  <w:rFonts w:ascii="Arial" w:eastAsia="宋体" w:hAnsi="Arial" w:cs="Arial"/>
                  <w:kern w:val="0"/>
                  <w:sz w:val="20"/>
                  <w:szCs w:val="20"/>
                </w:rPr>
                <w:t>Form of U.S. Notice of Terms of Non-Qualified Premium-Price</w:t>
              </w:r>
              <w:r>
                <w:rPr>
                  <w:rStyle w:val="a4"/>
                  <w:rFonts w:ascii="Arial" w:eastAsia="宋体" w:hAnsi="Arial" w:cs="Arial"/>
                  <w:kern w:val="0"/>
                  <w:sz w:val="20"/>
                  <w:szCs w:val="20"/>
                </w:rPr>
                <w:t>d Stock Option (Exhibit 10.3 to the Company’s Form 10-Q for the quarter ended March 31, 2022)*</w:t>
              </w:r>
            </w:hyperlink>
          </w:p>
        </w:tc>
      </w:tr>
      <w:tr w:rsidR="0099058F" w14:paraId="4B763AA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0"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1" w14:textId="77777777" w:rsidR="0099058F" w:rsidRDefault="0099058F">
            <w:pPr>
              <w:widowControl/>
              <w:jc w:val="left"/>
              <w:rPr>
                <w:rFonts w:ascii="Times New Roman" w:eastAsia="宋体" w:hAnsi="宋体" w:cs="宋体"/>
                <w:kern w:val="0"/>
                <w:sz w:val="24"/>
              </w:rPr>
            </w:pPr>
          </w:p>
        </w:tc>
      </w:tr>
      <w:tr w:rsidR="0099058F" w14:paraId="4B763AA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A3"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A4" w14:textId="77777777" w:rsidR="0099058F" w:rsidRDefault="00EB2559">
            <w:pPr>
              <w:widowControl/>
              <w:jc w:val="left"/>
              <w:textAlignment w:val="top"/>
              <w:rPr>
                <w:rFonts w:ascii="宋体" w:eastAsia="宋体" w:hAnsi="宋体" w:cs="宋体"/>
                <w:kern w:val="0"/>
                <w:sz w:val="24"/>
              </w:rPr>
            </w:pPr>
            <w:hyperlink r:id="rId45" w:history="1">
              <w:r>
                <w:rPr>
                  <w:rStyle w:val="a4"/>
                  <w:rFonts w:ascii="Arial" w:eastAsia="宋体" w:hAnsi="Arial" w:cs="Arial"/>
                  <w:kern w:val="0"/>
                  <w:sz w:val="20"/>
                  <w:szCs w:val="20"/>
                </w:rPr>
                <w:t>Form of U.S. Notice of Terms of Long-Term Incentive Restricted Stock Units (Exhibit 10.4 to the Company’s Form 10-Q for the quarter ended March 31, 2022</w:t>
              </w:r>
              <w:r>
                <w:rPr>
                  <w:rStyle w:val="a4"/>
                  <w:rFonts w:ascii="Arial" w:eastAsia="宋体" w:hAnsi="Arial" w:cs="Arial"/>
                  <w:kern w:val="0"/>
                  <w:sz w:val="20"/>
                  <w:szCs w:val="20"/>
                </w:rPr>
                <w:t>)*</w:t>
              </w:r>
            </w:hyperlink>
          </w:p>
        </w:tc>
      </w:tr>
      <w:tr w:rsidR="0099058F" w14:paraId="4B763AA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7" w14:textId="77777777" w:rsidR="0099058F" w:rsidRDefault="0099058F">
            <w:pPr>
              <w:widowControl/>
              <w:jc w:val="left"/>
              <w:rPr>
                <w:rFonts w:ascii="Times New Roman" w:eastAsia="宋体" w:hAnsi="宋体" w:cs="宋体"/>
                <w:kern w:val="0"/>
                <w:sz w:val="24"/>
              </w:rPr>
            </w:pPr>
          </w:p>
        </w:tc>
      </w:tr>
      <w:tr w:rsidR="0099058F" w14:paraId="4B763AA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A9"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AA" w14:textId="77777777" w:rsidR="0099058F" w:rsidRDefault="00EB2559">
            <w:pPr>
              <w:widowControl/>
              <w:jc w:val="left"/>
              <w:textAlignment w:val="top"/>
              <w:rPr>
                <w:rFonts w:ascii="宋体" w:eastAsia="宋体" w:hAnsi="宋体" w:cs="宋体"/>
                <w:kern w:val="0"/>
                <w:sz w:val="24"/>
              </w:rPr>
            </w:pPr>
            <w:hyperlink r:id="rId46" w:history="1">
              <w:r>
                <w:rPr>
                  <w:rStyle w:val="a4"/>
                  <w:rFonts w:ascii="Arial" w:eastAsia="宋体" w:hAnsi="Arial" w:cs="Arial"/>
                  <w:kern w:val="0"/>
                  <w:sz w:val="20"/>
                  <w:szCs w:val="20"/>
                </w:rPr>
                <w:t xml:space="preserve">Form of International Notice of Terms of Non-Qualified Premium-Priced Stock Option (Exhibit 10.5 to the Company’s Form 10-Q for the </w:t>
              </w:r>
              <w:r>
                <w:rPr>
                  <w:rStyle w:val="a4"/>
                  <w:rFonts w:ascii="Arial" w:eastAsia="宋体" w:hAnsi="Arial" w:cs="Arial"/>
                  <w:kern w:val="0"/>
                  <w:sz w:val="20"/>
                  <w:szCs w:val="20"/>
                </w:rPr>
                <w:t>quarter ended March 31, 2022)*</w:t>
              </w:r>
            </w:hyperlink>
          </w:p>
        </w:tc>
      </w:tr>
      <w:tr w:rsidR="0099058F" w14:paraId="4B763AA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C"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AD" w14:textId="77777777" w:rsidR="0099058F" w:rsidRDefault="0099058F">
            <w:pPr>
              <w:widowControl/>
              <w:jc w:val="left"/>
              <w:rPr>
                <w:rFonts w:ascii="Times New Roman" w:eastAsia="宋体" w:hAnsi="宋体" w:cs="宋体"/>
                <w:kern w:val="0"/>
                <w:sz w:val="24"/>
              </w:rPr>
            </w:pPr>
          </w:p>
        </w:tc>
      </w:tr>
      <w:tr w:rsidR="0099058F" w14:paraId="4B763AB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AF"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B0" w14:textId="77777777" w:rsidR="0099058F" w:rsidRDefault="00EB2559">
            <w:pPr>
              <w:widowControl/>
              <w:jc w:val="left"/>
              <w:textAlignment w:val="top"/>
              <w:rPr>
                <w:rFonts w:ascii="宋体" w:eastAsia="宋体" w:hAnsi="宋体" w:cs="宋体"/>
                <w:kern w:val="0"/>
                <w:sz w:val="24"/>
              </w:rPr>
            </w:pPr>
            <w:hyperlink r:id="rId47" w:history="1">
              <w:r>
                <w:rPr>
                  <w:rStyle w:val="a4"/>
                  <w:rFonts w:ascii="Arial" w:eastAsia="宋体" w:hAnsi="Arial" w:cs="Arial"/>
                  <w:kern w:val="0"/>
                  <w:sz w:val="20"/>
                  <w:szCs w:val="20"/>
                </w:rPr>
                <w:t xml:space="preserve">Form of International Notice of Terms of Long-Term Incentive Restricted Stock Units (Exhibit 10.6 to the </w:t>
              </w:r>
              <w:r>
                <w:rPr>
                  <w:rStyle w:val="a4"/>
                  <w:rFonts w:ascii="Arial" w:eastAsia="宋体" w:hAnsi="Arial" w:cs="Arial"/>
                  <w:kern w:val="0"/>
                  <w:sz w:val="20"/>
                  <w:szCs w:val="20"/>
                </w:rPr>
                <w:t>Company’s Form 10-Q for the quarter ended March 31, 2022)*</w:t>
              </w:r>
            </w:hyperlink>
          </w:p>
        </w:tc>
      </w:tr>
      <w:tr w:rsidR="0099058F" w14:paraId="4B763AB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B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B3" w14:textId="77777777" w:rsidR="0099058F" w:rsidRDefault="0099058F">
            <w:pPr>
              <w:widowControl/>
              <w:jc w:val="left"/>
              <w:rPr>
                <w:rFonts w:ascii="Times New Roman" w:eastAsia="宋体" w:hAnsi="宋体" w:cs="宋体"/>
                <w:kern w:val="0"/>
                <w:sz w:val="24"/>
              </w:rPr>
            </w:pPr>
          </w:p>
        </w:tc>
      </w:tr>
      <w:tr w:rsidR="0099058F" w14:paraId="4B763AB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B5"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B6" w14:textId="77777777" w:rsidR="0099058F" w:rsidRDefault="00EB2559">
            <w:pPr>
              <w:widowControl/>
              <w:jc w:val="left"/>
              <w:textAlignment w:val="top"/>
              <w:rPr>
                <w:rFonts w:ascii="宋体" w:eastAsia="宋体" w:hAnsi="宋体" w:cs="宋体"/>
                <w:kern w:val="0"/>
                <w:sz w:val="24"/>
              </w:rPr>
            </w:pPr>
            <w:hyperlink r:id="rId48" w:history="1">
              <w:r>
                <w:rPr>
                  <w:rStyle w:val="a4"/>
                  <w:rFonts w:ascii="Arial" w:eastAsia="宋体" w:hAnsi="Arial" w:cs="Arial"/>
                  <w:kern w:val="0"/>
                  <w:sz w:val="20"/>
                  <w:szCs w:val="20"/>
                </w:rPr>
                <w:t>Employment Agreement between Boeing Canada Operations LTD and Susan Doniz (Exhibit 10.1 to the Company’s Form 10-Q for the quarter ended June 30, 202</w:t>
              </w:r>
              <w:r>
                <w:rPr>
                  <w:rStyle w:val="a4"/>
                  <w:rFonts w:ascii="Arial" w:eastAsia="宋体" w:hAnsi="Arial" w:cs="Arial"/>
                  <w:kern w:val="0"/>
                  <w:sz w:val="20"/>
                  <w:szCs w:val="20"/>
                </w:rPr>
                <w:t>0)*</w:t>
              </w:r>
            </w:hyperlink>
          </w:p>
        </w:tc>
      </w:tr>
      <w:tr w:rsidR="0099058F" w14:paraId="4B763AB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B8"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B9" w14:textId="77777777" w:rsidR="0099058F" w:rsidRDefault="0099058F">
            <w:pPr>
              <w:widowControl/>
              <w:jc w:val="left"/>
              <w:rPr>
                <w:rFonts w:ascii="Times New Roman" w:eastAsia="宋体" w:hAnsi="宋体" w:cs="宋体"/>
                <w:kern w:val="0"/>
                <w:sz w:val="24"/>
              </w:rPr>
            </w:pPr>
          </w:p>
        </w:tc>
      </w:tr>
      <w:tr w:rsidR="0099058F" w14:paraId="4B763AB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BB"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BC" w14:textId="77777777" w:rsidR="0099058F" w:rsidRDefault="00EB2559">
            <w:pPr>
              <w:widowControl/>
              <w:jc w:val="left"/>
              <w:textAlignment w:val="top"/>
              <w:rPr>
                <w:rFonts w:ascii="宋体" w:eastAsia="宋体" w:hAnsi="宋体" w:cs="宋体"/>
                <w:kern w:val="0"/>
                <w:sz w:val="24"/>
              </w:rPr>
            </w:pPr>
            <w:hyperlink r:id="rId49" w:history="1">
              <w:r>
                <w:rPr>
                  <w:rStyle w:val="a4"/>
                  <w:rFonts w:ascii="Arial" w:eastAsia="宋体" w:hAnsi="Arial" w:cs="Arial"/>
                  <w:kern w:val="0"/>
                  <w:sz w:val="20"/>
                  <w:szCs w:val="20"/>
                </w:rPr>
                <w:t xml:space="preserve">Consulting Agreement, dated as of December 18, 2022, between The Boeing Company and GCubed Group LLC (Exhibit 10.1 to the </w:t>
              </w:r>
              <w:r>
                <w:rPr>
                  <w:rStyle w:val="a4"/>
                  <w:rFonts w:ascii="Arial" w:eastAsia="宋体" w:hAnsi="Arial" w:cs="Arial"/>
                  <w:kern w:val="0"/>
                  <w:sz w:val="20"/>
                  <w:szCs w:val="20"/>
                </w:rPr>
                <w:t>Company’s Current Report on Form 8-K dated December 18, 2022)*</w:t>
              </w:r>
            </w:hyperlink>
          </w:p>
          <w:p w14:paraId="4B763ABD" w14:textId="77777777" w:rsidR="0099058F" w:rsidRDefault="0099058F">
            <w:pPr>
              <w:widowControl/>
              <w:jc w:val="left"/>
              <w:textAlignment w:val="top"/>
              <w:rPr>
                <w:rFonts w:ascii="宋体" w:eastAsia="宋体" w:hAnsi="宋体" w:cs="宋体"/>
                <w:kern w:val="0"/>
                <w:sz w:val="24"/>
              </w:rPr>
            </w:pPr>
          </w:p>
        </w:tc>
      </w:tr>
      <w:tr w:rsidR="0099058F" w14:paraId="4B763AC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B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C0" w14:textId="77777777" w:rsidR="0099058F" w:rsidRDefault="0099058F">
            <w:pPr>
              <w:widowControl/>
              <w:jc w:val="left"/>
              <w:rPr>
                <w:rFonts w:ascii="Times New Roman" w:eastAsia="宋体" w:hAnsi="宋体" w:cs="宋体"/>
                <w:kern w:val="0"/>
                <w:sz w:val="24"/>
              </w:rPr>
            </w:pPr>
          </w:p>
        </w:tc>
      </w:tr>
      <w:tr w:rsidR="0099058F" w14:paraId="4B763AC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C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C3" w14:textId="77777777" w:rsidR="0099058F" w:rsidRDefault="00EB2559">
            <w:pPr>
              <w:widowControl/>
              <w:textAlignment w:val="top"/>
              <w:rPr>
                <w:rFonts w:ascii="宋体" w:eastAsia="宋体" w:hAnsi="宋体" w:cs="宋体"/>
                <w:kern w:val="0"/>
                <w:sz w:val="24"/>
              </w:rPr>
            </w:pPr>
            <w:hyperlink r:id="rId50" w:history="1">
              <w:r>
                <w:rPr>
                  <w:rStyle w:val="a4"/>
                  <w:rFonts w:ascii="Arial" w:eastAsia="宋体" w:hAnsi="Arial" w:cs="Arial"/>
                  <w:kern w:val="0"/>
                  <w:sz w:val="20"/>
                  <w:szCs w:val="20"/>
                </w:rPr>
                <w:t>List of Company Subsidiaries</w:t>
              </w:r>
            </w:hyperlink>
          </w:p>
        </w:tc>
      </w:tr>
      <w:tr w:rsidR="0099058F" w14:paraId="4B763AC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C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C6" w14:textId="77777777" w:rsidR="0099058F" w:rsidRDefault="0099058F">
            <w:pPr>
              <w:widowControl/>
              <w:jc w:val="left"/>
              <w:rPr>
                <w:rFonts w:ascii="Times New Roman" w:eastAsia="宋体" w:hAnsi="宋体" w:cs="宋体"/>
                <w:kern w:val="0"/>
                <w:sz w:val="24"/>
              </w:rPr>
            </w:pPr>
          </w:p>
        </w:tc>
      </w:tr>
      <w:tr w:rsidR="0099058F" w14:paraId="4B763A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C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C9" w14:textId="77777777" w:rsidR="0099058F" w:rsidRDefault="00EB2559">
            <w:pPr>
              <w:widowControl/>
              <w:textAlignment w:val="top"/>
              <w:rPr>
                <w:rFonts w:ascii="宋体" w:eastAsia="宋体" w:hAnsi="宋体" w:cs="宋体"/>
                <w:kern w:val="0"/>
                <w:sz w:val="24"/>
              </w:rPr>
            </w:pPr>
            <w:hyperlink r:id="rId51" w:history="1">
              <w:r>
                <w:rPr>
                  <w:rStyle w:val="a4"/>
                  <w:rFonts w:ascii="Arial" w:eastAsia="宋体" w:hAnsi="Arial" w:cs="Arial"/>
                  <w:kern w:val="0"/>
                  <w:sz w:val="20"/>
                  <w:szCs w:val="20"/>
                </w:rPr>
                <w:t>Con</w:t>
              </w:r>
              <w:r>
                <w:rPr>
                  <w:rStyle w:val="a4"/>
                  <w:rFonts w:ascii="Arial" w:eastAsia="宋体" w:hAnsi="Arial" w:cs="Arial"/>
                  <w:kern w:val="0"/>
                  <w:sz w:val="20"/>
                  <w:szCs w:val="20"/>
                </w:rPr>
                <w:t>sent of Independent Registered Public Accounting Firm</w:t>
              </w:r>
            </w:hyperlink>
          </w:p>
        </w:tc>
      </w:tr>
      <w:tr w:rsidR="0099058F" w14:paraId="4B763AC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C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CC" w14:textId="77777777" w:rsidR="0099058F" w:rsidRDefault="0099058F">
            <w:pPr>
              <w:widowControl/>
              <w:jc w:val="left"/>
              <w:rPr>
                <w:rFonts w:ascii="Times New Roman" w:eastAsia="宋体" w:hAnsi="宋体" w:cs="宋体"/>
                <w:kern w:val="0"/>
                <w:sz w:val="24"/>
              </w:rPr>
            </w:pPr>
          </w:p>
        </w:tc>
      </w:tr>
    </w:tbl>
    <w:p w14:paraId="4B763ACE"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130</w:t>
      </w:r>
    </w:p>
    <w:p w14:paraId="4B763ACF" w14:textId="77777777" w:rsidR="0099058F" w:rsidRDefault="00EB2559">
      <w:pPr>
        <w:widowControl/>
        <w:jc w:val="center"/>
      </w:pPr>
      <w:r>
        <w:rPr>
          <w:rFonts w:ascii="宋体" w:eastAsia="宋体" w:hAnsi="宋体" w:cs="宋体"/>
          <w:kern w:val="0"/>
          <w:sz w:val="24"/>
        </w:rPr>
        <w:pict w14:anchorId="4B763C79">
          <v:rect id="_x0000_i1156" style="width:6in;height:1.5pt" o:hralign="center" o:hrstd="t" o:hr="t" fillcolor="#a0a0a0" stroked="f"/>
        </w:pict>
      </w:r>
    </w:p>
    <w:p w14:paraId="4B763AD0"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78"/>
        <w:gridCol w:w="796"/>
        <w:gridCol w:w="36"/>
        <w:gridCol w:w="69"/>
        <w:gridCol w:w="7308"/>
        <w:gridCol w:w="36"/>
      </w:tblGrid>
      <w:tr w:rsidR="0099058F" w14:paraId="4B763AD7" w14:textId="77777777">
        <w:tc>
          <w:tcPr>
            <w:tcW w:w="50" w:type="pct"/>
            <w:tcBorders>
              <w:top w:val="nil"/>
              <w:left w:val="nil"/>
              <w:bottom w:val="nil"/>
              <w:right w:val="nil"/>
            </w:tcBorders>
            <w:shd w:val="clear" w:color="auto" w:fill="auto"/>
            <w:vAlign w:val="bottom"/>
          </w:tcPr>
          <w:p w14:paraId="4B763AD1" w14:textId="77777777" w:rsidR="0099058F" w:rsidRDefault="0099058F">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B763AD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AD3"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AD4" w14:textId="77777777" w:rsidR="0099058F" w:rsidRDefault="0099058F">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B763AD5"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AD6" w14:textId="77777777" w:rsidR="0099058F" w:rsidRDefault="0099058F">
            <w:pPr>
              <w:widowControl/>
              <w:jc w:val="left"/>
              <w:rPr>
                <w:rFonts w:ascii="Times New Roman" w:eastAsia="宋体" w:hAnsi="宋体" w:cs="宋体"/>
                <w:kern w:val="0"/>
                <w:sz w:val="24"/>
              </w:rPr>
            </w:pPr>
          </w:p>
        </w:tc>
      </w:tr>
      <w:tr w:rsidR="0099058F" w14:paraId="4B763A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D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D9" w14:textId="77777777" w:rsidR="0099058F" w:rsidRDefault="00EB2559">
            <w:pPr>
              <w:widowControl/>
              <w:textAlignment w:val="top"/>
              <w:rPr>
                <w:rFonts w:ascii="宋体" w:eastAsia="宋体" w:hAnsi="宋体" w:cs="宋体"/>
                <w:kern w:val="0"/>
                <w:sz w:val="24"/>
              </w:rPr>
            </w:pPr>
            <w:hyperlink r:id="rId52" w:history="1">
              <w:r>
                <w:rPr>
                  <w:rStyle w:val="a4"/>
                  <w:rFonts w:ascii="Arial" w:eastAsia="宋体" w:hAnsi="Arial" w:cs="Arial"/>
                  <w:kern w:val="0"/>
                  <w:sz w:val="20"/>
                  <w:szCs w:val="20"/>
                </w:rPr>
                <w:t>Certification of Chief Executive Officer pursuant to Section 302 of Sarbanes-Oxley Act of 2002</w:t>
              </w:r>
            </w:hyperlink>
          </w:p>
        </w:tc>
      </w:tr>
      <w:tr w:rsidR="0099058F" w14:paraId="4B763AD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D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DC" w14:textId="77777777" w:rsidR="0099058F" w:rsidRDefault="0099058F">
            <w:pPr>
              <w:widowControl/>
              <w:jc w:val="left"/>
              <w:rPr>
                <w:rFonts w:ascii="Times New Roman" w:eastAsia="宋体" w:hAnsi="宋体" w:cs="宋体"/>
                <w:kern w:val="0"/>
                <w:sz w:val="24"/>
              </w:rPr>
            </w:pPr>
          </w:p>
        </w:tc>
      </w:tr>
      <w:tr w:rsidR="0099058F" w14:paraId="4B763AE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D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DF" w14:textId="77777777" w:rsidR="0099058F" w:rsidRDefault="00EB2559">
            <w:pPr>
              <w:widowControl/>
              <w:textAlignment w:val="top"/>
              <w:rPr>
                <w:rFonts w:ascii="宋体" w:eastAsia="宋体" w:hAnsi="宋体" w:cs="宋体"/>
                <w:kern w:val="0"/>
                <w:sz w:val="24"/>
              </w:rPr>
            </w:pPr>
            <w:hyperlink r:id="rId53" w:history="1">
              <w:r>
                <w:rPr>
                  <w:rStyle w:val="a4"/>
                  <w:rFonts w:ascii="Arial" w:eastAsia="宋体" w:hAnsi="Arial" w:cs="Arial"/>
                  <w:kern w:val="0"/>
                  <w:sz w:val="20"/>
                  <w:szCs w:val="20"/>
                </w:rPr>
                <w:t>Certification of Chief Financial Officer pursuant to Section 302 of Sarbanes-Oxley Act of 2002</w:t>
              </w:r>
            </w:hyperlink>
          </w:p>
        </w:tc>
      </w:tr>
      <w:tr w:rsidR="0099058F" w14:paraId="4B763AE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2" w14:textId="77777777" w:rsidR="0099058F" w:rsidRDefault="0099058F">
            <w:pPr>
              <w:widowControl/>
              <w:jc w:val="left"/>
              <w:rPr>
                <w:rFonts w:ascii="Times New Roman" w:eastAsia="宋体" w:hAnsi="宋体" w:cs="宋体"/>
                <w:kern w:val="0"/>
                <w:sz w:val="24"/>
              </w:rPr>
            </w:pPr>
          </w:p>
        </w:tc>
      </w:tr>
      <w:tr w:rsidR="0099058F" w14:paraId="4B763AE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E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E5" w14:textId="77777777" w:rsidR="0099058F" w:rsidRDefault="00EB2559">
            <w:pPr>
              <w:widowControl/>
              <w:textAlignment w:val="top"/>
              <w:rPr>
                <w:rFonts w:ascii="宋体" w:eastAsia="宋体" w:hAnsi="宋体" w:cs="宋体"/>
                <w:kern w:val="0"/>
                <w:sz w:val="24"/>
              </w:rPr>
            </w:pPr>
            <w:hyperlink r:id="rId54" w:history="1">
              <w:r>
                <w:rPr>
                  <w:rStyle w:val="a4"/>
                  <w:rFonts w:ascii="Arial" w:eastAsia="宋体" w:hAnsi="Arial" w:cs="Arial"/>
                  <w:kern w:val="0"/>
                  <w:sz w:val="20"/>
                  <w:szCs w:val="20"/>
                </w:rPr>
                <w:t>Certification of Chief Executive Officer pursuant to Section 906 of Sarbanes-Oxley Act of 2002</w:t>
              </w:r>
            </w:hyperlink>
          </w:p>
        </w:tc>
      </w:tr>
      <w:tr w:rsidR="0099058F" w14:paraId="4B763AE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8" w14:textId="77777777" w:rsidR="0099058F" w:rsidRDefault="0099058F">
            <w:pPr>
              <w:widowControl/>
              <w:jc w:val="left"/>
              <w:rPr>
                <w:rFonts w:ascii="Times New Roman" w:eastAsia="宋体" w:hAnsi="宋体" w:cs="宋体"/>
                <w:kern w:val="0"/>
                <w:sz w:val="24"/>
              </w:rPr>
            </w:pPr>
          </w:p>
        </w:tc>
      </w:tr>
      <w:tr w:rsidR="0099058F" w14:paraId="4B763AE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EA"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EB" w14:textId="77777777" w:rsidR="0099058F" w:rsidRDefault="00EB2559">
            <w:pPr>
              <w:widowControl/>
              <w:textAlignment w:val="top"/>
              <w:rPr>
                <w:rFonts w:ascii="宋体" w:eastAsia="宋体" w:hAnsi="宋体" w:cs="宋体"/>
                <w:kern w:val="0"/>
                <w:sz w:val="24"/>
              </w:rPr>
            </w:pPr>
            <w:hyperlink r:id="rId55" w:history="1">
              <w:r>
                <w:rPr>
                  <w:rStyle w:val="a4"/>
                  <w:rFonts w:ascii="Arial" w:eastAsia="宋体" w:hAnsi="Arial" w:cs="Arial"/>
                  <w:kern w:val="0"/>
                  <w:sz w:val="20"/>
                  <w:szCs w:val="20"/>
                </w:rPr>
                <w:t>Certification of Chief Financial Officer pursuant to Section 906 of Sarbanes-Oxley Act of 2002</w:t>
              </w:r>
            </w:hyperlink>
          </w:p>
        </w:tc>
      </w:tr>
      <w:tr w:rsidR="0099058F" w14:paraId="4B763AE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D"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EE" w14:textId="77777777" w:rsidR="0099058F" w:rsidRDefault="0099058F">
            <w:pPr>
              <w:widowControl/>
              <w:jc w:val="left"/>
              <w:rPr>
                <w:rFonts w:ascii="Times New Roman" w:eastAsia="宋体" w:hAnsi="宋体" w:cs="宋体"/>
                <w:kern w:val="0"/>
                <w:sz w:val="24"/>
              </w:rPr>
            </w:pPr>
          </w:p>
        </w:tc>
      </w:tr>
      <w:tr w:rsidR="0099058F" w14:paraId="4B763AF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0"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99.1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1" w14:textId="77777777" w:rsidR="0099058F" w:rsidRDefault="00EB2559">
            <w:pPr>
              <w:widowControl/>
              <w:textAlignment w:val="top"/>
              <w:rPr>
                <w:rFonts w:ascii="宋体" w:eastAsia="宋体" w:hAnsi="宋体" w:cs="宋体"/>
                <w:kern w:val="0"/>
                <w:sz w:val="24"/>
              </w:rPr>
            </w:pPr>
            <w:hyperlink r:id="rId56" w:history="1">
              <w:r>
                <w:rPr>
                  <w:rStyle w:val="a4"/>
                  <w:rFonts w:ascii="Arial" w:eastAsia="宋体" w:hAnsi="Arial" w:cs="Arial"/>
                  <w:kern w:val="0"/>
                  <w:sz w:val="20"/>
                  <w:szCs w:val="20"/>
                </w:rPr>
                <w:t>Commercial Program Method of Accounting (Exhibit (99)(i) to the Company’s Form 10-K for the year ended December 31, 1997)</w:t>
              </w:r>
            </w:hyperlink>
          </w:p>
        </w:tc>
      </w:tr>
      <w:tr w:rsidR="0099058F" w14:paraId="4B763AF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F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F4" w14:textId="77777777" w:rsidR="0099058F" w:rsidRDefault="0099058F">
            <w:pPr>
              <w:widowControl/>
              <w:jc w:val="left"/>
              <w:rPr>
                <w:rFonts w:ascii="Times New Roman" w:eastAsia="宋体" w:hAnsi="宋体" w:cs="宋体"/>
                <w:kern w:val="0"/>
                <w:sz w:val="24"/>
              </w:rPr>
            </w:pPr>
          </w:p>
        </w:tc>
      </w:tr>
      <w:tr w:rsidR="0099058F" w14:paraId="4B763A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6"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7"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XBRL Taxonomy Extension Schema </w:t>
            </w:r>
            <w:r>
              <w:rPr>
                <w:rFonts w:ascii="Arial" w:eastAsia="宋体" w:hAnsi="Arial" w:cs="Arial"/>
                <w:color w:val="000000"/>
                <w:kern w:val="0"/>
                <w:sz w:val="20"/>
                <w:szCs w:val="20"/>
                <w:lang w:bidi="ar"/>
              </w:rPr>
              <w:t>Document</w:t>
            </w:r>
          </w:p>
        </w:tc>
      </w:tr>
      <w:tr w:rsidR="0099058F" w14:paraId="4B763AF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F9"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FA" w14:textId="77777777" w:rsidR="0099058F" w:rsidRDefault="0099058F">
            <w:pPr>
              <w:widowControl/>
              <w:jc w:val="left"/>
              <w:rPr>
                <w:rFonts w:ascii="Times New Roman" w:eastAsia="宋体" w:hAnsi="宋体" w:cs="宋体"/>
                <w:kern w:val="0"/>
                <w:sz w:val="24"/>
              </w:rPr>
            </w:pPr>
          </w:p>
        </w:tc>
      </w:tr>
      <w:tr w:rsidR="0099058F" w14:paraId="4B763A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C"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AFD"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Calculation Linkbase Document</w:t>
            </w:r>
          </w:p>
        </w:tc>
      </w:tr>
      <w:tr w:rsidR="0099058F" w14:paraId="4B763B0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AF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00" w14:textId="77777777" w:rsidR="0099058F" w:rsidRDefault="0099058F">
            <w:pPr>
              <w:widowControl/>
              <w:jc w:val="left"/>
              <w:rPr>
                <w:rFonts w:ascii="Times New Roman" w:eastAsia="宋体" w:hAnsi="宋体" w:cs="宋体"/>
                <w:kern w:val="0"/>
                <w:sz w:val="24"/>
              </w:rPr>
            </w:pPr>
          </w:p>
        </w:tc>
      </w:tr>
      <w:tr w:rsidR="0099058F" w14:paraId="4B763B0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2"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3"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Definition Linkbase Document</w:t>
            </w:r>
          </w:p>
        </w:tc>
      </w:tr>
      <w:tr w:rsidR="0099058F" w14:paraId="4B763B0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05"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06" w14:textId="77777777" w:rsidR="0099058F" w:rsidRDefault="0099058F">
            <w:pPr>
              <w:widowControl/>
              <w:jc w:val="left"/>
              <w:rPr>
                <w:rFonts w:ascii="Times New Roman" w:eastAsia="宋体" w:hAnsi="宋体" w:cs="宋体"/>
                <w:kern w:val="0"/>
                <w:sz w:val="24"/>
              </w:rPr>
            </w:pPr>
          </w:p>
        </w:tc>
      </w:tr>
      <w:tr w:rsidR="0099058F" w14:paraId="4B763B0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8"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9"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Label Linkbase Document</w:t>
            </w:r>
          </w:p>
        </w:tc>
      </w:tr>
      <w:tr w:rsidR="0099058F" w14:paraId="4B763B0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0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0C" w14:textId="77777777" w:rsidR="0099058F" w:rsidRDefault="0099058F">
            <w:pPr>
              <w:widowControl/>
              <w:jc w:val="left"/>
              <w:rPr>
                <w:rFonts w:ascii="Times New Roman" w:eastAsia="宋体" w:hAnsi="宋体" w:cs="宋体"/>
                <w:kern w:val="0"/>
                <w:sz w:val="24"/>
              </w:rPr>
            </w:pPr>
          </w:p>
        </w:tc>
      </w:tr>
      <w:tr w:rsidR="0099058F" w14:paraId="4B763B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E"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0F"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XBRL Taxonomy Extension </w:t>
            </w:r>
            <w:r>
              <w:rPr>
                <w:rFonts w:ascii="Arial" w:eastAsia="宋体" w:hAnsi="Arial" w:cs="Arial"/>
                <w:color w:val="000000"/>
                <w:kern w:val="0"/>
                <w:sz w:val="20"/>
                <w:szCs w:val="20"/>
                <w:lang w:bidi="ar"/>
              </w:rPr>
              <w:t>Presentation Linkbase Document</w:t>
            </w:r>
          </w:p>
        </w:tc>
      </w:tr>
      <w:tr w:rsidR="0099058F" w14:paraId="4B763B1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11"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12" w14:textId="77777777" w:rsidR="0099058F" w:rsidRDefault="0099058F">
            <w:pPr>
              <w:widowControl/>
              <w:jc w:val="left"/>
              <w:rPr>
                <w:rFonts w:ascii="Times New Roman" w:eastAsia="宋体" w:hAnsi="宋体" w:cs="宋体"/>
                <w:kern w:val="0"/>
                <w:sz w:val="24"/>
              </w:rPr>
            </w:pPr>
          </w:p>
        </w:tc>
      </w:tr>
      <w:tr w:rsidR="0099058F" w14:paraId="4B763B1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14" w14:textId="77777777" w:rsidR="0099058F" w:rsidRDefault="00EB255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15" w14:textId="77777777" w:rsidR="0099058F" w:rsidRDefault="00EB255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Cover Page Interactive Data File - the cover page XBRL tags are embedded within the Inline XBRL document contained in Exhibit 101</w:t>
            </w:r>
          </w:p>
        </w:tc>
      </w:tr>
    </w:tbl>
    <w:p w14:paraId="4B763B17"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Management contract or compensatory plan</w:t>
      </w:r>
    </w:p>
    <w:p w14:paraId="4B763B18" w14:textId="77777777" w:rsidR="0099058F" w:rsidRDefault="00EB255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In accordance with Item </w:t>
      </w:r>
      <w:r>
        <w:rPr>
          <w:rFonts w:ascii="Arial" w:eastAsia="宋体" w:hAnsi="Arial" w:cs="Arial"/>
          <w:color w:val="000000"/>
          <w:kern w:val="0"/>
          <w:sz w:val="20"/>
          <w:szCs w:val="20"/>
          <w:lang w:bidi="ar"/>
        </w:rPr>
        <w:t>601(b)(4)(iii)(A) of Regulation S-K, copies of certain instruments defining the rights of holders of long-term debt of the Company are not filed herewith. Pursuant to this regulation, we hereby agree to furnish a copy of any such instrument to the SEC upon</w:t>
      </w:r>
      <w:r>
        <w:rPr>
          <w:rFonts w:ascii="Arial" w:eastAsia="宋体" w:hAnsi="Arial" w:cs="Arial"/>
          <w:color w:val="000000"/>
          <w:kern w:val="0"/>
          <w:sz w:val="20"/>
          <w:szCs w:val="20"/>
          <w:lang w:bidi="ar"/>
        </w:rPr>
        <w:t xml:space="preserve"> request.</w:t>
      </w:r>
    </w:p>
    <w:p w14:paraId="4B763B19" w14:textId="77777777" w:rsidR="0099058F" w:rsidRDefault="00EB255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16. Form 10-K Summary</w:t>
      </w:r>
    </w:p>
    <w:p w14:paraId="4B763B1A" w14:textId="77777777" w:rsidR="0099058F" w:rsidRDefault="00EB2559">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None.</w:t>
      </w:r>
    </w:p>
    <w:p w14:paraId="4B763B1B"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131</w:t>
      </w:r>
    </w:p>
    <w:p w14:paraId="4B763B1C" w14:textId="77777777" w:rsidR="0099058F" w:rsidRDefault="00EB2559">
      <w:pPr>
        <w:widowControl/>
        <w:jc w:val="center"/>
      </w:pPr>
      <w:r>
        <w:rPr>
          <w:rFonts w:ascii="宋体" w:eastAsia="宋体" w:hAnsi="宋体" w:cs="宋体"/>
          <w:kern w:val="0"/>
          <w:sz w:val="24"/>
        </w:rPr>
        <w:pict w14:anchorId="4B763C7A">
          <v:rect id="_x0000_i1157" style="width:6in;height:1.5pt" o:hralign="center" o:hrstd="t" o:hr="t" fillcolor="#a0a0a0" stroked="f"/>
        </w:pict>
      </w:r>
    </w:p>
    <w:p w14:paraId="4B763B1D"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B1E" w14:textId="77777777" w:rsidR="0099058F" w:rsidRDefault="00EB255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Signatures</w:t>
      </w:r>
    </w:p>
    <w:p w14:paraId="4B763B1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Section 13 of the </w:t>
      </w:r>
      <w:r>
        <w:rPr>
          <w:rFonts w:ascii="Arial" w:eastAsia="宋体" w:hAnsi="Arial" w:cs="Arial"/>
          <w:color w:val="000000"/>
          <w:kern w:val="0"/>
          <w:sz w:val="20"/>
          <w:szCs w:val="20"/>
          <w:lang w:bidi="ar"/>
        </w:rPr>
        <w:t>Securities Exchange Act of 1934, the registrant has duly caused this report to be signed on its behalf by the undersigned, thereunto duly authorized, on January 27, 2023.</w:t>
      </w:r>
    </w:p>
    <w:tbl>
      <w:tblPr>
        <w:tblW w:w="2998" w:type="pct"/>
        <w:jc w:val="right"/>
        <w:tblCellMar>
          <w:top w:w="15" w:type="dxa"/>
          <w:left w:w="15" w:type="dxa"/>
          <w:bottom w:w="15" w:type="dxa"/>
          <w:right w:w="15" w:type="dxa"/>
        </w:tblCellMar>
        <w:tblLook w:val="04A0" w:firstRow="1" w:lastRow="0" w:firstColumn="1" w:lastColumn="0" w:noHBand="0" w:noVBand="1"/>
      </w:tblPr>
      <w:tblGrid>
        <w:gridCol w:w="37"/>
        <w:gridCol w:w="470"/>
        <w:gridCol w:w="36"/>
        <w:gridCol w:w="36"/>
        <w:gridCol w:w="200"/>
        <w:gridCol w:w="36"/>
        <w:gridCol w:w="37"/>
        <w:gridCol w:w="4110"/>
        <w:gridCol w:w="36"/>
      </w:tblGrid>
      <w:tr w:rsidR="0099058F" w14:paraId="4B763B29" w14:textId="77777777">
        <w:trPr>
          <w:jc w:val="right"/>
        </w:trPr>
        <w:tc>
          <w:tcPr>
            <w:tcW w:w="50" w:type="pct"/>
            <w:tcBorders>
              <w:top w:val="nil"/>
              <w:left w:val="nil"/>
              <w:bottom w:val="nil"/>
              <w:right w:val="nil"/>
            </w:tcBorders>
            <w:shd w:val="clear" w:color="auto" w:fill="auto"/>
            <w:vAlign w:val="bottom"/>
          </w:tcPr>
          <w:p w14:paraId="4B763B20" w14:textId="77777777" w:rsidR="0099058F" w:rsidRDefault="0099058F">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B763B2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22"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B23" w14:textId="77777777" w:rsidR="0099058F" w:rsidRDefault="0099058F">
            <w:pPr>
              <w:widowControl/>
              <w:jc w:val="left"/>
              <w:rPr>
                <w:rFonts w:ascii="Times New Roman" w:eastAsia="宋体" w:hAnsi="宋体" w:cs="宋体"/>
                <w:kern w:val="0"/>
                <w:sz w:val="24"/>
              </w:rPr>
            </w:pPr>
          </w:p>
        </w:tc>
        <w:tc>
          <w:tcPr>
            <w:tcW w:w="217" w:type="pct"/>
            <w:tcBorders>
              <w:top w:val="nil"/>
              <w:left w:val="nil"/>
              <w:bottom w:val="nil"/>
              <w:right w:val="nil"/>
            </w:tcBorders>
            <w:shd w:val="clear" w:color="auto" w:fill="auto"/>
            <w:vAlign w:val="bottom"/>
          </w:tcPr>
          <w:p w14:paraId="4B763B2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2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B26" w14:textId="77777777" w:rsidR="0099058F" w:rsidRDefault="0099058F">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4B763B2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28" w14:textId="77777777" w:rsidR="0099058F" w:rsidRDefault="0099058F">
            <w:pPr>
              <w:widowControl/>
              <w:jc w:val="left"/>
              <w:rPr>
                <w:rFonts w:ascii="Times New Roman" w:eastAsia="宋体" w:hAnsi="宋体" w:cs="宋体"/>
                <w:kern w:val="0"/>
                <w:sz w:val="24"/>
              </w:rPr>
            </w:pPr>
          </w:p>
        </w:tc>
      </w:tr>
      <w:tr w:rsidR="0099058F" w14:paraId="4B763B2D"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2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2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2C" w14:textId="77777777" w:rsidR="0099058F" w:rsidRDefault="00EB255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THE BOEING COMPANY</w:t>
            </w:r>
          </w:p>
        </w:tc>
      </w:tr>
      <w:tr w:rsidR="0099058F" w14:paraId="4B763B31"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2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2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30"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(Registrant)</w:t>
            </w:r>
          </w:p>
        </w:tc>
      </w:tr>
      <w:tr w:rsidR="0099058F" w14:paraId="4B763B35" w14:textId="77777777">
        <w:trPr>
          <w:jc w:val="right"/>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32" w14:textId="77777777" w:rsidR="0099058F" w:rsidRDefault="00EB255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33"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3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99058F" w14:paraId="4B763B39"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3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37" w14:textId="77777777" w:rsidR="0099058F" w:rsidRDefault="00EB255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B763B3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 – Senior Vice President and Controller</w:t>
            </w:r>
          </w:p>
        </w:tc>
      </w:tr>
    </w:tbl>
    <w:p w14:paraId="4B763B3A" w14:textId="77777777" w:rsidR="0099058F" w:rsidRDefault="00EB2559">
      <w:pPr>
        <w:widowControl/>
        <w:spacing w:before="80" w:after="180"/>
        <w:rPr>
          <w:rFonts w:ascii="宋体" w:eastAsia="宋体" w:hAnsi="宋体" w:cs="宋体"/>
          <w:kern w:val="0"/>
          <w:sz w:val="24"/>
        </w:rPr>
      </w:pPr>
      <w:r>
        <w:rPr>
          <w:rFonts w:ascii="宋体" w:eastAsia="宋体" w:hAnsi="宋体" w:cs="宋体" w:hint="eastAsia"/>
          <w:kern w:val="0"/>
          <w:sz w:val="24"/>
          <w:lang w:bidi="ar"/>
        </w:rPr>
        <w:t xml:space="preserve"> </w:t>
      </w:r>
    </w:p>
    <w:p w14:paraId="4B763B3B" w14:textId="77777777" w:rsidR="0099058F" w:rsidRDefault="00EB255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B763B3C"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132</w:t>
      </w:r>
    </w:p>
    <w:p w14:paraId="4B763B3D" w14:textId="77777777" w:rsidR="0099058F" w:rsidRDefault="00EB2559">
      <w:pPr>
        <w:widowControl/>
        <w:jc w:val="center"/>
      </w:pPr>
      <w:r>
        <w:rPr>
          <w:rFonts w:ascii="宋体" w:eastAsia="宋体" w:hAnsi="宋体" w:cs="宋体"/>
          <w:kern w:val="0"/>
          <w:sz w:val="24"/>
        </w:rPr>
        <w:pict w14:anchorId="4B763C7B">
          <v:rect id="_x0000_i1158" style="width:6in;height:1.5pt" o:hralign="center" o:hrstd="t" o:hr="t" fillcolor="#a0a0a0" stroked="f"/>
        </w:pict>
      </w:r>
    </w:p>
    <w:p w14:paraId="4B763B3E" w14:textId="77777777" w:rsidR="0099058F" w:rsidRDefault="00EB2559">
      <w:pPr>
        <w:widowControl/>
        <w:spacing w:after="180"/>
        <w:jc w:val="left"/>
        <w:rPr>
          <w:rFonts w:ascii="宋体" w:eastAsia="宋体" w:hAnsi="宋体" w:cs="宋体"/>
          <w:kern w:val="0"/>
          <w:sz w:val="24"/>
        </w:rPr>
      </w:pPr>
      <w:hyperlink w:anchor="idab206f38af44c3b82edc252bb6a3941_10" w:history="1">
        <w:r>
          <w:rPr>
            <w:rStyle w:val="a4"/>
            <w:rFonts w:ascii="Arial" w:eastAsia="宋体" w:hAnsi="Arial" w:cs="Arial"/>
            <w:sz w:val="20"/>
            <w:szCs w:val="20"/>
          </w:rPr>
          <w:t xml:space="preserve">Table of </w:t>
        </w:r>
      </w:hyperlink>
      <w:hyperlink w:anchor="idab206f38af44c3b82edc252bb6a3941_10" w:history="1">
        <w:r>
          <w:rPr>
            <w:rStyle w:val="a4"/>
            <w:rFonts w:ascii="Arial" w:eastAsia="宋体" w:hAnsi="Arial" w:cs="Arial"/>
            <w:sz w:val="20"/>
            <w:szCs w:val="20"/>
          </w:rPr>
          <w:t>Contents</w:t>
        </w:r>
      </w:hyperlink>
    </w:p>
    <w:p w14:paraId="4B763B3F" w14:textId="77777777" w:rsidR="0099058F" w:rsidRDefault="00EB255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the </w:t>
      </w:r>
      <w:r>
        <w:rPr>
          <w:rFonts w:ascii="Arial" w:eastAsia="宋体" w:hAnsi="Arial" w:cs="Arial"/>
          <w:color w:val="000000"/>
          <w:kern w:val="0"/>
          <w:sz w:val="20"/>
          <w:szCs w:val="20"/>
          <w:lang w:bidi="ar"/>
        </w:rPr>
        <w:t>Securities Exchange Act of 1934, this report has been signed below by the following persons on behalf of the registrant and in the capacities indicated on January 27, 2023.</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60"/>
        <w:gridCol w:w="3972"/>
        <w:gridCol w:w="38"/>
        <w:gridCol w:w="36"/>
        <w:gridCol w:w="123"/>
        <w:gridCol w:w="36"/>
        <w:gridCol w:w="60"/>
        <w:gridCol w:w="3917"/>
        <w:gridCol w:w="39"/>
      </w:tblGrid>
      <w:tr w:rsidR="0099058F" w14:paraId="4B763B49" w14:textId="77777777">
        <w:tc>
          <w:tcPr>
            <w:tcW w:w="50" w:type="pct"/>
            <w:tcBorders>
              <w:top w:val="nil"/>
              <w:left w:val="nil"/>
              <w:bottom w:val="nil"/>
              <w:right w:val="nil"/>
            </w:tcBorders>
            <w:shd w:val="clear" w:color="auto" w:fill="auto"/>
            <w:vAlign w:val="bottom"/>
          </w:tcPr>
          <w:p w14:paraId="4B763B40" w14:textId="77777777" w:rsidR="0099058F" w:rsidRDefault="0099058F">
            <w:pPr>
              <w:widowControl/>
              <w:jc w:val="left"/>
              <w:rPr>
                <w:rFonts w:ascii="Times New Roman" w:eastAsia="宋体" w:hAnsi="宋体" w:cs="宋体"/>
                <w:kern w:val="0"/>
                <w:sz w:val="24"/>
              </w:rPr>
            </w:pPr>
          </w:p>
        </w:tc>
        <w:tc>
          <w:tcPr>
            <w:tcW w:w="2412" w:type="pct"/>
            <w:tcBorders>
              <w:top w:val="nil"/>
              <w:left w:val="nil"/>
              <w:bottom w:val="nil"/>
              <w:right w:val="nil"/>
            </w:tcBorders>
            <w:shd w:val="clear" w:color="auto" w:fill="auto"/>
            <w:vAlign w:val="bottom"/>
          </w:tcPr>
          <w:p w14:paraId="4B763B41"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42"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43" w14:textId="77777777" w:rsidR="0099058F" w:rsidRDefault="0099058F">
            <w:pPr>
              <w:widowControl/>
              <w:jc w:val="left"/>
              <w:rPr>
                <w:rFonts w:ascii="Times New Roman" w:eastAsia="宋体" w:hAnsi="宋体" w:cs="宋体"/>
                <w:kern w:val="0"/>
                <w:sz w:val="24"/>
              </w:rPr>
            </w:pPr>
          </w:p>
        </w:tc>
        <w:tc>
          <w:tcPr>
            <w:tcW w:w="88" w:type="pct"/>
            <w:tcBorders>
              <w:top w:val="nil"/>
              <w:left w:val="nil"/>
              <w:bottom w:val="nil"/>
              <w:right w:val="nil"/>
            </w:tcBorders>
            <w:shd w:val="clear" w:color="auto" w:fill="auto"/>
            <w:vAlign w:val="bottom"/>
          </w:tcPr>
          <w:p w14:paraId="4B763B44"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45" w14:textId="77777777" w:rsidR="0099058F" w:rsidRDefault="0099058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B763B46" w14:textId="77777777" w:rsidR="0099058F" w:rsidRDefault="0099058F">
            <w:pPr>
              <w:widowControl/>
              <w:jc w:val="left"/>
              <w:rPr>
                <w:rFonts w:ascii="Times New Roman" w:eastAsia="宋体" w:hAnsi="宋体" w:cs="宋体"/>
                <w:kern w:val="0"/>
                <w:sz w:val="24"/>
              </w:rPr>
            </w:pPr>
          </w:p>
        </w:tc>
        <w:tc>
          <w:tcPr>
            <w:tcW w:w="2379" w:type="pct"/>
            <w:tcBorders>
              <w:top w:val="nil"/>
              <w:left w:val="nil"/>
              <w:bottom w:val="nil"/>
              <w:right w:val="nil"/>
            </w:tcBorders>
            <w:shd w:val="clear" w:color="auto" w:fill="auto"/>
            <w:vAlign w:val="bottom"/>
          </w:tcPr>
          <w:p w14:paraId="4B763B47" w14:textId="77777777" w:rsidR="0099058F" w:rsidRDefault="0099058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B763B48" w14:textId="77777777" w:rsidR="0099058F" w:rsidRDefault="0099058F">
            <w:pPr>
              <w:widowControl/>
              <w:jc w:val="left"/>
              <w:rPr>
                <w:rFonts w:ascii="Times New Roman" w:eastAsia="宋体" w:hAnsi="宋体" w:cs="宋体"/>
                <w:kern w:val="0"/>
                <w:sz w:val="24"/>
              </w:rPr>
            </w:pPr>
          </w:p>
        </w:tc>
      </w:tr>
      <w:tr w:rsidR="0099058F" w14:paraId="4B763B4D"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4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4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4C" w14:textId="77777777" w:rsidR="0099058F" w:rsidRDefault="0099058F">
            <w:pPr>
              <w:widowControl/>
              <w:jc w:val="left"/>
              <w:rPr>
                <w:rFonts w:ascii="Times New Roman" w:eastAsia="宋体" w:hAnsi="宋体" w:cs="宋体"/>
                <w:kern w:val="0"/>
                <w:sz w:val="24"/>
              </w:rPr>
            </w:pPr>
          </w:p>
        </w:tc>
      </w:tr>
      <w:tr w:rsidR="0099058F" w14:paraId="4B763B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4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David L. Calhoun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4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5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Stayce D. Harris</w:t>
            </w:r>
          </w:p>
        </w:tc>
      </w:tr>
      <w:tr w:rsidR="0099058F" w14:paraId="4B763B5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5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David L. Calhoun – </w:t>
            </w:r>
            <w:r>
              <w:rPr>
                <w:rFonts w:ascii="Arial" w:eastAsia="宋体" w:hAnsi="Arial" w:cs="Arial"/>
                <w:color w:val="000000"/>
                <w:kern w:val="0"/>
                <w:sz w:val="20"/>
                <w:szCs w:val="20"/>
                <w:lang w:bidi="ar"/>
              </w:rPr>
              <w:t>President and Chief Executive Officer and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5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Stayce D. Harris – Director</w:t>
            </w:r>
          </w:p>
        </w:tc>
      </w:tr>
      <w:tr w:rsidR="0099058F" w14:paraId="4B763B5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5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8" w14:textId="77777777" w:rsidR="0099058F" w:rsidRDefault="0099058F">
            <w:pPr>
              <w:widowControl/>
              <w:jc w:val="left"/>
              <w:rPr>
                <w:rFonts w:ascii="Times New Roman" w:eastAsia="宋体" w:hAnsi="宋体" w:cs="宋体"/>
                <w:kern w:val="0"/>
                <w:sz w:val="24"/>
              </w:rPr>
            </w:pPr>
          </w:p>
        </w:tc>
      </w:tr>
      <w:tr w:rsidR="0099058F" w14:paraId="4B763B5D"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C" w14:textId="77777777" w:rsidR="0099058F" w:rsidRDefault="0099058F">
            <w:pPr>
              <w:widowControl/>
              <w:jc w:val="left"/>
              <w:rPr>
                <w:rFonts w:ascii="Times New Roman" w:eastAsia="宋体" w:hAnsi="宋体" w:cs="宋体"/>
                <w:kern w:val="0"/>
                <w:sz w:val="24"/>
              </w:rPr>
            </w:pPr>
          </w:p>
        </w:tc>
      </w:tr>
      <w:tr w:rsidR="0099058F" w14:paraId="4B763B6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5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Brian J. West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5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60"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 Akhil Johri</w:t>
            </w:r>
          </w:p>
        </w:tc>
      </w:tr>
      <w:tr w:rsidR="0099058F" w14:paraId="4B763B6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6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Brian J. West – Executive Vice President and Chief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6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Akhil Johri – Director</w:t>
            </w:r>
          </w:p>
        </w:tc>
      </w:tr>
      <w:tr w:rsidR="0099058F" w14:paraId="4B763B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6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8" w14:textId="77777777" w:rsidR="0099058F" w:rsidRDefault="0099058F">
            <w:pPr>
              <w:widowControl/>
              <w:jc w:val="left"/>
              <w:rPr>
                <w:rFonts w:ascii="Times New Roman" w:eastAsia="宋体" w:hAnsi="宋体" w:cs="宋体"/>
                <w:kern w:val="0"/>
                <w:sz w:val="24"/>
              </w:rPr>
            </w:pPr>
          </w:p>
        </w:tc>
      </w:tr>
      <w:tr w:rsidR="0099058F" w14:paraId="4B763B6D"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C" w14:textId="77777777" w:rsidR="0099058F" w:rsidRDefault="0099058F">
            <w:pPr>
              <w:widowControl/>
              <w:jc w:val="left"/>
              <w:rPr>
                <w:rFonts w:ascii="Times New Roman" w:eastAsia="宋体" w:hAnsi="宋体" w:cs="宋体"/>
                <w:kern w:val="0"/>
                <w:sz w:val="24"/>
              </w:rPr>
            </w:pPr>
          </w:p>
        </w:tc>
      </w:tr>
      <w:tr w:rsidR="0099058F" w14:paraId="4B763B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6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6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7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David L. Joyce</w:t>
            </w:r>
          </w:p>
        </w:tc>
      </w:tr>
      <w:tr w:rsidR="0099058F" w14:paraId="4B763B7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7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Carol J. Hibbard – Senior Vice President and Controller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7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David L. Joyce – Director</w:t>
            </w:r>
          </w:p>
        </w:tc>
      </w:tr>
      <w:tr w:rsidR="0099058F" w14:paraId="4B763B7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B763B7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8" w14:textId="77777777" w:rsidR="0099058F" w:rsidRDefault="0099058F">
            <w:pPr>
              <w:widowControl/>
              <w:jc w:val="left"/>
              <w:rPr>
                <w:rFonts w:ascii="Times New Roman" w:eastAsia="宋体" w:hAnsi="宋体" w:cs="宋体"/>
                <w:kern w:val="0"/>
                <w:sz w:val="24"/>
              </w:rPr>
            </w:pPr>
          </w:p>
        </w:tc>
      </w:tr>
      <w:tr w:rsidR="0099058F" w14:paraId="4B763B7D"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C" w14:textId="77777777" w:rsidR="0099058F" w:rsidRDefault="0099058F">
            <w:pPr>
              <w:widowControl/>
              <w:jc w:val="left"/>
              <w:rPr>
                <w:rFonts w:ascii="Times New Roman" w:eastAsia="宋体" w:hAnsi="宋体" w:cs="宋体"/>
                <w:kern w:val="0"/>
                <w:sz w:val="24"/>
              </w:rPr>
            </w:pPr>
          </w:p>
        </w:tc>
      </w:tr>
      <w:tr w:rsidR="0099058F" w14:paraId="4B763B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7E"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Robert A. Bradway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7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80"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Lawrence W. Kellner</w:t>
            </w:r>
          </w:p>
        </w:tc>
      </w:tr>
      <w:tr w:rsidR="0099058F" w14:paraId="4B763B8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82"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Robert A. Bradway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3"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84"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Lawrence W. Kellner – Chair of the Board</w:t>
            </w:r>
          </w:p>
        </w:tc>
      </w:tr>
      <w:tr w:rsidR="0099058F" w14:paraId="4B763B89"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6"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8" w14:textId="77777777" w:rsidR="0099058F" w:rsidRDefault="0099058F">
            <w:pPr>
              <w:widowControl/>
              <w:jc w:val="left"/>
              <w:rPr>
                <w:rFonts w:ascii="Times New Roman" w:eastAsia="宋体" w:hAnsi="宋体" w:cs="宋体"/>
                <w:kern w:val="0"/>
                <w:sz w:val="24"/>
              </w:rPr>
            </w:pPr>
          </w:p>
        </w:tc>
      </w:tr>
      <w:tr w:rsidR="0099058F" w14:paraId="4B763B8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8A"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Lynne M. Doughtie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8C"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Steven M. Mollenkopf</w:t>
            </w:r>
          </w:p>
        </w:tc>
      </w:tr>
      <w:tr w:rsidR="0099058F" w14:paraId="4B763B9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8E"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Lynne M. Doughtie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8F"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90"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Steven M. Mollenkopf – Director</w:t>
            </w:r>
          </w:p>
        </w:tc>
      </w:tr>
      <w:tr w:rsidR="0099058F" w14:paraId="4B763B95"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2"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4" w14:textId="77777777" w:rsidR="0099058F" w:rsidRDefault="0099058F">
            <w:pPr>
              <w:widowControl/>
              <w:jc w:val="left"/>
              <w:rPr>
                <w:rFonts w:ascii="Times New Roman" w:eastAsia="宋体" w:hAnsi="宋体" w:cs="宋体"/>
                <w:kern w:val="0"/>
                <w:sz w:val="24"/>
              </w:rPr>
            </w:pPr>
          </w:p>
        </w:tc>
      </w:tr>
      <w:tr w:rsidR="0099058F" w14:paraId="4B763B9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96"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David L. Gitlin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7"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98"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John M. Richardson</w:t>
            </w:r>
          </w:p>
        </w:tc>
      </w:tr>
      <w:tr w:rsidR="0099058F" w14:paraId="4B763B9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9A"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David L. </w:t>
            </w:r>
            <w:r>
              <w:rPr>
                <w:rFonts w:ascii="Arial" w:eastAsia="宋体" w:hAnsi="Arial" w:cs="Arial"/>
                <w:color w:val="000000"/>
                <w:kern w:val="0"/>
                <w:sz w:val="20"/>
                <w:szCs w:val="20"/>
                <w:lang w:bidi="ar"/>
              </w:rPr>
              <w:t>Gitlin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B"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9C"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John M. Richardson – Director</w:t>
            </w:r>
          </w:p>
        </w:tc>
      </w:tr>
      <w:tr w:rsidR="0099058F" w14:paraId="4B763BA1"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9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0" w14:textId="77777777" w:rsidR="0099058F" w:rsidRDefault="0099058F">
            <w:pPr>
              <w:widowControl/>
              <w:jc w:val="left"/>
              <w:rPr>
                <w:rFonts w:ascii="Times New Roman" w:eastAsia="宋体" w:hAnsi="宋体" w:cs="宋体"/>
                <w:kern w:val="0"/>
                <w:sz w:val="24"/>
              </w:rPr>
            </w:pPr>
          </w:p>
        </w:tc>
      </w:tr>
      <w:tr w:rsidR="0099058F" w14:paraId="4B763B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A2"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Lynn J. Good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3"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B763BA4" w14:textId="77777777" w:rsidR="0099058F" w:rsidRDefault="00EB255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Ronald A. Williams</w:t>
            </w:r>
          </w:p>
        </w:tc>
      </w:tr>
      <w:tr w:rsidR="0099058F" w14:paraId="4B763BA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A6"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Lynn J. Good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7" w14:textId="77777777" w:rsidR="0099058F" w:rsidRDefault="0099058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B763BA8" w14:textId="77777777" w:rsidR="0099058F" w:rsidRDefault="00EB255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Ronald A. Williams – Director</w:t>
            </w:r>
          </w:p>
        </w:tc>
      </w:tr>
      <w:tr w:rsidR="0099058F" w14:paraId="4B763BAD"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A"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B"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C" w14:textId="77777777" w:rsidR="0099058F" w:rsidRDefault="0099058F">
            <w:pPr>
              <w:widowControl/>
              <w:jc w:val="left"/>
              <w:rPr>
                <w:rFonts w:ascii="Times New Roman" w:eastAsia="宋体" w:hAnsi="宋体" w:cs="宋体"/>
                <w:kern w:val="0"/>
                <w:sz w:val="24"/>
              </w:rPr>
            </w:pPr>
          </w:p>
        </w:tc>
      </w:tr>
      <w:tr w:rsidR="0099058F" w14:paraId="4B763BB1"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E"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AF" w14:textId="77777777" w:rsidR="0099058F" w:rsidRDefault="0099058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B763BB0" w14:textId="77777777" w:rsidR="0099058F" w:rsidRDefault="0099058F">
            <w:pPr>
              <w:widowControl/>
              <w:jc w:val="left"/>
              <w:rPr>
                <w:rFonts w:ascii="Times New Roman" w:eastAsia="宋体" w:hAnsi="宋体" w:cs="宋体"/>
                <w:kern w:val="0"/>
                <w:sz w:val="24"/>
              </w:rPr>
            </w:pPr>
          </w:p>
        </w:tc>
      </w:tr>
    </w:tbl>
    <w:p w14:paraId="4B763BB2" w14:textId="77777777" w:rsidR="0099058F" w:rsidRDefault="00EB2559">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133</w:t>
      </w:r>
    </w:p>
    <w:p w14:paraId="4B763BB3"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B763C7C" wp14:editId="4B763C7D">
            <wp:extent cx="38100" cy="38100"/>
            <wp:effectExtent l="0" t="0" r="12700" b="12700"/>
            <wp:docPr id="31" name="图片 16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8" descr="IMG_288"/>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B5" w14:textId="77777777">
        <w:trPr>
          <w:tblCellSpacing w:w="15" w:type="dxa"/>
        </w:trPr>
        <w:tc>
          <w:tcPr>
            <w:tcW w:w="0" w:type="auto"/>
            <w:tcBorders>
              <w:top w:val="nil"/>
              <w:left w:val="nil"/>
              <w:bottom w:val="nil"/>
              <w:right w:val="nil"/>
            </w:tcBorders>
            <w:shd w:val="clear" w:color="auto" w:fill="auto"/>
            <w:vAlign w:val="center"/>
          </w:tcPr>
          <w:p w14:paraId="4B763BB4" w14:textId="77777777" w:rsidR="0099058F" w:rsidRDefault="0099058F">
            <w:pPr>
              <w:widowControl/>
              <w:jc w:val="left"/>
              <w:rPr>
                <w:rFonts w:ascii="Times New Roman" w:eastAsia="宋体" w:hAnsi="宋体" w:cs="宋体"/>
                <w:kern w:val="0"/>
                <w:sz w:val="24"/>
              </w:rPr>
            </w:pPr>
          </w:p>
        </w:tc>
      </w:tr>
    </w:tbl>
    <w:p w14:paraId="4B763BB6"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B8" w14:textId="77777777">
        <w:trPr>
          <w:tblCellSpacing w:w="15" w:type="dxa"/>
        </w:trPr>
        <w:tc>
          <w:tcPr>
            <w:tcW w:w="0" w:type="auto"/>
            <w:tcBorders>
              <w:top w:val="nil"/>
              <w:left w:val="nil"/>
              <w:bottom w:val="nil"/>
              <w:right w:val="nil"/>
            </w:tcBorders>
            <w:shd w:val="clear" w:color="auto" w:fill="auto"/>
            <w:vAlign w:val="center"/>
          </w:tcPr>
          <w:p w14:paraId="4B763BB7" w14:textId="77777777" w:rsidR="0099058F" w:rsidRDefault="0099058F">
            <w:pPr>
              <w:widowControl/>
              <w:jc w:val="left"/>
              <w:rPr>
                <w:rFonts w:ascii="Times New Roman" w:eastAsia="宋体" w:hAnsi="宋体" w:cs="宋体"/>
                <w:kern w:val="0"/>
                <w:sz w:val="24"/>
              </w:rPr>
            </w:pPr>
          </w:p>
        </w:tc>
      </w:tr>
    </w:tbl>
    <w:p w14:paraId="4B763BB9"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BB" w14:textId="77777777">
        <w:trPr>
          <w:tblCellSpacing w:w="15" w:type="dxa"/>
        </w:trPr>
        <w:tc>
          <w:tcPr>
            <w:tcW w:w="0" w:type="auto"/>
            <w:tcBorders>
              <w:top w:val="nil"/>
              <w:left w:val="nil"/>
              <w:bottom w:val="nil"/>
              <w:right w:val="nil"/>
            </w:tcBorders>
            <w:shd w:val="clear" w:color="auto" w:fill="auto"/>
            <w:vAlign w:val="center"/>
          </w:tcPr>
          <w:p w14:paraId="4B763BBA" w14:textId="77777777" w:rsidR="0099058F" w:rsidRDefault="0099058F">
            <w:pPr>
              <w:widowControl/>
              <w:jc w:val="left"/>
              <w:rPr>
                <w:rFonts w:ascii="Times New Roman" w:eastAsia="宋体" w:hAnsi="宋体" w:cs="宋体"/>
                <w:kern w:val="0"/>
                <w:sz w:val="24"/>
              </w:rPr>
            </w:pPr>
          </w:p>
        </w:tc>
      </w:tr>
    </w:tbl>
    <w:p w14:paraId="4B763BBC"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BE" w14:textId="77777777">
        <w:trPr>
          <w:tblCellSpacing w:w="15" w:type="dxa"/>
        </w:trPr>
        <w:tc>
          <w:tcPr>
            <w:tcW w:w="0" w:type="auto"/>
            <w:tcBorders>
              <w:top w:val="nil"/>
              <w:left w:val="nil"/>
              <w:bottom w:val="nil"/>
              <w:right w:val="nil"/>
            </w:tcBorders>
            <w:shd w:val="clear" w:color="auto" w:fill="auto"/>
            <w:vAlign w:val="center"/>
          </w:tcPr>
          <w:p w14:paraId="4B763BBD" w14:textId="77777777" w:rsidR="0099058F" w:rsidRDefault="0099058F">
            <w:pPr>
              <w:widowControl/>
              <w:jc w:val="left"/>
              <w:rPr>
                <w:rFonts w:ascii="Times New Roman" w:eastAsia="宋体" w:hAnsi="宋体" w:cs="宋体"/>
                <w:kern w:val="0"/>
                <w:sz w:val="24"/>
              </w:rPr>
            </w:pPr>
          </w:p>
        </w:tc>
      </w:tr>
    </w:tbl>
    <w:p w14:paraId="4B763BBF"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B763BC0" w14:textId="77777777" w:rsidR="0099058F" w:rsidRDefault="00EB2559">
      <w:pPr>
        <w:pStyle w:val="a3"/>
        <w:widowControl/>
        <w:rPr>
          <w:rFonts w:cs="宋体"/>
        </w:rPr>
      </w:pPr>
      <w:r>
        <w:rPr>
          <w:rFonts w:cs="宋体" w:hint="eastAsia"/>
          <w:lang w:bidi="ar"/>
        </w:rPr>
        <w:t>Settings</w:t>
      </w:r>
    </w:p>
    <w:p w14:paraId="4B763BC1" w14:textId="77777777" w:rsidR="0099058F" w:rsidRDefault="00EB2559">
      <w:pPr>
        <w:pStyle w:val="z-10"/>
        <w:widowControl/>
        <w:rPr>
          <w:rFonts w:cs="宋体"/>
        </w:rPr>
      </w:pPr>
      <w:r>
        <w:rPr>
          <w:rFonts w:ascii="宋体" w:cs="宋体" w:hint="eastAsia"/>
        </w:rPr>
        <w:t>窗体顶端</w:t>
      </w:r>
    </w:p>
    <w:p w14:paraId="4B763BC2"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4B763C7E" wp14:editId="4B763C7F">
            <wp:extent cx="38100" cy="38100"/>
            <wp:effectExtent l="0" t="0" r="12700" b="12700"/>
            <wp:docPr id="4" name="图片 16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9" descr="IMG_289"/>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B763BC3"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4B763C80" wp14:editId="4B763C81">
            <wp:extent cx="38100" cy="38100"/>
            <wp:effectExtent l="0" t="0" r="12700" b="12700"/>
            <wp:docPr id="16" name="图片 17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0" descr="IMG_290"/>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4B763BC4" w14:textId="77777777" w:rsidR="0099058F" w:rsidRDefault="00EB2559">
      <w:pPr>
        <w:widowControl/>
        <w:jc w:val="center"/>
      </w:pPr>
      <w:r>
        <w:rPr>
          <w:rFonts w:ascii="宋体" w:eastAsia="宋体" w:hAnsi="宋体" w:cs="宋体"/>
          <w:kern w:val="0"/>
          <w:sz w:val="24"/>
        </w:rPr>
        <w:pict w14:anchorId="4B763C82">
          <v:rect id="_x0000_i1159" style="width:6in;height:1.5pt" o:hralign="center" o:hrstd="t" o:hr="t" fillcolor="#a0a0a0" stroked="f"/>
        </w:pict>
      </w:r>
    </w:p>
    <w:p w14:paraId="4B763BC5"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4B763BC6" w14:textId="77777777" w:rsidR="0099058F" w:rsidRDefault="00EB255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B763C83" wp14:editId="4B763C84">
            <wp:extent cx="38100" cy="38100"/>
            <wp:effectExtent l="0" t="0" r="12700" b="12700"/>
            <wp:docPr id="7" name="图片 17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2" descr="IMG_291"/>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B763BC7"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B763BC8"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B763BC9" w14:textId="77777777" w:rsidR="0099058F" w:rsidRDefault="00EB2559">
      <w:pPr>
        <w:widowControl/>
        <w:jc w:val="center"/>
      </w:pPr>
      <w:r>
        <w:rPr>
          <w:rFonts w:ascii="宋体" w:eastAsia="宋体" w:hAnsi="宋体" w:cs="宋体"/>
          <w:kern w:val="0"/>
          <w:sz w:val="24"/>
        </w:rPr>
        <w:pict w14:anchorId="4B763C85">
          <v:rect id="_x0000_i1160" style="width:6in;height:1.5pt" o:hralign="center" o:hrstd="t" o:hr="t" fillcolor="#a0a0a0" stroked="f"/>
        </w:pict>
      </w:r>
    </w:p>
    <w:p w14:paraId="4B763BCA"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4B763BCB" w14:textId="77777777" w:rsidR="0099058F" w:rsidRDefault="00EB255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B763C86" wp14:editId="4B763C87">
            <wp:extent cx="38100" cy="38100"/>
            <wp:effectExtent l="0" t="0" r="12700" b="12700"/>
            <wp:docPr id="12" name="图片 17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4" descr="IMG_292"/>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B763BCC"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B763BCD"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B763BCE" w14:textId="77777777" w:rsidR="0099058F" w:rsidRDefault="00EB2559">
      <w:pPr>
        <w:widowControl/>
        <w:jc w:val="center"/>
      </w:pPr>
      <w:r>
        <w:rPr>
          <w:rFonts w:ascii="宋体" w:eastAsia="宋体" w:hAnsi="宋体" w:cs="宋体"/>
          <w:kern w:val="0"/>
          <w:sz w:val="24"/>
        </w:rPr>
        <w:pict w14:anchorId="4B763C88">
          <v:rect id="_x0000_i1161" style="width:6in;height:1.5pt" o:hralign="center" o:hrstd="t" o:hr="t" fillcolor="#a0a0a0" stroked="f"/>
        </w:pict>
      </w:r>
    </w:p>
    <w:p w14:paraId="4B763BCF"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4B763BD0" w14:textId="77777777" w:rsidR="0099058F" w:rsidRDefault="00EB255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B763C89" wp14:editId="4B763C8A">
            <wp:extent cx="38100" cy="38100"/>
            <wp:effectExtent l="0" t="0" r="12700" b="12700"/>
            <wp:docPr id="22" name="图片 17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6" descr="IMG_293"/>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B763BD1"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B763BD2"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B763BD3" w14:textId="77777777" w:rsidR="0099058F" w:rsidRDefault="00EB2559">
      <w:pPr>
        <w:widowControl/>
        <w:jc w:val="center"/>
      </w:pPr>
      <w:r>
        <w:rPr>
          <w:rFonts w:ascii="宋体" w:eastAsia="宋体" w:hAnsi="宋体" w:cs="宋体"/>
          <w:kern w:val="0"/>
          <w:sz w:val="24"/>
        </w:rPr>
        <w:pict w14:anchorId="4B763C8B">
          <v:rect id="_x0000_i1162" style="width:6in;height:1.5pt" o:hralign="center" o:hrstd="t" o:hr="t" fillcolor="#a0a0a0" stroked="f"/>
        </w:pict>
      </w:r>
    </w:p>
    <w:p w14:paraId="4B763BD4"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4B763BD5" w14:textId="77777777" w:rsidR="0099058F" w:rsidRDefault="00EB255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B763C8C" wp14:editId="4B763C8D">
            <wp:extent cx="38100" cy="38100"/>
            <wp:effectExtent l="0" t="0" r="12700" b="12700"/>
            <wp:docPr id="20" name="图片 17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8" descr="IMG_294"/>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B763BD6"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B763BD7"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B763BD8" w14:textId="77777777" w:rsidR="0099058F" w:rsidRDefault="00EB2559">
      <w:pPr>
        <w:pStyle w:val="z-1"/>
        <w:widowControl/>
        <w:rPr>
          <w:rFonts w:cs="宋体"/>
        </w:rPr>
      </w:pPr>
      <w:r>
        <w:rPr>
          <w:rFonts w:ascii="宋体" w:cs="宋体" w:hint="eastAsia"/>
        </w:rPr>
        <w:t>窗体底端</w:t>
      </w:r>
    </w:p>
    <w:p w14:paraId="4B763BD9"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B763C8E" wp14:editId="4B763C8F">
            <wp:extent cx="38100" cy="38100"/>
            <wp:effectExtent l="0" t="0" r="12700" b="12700"/>
            <wp:docPr id="24" name="图片 17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9" descr="IMG_295"/>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DB" w14:textId="77777777">
        <w:trPr>
          <w:tblCellSpacing w:w="15" w:type="dxa"/>
        </w:trPr>
        <w:tc>
          <w:tcPr>
            <w:tcW w:w="0" w:type="auto"/>
            <w:tcBorders>
              <w:top w:val="nil"/>
              <w:left w:val="nil"/>
              <w:bottom w:val="nil"/>
              <w:right w:val="nil"/>
            </w:tcBorders>
            <w:shd w:val="clear" w:color="auto" w:fill="auto"/>
            <w:vAlign w:val="center"/>
          </w:tcPr>
          <w:p w14:paraId="4B763BDA" w14:textId="77777777" w:rsidR="0099058F" w:rsidRDefault="0099058F">
            <w:pPr>
              <w:widowControl/>
              <w:jc w:val="left"/>
              <w:rPr>
                <w:rFonts w:ascii="Times New Roman" w:eastAsia="宋体" w:hAnsi="宋体" w:cs="宋体"/>
                <w:kern w:val="0"/>
                <w:sz w:val="24"/>
              </w:rPr>
            </w:pPr>
          </w:p>
        </w:tc>
      </w:tr>
    </w:tbl>
    <w:p w14:paraId="4B763BDC"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DE" w14:textId="77777777">
        <w:trPr>
          <w:tblCellSpacing w:w="15" w:type="dxa"/>
        </w:trPr>
        <w:tc>
          <w:tcPr>
            <w:tcW w:w="0" w:type="auto"/>
            <w:tcBorders>
              <w:top w:val="nil"/>
              <w:left w:val="nil"/>
              <w:bottom w:val="nil"/>
              <w:right w:val="nil"/>
            </w:tcBorders>
            <w:shd w:val="clear" w:color="auto" w:fill="auto"/>
            <w:vAlign w:val="center"/>
          </w:tcPr>
          <w:p w14:paraId="4B763BDD" w14:textId="77777777" w:rsidR="0099058F" w:rsidRDefault="0099058F">
            <w:pPr>
              <w:widowControl/>
              <w:jc w:val="left"/>
              <w:rPr>
                <w:rFonts w:ascii="Times New Roman" w:eastAsia="宋体" w:hAnsi="宋体" w:cs="宋体"/>
                <w:kern w:val="0"/>
                <w:sz w:val="24"/>
              </w:rPr>
            </w:pPr>
          </w:p>
        </w:tc>
      </w:tr>
    </w:tbl>
    <w:p w14:paraId="4B763BDF"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E1" w14:textId="77777777">
        <w:trPr>
          <w:tblCellSpacing w:w="15" w:type="dxa"/>
        </w:trPr>
        <w:tc>
          <w:tcPr>
            <w:tcW w:w="0" w:type="auto"/>
            <w:tcBorders>
              <w:top w:val="nil"/>
              <w:left w:val="nil"/>
              <w:bottom w:val="nil"/>
              <w:right w:val="nil"/>
            </w:tcBorders>
            <w:shd w:val="clear" w:color="auto" w:fill="auto"/>
            <w:vAlign w:val="center"/>
          </w:tcPr>
          <w:p w14:paraId="4B763BE0" w14:textId="77777777" w:rsidR="0099058F" w:rsidRDefault="0099058F">
            <w:pPr>
              <w:widowControl/>
              <w:jc w:val="left"/>
              <w:rPr>
                <w:rFonts w:ascii="Times New Roman" w:eastAsia="宋体" w:hAnsi="宋体" w:cs="宋体"/>
                <w:kern w:val="0"/>
                <w:sz w:val="24"/>
              </w:rPr>
            </w:pPr>
          </w:p>
        </w:tc>
      </w:tr>
    </w:tbl>
    <w:p w14:paraId="4B763BE2"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E4" w14:textId="77777777">
        <w:trPr>
          <w:tblCellSpacing w:w="15" w:type="dxa"/>
        </w:trPr>
        <w:tc>
          <w:tcPr>
            <w:tcW w:w="0" w:type="auto"/>
            <w:tcBorders>
              <w:top w:val="nil"/>
              <w:left w:val="nil"/>
              <w:bottom w:val="nil"/>
              <w:right w:val="nil"/>
            </w:tcBorders>
            <w:shd w:val="clear" w:color="auto" w:fill="auto"/>
            <w:vAlign w:val="center"/>
          </w:tcPr>
          <w:p w14:paraId="4B763BE3" w14:textId="77777777" w:rsidR="0099058F" w:rsidRDefault="0099058F">
            <w:pPr>
              <w:widowControl/>
              <w:jc w:val="left"/>
              <w:rPr>
                <w:rFonts w:ascii="Times New Roman" w:eastAsia="宋体" w:hAnsi="宋体" w:cs="宋体"/>
                <w:kern w:val="0"/>
                <w:sz w:val="24"/>
              </w:rPr>
            </w:pPr>
          </w:p>
        </w:tc>
      </w:tr>
    </w:tbl>
    <w:p w14:paraId="4B763BE5"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B763BE6" w14:textId="77777777" w:rsidR="0099058F" w:rsidRDefault="00EB2559">
      <w:pPr>
        <w:pStyle w:val="a3"/>
        <w:widowControl/>
        <w:rPr>
          <w:rFonts w:cs="宋体"/>
        </w:rPr>
      </w:pPr>
      <w:r>
        <w:rPr>
          <w:rFonts w:cs="宋体" w:hint="eastAsia"/>
          <w:lang w:bidi="ar"/>
        </w:rPr>
        <w:t xml:space="preserve">Nested Facts / </w:t>
      </w:r>
    </w:p>
    <w:p w14:paraId="4B763BE7"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B763BE8"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B763C90" wp14:editId="4B763C91">
            <wp:extent cx="38100" cy="38100"/>
            <wp:effectExtent l="0" t="0" r="12700" b="12700"/>
            <wp:docPr id="14" name="图片 18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0" descr="IMG_296"/>
                    <pic:cNvPicPr>
                      <a:picLocks noChangeAspect="1"/>
                    </pic:cNvPicPr>
                  </pic:nvPicPr>
                  <pic:blipFill>
                    <a:blip r:embed="rId5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EA" w14:textId="77777777">
        <w:trPr>
          <w:tblCellSpacing w:w="15" w:type="dxa"/>
        </w:trPr>
        <w:tc>
          <w:tcPr>
            <w:tcW w:w="0" w:type="auto"/>
            <w:tcBorders>
              <w:top w:val="nil"/>
              <w:left w:val="nil"/>
              <w:bottom w:val="nil"/>
              <w:right w:val="nil"/>
            </w:tcBorders>
            <w:shd w:val="clear" w:color="auto" w:fill="auto"/>
            <w:vAlign w:val="center"/>
          </w:tcPr>
          <w:p w14:paraId="4B763BE9" w14:textId="77777777" w:rsidR="0099058F" w:rsidRDefault="0099058F">
            <w:pPr>
              <w:widowControl/>
              <w:jc w:val="left"/>
              <w:rPr>
                <w:rFonts w:ascii="Times New Roman" w:eastAsia="宋体" w:hAnsi="宋体" w:cs="宋体"/>
                <w:kern w:val="0"/>
                <w:sz w:val="24"/>
              </w:rPr>
            </w:pPr>
          </w:p>
        </w:tc>
      </w:tr>
    </w:tbl>
    <w:p w14:paraId="4B763BEB"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ED" w14:textId="77777777">
        <w:trPr>
          <w:tblCellSpacing w:w="15" w:type="dxa"/>
        </w:trPr>
        <w:tc>
          <w:tcPr>
            <w:tcW w:w="0" w:type="auto"/>
            <w:tcBorders>
              <w:top w:val="nil"/>
              <w:left w:val="nil"/>
              <w:bottom w:val="nil"/>
              <w:right w:val="nil"/>
            </w:tcBorders>
            <w:shd w:val="clear" w:color="auto" w:fill="auto"/>
            <w:vAlign w:val="center"/>
          </w:tcPr>
          <w:p w14:paraId="4B763BEC" w14:textId="77777777" w:rsidR="0099058F" w:rsidRDefault="0099058F">
            <w:pPr>
              <w:widowControl/>
              <w:jc w:val="left"/>
              <w:rPr>
                <w:rFonts w:ascii="Times New Roman" w:eastAsia="宋体" w:hAnsi="宋体" w:cs="宋体"/>
                <w:kern w:val="0"/>
                <w:sz w:val="24"/>
              </w:rPr>
            </w:pPr>
          </w:p>
        </w:tc>
      </w:tr>
    </w:tbl>
    <w:p w14:paraId="4B763BEE"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F0" w14:textId="77777777">
        <w:trPr>
          <w:tblCellSpacing w:w="15" w:type="dxa"/>
        </w:trPr>
        <w:tc>
          <w:tcPr>
            <w:tcW w:w="0" w:type="auto"/>
            <w:tcBorders>
              <w:top w:val="nil"/>
              <w:left w:val="nil"/>
              <w:bottom w:val="nil"/>
              <w:right w:val="nil"/>
            </w:tcBorders>
            <w:shd w:val="clear" w:color="auto" w:fill="auto"/>
            <w:vAlign w:val="center"/>
          </w:tcPr>
          <w:p w14:paraId="4B763BEF" w14:textId="77777777" w:rsidR="0099058F" w:rsidRDefault="0099058F">
            <w:pPr>
              <w:widowControl/>
              <w:jc w:val="left"/>
              <w:rPr>
                <w:rFonts w:ascii="Times New Roman" w:eastAsia="宋体" w:hAnsi="宋体" w:cs="宋体"/>
                <w:kern w:val="0"/>
                <w:sz w:val="24"/>
              </w:rPr>
            </w:pPr>
          </w:p>
        </w:tc>
      </w:tr>
    </w:tbl>
    <w:p w14:paraId="4B763BF1" w14:textId="77777777" w:rsidR="0099058F" w:rsidRDefault="00EB255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99058F" w14:paraId="4B763BF3" w14:textId="77777777">
        <w:trPr>
          <w:tblCellSpacing w:w="15" w:type="dxa"/>
        </w:trPr>
        <w:tc>
          <w:tcPr>
            <w:tcW w:w="0" w:type="auto"/>
            <w:tcBorders>
              <w:top w:val="nil"/>
              <w:left w:val="nil"/>
              <w:bottom w:val="nil"/>
              <w:right w:val="nil"/>
            </w:tcBorders>
            <w:shd w:val="clear" w:color="auto" w:fill="auto"/>
            <w:vAlign w:val="center"/>
          </w:tcPr>
          <w:p w14:paraId="4B763BF2" w14:textId="77777777" w:rsidR="0099058F" w:rsidRDefault="0099058F">
            <w:pPr>
              <w:widowControl/>
              <w:jc w:val="left"/>
              <w:rPr>
                <w:rFonts w:ascii="Times New Roman" w:eastAsia="宋体" w:hAnsi="宋体" w:cs="宋体"/>
                <w:kern w:val="0"/>
                <w:sz w:val="24"/>
              </w:rPr>
            </w:pPr>
          </w:p>
        </w:tc>
      </w:tr>
    </w:tbl>
    <w:p w14:paraId="4B763BF4" w14:textId="77777777" w:rsidR="0099058F" w:rsidRDefault="00EB255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B763BF5" w14:textId="77777777" w:rsidR="0099058F" w:rsidRDefault="0099058F"/>
    <w:sectPr w:rsidR="009905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05DF" w14:textId="77777777" w:rsidR="00EB2559" w:rsidRDefault="00EB2559" w:rsidP="00EB2559">
      <w:r>
        <w:separator/>
      </w:r>
    </w:p>
  </w:endnote>
  <w:endnote w:type="continuationSeparator" w:id="0">
    <w:p w14:paraId="2F360759" w14:textId="77777777" w:rsidR="00EB2559" w:rsidRDefault="00EB2559" w:rsidP="00EB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F36E" w14:textId="77777777" w:rsidR="00EB2559" w:rsidRDefault="00EB2559" w:rsidP="00EB2559">
      <w:r>
        <w:separator/>
      </w:r>
    </w:p>
  </w:footnote>
  <w:footnote w:type="continuationSeparator" w:id="0">
    <w:p w14:paraId="197D860D" w14:textId="77777777" w:rsidR="00EB2559" w:rsidRDefault="00EB2559" w:rsidP="00EB2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C3DB9"/>
    <w:rsid w:val="0099058F"/>
    <w:rsid w:val="00EB2559"/>
    <w:rsid w:val="5FFC3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5FDE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EB25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B2559"/>
    <w:rPr>
      <w:rFonts w:asciiTheme="minorHAnsi" w:eastAsiaTheme="minorEastAsia" w:hAnsiTheme="minorHAnsi" w:cstheme="minorBidi"/>
      <w:kern w:val="2"/>
      <w:sz w:val="18"/>
      <w:szCs w:val="18"/>
    </w:rPr>
  </w:style>
  <w:style w:type="paragraph" w:styleId="a7">
    <w:name w:val="footer"/>
    <w:basedOn w:val="a"/>
    <w:link w:val="a8"/>
    <w:rsid w:val="00EB2559"/>
    <w:pPr>
      <w:tabs>
        <w:tab w:val="center" w:pos="4153"/>
        <w:tab w:val="right" w:pos="8306"/>
      </w:tabs>
      <w:snapToGrid w:val="0"/>
      <w:jc w:val="left"/>
    </w:pPr>
    <w:rPr>
      <w:sz w:val="18"/>
      <w:szCs w:val="18"/>
    </w:rPr>
  </w:style>
  <w:style w:type="character" w:customStyle="1" w:styleId="a8">
    <w:name w:val="页脚 字符"/>
    <w:basedOn w:val="a0"/>
    <w:link w:val="a7"/>
    <w:rsid w:val="00EB25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927/000119312505149899/dex10i.htm" TargetMode="External"/><Relationship Id="rId18" Type="http://schemas.openxmlformats.org/officeDocument/2006/relationships/hyperlink" Target="http://www.sec.gov/Archives/edgar/data/12927/000001292720000045/a202003mar3110qexhibit102.htm" TargetMode="External"/><Relationship Id="rId26" Type="http://schemas.openxmlformats.org/officeDocument/2006/relationships/hyperlink" Target="http://www.sec.gov/Archives/edgar/data/12927/000001292721000040/a202103mar3110qex102.htm" TargetMode="External"/><Relationship Id="rId39" Type="http://schemas.openxmlformats.org/officeDocument/2006/relationships/hyperlink" Target="http://www.sec.gov/Archives/edgar/data/12927/000119312520046678/d893256dex101.htm" TargetMode="External"/><Relationship Id="rId21" Type="http://schemas.openxmlformats.org/officeDocument/2006/relationships/hyperlink" Target="https://www.sec.gov/Archives/edgar/data/0000012927/000001292723000007/a202212dec3110kex1013.htm" TargetMode="External"/><Relationship Id="rId34" Type="http://schemas.openxmlformats.org/officeDocument/2006/relationships/hyperlink" Target="http://www.sec.gov/Archives/edgar/data/12927/000001292720000045/a202003mar3110qexhibit104.htm" TargetMode="External"/><Relationship Id="rId42" Type="http://schemas.openxmlformats.org/officeDocument/2006/relationships/hyperlink" Target="https://www.sec.gov/Archives/edgar/data/12927/000001292722000022/a202203mar3110-qex101.htm" TargetMode="External"/><Relationship Id="rId47" Type="http://schemas.openxmlformats.org/officeDocument/2006/relationships/hyperlink" Target="https://www.sec.gov/Archives/edgar/data/12927/000001292722000022/a202203mar3110-qex106.htm" TargetMode="External"/><Relationship Id="rId50" Type="http://schemas.openxmlformats.org/officeDocument/2006/relationships/hyperlink" Target="https://www.sec.gov/Archives/edgar/data/0000012927/000001292723000007/a202212dec3110kex21.htm" TargetMode="External"/><Relationship Id="rId55" Type="http://schemas.openxmlformats.org/officeDocument/2006/relationships/hyperlink" Target="https://www.sec.gov/Archives/edgar/data/0000012927/000001292723000007/a202212dec3110kex322.htm" TargetMode="External"/><Relationship Id="rId7" Type="http://schemas.openxmlformats.org/officeDocument/2006/relationships/hyperlink" Target="https://www.sec.gov/Archives/edgar/data/12927/000001292722000058/a202206jun3010qex32.htm" TargetMode="External"/><Relationship Id="rId2" Type="http://schemas.openxmlformats.org/officeDocument/2006/relationships/settings" Target="settings.xml"/><Relationship Id="rId16" Type="http://schemas.openxmlformats.org/officeDocument/2006/relationships/hyperlink" Target="http://www.sec.gov/Archives/edgar/data/12927/000001292720000014/a201912dec3110kexhibit106.htm" TargetMode="External"/><Relationship Id="rId29" Type="http://schemas.openxmlformats.org/officeDocument/2006/relationships/hyperlink" Target="http://www.sec.gov/Archives/edgar/data/12927/000001292721000040/a202103mar3110qex105.htm" TargetMode="External"/><Relationship Id="rId11" Type="http://schemas.openxmlformats.org/officeDocument/2006/relationships/hyperlink" Target="http://www.sec.gov/Archives/edgar/data/12927/000119312519282034/d824547dex102.htm" TargetMode="External"/><Relationship Id="rId24" Type="http://schemas.openxmlformats.org/officeDocument/2006/relationships/hyperlink" Target="http://www.sec.gov/Archives/edgar/data/12927/000119312511028490/dex10xviib.htm" TargetMode="External"/><Relationship Id="rId32" Type="http://schemas.openxmlformats.org/officeDocument/2006/relationships/hyperlink" Target="http://www.sec.gov/Archives/edgar/data/12927/000001292721000056/a202106jun298k1ex103.htm" TargetMode="External"/><Relationship Id="rId37" Type="http://schemas.openxmlformats.org/officeDocument/2006/relationships/hyperlink" Target="http://www.sec.gov/Archives/edgar/data/12927/000001292720000045/a202003mar3110qexhibit107.htm" TargetMode="External"/><Relationship Id="rId40" Type="http://schemas.openxmlformats.org/officeDocument/2006/relationships/hyperlink" Target="http://www.sec.gov/Archives/edgar/data/12927/000119312520046678/d893256dex102.htm" TargetMode="External"/><Relationship Id="rId45" Type="http://schemas.openxmlformats.org/officeDocument/2006/relationships/hyperlink" Target="https://www.sec.gov/Archives/edgar/data/12927/000001292722000022/a202203mar3110-qex104.htm" TargetMode="External"/><Relationship Id="rId53" Type="http://schemas.openxmlformats.org/officeDocument/2006/relationships/hyperlink" Target="https://www.sec.gov/Archives/edgar/data/0000012927/000001292723000007/a202212dec3110kex312.htm"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sec.gov/Archives/edgar/data/12927/000119312507232400/dex105.htm" TargetMode="External"/><Relationship Id="rId4" Type="http://schemas.openxmlformats.org/officeDocument/2006/relationships/footnotes" Target="footnotes.xml"/><Relationship Id="rId9" Type="http://schemas.openxmlformats.org/officeDocument/2006/relationships/hyperlink" Target="https://www.sec.gov/Archives/edgar/data/12927/000119312522232897/d396135dex101.htm" TargetMode="External"/><Relationship Id="rId14" Type="http://schemas.openxmlformats.org/officeDocument/2006/relationships/hyperlink" Target="http://www.sec.gov/Archives/edgar/data/12927/000119312507033902/dex10vi.htm" TargetMode="External"/><Relationship Id="rId22" Type="http://schemas.openxmlformats.org/officeDocument/2006/relationships/hyperlink" Target="http://www.sec.gov/Archives/edgar/data/12927/000001292717000006/a10xviii-elbp2017.htm" TargetMode="External"/><Relationship Id="rId27" Type="http://schemas.openxmlformats.org/officeDocument/2006/relationships/hyperlink" Target="http://www.sec.gov/Archives/edgar/data/12927/000001292721000040/a202103mar3110qex103.htm" TargetMode="External"/><Relationship Id="rId30" Type="http://schemas.openxmlformats.org/officeDocument/2006/relationships/hyperlink" Target="http://www.sec.gov/Archives/edgar/data/12927/000001292721000040/a202103mar3110qex106.htm" TargetMode="External"/><Relationship Id="rId35" Type="http://schemas.openxmlformats.org/officeDocument/2006/relationships/hyperlink" Target="http://www.sec.gov/Archives/edgar/data/12927/000001292720000045/a202003mar3110qexhibit105.htm" TargetMode="External"/><Relationship Id="rId43" Type="http://schemas.openxmlformats.org/officeDocument/2006/relationships/hyperlink" Target="https://www.sec.gov/Archives/edgar/data/12927/000001292722000022/a202203mar3110-qex102.htm" TargetMode="External"/><Relationship Id="rId48" Type="http://schemas.openxmlformats.org/officeDocument/2006/relationships/hyperlink" Target="http://www.sec.gov/Archives/edgar/data/12927/000001292720000065/a202006jun3010qexhibit101.htm" TargetMode="External"/><Relationship Id="rId56" Type="http://schemas.openxmlformats.org/officeDocument/2006/relationships/hyperlink" Target="http://www.sec.gov/Archives/edgar/data/12927/0000012927-98-000007.txt" TargetMode="External"/><Relationship Id="rId8" Type="http://schemas.openxmlformats.org/officeDocument/2006/relationships/hyperlink" Target="http://www.sec.gov/Archives/edgar/data/12927/000001292720000014/a201912dec3110kexhibit41.htm" TargetMode="External"/><Relationship Id="rId51" Type="http://schemas.openxmlformats.org/officeDocument/2006/relationships/hyperlink" Target="https://www.sec.gov/Archives/edgar/data/0000012927/000001292723000007/a202212dec3110kex23.htm" TargetMode="External"/><Relationship Id="rId3" Type="http://schemas.openxmlformats.org/officeDocument/2006/relationships/webSettings" Target="webSettings.xml"/><Relationship Id="rId12" Type="http://schemas.openxmlformats.org/officeDocument/2006/relationships/hyperlink" Target="https://www.sec.gov/Archives/edgar/data/12927/000119312522232897/d396135dex103.htm" TargetMode="External"/><Relationship Id="rId17" Type="http://schemas.openxmlformats.org/officeDocument/2006/relationships/hyperlink" Target="http://www.sec.gov/Archives/edgar/data/12927/000119312507232400/dex102.htm" TargetMode="External"/><Relationship Id="rId25" Type="http://schemas.openxmlformats.org/officeDocument/2006/relationships/hyperlink" Target="http://www.sec.gov/Archives/edgar/data/12927/000001292721000040/a202103mar3110qex101.htm" TargetMode="External"/><Relationship Id="rId33" Type="http://schemas.openxmlformats.org/officeDocument/2006/relationships/hyperlink" Target="http://www.sec.gov/Archives/edgar/data/12927/000001292720000045/a202003mar3110qexhibit103.htm" TargetMode="External"/><Relationship Id="rId38" Type="http://schemas.openxmlformats.org/officeDocument/2006/relationships/hyperlink" Target="http://www.sec.gov/Archives/edgar/data/12927/000001292720000045/a202003mar3110qexhibit108.htm" TargetMode="External"/><Relationship Id="rId46" Type="http://schemas.openxmlformats.org/officeDocument/2006/relationships/hyperlink" Target="https://www.sec.gov/Archives/edgar/data/12927/000001292722000022/a202203mar3110-qex105.htm" TargetMode="External"/><Relationship Id="rId59" Type="http://schemas.openxmlformats.org/officeDocument/2006/relationships/theme" Target="theme/theme1.xml"/><Relationship Id="rId20" Type="http://schemas.openxmlformats.org/officeDocument/2006/relationships/hyperlink" Target="http://www.sec.gov/Archives/edgar/data/12927/000001292716000099/a201510kexhibit10xvi.htm" TargetMode="External"/><Relationship Id="rId41" Type="http://schemas.openxmlformats.org/officeDocument/2006/relationships/hyperlink" Target="http://www.sec.gov/Archives/edgar/data/12927/000001292720000065/a202006jun3010qexhibit102.htm" TargetMode="External"/><Relationship Id="rId54" Type="http://schemas.openxmlformats.org/officeDocument/2006/relationships/hyperlink" Target="https://www.sec.gov/Archives/edgar/data/0000012927/000001292723000007/a202212dec3110kex321.htm" TargetMode="External"/><Relationship Id="rId1" Type="http://schemas.openxmlformats.org/officeDocument/2006/relationships/styles" Target="styles.xml"/><Relationship Id="rId6" Type="http://schemas.openxmlformats.org/officeDocument/2006/relationships/hyperlink" Target="http://www.sec.gov/Archives/edgar/data/12927/000119312506102223/dex31.htm" TargetMode="External"/><Relationship Id="rId15" Type="http://schemas.openxmlformats.org/officeDocument/2006/relationships/hyperlink" Target="http://www.sec.gov/Archives/edgar/data/12927/000001292721000003/a202001jan078kexhibit101.htm" TargetMode="External"/><Relationship Id="rId23" Type="http://schemas.openxmlformats.org/officeDocument/2006/relationships/hyperlink" Target="https://www.sec.gov/Archives/edgar/data/12927/000001292722000010/a202112dec3110kex1016.htm" TargetMode="External"/><Relationship Id="rId28" Type="http://schemas.openxmlformats.org/officeDocument/2006/relationships/hyperlink" Target="http://www.sec.gov/Archives/edgar/data/12927/000001292721000040/a202103mar3110qex104.htm" TargetMode="External"/><Relationship Id="rId36" Type="http://schemas.openxmlformats.org/officeDocument/2006/relationships/hyperlink" Target="http://www.sec.gov/Archives/edgar/data/12927/000001292720000045/a202003mar3110qexhibit106.htm" TargetMode="External"/><Relationship Id="rId49" Type="http://schemas.openxmlformats.org/officeDocument/2006/relationships/hyperlink" Target="https://www.sec.gov/ix?doc=/Archives/edgar/data/12927/000001292722000082/ba-20221218.htm" TargetMode="External"/><Relationship Id="rId57" Type="http://schemas.openxmlformats.org/officeDocument/2006/relationships/image" Target="media/image1.png"/><Relationship Id="rId10" Type="http://schemas.openxmlformats.org/officeDocument/2006/relationships/hyperlink" Target="https://www.sec.gov/Archives/edgar/data/12927/000119312522232897/d396135dex102.htm" TargetMode="External"/><Relationship Id="rId31" Type="http://schemas.openxmlformats.org/officeDocument/2006/relationships/hyperlink" Target="http://www.sec.gov/Archives/edgar/data/12927/000001292721000056/a202106jun298k1ex102.htm" TargetMode="External"/><Relationship Id="rId44" Type="http://schemas.openxmlformats.org/officeDocument/2006/relationships/hyperlink" Target="https://www.sec.gov/Archives/edgar/data/12927/000001292722000022/a202203mar3110-qex103.htm" TargetMode="External"/><Relationship Id="rId52" Type="http://schemas.openxmlformats.org/officeDocument/2006/relationships/hyperlink" Target="https://www.sec.gov/Archives/edgar/data/0000012927/000001292723000007/a202212dec3110k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63276</Words>
  <Characters>360677</Characters>
  <Application>Microsoft Office Word</Application>
  <DocSecurity>0</DocSecurity>
  <Lines>3005</Lines>
  <Paragraphs>846</Paragraphs>
  <ScaleCrop>false</ScaleCrop>
  <Company/>
  <LinksUpToDate>false</LinksUpToDate>
  <CharactersWithSpaces>423107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2023-02-11T02:01:00Z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9710B9A63F5B478B6C86E6632FCEF8FA</vt:lpwstr>
  </property>
</Properties>
</file>