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D51DE">
      <w:pPr>
        <w:divId w:val="1842773069"/>
        <w:rPr>
          <w:rFonts w:eastAsia="Times New Roman"/>
          <w:vanish/>
        </w:rPr>
      </w:pPr>
      <w:r>
        <w:rPr>
          <w:rFonts w:eastAsia="Times New Roman"/>
          <w:vanish/>
        </w:rPr>
        <w:t>http://fasb.org/us-gaap/2022#AccountingStandardsUpdate202006Memberhttp://fasb.org/us-gaap/2022#AccountingStandardsUpdate202006Memberfalse</w:t>
      </w:r>
      <w:r>
        <w:rPr>
          <w:rFonts w:eastAsia="Times New Roman"/>
          <w:vanish/>
        </w:rPr>
        <w:t>http://fasb.org/us-gaap/2022#AccountingStandardsUpdate202006Memberhttp://fasb.org/us-gaap/2022#AccountingStandardsUpdate202006Memberhttp://fasb.org/us-gaap/2022#AccountingStandardsUpdate202006Memberhttp://fasb.org/us-gaap/2022#AccountingStandardsUpdate2020</w:t>
      </w:r>
      <w:r>
        <w:rPr>
          <w:rFonts w:eastAsia="Times New Roman"/>
          <w:vanish/>
        </w:rPr>
        <w:t>06MemberQ3--12-3100013260030001326003bkcc:IndustryConcentrationRiskMemberbkcc:ITServicesMemberbkcc:InvestmentsAtFairValueMember2021-01-012021-12-310001326003us-gaap:MeasurementInputRevenueMultipleMemberbkcc:BankDebtMemberus-gaap:ValuationTechniqueOptionPri</w:t>
      </w:r>
      <w:r>
        <w:rPr>
          <w:rFonts w:eastAsia="Times New Roman"/>
          <w:vanish/>
        </w:rPr>
        <w:t>cingModelMemberus-gaap:FairValueInputsLevel3Member2021-12-310001326003bkcc:ThermostatPurchaserIIIIncReedyIndustriesMemberbkcc:CommercialServicesAndSuppliesMemberbkcc:QuarterlyLIBORMemberus-gaap:DebtSecuritiesMemberbkcc:SecondLienTermLoanMember2022-09-30000</w:t>
      </w:r>
      <w:r>
        <w:rPr>
          <w:rFonts w:eastAsia="Times New Roman"/>
          <w:vanish/>
        </w:rPr>
        <w:t>1326003bkcc:MeasurementInputYieldMember2022-01-012022-09-300001326003us-gaap:WarrantMemberbkcc:NonControlledAffiliateSecurityMemberbkcc:AdvancedLightingTechnologiesLLCMember2020-12-310001326003bkcc:ControlledAffiliateSecurityMember2020-12-310001326003us-ga</w:t>
      </w:r>
      <w:r>
        <w:rPr>
          <w:rFonts w:eastAsia="Times New Roman"/>
          <w:vanish/>
        </w:rPr>
        <w:t>ap:OtherDebtSecuritiesMember2021-07-012021-09-300001326003us-gaap:RetainedEarningsMember2022-09-300001326003us-gaap:OtherDebtSecuritiesMember2021-06-300001326003bkcc:SoftwareMemberbkcc:QuarterlyLIBORMemberus-gaap:DebtSecuritiesMemberbkcc:FirstLienRevolverM</w:t>
      </w:r>
      <w:r>
        <w:rPr>
          <w:rFonts w:eastAsia="Times New Roman"/>
          <w:vanish/>
        </w:rPr>
        <w:t>emberbkcc:SEPRaptorAcquisitionIncMember2022-09-300001326003bkcc:FirstLienTermLoanMemberbkcc:INHBuyerIncIMSHealthMemberbkcc:HealthCareProvidersAndServicesMemberbkcc:QuarterlyLIBORMemberus-gaap:DebtSecuritiesMember2022-09-300001326003bkcc:DiversifiedConsumer</w:t>
      </w:r>
      <w:r>
        <w:rPr>
          <w:rFonts w:eastAsia="Times New Roman"/>
          <w:vanish/>
        </w:rPr>
        <w:t>ServicesMemberus-gaap:DebtSecuritiesMember2022-09-300001326003bkcc:FirstLienTermLoanMemberbkcc:QuarterlyLIBORMemberus-gaap:DebtSecuritiesMemberbkcc:PVHCHoldingCorpMemberbkcc:ContainersAndPackagingMember2021-12-310001326003bkcc:MonthlyLIBORMemberus-gaap:Deb</w:t>
      </w:r>
      <w:r>
        <w:rPr>
          <w:rFonts w:eastAsia="Times New Roman"/>
          <w:vanish/>
        </w:rPr>
        <w:t>tSecuritiesMemberbkcc:DiversifiedTelecommunicationServicesMemberbkcc:SecondLienTermLoanMemberbkcc:MetroNetSystemsHoldingsLLCMember2021-12-310001326003us-gaap:FairValueInputsLevel2Memberus-gaap:EquitySecuritiesMember2022-09-300001326003bkcc:FirstLienTermLoa</w:t>
      </w:r>
      <w:r>
        <w:rPr>
          <w:rFonts w:eastAsia="Times New Roman"/>
          <w:vanish/>
        </w:rPr>
        <w:t>nMemberbkcc:MonthlyLIBORMemberbkcc:SoftwareMemberus-gaap:DebtSecuritiesMemberbkcc:AerospikeIncMember2021-12-310001326003bkcc:MonthlyLIBORMemberbkcc:ProfessionalServicesMemberbkcc:FirstLienDelayedDrawTermLoanMemberus-gaap:DebtSecuritiesMemberbkcc:RigUpIncMe</w:t>
      </w:r>
      <w:r>
        <w:rPr>
          <w:rFonts w:eastAsia="Times New Roman"/>
          <w:vanish/>
        </w:rPr>
        <w:t>mber2021-12-310001326003us-gaap:EquitySecuritiesMember2021-06-300001326003bkcc:TechnologyHardwareStorageAndPeripheralsMemberbkcc:IndustryConcentrationRiskMemberbkcc:InvestmentsAtFairValueMember2022-01-012022-09-300001326003bkcc:FirstLienTermLoanMemberus-ga</w:t>
      </w:r>
      <w:r>
        <w:rPr>
          <w:rFonts w:eastAsia="Times New Roman"/>
          <w:vanish/>
        </w:rPr>
        <w:t>ap:DebtSecuritiesMemberbkcc:QuarterlySOFRMemberbkcc:StreamlandMediaMidcoLlcMember2022-09-300001326003bkcc:SellerXGermanyGmbHCoKgGermanyMemberbkcc:WarrantsToPurchasePreferredSeriesBSharesMember2021-01-012021-12-310001326003bkcc:ControlledAffiliateSecurityMe</w:t>
      </w:r>
      <w:r>
        <w:rPr>
          <w:rFonts w:eastAsia="Times New Roman"/>
          <w:vanish/>
        </w:rPr>
        <w:t>mberus-gaap:PreferredStockMemberbkcc:GordonBrothersFinanceCompanyMember2022-01-012022-09-300001326003bkcc:FirstLienTermLoanMemberbkcc:SoftwareMemberbkcc:QuarterlyLIBORMemberbkcc:CyberGrantsHoldingsLLCMemberus-gaap:DebtSecuritiesMember2021-12-310001326003bk</w:t>
      </w:r>
      <w:r>
        <w:rPr>
          <w:rFonts w:eastAsia="Times New Roman"/>
          <w:vanish/>
        </w:rPr>
        <w:t>cc:DiversifiedConsumerServicesMemberbkcc:WarrantsToPurchasePreferredSeriesA1SharesMemberus-gaap:EquitySecuritiesMember2021-12-310001326003bkcc:ControlledAffiliateSecurityMemberbkcc:RedAppleStoresIncMemberus-gaap:UnsecuredDebtMember2021-01-012021-12-3100013</w:t>
      </w:r>
      <w:r>
        <w:rPr>
          <w:rFonts w:eastAsia="Times New Roman"/>
          <w:vanish/>
        </w:rPr>
        <w:t>26003us-gaap:EquitySecuritiesMembersrt:MinimumMemberus-gaap:MeasurementInputExpectedTermMemberus-gaap:ValuationTechniqueOptionPricingModelMemberus-gaap:FairValueInputsLevel3Member2021-12-310001326003bkcc:FirstLienTermLoanMemberbkcc:TextilesApparelAndLuxury</w:t>
      </w:r>
      <w:r>
        <w:rPr>
          <w:rFonts w:eastAsia="Times New Roman"/>
          <w:vanish/>
        </w:rPr>
        <w:t>GoodsMemberbkcc:JamesPerseEnterprisesIncMemberus-gaap:DebtSecuritiesMemberbkcc:QuarterlySOFRMember2022-09-300001326003bkcc:WarrantsToPurchasePreferredSeriesA1SharesMemberbkcc:RazorGroupGmbHGermanyMember2021-01-012021-12-310001326003bkcc:MonthlyLIBORMemberb</w:t>
      </w:r>
      <w:r>
        <w:rPr>
          <w:rFonts w:eastAsia="Times New Roman"/>
          <w:vanish/>
        </w:rPr>
        <w:t>kcc:JobandTalentUSAIncUnitedKingdomMemberbkcc:ProfessionalServicesMemberbkcc:FirstLienDelayedDrawTermLoanMemberus-gaap:DebtSecuritiesMember2021-12-310001326003bkcc:AnnualIncentiveFeeBasedOnCapitalGainsMember2020-05-022020-05-020001326003bkcc:BankDebtMember</w:t>
      </w:r>
      <w:r>
        <w:rPr>
          <w:rFonts w:eastAsia="Times New Roman"/>
          <w:vanish/>
        </w:rPr>
        <w:t>2022-07-012022-09-300001326003us-gaap:OtherDebtSecuritiesMember2020-12-310001326003bkcc:LimitedLiabilityCoInterestMemberbkcc:AdvancedLightingTechnologiesLLCMemberbkcc:NonControlledAffiliateSecurityMember2021-01-012021-12-310001326003bkcc:DiversifiedConsume</w:t>
      </w:r>
      <w:r>
        <w:rPr>
          <w:rFonts w:eastAsia="Times New Roman"/>
          <w:vanish/>
        </w:rPr>
        <w:t>rServicesMemberbkcc:WarrantsToPurchaseCommonStockMemberus-gaap:EquitySecuritiesMember2022-09-300001326003bkcc:SoftwareMemberbkcc:RhodeHoldingsIncKaseyaMemberbkcc:QuarterlyLIBORMemberus-gaap:DebtSecuritiesMemberbkcc:FirstLienRevolverMember2021-12-3100013260</w:t>
      </w:r>
      <w:r>
        <w:rPr>
          <w:rFonts w:eastAsia="Times New Roman"/>
          <w:vanish/>
        </w:rPr>
        <w:t>03bkcc:MonthlyLIBORMemberbkcc:PluralsightIncMemberus-gaap:DebtSecuritiesMemberbkcc:FirstLienRevolverMemberbkcc:InternetSoftwareAndServicesMember2022-09-300001326003bkcc:PaperAndForestProductsMemberbkcc:IndustryConcentrationRiskMemberbkcc:InvestmentsAtFairV</w:t>
      </w:r>
      <w:r>
        <w:rPr>
          <w:rFonts w:eastAsia="Times New Roman"/>
          <w:vanish/>
        </w:rPr>
        <w:t>alueMember2021-01-012021-12-310001326003bkcc:QuarterlyLIBORMemberbkcc:MetricStreamIncMemberbkcc:FirstLienIncrementalTermLoanMemberbkcc:InternetSoftwareAndServicesMember2021-12-310001326003us-gaap:RetainedEarningsMember2021-12-310001326003us-gaap:IncomeAppr</w:t>
      </w:r>
      <w:r>
        <w:rPr>
          <w:rFonts w:eastAsia="Times New Roman"/>
          <w:vanish/>
        </w:rPr>
        <w:t>oachValuationTechniqueMembersrt:MaximumMemberbkcc:BankDebtMemberus-gaap:FairValueInputsLevel3Memberus-gaap:MeasurementInputDiscountRateMember2022-09-300001326003bkcc:WarrantsToPurchaseSeriesDStockMemberbkcc:WorldremitGroupLimitedUnitedKingdomMember2021-01-</w:t>
      </w:r>
      <w:r>
        <w:rPr>
          <w:rFonts w:eastAsia="Times New Roman"/>
          <w:vanish/>
        </w:rPr>
        <w:t>012021-12-310001326003bkcc:ControlledAffiliateSecurityMemberbkcc:BCICSeniorLoanPartnersLLCMemberbkcc:LimitedLiabilityCoInterestMember2021-01-012021-12-310001326003us-gaap:WarrantMemberbkcc:AdvancedLightingTechnologiesLLCMemberbkcc:NonControlledAffiliateSec</w:t>
      </w:r>
      <w:r>
        <w:rPr>
          <w:rFonts w:eastAsia="Times New Roman"/>
          <w:vanish/>
        </w:rPr>
        <w:t>urityMember2021-01-012021-12-310001326003bkcc:SeniorSecuredNotesMemberbkcc:AdvancedLightingTechnologiesLLCMember2022-01-012022-09-300001326003bkcc:KemmererOperationsLLCWMLPMemberbkcc:DelayedDrawTermLoanFirstLienMemberbkcc:NonControlledAffiliateSecurityMemb</w:t>
      </w:r>
      <w:r>
        <w:rPr>
          <w:rFonts w:eastAsia="Times New Roman"/>
          <w:vanish/>
        </w:rPr>
        <w:t>er2020-12-310001326003us-gaap:EquitySecuritiesMember2021-01-012021-09-300001326003bkcc:FirstLienTermLoanMemberbkcc:WirelessTelecommunicationServicesMemberbkcc:QuarterlyLIBORMemberbkcc:OpenMarketIncInfobipUnitedKingdomMemberus-gaap:DebtSecuritiesMember2022-</w:t>
      </w:r>
      <w:r>
        <w:rPr>
          <w:rFonts w:eastAsia="Times New Roman"/>
          <w:vanish/>
        </w:rPr>
        <w:t>09-300001326003bkcc:ControlledAffiliateSecurityMemberbkcc:RedAppleStoresIncMemberbkcc:SeniorSecuredLoanSecondLienMember2020-12-310001326003bkcc:SeniorSecuredLoanFirstLienMemberbkcc:AdvancedLightingTechnologiesLLCMemberbkcc:NonControlledAffiliateSecurityMem</w:t>
      </w:r>
      <w:r>
        <w:rPr>
          <w:rFonts w:eastAsia="Times New Roman"/>
          <w:vanish/>
        </w:rPr>
        <w:t>ber2020-12-310001326003bkcc:MonthlyLIBORMemberbkcc:AstraAcquisitionCorpMemberus-gaap:DebtSecuritiesMemberbkcc:SecondLienTermLoanMemberbkcc:InternetSoftwareAndServicesMember2022-09-300001326003bkcc:AdvantageInsuranceIncMemberus-gaap:SeriesBPreferredStockMem</w:t>
      </w:r>
      <w:r>
        <w:rPr>
          <w:rFonts w:eastAsia="Times New Roman"/>
          <w:vanish/>
        </w:rPr>
        <w:t>berbkcc:NonControlledAffiliateSecurityMember2021-12-310001326003bkcc:FirstLienTermLoanMemberbkcc:SpartanBidcoPtyLtdStarrezAustraliaMemberus-gaap:DebtSecuritiesMemberbkcc:QuarterlySOFRMemberbkcc:InternetSoftwareAndServicesMember2022-09-300001326003bkcc:Cons</w:t>
      </w:r>
      <w:r>
        <w:rPr>
          <w:rFonts w:eastAsia="Times New Roman"/>
          <w:vanish/>
        </w:rPr>
        <w:t>tructionAndEngineeringMemberbkcc:FirstLienDelayedDrawTermLoanMemberus-gaap:DebtSecuritiesMemberbkcc:QuarterlySofrPrimeMemberbkcc:HomerenewBuyerIncProjectDreamMember2022-09-300001326003bkcc:FirstLienTermLoanMemberbkcc:SuitedConnectorLLCMemberbkcc:QuarterlyL</w:t>
      </w:r>
      <w:r>
        <w:rPr>
          <w:rFonts w:eastAsia="Times New Roman"/>
          <w:vanish/>
        </w:rPr>
        <w:t>IBORMemberus-gaap:DebtSecuritiesMemberbkcc:InternetSoftwareAndServicesMember2021-12-310001326003us-gaap:CommonClassCMemberus-gaap:CommonStockMemberbkcc:ChemicalsMemberus-gaap:EquitySecuritiesMember2021-12-310001326003bkcc:OasisFinancialLLCMemberbkcc:Monthl</w:t>
      </w:r>
      <w:r>
        <w:rPr>
          <w:rFonts w:eastAsia="Times New Roman"/>
          <w:vanish/>
        </w:rPr>
        <w:t>yLIBORMemberus-gaap:DebtSecuritiesMemberbkcc:DiversifiedFinancialServicesMemberbkcc:SecondLienTermLoanMember2022-09-300001326003us-gaap:InterestRateSwapMember2022-07-012022-09-300001326003bkcc:BankDebtMembersrt:MinimumMemberus-gaap:MeasurementInputExpected</w:t>
      </w:r>
      <w:r>
        <w:rPr>
          <w:rFonts w:eastAsia="Times New Roman"/>
          <w:vanish/>
        </w:rPr>
        <w:t>TermMemberus-gaap:ValuationTechniqueOptionPricingModelMemberus-gaap:FairValueInputsLevel3Member2022-09-300001326003bkcc:SeniorSecuredLoansMember2021-12-310001326003bkcc:FloatingRateMemberbkcc:SeniorSecuredLoansMember2022-09-300001326003bkcc:SeniorSecuredLo</w:t>
      </w:r>
      <w:r>
        <w:rPr>
          <w:rFonts w:eastAsia="Times New Roman"/>
          <w:vanish/>
        </w:rPr>
        <w:t>ansSecondOrOtherPriorityLienMember2022-09-300001326003bkcc:DiversifiedConsumerServicesMemberbkcc:QuarterlyLIBORMemberbkcc:FirstLienDelayedDrawTermLoanMemberus-gaap:DebtSecuritiesMemberbkcc:ThrasIoLLCMember2021-12-310001326003us-gaap:CashAndCashEquivalentsM</w:t>
      </w:r>
      <w:r>
        <w:rPr>
          <w:rFonts w:eastAsia="Times New Roman"/>
          <w:vanish/>
        </w:rPr>
        <w:t>ember2022-09-300001326003bkcc:SoftwareMemberus-gaap:DebtSecuritiesMember2022-09-300001326003us-gaap:EquitySecuritiesMemberus-gaap:MeasurementInputExpectedTermMemberus-gaap:ValuationTechniqueOptionPricingModelMemberus-gaap:FairValueInputsLevel3Member2021-12</w:t>
      </w:r>
      <w:r>
        <w:rPr>
          <w:rFonts w:eastAsia="Times New Roman"/>
          <w:vanish/>
        </w:rPr>
        <w:t>-310001326003bkcc:FivePointZeroZeroPercentConvertibleNotesDueTwoThousandTwentyTwoMember2017-06-132017-06-130001326003bkcc:SoftwareMemberbkcc:ZilliantIncorporatedMemberbkcc:QuarterlyLIBORMemberbkcc:FirstLienDelayedDrawTermLoanMemberus-gaap:DebtSecuritiesMem</w:t>
      </w:r>
      <w:r>
        <w:rPr>
          <w:rFonts w:eastAsia="Times New Roman"/>
          <w:vanish/>
        </w:rPr>
        <w:t>ber2021-12-310001326003bkcc:CommercialServicesAndSuppliesMemberbkcc:IndustryConcentrationRiskMemberbkcc:InvestmentsAtFairValueMember2021-01-012021-12-310001326003bkcc:UnanetIncMemberbkcc:AerospaceAndDefenseMemberus-gaap:DebtSecuritiesMemberbkcc:FirstLienRe</w:t>
      </w:r>
      <w:r>
        <w:rPr>
          <w:rFonts w:eastAsia="Times New Roman"/>
          <w:vanish/>
        </w:rPr>
        <w:t>volverMember2022-09-300001326003us-gaap:OtherDebtSecuritiesMember2022-01-012022-09-300001326003us-gaap:LondonInterbankOfferedRateLIBORMemberbkcc:SeniorSecuredRevolvingCreditFacilityMembersrt:MaximumMember2021-01-012021-12-310001326003us-gaap:MeasurementInp</w:t>
      </w:r>
      <w:r>
        <w:rPr>
          <w:rFonts w:eastAsia="Times New Roman"/>
          <w:vanish/>
        </w:rPr>
        <w:t>utEbitdaMultipleMembersrt:MaximumMemberbkcc:BankDebtMemberbkcc:MarketComparableCompaniesMemberus-gaap:FairValueInputsLevel3Member2021-12-310001326003bkcc:WarrantsToPurchaseSeriesEStockMemberbkcc:DiversifiedFinancialServicesMemberus-gaap:EquitySecuritiesMem</w:t>
      </w:r>
      <w:r>
        <w:rPr>
          <w:rFonts w:eastAsia="Times New Roman"/>
          <w:vanish/>
        </w:rPr>
        <w:t>berbkcc:WorldremitGroupLimitedUnitedKingdomMember2022-09-3000013260032020-05-020001326003us-gaap:EquitySecuritiesMember2022-09-300001326003bkcc:JobandTalentUSAIncUnitedKingdomMemberbkcc:ProfessionalServicesMemberbkcc:FirstLienDelayedDrawTermLoanMemberus-ga</w:t>
      </w:r>
      <w:r>
        <w:rPr>
          <w:rFonts w:eastAsia="Times New Roman"/>
          <w:vanish/>
        </w:rPr>
        <w:t>ap:DebtSecuritiesMemberbkcc:MonthlySOFRMember2022-09-300001326003us-gaap:EquitySecuritiesMembersrt:MaximumMemberus-gaap:MeasurementInputExpectedTermMemberus-gaap:ValuationTechniqueOptionPricingModelMemberus-gaap:FairValueInputsLevel3Member2022-09-300001326</w:t>
      </w:r>
      <w:r>
        <w:rPr>
          <w:rFonts w:eastAsia="Times New Roman"/>
          <w:vanish/>
        </w:rPr>
        <w:t>003bkcc:DiversifiedConsumerServicesMemberbkcc:ElevateBrandsOpCoLimitedLiabilityCompanyMemberbkcc:FirstLienDelayedDrawTermLoanMemberus-gaap:DebtSecuritiesMemberbkcc:MonthlySOFRMember2022-09-300001326003us-gaap:EquitySecuritiesMemberus-gaap:MeasurementInputR</w:t>
      </w:r>
      <w:r>
        <w:rPr>
          <w:rFonts w:eastAsia="Times New Roman"/>
          <w:vanish/>
        </w:rPr>
        <w:t>evenueMultipleMemberbkcc:MarketComparableCompaniesMemberus-gaap:FairValueInputsLevel3Member2021-12-310001326003bkcc:ConsumerFinanceMemberus-gaap:DebtSecuritiesMember2022-09-300001326003bkcc:ControlledAffiliateSecurityMemberbkcc:RedAppleStoresIncMemberus-ga</w:t>
      </w:r>
      <w:r>
        <w:rPr>
          <w:rFonts w:eastAsia="Times New Roman"/>
          <w:vanish/>
        </w:rPr>
        <w:t>ap:PreferredStockMember2021-01-012021-12-310001326003bkcc:QuarterlyLIBORMemberbkcc:HealthCareTechnologyMemberus-gaap:DebtSecuritiesMemberbkcc:GainwellAcquisitionCorpMemberbkcc:SecondLienTermLoanMember2021-12-310001326003bkcc:SemiconductorsAndSemiconductorE</w:t>
      </w:r>
      <w:r>
        <w:rPr>
          <w:rFonts w:eastAsia="Times New Roman"/>
          <w:vanish/>
        </w:rPr>
        <w:t>quipmentMemberbkcc:IndustryConcentrationRiskMemberbkcc:InvestmentsAtFairValueMember2022-01-012022-09-300001326003bkcc:FirstLienTermLoanMemberbkcc:MonthlyLIBORMemberbkcc:InsuranceMemberus-gaap:DebtSecuritiesMemberbkcc:ITParentLLCMember2022-09-300001326003bk</w:t>
      </w:r>
      <w:r>
        <w:rPr>
          <w:rFonts w:eastAsia="Times New Roman"/>
          <w:vanish/>
        </w:rPr>
        <w:t>cc:FirstLienTermLoanMemberus-gaap:DebtSecuritiesMemberbkcc:MediaMemberbkcc:QuarterlySOFRMemberbkcc:StreamlandMediaMidcoLlcMember2022-09-300001326003bkcc:IndustryConcentrationRiskMemberbkcc:SpecialtyRetailMemberbkcc:InvestmentsAtFairValueMember2021-01-01202</w:t>
      </w:r>
      <w:r>
        <w:rPr>
          <w:rFonts w:eastAsia="Times New Roman"/>
          <w:vanish/>
        </w:rPr>
        <w:t>1-12-310001326003bkcc:LimitedPartnershipOrLimitedLiabilityCompanyInterestsMember2022-09-300001326003bkcc:IndustryConcentrationRiskMemberbkcc:HealthCareEquipmentAndSuppliesMemberbkcc:InvestmentsAtFairValueMember2021-01-012021-12-310001326003bkcc:RestrictedS</w:t>
      </w:r>
      <w:r>
        <w:rPr>
          <w:rFonts w:eastAsia="Times New Roman"/>
          <w:vanish/>
        </w:rPr>
        <w:t>ecuritiesMember2022-09-300001326003us-gaap:EquitySecuritiesMember2022-07-012022-09-300001326003us-gaap:GeographicConcentrationRiskMembercountry:CHbkcc:InvestmentsAtFairValueMember2021-01-012021-12-310001326003bkcc:ProfessionalServicesMemberbkcc:FirstLienDe</w:t>
      </w:r>
      <w:r>
        <w:rPr>
          <w:rFonts w:eastAsia="Times New Roman"/>
          <w:vanish/>
        </w:rPr>
        <w:t>layedDrawTermLoanMemberus-gaap:DebtSecuritiesMemberbkcc:SemiannuallyLIBORMemberbkcc:TLEHoldingsLLCMember2021-12-310001326003bkcc:FirstLienTermLoanMemberbkcc:SoftwareMemberbkcc:SEPEigerBidcoLtdMemberus-gaap:DebtSecuritiesMemberbkcc:QuarterlySOFRMember2022-0</w:t>
      </w:r>
      <w:r>
        <w:rPr>
          <w:rFonts w:eastAsia="Times New Roman"/>
          <w:vanish/>
        </w:rPr>
        <w:t>9-300001326003bkcc:SeniorSecuredLoanFirstLienMemberbkcc:KemmererOperationsLLCWMLPMemberbkcc:NonControlledAffiliateSecurityMember2022-09-300001326003us-gaap:MeasurementInputEbitdaMultipleMemberus-gaap:EquitySecuritiesMembersrt:MinimumMemberbkcc:MarketCompar</w:t>
      </w:r>
      <w:r>
        <w:rPr>
          <w:rFonts w:eastAsia="Times New Roman"/>
          <w:vanish/>
        </w:rPr>
        <w:t>ableCompaniesMemberus-gaap:FairValueInputsLevel3Member2021-12-310001326003bkcc:LimitedPartnershipOrLimitedLiabilityCompanyInterestsMemberbkcc:MarsicoHoldingsLLCMember2021-01-012021-12-310001326003srt:MaximumMemberus-gaap:SubsequentEventMembersrt:DirectorMe</w:t>
      </w:r>
      <w:r>
        <w:rPr>
          <w:rFonts w:eastAsia="Times New Roman"/>
          <w:vanish/>
        </w:rPr>
        <w:t>mber2022-10-280001326003bkcc:ControlledInvestmentMember2021-07-012021-09-300001326003bkcc:NonControlledAffiliateSecurityMember2022-01-012022-09-300001326003us-gaap:OtherDebtSecuritiesMember2021-09-300001326003us-gaap:MeasurementInputRevenueMultipleMembersr</w:t>
      </w:r>
      <w:r>
        <w:rPr>
          <w:rFonts w:eastAsia="Times New Roman"/>
          <w:vanish/>
        </w:rPr>
        <w:t>t:MaximumMemberbkcc:MarketComparableCompaniesMemberus-gaap:OtherDebtSecuritiesMemberus-gaap:FairValueInputsLevel3Member2021-12-310001326003bkcc:DiversifiedConsumerServicesMemberbkcc:WarrantsToPurchasePreferredSeriesBSharesMemberus-gaap:EquitySecuritiesMemb</w:t>
      </w:r>
      <w:r>
        <w:rPr>
          <w:rFonts w:eastAsia="Times New Roman"/>
          <w:vanish/>
        </w:rPr>
        <w:t>er2021-12-310001326003bkcc:SuitedConnectorLLCMemberbkcc:QuarterlyLIBORMemberus-gaap:DebtSecuritiesMemberbkcc:FirstLienRevolverMemberbkcc:InternetSoftwareAndServicesMember2021-12-310001326003bkcc:OilGasAndConsumableFuelsMemberbkcc:IndustryConcentrationRiskM</w:t>
      </w:r>
      <w:r>
        <w:rPr>
          <w:rFonts w:eastAsia="Times New Roman"/>
          <w:vanish/>
        </w:rPr>
        <w:t>emberbkcc:InvestmentsAtFairValueMember2021-01-012021-12-310001326003srt:MinimumMemberbkcc:PreIncentiveFeeNetInvestmentIncomeBetweenOnePointSevenFiveAndTwoPointOneTwoPercentageOfNetAssetsMember2020-05-022020-05-020001326003bkcc:FirstLienTermLoanMemberus-gaa</w:t>
      </w:r>
      <w:r>
        <w:rPr>
          <w:rFonts w:eastAsia="Times New Roman"/>
          <w:vanish/>
        </w:rPr>
        <w:t>p:DebtSecuritiesMemberbkcc:AnacondaIncMemberbkcc:MonthlySOFRMemberbkcc:InternetSoftwareAndServicesMember2022-09-300001326003bkcc:MarchOneTwoThousandTwentyTwoMember2022-01-012022-03-310001326003bkcc:ConstructionAndEngineeringMemberbkcc:CsgBuyerIncMemberus-g</w:t>
      </w:r>
      <w:r>
        <w:rPr>
          <w:rFonts w:eastAsia="Times New Roman"/>
          <w:vanish/>
        </w:rPr>
        <w:t>aap:DebtSecuritiesMemberbkcc:FirstLienRevolverMemberbkcc:MonthlySOFRMember2022-09-300001326003bkcc:HealthCareProvidersAndServicesMemberbkcc:OutcomesGroupHoldingsIncMemberus-gaap:DebtSecuritiesMemberbkcc:SecondLienTermLoanMemberbkcc:SemiannuallyLIBORMember2</w:t>
      </w:r>
      <w:r>
        <w:rPr>
          <w:rFonts w:eastAsia="Times New Roman"/>
          <w:vanish/>
        </w:rPr>
        <w:t>021-12-310001326003bkcc:ControlledAffiliateSecurityMemberus-gaap:CommonStockMemberbkcc:GordonBrothersFinanceCompanyMember2022-09-300001326003us-gaap:DebtSecuritiesMemberbkcc:CapitalMarketsMember2021-12-310001326003us-gaap:CommonClassCMemberbkcc:NonControll</w:t>
      </w:r>
      <w:r>
        <w:rPr>
          <w:rFonts w:eastAsia="Times New Roman"/>
          <w:vanish/>
        </w:rPr>
        <w:t>edAffiliateSecurityMemberbkcc:AGYEquityLLCMember2020-12-310001326003us-gaap:PreferredStockMember2021-12-310001326003bkcc:IndustryConcentrationRiskMemberbkcc:ChemicalsMemberbkcc:InvestmentsAtFairValueMember2022-01-012022-09-300001326003us-gaap:DebtSecuritie</w:t>
      </w:r>
      <w:r>
        <w:rPr>
          <w:rFonts w:eastAsia="Times New Roman"/>
          <w:vanish/>
        </w:rPr>
        <w:t>sMemberbkcc:MediaMember2021-12-310001326003bkcc:IndustryConcentrationRiskMemberbkcc:WirelessTelecommunicationServicesMemberbkcc:InvestmentsAtFairValueMember2022-01-012022-09-300001326003us-gaap:TreasuryStockMember2021-07-012021-09-300001326003bkcc:Measurem</w:t>
      </w:r>
      <w:r>
        <w:rPr>
          <w:rFonts w:eastAsia="Times New Roman"/>
          <w:vanish/>
        </w:rPr>
        <w:t>entInputBookValueMultiplesMember2022-01-012022-09-300001326003bkcc:DiversifiedConsumerServicesMemberbkcc:MonthlyLIBORMemberbkcc:FirstLienDelayedDrawTermLoanMemberbkcc:RazorGroupGmbHGermanyMemberus-gaap:DebtSecuritiesMember2022-09-300001326003bkcc:FirstLien</w:t>
      </w:r>
      <w:r>
        <w:rPr>
          <w:rFonts w:eastAsia="Times New Roman"/>
          <w:vanish/>
        </w:rPr>
        <w:t>TermLoanMemberbkcc:PicoQuantitativeTradingLLCMemberus-gaap:DebtSecuritiesMemberbkcc:CapitalMarketsMember2022-09-300001326003bkcc:ChemicalsMemberus-gaap:EquitySecuritiesMember2021-12-310001326003bkcc:MarketQuotationsMemberbkcc:IndicativeQuotesMemberbkcc:Ban</w:t>
      </w:r>
      <w:r>
        <w:rPr>
          <w:rFonts w:eastAsia="Times New Roman"/>
          <w:vanish/>
        </w:rPr>
        <w:t>kDebtMemberus-gaap:FairValueInputsLevel3Member2021-12-310001326003bkcc:PrivatePlacementNotesMember2022-01-012022-09-300001326003us-gaap:EquitySecuritiesMember2022-09-300001326003bkcc:MonthlyLIBORMemberus-gaap:DebtSecuritiesMemberbkcc:DiversifiedFinancialSe</w:t>
      </w:r>
      <w:r>
        <w:rPr>
          <w:rFonts w:eastAsia="Times New Roman"/>
          <w:vanish/>
        </w:rPr>
        <w:t>rvicesMemberus-gaap:UnsecuredDebtMemberbkcc:GordonBrothersFinanceCompanyMember2021-12-310001326003us-gaap:TreasuryStockMembersrt:CumulativeEffectPeriodOfAdoptionAdjustmentMember2021-12-310001326003bkcc:SoftwareMemberbkcc:ArasCorporationMemberus-gaap:DebtSe</w:t>
      </w:r>
      <w:r>
        <w:rPr>
          <w:rFonts w:eastAsia="Times New Roman"/>
          <w:vanish/>
        </w:rPr>
        <w:t>curitiesMemberbkcc:FirstLienRevolverMemberbkcc:SemiannuallyLIBORMember2022-09-300001326003us-gaap:DebtSecuritiesMemberbkcc:SpecialtyRetailMember2022-09-300001326003bkcc:ConstructionAndEngineeringMemberbkcc:FirstLienDelayedDrawTermLoanMemberbkcc:QuarterlyLI</w:t>
      </w:r>
      <w:r>
        <w:rPr>
          <w:rFonts w:eastAsia="Times New Roman"/>
          <w:vanish/>
        </w:rPr>
        <w:t>BORMemberus-gaap:DebtSecuritiesMemberbkcc:SunlandAsphaltAndConstructionLimitedLiabilityCompanyMember2021-12-310001326003bkcc:PhcBuyerLimitedLiabilityCompanyPatriotHomeCareMemberbkcc:HealthCareProvidersAndServicesMemberbkcc:FirstLienDelayedDrawTermLoanMembe</w:t>
      </w:r>
      <w:r>
        <w:rPr>
          <w:rFonts w:eastAsia="Times New Roman"/>
          <w:vanish/>
        </w:rPr>
        <w:t>rus-gaap:DebtSecuritiesMemberbkcc:MonthlySOFRMember2022-09-300001326003bkcc:QuarterlyLIBORMemberbkcc:BlackbirdPurchaserIncOhioTransmissionCorpMemberus-gaap:DebtSecuritiesMemberbkcc:SecondLienDelayedDrawTermLoanMemberbkcc:TradingCompaniesAndDistributorsMemb</w:t>
      </w:r>
      <w:r>
        <w:rPr>
          <w:rFonts w:eastAsia="Times New Roman"/>
          <w:vanish/>
        </w:rPr>
        <w:t>er2021-12-310001326003us-gaap:RetainedEarningsMember2021-06-300001326003us-gaap:EquitySecuritiesMembersrt:MaximumMemberus-gaap:ValuationTechniqueOptionPricingModelMemberus-gaap:FairValueInputsLevel3Memberbkcc:MeasurementInputEBITDAOrRevenueMultiplesMember2</w:t>
      </w:r>
      <w:r>
        <w:rPr>
          <w:rFonts w:eastAsia="Times New Roman"/>
          <w:vanish/>
        </w:rPr>
        <w:t>021-12-310001326003bkcc:UnsecuredSeniorNotesDueTwoThousandTwentyFiveMemberus-gaap:DebtInstrumentRedemptionPeriodThreeMember2022-06-092022-06-090001326003bkcc:SeniorSecuredRevolvingCreditFacilityMember2021-04-230001326003bkcc:BuildingProductsMemberbkcc:Indu</w:t>
      </w:r>
      <w:r>
        <w:rPr>
          <w:rFonts w:eastAsia="Times New Roman"/>
          <w:vanish/>
        </w:rPr>
        <w:t>stryConcentrationRiskMemberbkcc:InvestmentsAtFairValueMember2021-01-012021-12-310001326003us-gaap:CommonClassCMemberbkcc:ChemicalsMemberus-gaap:EquitySecuritiesMemberbkcc:AGYEquityLLCMember2022-09-300001326003us-gaap:DebtSecuritiesMember2021-12-31000132600</w:t>
      </w:r>
      <w:r>
        <w:rPr>
          <w:rFonts w:eastAsia="Times New Roman"/>
          <w:vanish/>
        </w:rPr>
        <w:t>3bkcc:PersadoIncMemberbkcc:FirstLienDelayedDrawTermLoanMemberus-gaap:DebtSecuritiesMemberbkcc:MonthlySOFRMemberbkcc:InternetSoftwareAndServicesMember2022-09-300001326003bkcc:UnsecuredDebtSecuritiesMember2021-12-310001326003bkcc:DiversifiedConsumerServicesM</w:t>
      </w:r>
      <w:r>
        <w:rPr>
          <w:rFonts w:eastAsia="Times New Roman"/>
          <w:vanish/>
        </w:rPr>
        <w:t>emberus-gaap:DebtSecuritiesMemberbkcc:QuarterlySOFRMemberbkcc:FirstLienRevolverMember2022-09-300001326003bkcc:TechnologyHardwareStorageAndPeripheralsMemberbkcc:QuarterlyLIBORMemberbkcc:FirstLienDelayedDrawTermLoanMemberus-gaap:DebtSecuritiesMemberbkcc:SumU</w:t>
      </w:r>
      <w:r>
        <w:rPr>
          <w:rFonts w:eastAsia="Times New Roman"/>
          <w:vanish/>
        </w:rPr>
        <w:t>pHoldingsLuxembourgSARLUnitedKingdomMember2021-12-310001326003bkcc:SeniorSecuredRevolvingCreditFacilityMembersrt:MinimumMember2021-04-230001326003bkcc:ControlledAffiliateSecurityMemberbkcc:RedAppleStoresIncMemberus-gaap:PreferredStockMember2021-12-31000132</w:t>
      </w:r>
      <w:r>
        <w:rPr>
          <w:rFonts w:eastAsia="Times New Roman"/>
          <w:vanish/>
        </w:rPr>
        <w:t>6003bkcc:ControlledAffiliateSecurityMemberus-gaap:PreferredStockMemberbkcc:GordonBrothersFinanceCompanyMember2022-09-300001326003bkcc:ConstructionAndEngineeringMemberbkcc:CsgBuyerIncMemberbkcc:FirstLienDelayedDrawTermLoanMemberus-gaap:DebtSecuritiesMemberb</w:t>
      </w:r>
      <w:r>
        <w:rPr>
          <w:rFonts w:eastAsia="Times New Roman"/>
          <w:vanish/>
        </w:rPr>
        <w:t>kcc:QuarterlySOFRMember2022-09-300001326003srt:MaximumMemberus-gaap:FairValueInputsLevel3Member2022-09-300001326003bkcc:FirstLienTermLoanMemberbkcc:SoftwareMemberbkcc:SupermanHoldingsLLCFoundationSoftwareMemberbkcc:QuarterlyLIBORMemberus-gaap:DebtSecuritie</w:t>
      </w:r>
      <w:r>
        <w:rPr>
          <w:rFonts w:eastAsia="Times New Roman"/>
          <w:vanish/>
        </w:rPr>
        <w:t>sMember2022-09-300001326003bkcc:NonControlledNonAffiliatedInvestmentsMember2022-09-300001326003us-gaap:CommonStockMember2021-07-012021-09-300001326003bkcc:BackofficeAssociatesHoldingsLLCSynitiMemberus-gaap:PrimeRateMemberbkcc:SoftwareMemberus-gaap:DebtSecu</w:t>
      </w:r>
      <w:r>
        <w:rPr>
          <w:rFonts w:eastAsia="Times New Roman"/>
          <w:vanish/>
        </w:rPr>
        <w:t>ritiesMemberbkcc:FirstLienRevolverMember2021-12-310001326003bkcc:FirstLienTermLoanMemberbkcc:GCChampionAcquisitionLimitedLiabilityCompanyMemberus-gaap:DebtSecuritiesMemberbkcc:DiversifiedFinancialServicesMemberbkcc:MonthlySOFRMember2022-09-300001326003bkcc</w:t>
      </w:r>
      <w:r>
        <w:rPr>
          <w:rFonts w:eastAsia="Times New Roman"/>
          <w:vanish/>
        </w:rPr>
        <w:t>:ChemicalsMemberbkcc:AGYEquityLLCMemberus-gaap:EquitySecuritiesMemberus-gaap:PreferredClassBMember2021-12-310001326003bkcc:MarketDisruptionsAndOtherGeopoliticalOrMacroeconomicEventsMember2022-01-012022-09-300001326003bkcc:WarrantsToPurchaseSeriesDStockMemb</w:t>
      </w:r>
      <w:r>
        <w:rPr>
          <w:rFonts w:eastAsia="Times New Roman"/>
          <w:vanish/>
        </w:rPr>
        <w:t>erbkcc:WorldremitGroupLimitedUnitedKingdomMember2022-01-012022-09-300001326003bkcc:WarrantsToPurchaseSeriesCPreferredStockMemberbkcc:FinancialForceComMember2022-01-012022-09-3000013260032020-05-022020-05-020001326003bkcc:ControlledAffiliateSecurityMemberbk</w:t>
      </w:r>
      <w:r>
        <w:rPr>
          <w:rFonts w:eastAsia="Times New Roman"/>
          <w:vanish/>
        </w:rPr>
        <w:t>cc:FirstBostonConstructionHoldingsLLCMemberbkcc:LimitedLiabilityCoInterestMember2021-01-012021-12-310001326003bkcc:FirstLienTermLoanMemberbkcc:UnanetIncMemberus-gaap:DebtSecuritiesMemberbkcc:AerospaceAndDefenseMember2022-09-300001326003bkcc:FirstLienTermLo</w:t>
      </w:r>
      <w:r>
        <w:rPr>
          <w:rFonts w:eastAsia="Times New Roman"/>
          <w:vanish/>
        </w:rPr>
        <w:t>anMemberus-gaap:DebtSecuritiesMemberbkcc:QuarterlySOFRMemberbkcc:TerraboostMediaOperatingCompanyLlcMember2022-09-300001326003bkcc:FirstLienTermLoanMemberbkcc:SoftwareMemberbkcc:QuarterlyLIBORMemberus-gaap:DebtSecuritiesMemberbkcc:CyberGrantsHoldingsLLCMemb</w:t>
      </w:r>
      <w:r>
        <w:rPr>
          <w:rFonts w:eastAsia="Times New Roman"/>
          <w:vanish/>
        </w:rPr>
        <w:t>er2022-09-300001326003bkcc:MonthlyLIBORMemberbkcc:ProfessionalServicesMemberbkcc:FirstLienDelayedDrawTermLoanMemberus-gaap:DebtSecuritiesMemberbkcc:RigUpIncMember2022-09-300001326003bkcc:FirstLienTermLoanMemberbkcc:CallodineCommercialFinanceLLCMemberus-gaa</w:t>
      </w:r>
      <w:r>
        <w:rPr>
          <w:rFonts w:eastAsia="Times New Roman"/>
          <w:vanish/>
        </w:rPr>
        <w:t>p:DebtSecuritiesMemberbkcc:DiversifiedFinancialServicesMember2021-12-310001326003bkcc:ProfessionalServicesMemberus-gaap:DebtSecuritiesMember2022-09-3000013260032021-12-3100013260032021-06-302021-06-300001326003bkcc:NonControlledNonAffiliatedInvestmentsMemb</w:t>
      </w:r>
      <w:r>
        <w:rPr>
          <w:rFonts w:eastAsia="Times New Roman"/>
          <w:vanish/>
        </w:rPr>
        <w:t>er2022-07-012022-09-300001326003bkcc:SeniorSecuredNotesMemberbkcc:AdvancedLightingTechnologiesLLCMember2021-01-012021-12-310001326003bkcc:IndustryConcentrationRiskMemberbkcc:InternetAndCatalogRetailMemberbkcc:InvestmentsAtFairValueMember2021-01-012021-12-3</w:t>
      </w:r>
      <w:r>
        <w:rPr>
          <w:rFonts w:eastAsia="Times New Roman"/>
          <w:vanish/>
        </w:rPr>
        <w:t>10001326003us-gaap:EquitySecuritiesMemberus-gaap:MeasurementInputRevenueMultipleMembersrt:MaximumMemberbkcc:MarketComparableCompaniesMemberus-gaap:FairValueInputsLevel3Member2021-12-310001326003bkcc:QuarterlyLIBORMemberbkcc:BlackbirdPurchaserIncOhioTransmi</w:t>
      </w:r>
      <w:r>
        <w:rPr>
          <w:rFonts w:eastAsia="Times New Roman"/>
          <w:vanish/>
        </w:rPr>
        <w:t>ssionCorpMemberus-gaap:DebtSecuritiesMemberbkcc:TradingCompaniesAndDistributorsMemberbkcc:SecondLienTermLoanMember2021-12-310001326003bkcc:BankDebtMember2021-06-300001326003us-gaap:DebtSecuritiesMemberbkcc:CapitalMarketsMember2022-09-300001326003bkcc:BWHol</w:t>
      </w:r>
      <w:r>
        <w:rPr>
          <w:rFonts w:eastAsia="Times New Roman"/>
          <w:vanish/>
        </w:rPr>
        <w:t>dingIncBrookWhittleMemberus-gaap:DebtSecuritiesMemberbkcc:QuarterlySOFRMemberbkcc:ContainersAndPackagingMemberbkcc:SecondLienTermLoanMember2022-09-300001326003us-gaap:EquitySecuritiesMemberus-gaap:FairValueInputsLevel3Member2022-09-300001326003bkcc:Textile</w:t>
      </w:r>
      <w:r>
        <w:rPr>
          <w:rFonts w:eastAsia="Times New Roman"/>
          <w:vanish/>
        </w:rPr>
        <w:t>sApparelAndLuxuryGoodsMemberbkcc:JamesPerseEnterprisesIncMemberus-gaap:DebtSecuritiesMemberbkcc:FirstLienRevolverMemberbkcc:SemiannuallyLIBORMember2021-12-3100013260032020-01-012020-03-310001326003us-gaap:LondonInterbankOfferedRateLIBORMemberbkcc:SeniorSec</w:t>
      </w:r>
      <w:r>
        <w:rPr>
          <w:rFonts w:eastAsia="Times New Roman"/>
          <w:vanish/>
        </w:rPr>
        <w:t>uredRevolvingCreditFacilityMember2022-01-012022-09-300001326003bkcc:ElectricalEquipmentMemberbkcc:QuarterlyLIBORMemberus-gaap:DebtSecuritiesMemberbkcc:SecondLienSeniorSecuredNotesMemberbkcc:AdvancedLightingTechnologiesLLCMember2021-12-3100013260032022-04-0</w:t>
      </w:r>
      <w:r>
        <w:rPr>
          <w:rFonts w:eastAsia="Times New Roman"/>
          <w:vanish/>
        </w:rPr>
        <w:t>12022-06-300001326003bkcc:SeniorSecuredLoanFirstLienMember2021-12-310001326003bkcc:ProfessionalServicesMemberus-gaap:DebtSecuritiesMemberbkcc:QuarterlySOFRMemberbkcc:SecondLienTermLoanMemberbkcc:DTIHoldcoIncMember2022-09-300001326003us-gaap:AdditionalPaidI</w:t>
      </w:r>
      <w:r>
        <w:rPr>
          <w:rFonts w:eastAsia="Times New Roman"/>
          <w:vanish/>
        </w:rPr>
        <w:t>nCapitalMember2022-07-012022-09-300001326003bkcc:UnsecuredSeniorNotesDueTwoThousandTwentyFiveMember2022-01-012022-09-300001326003bkcc:BankDebtMember2022-01-012022-09-300001326003bkcc:ControlledAffiliateSecurityMemberus-gaap:UnsecuredDebtMemberbkcc:GordonBr</w:t>
      </w:r>
      <w:r>
        <w:rPr>
          <w:rFonts w:eastAsia="Times New Roman"/>
          <w:vanish/>
        </w:rPr>
        <w:t>othersFinanceCompanyMember2021-12-310001326003us-gaap:RetainedEarningsMember2022-04-012022-06-300001326003us-gaap:SubordinatedDebtMemberbkcc:ControlledAffiliateSecurityMemberbkcc:FirstBostonConstructionHoldingsLLCMember2021-12-310001326003bkcc:TwoThousandA</w:t>
      </w:r>
      <w:r>
        <w:rPr>
          <w:rFonts w:eastAsia="Times New Roman"/>
          <w:vanish/>
        </w:rPr>
        <w:t>ndTwentyFivePrivatePlacementNotesMember2021-12-310001326003bkcc:SeniorSecuredRevolvingCreditFacilityMember2022-01-012022-09-300001326003srt:MinimumMemberus-gaap:FairValueInputsLevel3Member2022-09-300001326003bkcc:MediaMemberbkcc:IndustryConcentrationRiskMe</w:t>
      </w:r>
      <w:r>
        <w:rPr>
          <w:rFonts w:eastAsia="Times New Roman"/>
          <w:vanish/>
        </w:rPr>
        <w:t>mberbkcc:InvestmentsAtFairValueMember2021-01-012021-12-3100013260032022-11-020001326003bkcc:HealthCareProvidersAndServicesMemberbkcc:OutcomesGroupHoldingsIncMemberus-gaap:DebtSecuritiesMemberbkcc:SemiannuallySOFRMemberbkcc:SecondLienTermLoanMember2022-09-3</w:t>
      </w:r>
      <w:r>
        <w:rPr>
          <w:rFonts w:eastAsia="Times New Roman"/>
          <w:vanish/>
        </w:rPr>
        <w:t>00001326003bkcc:PaperAndForestProductsMemberbkcc:IndustryConcentrationRiskMemberbkcc:InvestmentsAtFairValueMember2022-01-012022-09-300001326003us-gaap:FairValueInputsLevel1Member2022-09-300001326003bkcc:IndustryConcentrationRiskMemberbkcc:ChemicalsMemberbk</w:t>
      </w:r>
      <w:r>
        <w:rPr>
          <w:rFonts w:eastAsia="Times New Roman"/>
          <w:vanish/>
        </w:rPr>
        <w:t>cc:InvestmentsAtFairValueMember2021-01-012021-12-310001326003us-gaap:GeographicConcentrationRiskMembercountry:DEbkcc:InvestmentsAtFairValueMember2022-01-012022-09-300001326003bkcc:WarrantsToPurchaseSeriesEStockMemberbkcc:WorldremitGroupLimitedUnitedKingdom</w:t>
      </w:r>
      <w:r>
        <w:rPr>
          <w:rFonts w:eastAsia="Times New Roman"/>
          <w:vanish/>
        </w:rPr>
        <w:t>Member2022-01-012022-09-300001326003bkcc:IndustryConcentrationRiskMemberbkcc:MachinerySectorMemberbkcc:InvestmentsAtFairValueMember2021-01-012021-12-310001326003bkcc:CashAndInvestmentMember2021-12-310001326003bkcc:ICIMSIncMemberbkcc:ProfessionalServicesMem</w:t>
      </w:r>
      <w:r>
        <w:rPr>
          <w:rFonts w:eastAsia="Times New Roman"/>
          <w:vanish/>
        </w:rPr>
        <w:t>berbkcc:FirstLienDelayedDrawTermLoanMemberus-gaap:DebtSecuritiesMemberbkcc:QuarterlySOFRMember2022-09-300001326003us-gaap:AdditionalPaidInCapitalMember2021-01-012021-03-310001326003bkcc:ConstructionAndEngineeringMemberus-gaap:DebtSecuritiesMember2022-09-30</w:t>
      </w:r>
      <w:r>
        <w:rPr>
          <w:rFonts w:eastAsia="Times New Roman"/>
          <w:vanish/>
        </w:rPr>
        <w:t>0001326003bkcc:DiversifiedConsumerServicesMemberbkcc:SellerXGermanyGmbHCoKgGermanyMemberbkcc:WarrantsToPurchasePreferredSeriesBSharesMemberus-gaap:EquitySecuritiesMember2021-12-310001326003us-gaap:AutomobilesMemberbkcc:QuarterlyLIBORMemberus-gaap:DebtSecur</w:t>
      </w:r>
      <w:r>
        <w:rPr>
          <w:rFonts w:eastAsia="Times New Roman"/>
          <w:vanish/>
        </w:rPr>
        <w:t>itiesMemberbkcc:FirstLienRevolverMemberbkcc:ALCVPurchaserIncMember2022-09-300001326003us-gaap:OtherDebtSecuritiesMember2021-12-310001326003us-gaap:AutomobilesMemberus-gaap:DebtSecuritiesMember2021-12-310001326003bkcc:SeniorSecuredNoteSecondLienMemberbkcc:N</w:t>
      </w:r>
      <w:r>
        <w:rPr>
          <w:rFonts w:eastAsia="Times New Roman"/>
          <w:vanish/>
        </w:rPr>
        <w:t>onControlledAffiliateSecurityMemberbkcc:AdvancedLightingTechnologiesLLCMember2021-12-310001326003bkcc:MBSParentLLCMemberbkcc:MediaMemberbkcc:LimitedPartnershipOrLimitedLiabilityCompanyInterestsMemberus-gaap:EquitySecuritiesMember2021-12-310001326003bkcc:We</w:t>
      </w:r>
      <w:r>
        <w:rPr>
          <w:rFonts w:eastAsia="Times New Roman"/>
          <w:vanish/>
        </w:rPr>
        <w:t>althEnhancementGroupLimitedLiabilityCompanyMemberbkcc:SemiannuallySOFRMemberus-gaap:DebtSecuritiesMemberbkcc:DiversifiedFinancialServicesMemberbkcc:FirstLienRevolverMember2022-09-300001326003bkcc:HealthCareProvidersAndServicesMemberus-gaap:DebtSecuritiesMe</w:t>
      </w:r>
      <w:r>
        <w:rPr>
          <w:rFonts w:eastAsia="Times New Roman"/>
          <w:vanish/>
        </w:rPr>
        <w:t>mber2021-12-310001326003bkcc:FirstLienTermLoanMemberbkcc:QuarterlyLIBORMemberus-gaap:MachineryAndEquipmentMemberbkcc:SonnySEnterprisesLLCMemberus-gaap:DebtSecuritiesMember2022-09-300001326003bkcc:BlackrockCapitalInvestmentAdvisorsLimitedLiabilityCorporatio</w:t>
      </w:r>
      <w:r>
        <w:rPr>
          <w:rFonts w:eastAsia="Times New Roman"/>
          <w:vanish/>
        </w:rPr>
        <w:t>nMember2021-12-310001326003bkcc:SeniorSecuredLoansMember2022-09-300001326003bkcc:NonControlledAffiliatedInvestmentsMember2021-12-310001326003bkcc:FirstLienTermLoanMemberbkcc:MBSOpcoLLCMemberbkcc:QuarterlyLIBORMemberus-gaap:DebtSecuritiesMemberbkcc:MediaMem</w:t>
      </w:r>
      <w:r>
        <w:rPr>
          <w:rFonts w:eastAsia="Times New Roman"/>
          <w:vanish/>
        </w:rPr>
        <w:t>ber2021-12-310001326003bkcc:FirstLienTermLoanMemberbkcc:MonthlyLIBORMemberbkcc:HealthCareTechnologyMemberbkcc:ApprissHealthLLCPatientPingMemberus-gaap:DebtSecuritiesMember2022-09-300001326003bkcc:SoftwareMemberbkcc:WarrantsToPurchaseCommonStockMemberbkcc:G</w:t>
      </w:r>
      <w:r>
        <w:rPr>
          <w:rFonts w:eastAsia="Times New Roman"/>
          <w:vanish/>
        </w:rPr>
        <w:t>reyOrangeInternationalIncMemberus-gaap:EquitySecuritiesMember2022-09-300001326003us-gaap:FairValueInputsLevel2Memberus-gaap:OtherDebtSecuritiesMember2022-09-300001326003bkcc:SeniorSecuredLoansMembersrt:MinimumMemberus-gaap:BaseRateMember2021-12-31000132600</w:t>
      </w:r>
      <w:r>
        <w:rPr>
          <w:rFonts w:eastAsia="Times New Roman"/>
          <w:vanish/>
        </w:rPr>
        <w:t>3us-gaap:InterestRateSwapMember2022-09-300001326003bkcc:GreyOrangeIncorporatedMemberbkcc:SoftwareMemberbkcc:FirstLienDelayedDrawTermLoanMemberbkcc:SemiannuallySOFRMemberus-gaap:DebtSecuritiesMember2022-09-300001326003us-gaap:RetainedEarningsMember2022-07-0</w:t>
      </w:r>
      <w:r>
        <w:rPr>
          <w:rFonts w:eastAsia="Times New Roman"/>
          <w:vanish/>
        </w:rPr>
        <w:t>12022-09-300001326003bkcc:SeniorSecuredRevolvingCreditFacilityMembersrt:MinimumMemberus-gaap:BaseRateMember2022-01-012022-09-300001326003us-gaap:SubsequentEventMember2022-11-022022-11-020001326003us-gaap:GeographicConcentrationRiskMembercountry:GBbkcc:Inve</w:t>
      </w:r>
      <w:r>
        <w:rPr>
          <w:rFonts w:eastAsia="Times New Roman"/>
          <w:vanish/>
        </w:rPr>
        <w:t>stmentsAtFairValueMember2021-01-012021-12-310001326003bkcc:MonthlyLIBORMemberbkcc:ProfessionalServicesMemberus-gaap:DebtSecuritiesMemberbkcc:GIConsilioParentLLCMemberbkcc:SecondLienTermLoanMember2021-12-310001326003bkcc:FirstLienTermLoanMemberbkcc:MediaMem</w:t>
      </w:r>
      <w:r>
        <w:rPr>
          <w:rFonts w:eastAsia="Times New Roman"/>
          <w:vanish/>
        </w:rPr>
        <w:t>berus-gaap:DebtSecuritiesMemberbkcc:QuarterlySOFRMemberbkcc:TerraboostMediaOperatingCompanyLlcMember2022-09-3000013260032022-03-312022-03-310001326003bkcc:EquityWarrantsOrOptionsMember2021-12-310001326003bkcc:LeisureProductsMemberbkcc:IndustryConcentration</w:t>
      </w:r>
      <w:r>
        <w:rPr>
          <w:rFonts w:eastAsia="Times New Roman"/>
          <w:vanish/>
        </w:rPr>
        <w:t>RiskMemberbkcc:InvestmentsAtFairValueMember2021-01-012021-12-310001326003us-gaap:MeasurementInputRevenueMultipleMemberbkcc:MarketComparableCompaniesMemberus-gaap:OtherDebtSecuritiesMemberus-gaap:FairValueInputsLevel3Member2021-12-3100013260032021-03-310001</w:t>
      </w:r>
      <w:r>
        <w:rPr>
          <w:rFonts w:eastAsia="Times New Roman"/>
          <w:vanish/>
        </w:rPr>
        <w:t>326003bkcc:CapitalMarketsMemberbkcc:IndustryConcentrationRiskMemberbkcc:InvestmentsAtFairValueMember2022-01-012022-09-300001326003us-gaap:DebtSecuritiesMemberbkcc:TradingCompaniesAndDistributorsMember2021-12-310001326003bkcc:IndustryConcentrationRiskMember</w:t>
      </w:r>
      <w:r>
        <w:rPr>
          <w:rFonts w:eastAsia="Times New Roman"/>
          <w:vanish/>
        </w:rPr>
        <w:t>bkcc:HealthCareTechnologyMemberbkcc:InvestmentsAtFairValueMember2021-01-012021-12-310001326003bkcc:ControlledAffiliateSecurityMemberus-gaap:CommonStockMemberbkcc:GordonBrothersFinanceCompanyMember2021-01-012021-12-310001326003bkcc:MonthlyLIBORMemberbkcc:Fi</w:t>
      </w:r>
      <w:r>
        <w:rPr>
          <w:rFonts w:eastAsia="Times New Roman"/>
          <w:vanish/>
        </w:rPr>
        <w:t>rstLienDelayedDrawTermLoanMemberbkcc:UnanetIncMemberus-gaap:DebtSecuritiesMemberbkcc:AerospaceAndDefenseMember2021-12-310001326003bkcc:MonthlyLIBORMemberbkcc:PersadoIncMemberbkcc:FirstLienDelayedDrawTermLoanMemberus-gaap:DebtSecuritiesMemberbkcc:InternetSo</w:t>
      </w:r>
      <w:r>
        <w:rPr>
          <w:rFonts w:eastAsia="Times New Roman"/>
          <w:vanish/>
        </w:rPr>
        <w:t>ftwareAndServicesMember2021-12-310001326003bkcc:FirstLienTermLoanMemberbkcc:SailpointTechnologiesHoldingsIncMemberus-gaap:DebtSecuritiesMemberbkcc:MonthlySOFRMemberbkcc:InternetSoftwareAndServicesMember2022-09-300001326003srt:CumulativeEffectPeriodOfAdopti</w:t>
      </w:r>
      <w:r>
        <w:rPr>
          <w:rFonts w:eastAsia="Times New Roman"/>
          <w:vanish/>
        </w:rPr>
        <w:t>onAdjustmentMember2021-12-310001326003bkcc:IndustryConcentrationRiskMemberbkcc:SoftwareMemberbkcc:InvestmentsAtFairValueMember2022-01-012022-09-300001326003us-gaap:LondonInterbankOfferedRateLIBORMemberbkcc:SeniorSecuredRevolvingCreditFacilityMember2021-01-</w:t>
      </w:r>
      <w:r>
        <w:rPr>
          <w:rFonts w:eastAsia="Times New Roman"/>
          <w:vanish/>
        </w:rPr>
        <w:t>012021-12-310001326003bkcc:LimitedLiabilityCoInterestMemberbkcc:KemmererHoldingsLLCWMLPMemberbkcc:NonControlledAffiliateSecurityMember2022-01-012022-09-300001326003us-gaap:GeographicConcentrationRiskMembercountry:AUbkcc:InvestmentsAtFairValueMember2022-01-</w:t>
      </w:r>
      <w:r>
        <w:rPr>
          <w:rFonts w:eastAsia="Times New Roman"/>
          <w:vanish/>
        </w:rPr>
        <w:t>012022-09-300001326003bkcc:ControlledAffiliateSecurityMemberbkcc:RedAppleStoresIncMemberus-gaap:PreferredStockMember2020-12-310001326003bkcc:FirstLienTermLoanMemberbkcc:PicoQuantitativeTradingLLCMemberus-gaap:DebtSecuritiesMemberbkcc:CapitalMarketsMemberbk</w:t>
      </w:r>
      <w:r>
        <w:rPr>
          <w:rFonts w:eastAsia="Times New Roman"/>
          <w:vanish/>
        </w:rPr>
        <w:t>cc:SemiannuallyLIBORMember2021-12-310001326003bkcc:ControlledAffiliateSecurityMemberus-gaap:UnsecuredDebtMemberbkcc:GordonBrothersFinanceCompanyMember2020-12-310001326003us-gaap:PreferredStockMemberbkcc:ChemicalsMemberus-gaap:EquitySecuritiesMemberus-gaap:</w:t>
      </w:r>
      <w:r>
        <w:rPr>
          <w:rFonts w:eastAsia="Times New Roman"/>
          <w:vanish/>
        </w:rPr>
        <w:t>PreferredClassBMember2021-12-310001326003bkcc:ControlledInvestmentMember2022-09-3000013260032018-03-062018-03-060001326003us-gaap:CommonStockMemberbkcc:FivePointZeroZeroPercentConvertibleNotesDueTwoThousandTwentyTwoMember2022-01-012022-09-300001326003us-ga</w:t>
      </w:r>
      <w:r>
        <w:rPr>
          <w:rFonts w:eastAsia="Times New Roman"/>
          <w:vanish/>
        </w:rPr>
        <w:t>ap:GeographicConcentrationRiskMemberbkcc:InvestmentsAtFairValueMember2022-01-012022-09-300001326003bkcc:FirstLienDelayedDrawTermLoanBMemberbkcc:CommercialServicesAndSuppliesMemberbkcc:QuarterlyLIBORMemberus-gaap:DebtSecuritiesMemberbkcc:KellermeyerBergenso</w:t>
      </w:r>
      <w:r>
        <w:rPr>
          <w:rFonts w:eastAsia="Times New Roman"/>
          <w:vanish/>
        </w:rPr>
        <w:t>nsServicesLLCMember2022-09-300001326003bkcc:FirstLienTermLoanMemberbkcc:QuarterlyLIBORMemberus-gaap:DebtSecuritiesMemberbkcc:DiversifiedFinancialServicesMemberbkcc:WorldremitGroupLimitedUnitedKingdomMember2021-12-310001326003bkcc:IndustryConcentrationRiskM</w:t>
      </w:r>
      <w:r>
        <w:rPr>
          <w:rFonts w:eastAsia="Times New Roman"/>
          <w:vanish/>
        </w:rPr>
        <w:t>emberbkcc:TradingCompaniesAndDistributorsMemberbkcc:InvestmentsAtFairValueMember2022-01-012022-09-300001326003bkcc:ConstructionAndEngineeringMemberbkcc:FirstLienDelayedDrawTermLoanMemberbkcc:QuarterlyLIBORMemberus-gaap:DebtSecuritiesMemberbkcc:HomerenewBuy</w:t>
      </w:r>
      <w:r>
        <w:rPr>
          <w:rFonts w:eastAsia="Times New Roman"/>
          <w:vanish/>
        </w:rPr>
        <w:t>erIncProjectDreamMember2021-12-310001326003bkcc:MetronetSystemsHoldingsLimitedLiabilityCompanyMemberbkcc:MonthlyLIBORMemberus-gaap:DebtSecuritiesMemberbkcc:DiversifiedTelecommunicationServicesMember2022-09-300001326003us-gaap:EquitySecuritiesMember2021-12-</w:t>
      </w:r>
      <w:r>
        <w:rPr>
          <w:rFonts w:eastAsia="Times New Roman"/>
          <w:vanish/>
        </w:rPr>
        <w:t>310001326003bkcc:FirstLienTermLoanMemberbkcc:InsuranceMemberbkcc:QuarterlyLIBORMemberus-gaap:DebtSecuritiesMemberbkcc:ITParentLLCMember2021-12-310001326003us-gaap:CommonStockMembersrt:CumulativeEffectPeriodOfAdoptionAdjustmentMember2021-12-310001326003us-g</w:t>
      </w:r>
      <w:r>
        <w:rPr>
          <w:rFonts w:eastAsia="Times New Roman"/>
          <w:vanish/>
        </w:rPr>
        <w:t>aap:MeasurementInputEbitdaMultipleMembersrt:MinimumMemberbkcc:BankDebtMemberbkcc:MarketComparableCompaniesMemberus-gaap:FairValueInputsLevel3Member2021-12-310001326003us-gaap:TreasuryStockMember2021-01-012021-03-310001326003us-gaap:FairValueInputsLevel3Mem</w:t>
      </w:r>
      <w:r>
        <w:rPr>
          <w:rFonts w:eastAsia="Times New Roman"/>
          <w:vanish/>
        </w:rPr>
        <w:t>ber2021-01-012021-09-300001326003us-gaap:MeasurementInputRevenueMultipleMember2022-01-012022-09-300001326003bkcc:DiversifiedConsumerServicesMemberbkcc:FixedInterestRateMemberbkcc:RazorGroupGmbHGermanyMemberus-gaap:DebtSecuritiesMemberbkcc:FirstLienSrSecure</w:t>
      </w:r>
      <w:r>
        <w:rPr>
          <w:rFonts w:eastAsia="Times New Roman"/>
          <w:vanish/>
        </w:rPr>
        <w:t>dConvertibleTermLoanMember2021-12-310001326003bkcc:MetalsAndMiningMemberbkcc:IndustryConcentrationRiskMemberbkcc:InvestmentsAtFairValueMember2022-01-012022-09-300001326003bkcc:BlackrockCapitalInvestmentAdvisorsLimitedLiabilityCorporationMember2022-09-30000</w:t>
      </w:r>
      <w:r>
        <w:rPr>
          <w:rFonts w:eastAsia="Times New Roman"/>
          <w:vanish/>
        </w:rPr>
        <w:t>1326003bkcc:IndustryConcentrationRiskMemberbkcc:InternetSoftwareAndServicesMemberbkcc:InvestmentsAtFairValueMember2022-01-012022-09-300001326003bkcc:ControlledAffiliateSecurityMemberus-gaap:PreferredStockMemberbkcc:GordonBrothersFinanceCompanyMember2021-12</w:t>
      </w:r>
      <w:r>
        <w:rPr>
          <w:rFonts w:eastAsia="Times New Roman"/>
          <w:vanish/>
        </w:rPr>
        <w:t>-310001326003us-gaap:EquitySecuritiesMembersrt:MaximumMemberus-gaap:MeasurementInputExpectedTermMemberus-gaap:ValuationTechniqueOptionPricingModelMemberus-gaap:FairValueInputsLevel3Member2021-12-310001326003us-gaap:DebtSecuritiesMemberbkcc:DiversifiedFinan</w:t>
      </w:r>
      <w:r>
        <w:rPr>
          <w:rFonts w:eastAsia="Times New Roman"/>
          <w:vanish/>
        </w:rPr>
        <w:t>cialServicesMemberbkcc:FirstLienRevolverMemberbkcc:MonthlySOFRMemberbkcc:TwoToTenHoldcoIncMember2022-09-300001326003bkcc:MonthlyLIBORMemberbkcc:FirstLienDelayedDrawTermLoanMemberus-gaap:DebtSecuritiesMemberbkcc:FinancialForceComIncMemberbkcc:InternetSoftwa</w:t>
      </w:r>
      <w:r>
        <w:rPr>
          <w:rFonts w:eastAsia="Times New Roman"/>
          <w:vanish/>
        </w:rPr>
        <w:t>reAndServicesMember2021-12-3100013260032022-09-300001326003us-gaap:FairValueInputsLevel1Member2021-12-310001326003bkcc:FirstLienTermLoanMemberbkcc:GympassUsLlcMemberus-gaap:DebtSecuritiesMemberbkcc:MonthlySOFRMemberbkcc:InternetSoftwareAndServicesMember202</w:t>
      </w:r>
      <w:r>
        <w:rPr>
          <w:rFonts w:eastAsia="Times New Roman"/>
          <w:vanish/>
        </w:rPr>
        <w:t>2-09-300001326003bkcc:BluefinHoldingLLCBlackMountainMemberbkcc:SoftwareMemberus-gaap:DebtSecuritiesMemberbkcc:SecondLienTermLoanMemberbkcc:SemiannuallyLIBORMember2022-09-300001326003bkcc:LimitedLiabilityCoInterestMemberbkcc:KemmererHoldingsLLCWMLPMemberbkc</w:t>
      </w:r>
      <w:r>
        <w:rPr>
          <w:rFonts w:eastAsia="Times New Roman"/>
          <w:vanish/>
        </w:rPr>
        <w:t>c:NonControlledAffiliateSecurityMember2020-12-310001326003bkcc:MarketQuotationsMemberbkcc:BankDebtMemberbkcc:MeasurementInputIndicativeBidOrAskQuotesMemberus-gaap:FairValueInputsLevel3Member2022-09-300001326003bkcc:DiversifiedConsumerServicesMemberbkcc:Mon</w:t>
      </w:r>
      <w:r>
        <w:rPr>
          <w:rFonts w:eastAsia="Times New Roman"/>
          <w:vanish/>
        </w:rPr>
        <w:t>thlyLIBORMemberus-gaap:DebtSecuritiesMemberbkcc:FirstLienIncrementalTermLoanMemberbkcc:WheleLLCPerchMember2021-12-310001326003bkcc:BlackrockFinancialManagementIncorporationMember2022-07-012022-09-3000013260032021-12-312021-12-310001326003bkcc:FirstLienTerm</w:t>
      </w:r>
      <w:r>
        <w:rPr>
          <w:rFonts w:eastAsia="Times New Roman"/>
          <w:vanish/>
        </w:rPr>
        <w:t>LoanMemberbkcc:DudeSolutionsHoldingsIncMemberbkcc:ProfessionalServicesMemberbkcc:QuarterlyLIBORMemberus-gaap:DebtSecuritiesMember2021-12-310001326003bkcc:MonthlyLIBORMemberbkcc:PersadoIncMemberbkcc:FirstLienDelayedDrawTermLoanMemberbkcc:InternetSoftwareAnd</w:t>
      </w:r>
      <w:r>
        <w:rPr>
          <w:rFonts w:eastAsia="Times New Roman"/>
          <w:vanish/>
        </w:rPr>
        <w:t>ServicesMember2021-12-310001326003bkcc:MetalsAndMiningMemberbkcc:KemmererOperationsLLCWMLPMemberbkcc:FirstLienDelayedDrawTermLoanMemberus-gaap:DebtSecuritiesMemberbkcc:FixedMember2021-12-310001326003bkcc:JulyTwentyEightTwoThousandTwentyOneMember2021-07-012</w:t>
      </w:r>
      <w:r>
        <w:rPr>
          <w:rFonts w:eastAsia="Times New Roman"/>
          <w:vanish/>
        </w:rPr>
        <w:t>021-09-300001326003us-gaap:IncomeApproachValuationTechniqueMembersrt:MaximumMemberus-gaap:OtherDebtSecuritiesMemberus-gaap:FairValueInputsLevel3Memberus-gaap:MeasurementInputDiscountRateMember2022-09-300001326003bkcc:BlackrockFinancialManagementIncorporati</w:t>
      </w:r>
      <w:r>
        <w:rPr>
          <w:rFonts w:eastAsia="Times New Roman"/>
          <w:vanish/>
        </w:rPr>
        <w:t>onMember2021-07-012021-09-300001326003us-gaap:RetainedEarningsMember2021-03-310001326003bkcc:HealthCareProvidersAndServicesMemberus-gaap:DebtSecuritiesMember2022-09-300001326003us-gaap:IncomeApproachValuationTechniqueMemberbkcc:BankDebtMemberus-gaap:FairVa</w:t>
      </w:r>
      <w:r>
        <w:rPr>
          <w:rFonts w:eastAsia="Times New Roman"/>
          <w:vanish/>
        </w:rPr>
        <w:t>lueInputsLevel3Memberus-gaap:MeasurementInputDiscountRateMember2022-09-300001326003bkcc:QuarterlyLIBORMemberus-gaap:DebtSecuritiesMemberbkcc:DiversifiedFinancialServicesMemberbkcc:FirstLienRevolverMemberbkcc:TwoToTenHoldcoIncMember2021-12-310001326003us-ga</w:t>
      </w:r>
      <w:r>
        <w:rPr>
          <w:rFonts w:eastAsia="Times New Roman"/>
          <w:vanish/>
        </w:rPr>
        <w:t>ap:PreferredStockMemberbkcc:DiversifiedFinancialServicesMemberus-gaap:EquitySecuritiesMember2021-12-310001326003us-gaap:DebtSecuritiesMember2022-09-300001326003bkcc:UnsecuredSeniorNotesDueTwoThousandTwentyFiveMember2022-06-092022-06-090001326003us-gaap:Mea</w:t>
      </w:r>
      <w:r>
        <w:rPr>
          <w:rFonts w:eastAsia="Times New Roman"/>
          <w:vanish/>
        </w:rPr>
        <w:t>surementInputRevenueMultipleMembersrt:MinimumMemberbkcc:BankDebtMemberus-gaap:ValuationTechniqueOptionPricingModelMemberus-gaap:FairValueInputsLevel3Member2022-09-300001326003bkcc:NonControlledAffiliateSecurityMember2020-12-310001326003bkcc:FirstLienTermLo</w:t>
      </w:r>
      <w:r>
        <w:rPr>
          <w:rFonts w:eastAsia="Times New Roman"/>
          <w:vanish/>
        </w:rPr>
        <w:t>anMemberbkcc:SoftwareMemberbkcc:IntegrateComIncInfinityDataIncMemberbkcc:QuarterlyLIBORMemberus-gaap:DebtSecuritiesMember2021-12-3100013260032020-05-010001326003us-gaap:DebtSecuritiesMemberbkcc:InternetSoftwareAndServicesMember2021-12-310001326003bkcc:Indu</w:t>
      </w:r>
      <w:r>
        <w:rPr>
          <w:rFonts w:eastAsia="Times New Roman"/>
          <w:vanish/>
        </w:rPr>
        <w:t>stryConcentrationRiskMemberbkcc:ConsumerFinanceMemberbkcc:InvestmentsAtFairValueMember2021-01-012021-12-310001326003bkcc:PaperAndForestProductsMemberus-gaap:DebtSecuritiesMember2022-09-300001326003us-gaap:RetainedEarningsMember2021-01-012021-03-31000132600</w:t>
      </w:r>
      <w:r>
        <w:rPr>
          <w:rFonts w:eastAsia="Times New Roman"/>
          <w:vanish/>
        </w:rPr>
        <w:t>3us-gaap:CommonStockMember2021-09-300001326003us-gaap:InvestmentsMember2022-09-300001326003bkcc:ControlledInvestmentMember2022-07-012022-09-3000013260032020-10-012020-12-310001326003bkcc:FirstLienTermLoanMemberus-gaap:DebtSecuritiesMemberbkcc:InmomentIncMe</w:t>
      </w:r>
      <w:r>
        <w:rPr>
          <w:rFonts w:eastAsia="Times New Roman"/>
          <w:vanish/>
        </w:rPr>
        <w:t>mberbkcc:MonthlySOFRMemberbkcc:InternetSoftwareAndServicesMember2022-09-300001326003us-gaap:MeasurementInputRevenueMultipleMemberbkcc:BankDebtMemberus-gaap:ValuationTechniqueOptionPricingModelMemberus-gaap:FairValueInputsLevel3Member2022-09-300001326003bkc</w:t>
      </w:r>
      <w:r>
        <w:rPr>
          <w:rFonts w:eastAsia="Times New Roman"/>
          <w:vanish/>
        </w:rPr>
        <w:t>c:MonthlyLIBORMemberbkcc:ProfessionalServicesMemberus-gaap:DebtSecuritiesMemberbkcc:VTTopCoIncVeritextMemberbkcc:SecondLienTermLoanMember2022-09-300001326003bkcc:HealthCareProvidersAndServicesMemberbkcc:QuarterlyLIBORMemberbkcc:OutcomesGroupHoldingsIncMemb</w:t>
      </w:r>
      <w:r>
        <w:rPr>
          <w:rFonts w:eastAsia="Times New Roman"/>
          <w:vanish/>
        </w:rPr>
        <w:t>erus-gaap:DebtSecuritiesMemberbkcc:SecondLienTermLoanMember2022-09-300001326003us-gaap:RetainedEarningsMembersrt:CumulativeEffectPeriodOfAdoptionAdjustmentMember2022-01-012022-03-310001326003us-gaap:DebtSecuritiesMemberbkcc:DiversifiedFinancialServicesMemb</w:t>
      </w:r>
      <w:r>
        <w:rPr>
          <w:rFonts w:eastAsia="Times New Roman"/>
          <w:vanish/>
        </w:rPr>
        <w:t>erbkcc:FirstLienRevolverMemberbkcc:TwoToTenHoldcoIncMember2021-12-310001326003us-gaap:FairValueInputsLevel3Member2021-07-012021-09-300001326003bkcc:DiversifiedConsumerServicesMemberbkcc:RazorGroupGmbHGermanyMemberbkcc:WarrantsToPurchasePreferredSeriesA1Sha</w:t>
      </w:r>
      <w:r>
        <w:rPr>
          <w:rFonts w:eastAsia="Times New Roman"/>
          <w:vanish/>
        </w:rPr>
        <w:t>resMemberus-gaap:EquitySecuritiesMember2021-12-310001326003us-gaap:SubordinatedDebtMemberbkcc:CallodineCommercialFinanceLLCMemberus-gaap:DebtSecuritiesMemberbkcc:QuarterlySOFRMemberbkcc:DiversifiedFinancialServicesMember2022-09-300001326003bkcc:AlpineAcqui</w:t>
      </w:r>
      <w:r>
        <w:rPr>
          <w:rFonts w:eastAsia="Times New Roman"/>
          <w:vanish/>
        </w:rPr>
        <w:t>sitionCorpIIMemberus-gaap:PrimeRateMemberbkcc:PaperAndForestProductsMemberus-gaap:DebtSecuritiesMemberbkcc:FirstLienRevolverMember2022-09-300001326003bkcc:DiversifiedConsumerServicesMemberbkcc:RazorGroupGmbHGermanyMemberbkcc:WarrantsToPurchasePreferredSeri</w:t>
      </w:r>
      <w:r>
        <w:rPr>
          <w:rFonts w:eastAsia="Times New Roman"/>
          <w:vanish/>
        </w:rPr>
        <w:t>esA1SharesMemberus-gaap:EquitySecuritiesMember2022-09-300001326003bkcc:KemmererOperationsLLCWMLPMemberbkcc:SeniorSecuredLoanFirstLienMemberbkcc:NonControlledAffiliateSecurityMember2022-01-012022-09-300001326003bkcc:NonControlledAffiliateSecurityMemberbkcc:</w:t>
      </w:r>
      <w:r>
        <w:rPr>
          <w:rFonts w:eastAsia="Times New Roman"/>
          <w:vanish/>
        </w:rPr>
        <w:t>AGYEquityLLCMemberus-gaap:PreferredClassAMember2020-12-310001326003us-gaap:RetainedEarningsMember2021-07-012021-09-300001326003bkcc:FusionHoldingCorpFinalsiteMemberbkcc:FirstLienTermLoanMemberbkcc:DiversifiedConsumerServicesMemberus-gaap:DebtSecuritiesMemb</w:t>
      </w:r>
      <w:r>
        <w:rPr>
          <w:rFonts w:eastAsia="Times New Roman"/>
          <w:vanish/>
        </w:rPr>
        <w:t>erbkcc:QuarterlySOFRMember2022-09-300001326003bkcc:MediaMemberbkcc:IndustryConcentrationRiskMemberbkcc:InvestmentsAtFairValueMember2022-01-012022-09-300001326003us-gaap:GeographicConcentrationRiskMembercountry:AUbkcc:InvestmentsAtFairValueMember2021-01-012</w:t>
      </w:r>
      <w:r>
        <w:rPr>
          <w:rFonts w:eastAsia="Times New Roman"/>
          <w:vanish/>
        </w:rPr>
        <w:t>021-12-310001326003us-gaap:IncomeApproachValuationTechniqueMemberbkcc:BankDebtMemberus-gaap:FairValueInputsLevel3Memberus-gaap:MeasurementInputDiscountRateMember2021-12-310001326003bkcc:FirstLienTermLoanMemberbkcc:MetalsAndMiningMemberbkcc:KemmererOperatio</w:t>
      </w:r>
      <w:r>
        <w:rPr>
          <w:rFonts w:eastAsia="Times New Roman"/>
          <w:vanish/>
        </w:rPr>
        <w:t>nsLLCWMLPMemberus-gaap:DebtSecuritiesMemberbkcc:FixedMember2021-12-310001326003bkcc:FirstLienTermLoanMemberbkcc:RoadAndRailMemberbkcc:MotiveTechnologiesIncMemberus-gaap:DebtSecuritiesMemberbkcc:SemiannuallySOFRMember2022-09-300001326003bkcc:FirstLienTermLo</w:t>
      </w:r>
      <w:r>
        <w:rPr>
          <w:rFonts w:eastAsia="Times New Roman"/>
          <w:vanish/>
        </w:rPr>
        <w:t>anMemberbkcc:ConstructionAndEngineeringMemberbkcc:CsgBuyerIncMemberus-gaap:DebtSecuritiesMemberbkcc:QuarterlySOFRMember2022-09-300001326003bkcc:IndustryConcentrationRiskMemberbkcc:AerospaceAndDefenseMemberbkcc:InvestmentsAtFairValueMember2021-01-012021-12-</w:t>
      </w:r>
      <w:r>
        <w:rPr>
          <w:rFonts w:eastAsia="Times New Roman"/>
          <w:vanish/>
        </w:rPr>
        <w:t>310001326003bkcc:InsuranceMemberus-gaap:DebtSecuritiesMember2022-09-300001326003us-gaap:MeasurementInputRevenueMultipleMembersrt:MinimumMemberbkcc:MarketComparableCompaniesMemberus-gaap:OtherDebtSecuritiesMemberus-gaap:FairValueInputsLevel3Member2022-09-30</w:t>
      </w:r>
      <w:r>
        <w:rPr>
          <w:rFonts w:eastAsia="Times New Roman"/>
          <w:vanish/>
        </w:rPr>
        <w:t>0001326003bkcc:ThermostatPurchaserIIIIncReedyIndustriesMemberbkcc:CommercialServicesAndSuppliesMemberbkcc:QuarterlyLIBORMemberus-gaap:DebtSecuritiesMemberbkcc:SecondLienDelayedDrawTermLoanMember2021-09-3000013260032021-09-302021-09-300001326003bkcc:Commerc</w:t>
      </w:r>
      <w:r>
        <w:rPr>
          <w:rFonts w:eastAsia="Times New Roman"/>
          <w:vanish/>
        </w:rPr>
        <w:t>ialServicesAndSuppliesMemberbkcc:PuebloMechanicalAndControlsLLCMemberus-gaap:DebtSecuritiesMemberbkcc:QuarterlySOFRMemberbkcc:FirstLienRevolverMember2022-09-300001326003us-gaap:IncomeApproachValuationTechniqueMemberus-gaap:EquitySecuritiesMemberus-gaap:Fai</w:t>
      </w:r>
      <w:r>
        <w:rPr>
          <w:rFonts w:eastAsia="Times New Roman"/>
          <w:vanish/>
        </w:rPr>
        <w:t>rValueInputsLevel3Memberus-gaap:MeasurementInputDiscountRateMember2022-09-300001326003bkcc:NonControlledAffiliateSecurityMember2022-09-300001326003bkcc:CommercialServicesAndSuppliesMemberus-gaap:DebtSecuritiesMember2021-12-310001326003us-gaap:SubordinatedD</w:t>
      </w:r>
      <w:r>
        <w:rPr>
          <w:rFonts w:eastAsia="Times New Roman"/>
          <w:vanish/>
        </w:rPr>
        <w:t>ebtMember2022-09-300001326003us-gaap:AdditionalPaidInCapitalMember2020-12-310001326003bkcc:MonthlyLIBORMemberbkcc:IderaIncMemberus-gaap:DebtSecuritiesMemberbkcc:SecondLienTermLoanMemberbkcc:ITServicesMember2022-09-300001326003bkcc:SecondLienTermLoanBMember</w:t>
      </w:r>
      <w:r>
        <w:rPr>
          <w:rFonts w:eastAsia="Times New Roman"/>
          <w:vanish/>
        </w:rPr>
        <w:t>bkcc:MonthlyLIBORMemberbkcc:EnsonoIncMemberus-gaap:DebtSecuritiesMemberbkcc:ITServicesMember2022-09-300001326003bkcc:MonthlyLIBORMemberus-gaap:DebtSecuritiesMemberbkcc:SecondLienDelayedDrawTermLoanMemberbkcc:DiversifiedTelecommunicationServicesMemberbkcc:M</w:t>
      </w:r>
      <w:r>
        <w:rPr>
          <w:rFonts w:eastAsia="Times New Roman"/>
          <w:vanish/>
        </w:rPr>
        <w:t>etroNetSystemsHoldingsLLCMember2021-12-310001326003bkcc:MonthlyLIBORMemberbkcc:NEPIIIncMemberbkcc:MediaMemberus-gaap:DebtSecuritiesMemberbkcc:SecondLienTermLoanMember2021-12-310001326003bkcc:HealthCareProvidersAndServicesMemberbkcc:TeamServicesGroupLLCMemb</w:t>
      </w:r>
      <w:r>
        <w:rPr>
          <w:rFonts w:eastAsia="Times New Roman"/>
          <w:vanish/>
        </w:rPr>
        <w:t>erus-gaap:DebtSecuritiesMemberbkcc:SecondLienTermLoanMemberbkcc:SemiannuallyLIBORMember2021-12-310001326003us-gaap:LondonInterbankOfferedRateLIBORMemberbkcc:SeniorSecuredRevolvingCreditFacilityMembersrt:MinimumMember2021-01-012021-12-310001326003bkcc:Diver</w:t>
      </w:r>
      <w:r>
        <w:rPr>
          <w:rFonts w:eastAsia="Times New Roman"/>
          <w:vanish/>
        </w:rPr>
        <w:t>sifiedFinancialServicesMemberus-gaap:EquitySecuritiesMember2022-09-300001326003bkcc:SeniorSecuredLoansMember2021-12-310001326003bkcc:ChemicalsMemberbkcc:AGYEquityLLCMemberus-gaap:EquitySecuritiesMemberus-gaap:PreferredClassAMember2022-09-300001326003srt:Ma</w:t>
      </w:r>
      <w:r>
        <w:rPr>
          <w:rFonts w:eastAsia="Times New Roman"/>
          <w:vanish/>
        </w:rPr>
        <w:t>ximumMember2022-09-300001326003bkcc:NonControlledAffiliateSecurityMember2021-12-310001326003us-gaap:EquitySecuritiesMembersrt:MaximumMemberus-gaap:MeasurementInputRevenueMultipleMemberbkcc:MarketComparableCompaniesMemberus-gaap:FairValueInputsLevel3Member2</w:t>
      </w:r>
      <w:r>
        <w:rPr>
          <w:rFonts w:eastAsia="Times New Roman"/>
          <w:vanish/>
        </w:rPr>
        <w:t>022-09-300001326003bkcc:IndustryConcentrationRiskMemberbkcc:InternetSoftwareAndServicesMemberbkcc:InvestmentsAtFairValueMember2021-01-012021-12-310001326003bkcc:FirstLienTermLoanMemberbkcc:MonthlyLIBORMemberbkcc:ProfessionalServicesMemberus-gaap:DebtSecuri</w:t>
      </w:r>
      <w:r>
        <w:rPr>
          <w:rFonts w:eastAsia="Times New Roman"/>
          <w:vanish/>
        </w:rPr>
        <w:t>tiesMemberbkcc:TLEHoldingsLLCMember2022-09-300001326003bkcc:MarketQuotationsMemberus-gaap:EquitySecuritiesMemberus-gaap:FairValueInputsLevel3Memberbkcc:MeasurementInputIndicativeBidOrAskQuotesMember2021-12-310001326003bkcc:KemmererOperationsLLCWMLPMemberbk</w:t>
      </w:r>
      <w:r>
        <w:rPr>
          <w:rFonts w:eastAsia="Times New Roman"/>
          <w:vanish/>
        </w:rPr>
        <w:t>cc:DelayedDrawTermLoanFirstLienMemberbkcc:NonControlledAffiliateSecurityMember2021-01-012021-12-310001326003bkcc:SoftwareMemberbkcc:QuarterlyLIBORMemberus-gaap:DebtSecuritiesMemberbkcc:CyberGrantsHoldingsLLCMemberbkcc:FirstLienRevolverMember2021-12-3100013</w:t>
      </w:r>
      <w:r>
        <w:rPr>
          <w:rFonts w:eastAsia="Times New Roman"/>
          <w:vanish/>
        </w:rPr>
        <w:t>26003bkcc:PicoQuantitativeTradingLLCMemberus-gaap:DebtSecuritiesMemberbkcc:QuarterlySOFRMemberbkcc:CapitalMarketsMemberbkcc:FirstLienIncrementalTermLoanMember2022-09-300001326003bkcc:QuarterlyLIBORMemberbkcc:MagentaBuyerLLCMcAfeeMemberus-gaap:DebtSecuritie</w:t>
      </w:r>
      <w:r>
        <w:rPr>
          <w:rFonts w:eastAsia="Times New Roman"/>
          <w:vanish/>
        </w:rPr>
        <w:t>sMemberbkcc:SecondLienTermLoanMemberbkcc:InternetSoftwareAndServicesMember2021-12-310001326003us-gaap:DebtSecuritiesMemberbkcc:DiversifiedTelecommunicationServicesMember2022-09-300001326003srt:MaximumMemberbkcc:BankDebtMemberus-gaap:ValuationTechniqueOptio</w:t>
      </w:r>
      <w:r>
        <w:rPr>
          <w:rFonts w:eastAsia="Times New Roman"/>
          <w:vanish/>
        </w:rPr>
        <w:t>nPricingModelMemberus-gaap:FairValueInputsLevel3Memberbkcc:MeasurementInputImpliedVolatilityMember2022-09-300001326003bkcc:NonControlledNonAffiliatedInvestmentsMember2022-01-012022-09-300001326003us-gaap:RetainedEarningsMember2022-03-310001326003bkcc:Unsec</w:t>
      </w:r>
      <w:r>
        <w:rPr>
          <w:rFonts w:eastAsia="Times New Roman"/>
          <w:vanish/>
        </w:rPr>
        <w:t>uredSeniorNotesDueTwoThousandTwentyFiveMemberus-gaap:DebtInstrumentRedemptionPeriodTwoMember2022-06-092022-06-090001326003bkcc:PluralsightIncMemberus-gaap:DebtSecuritiesMemberbkcc:FirstLienRevolverMemberbkcc:SemiannuallyLIBORMemberbkcc:InternetSoftwareAndS</w:t>
      </w:r>
      <w:r>
        <w:rPr>
          <w:rFonts w:eastAsia="Times New Roman"/>
          <w:vanish/>
        </w:rPr>
        <w:t>ervicesMember2021-12-310001326003us-gaap:ForeignExchangeForwardMember2021-12-310001326003us-gaap:OtherDebtSecuritiesMember2022-06-300001326003bkcc:FirstLienTermLoanMemberbkcc:SoftwareMemberbkcc:MonthlyLIBORMemberbkcc:OversightSystemsIncMemberus-gaap:DebtSe</w:t>
      </w:r>
      <w:r>
        <w:rPr>
          <w:rFonts w:eastAsia="Times New Roman"/>
          <w:vanish/>
        </w:rPr>
        <w:t>curitiesMember2021-12-3100013260032021-01-012021-09-300001326003bkcc:FirstLienTermLoanMemberbkcc:SoftwareMemberbkcc:GTYTechnologiesHoldingsIncMemberus-gaap:DebtSecuritiesMemberbkcc:QuarterlySOFRMember2022-09-300001326003us-gaap:AccountingStandardsUpdate202</w:t>
      </w:r>
      <w:r>
        <w:rPr>
          <w:rFonts w:eastAsia="Times New Roman"/>
          <w:vanish/>
        </w:rPr>
        <w:t>006Member2022-01-010001326003us-gaap:MeasurementInputDiscountRateMember2022-01-012022-09-300001326003bkcc:KemmererOperationsLLCWMLPMemberbkcc:DelayedDrawTermLoanFirstLienMemberbkcc:NonControlledAffiliateSecurityMember2021-12-310001326003bkcc:OilGasAndConsu</w:t>
      </w:r>
      <w:r>
        <w:rPr>
          <w:rFonts w:eastAsia="Times New Roman"/>
          <w:vanish/>
        </w:rPr>
        <w:t>mableFuelsMemberbkcc:ETXEnergyLLCMemberbkcc:LimitedPartnershipOrLimitedLiabilityCompanyInterestsMemberus-gaap:EquitySecuritiesMember2021-12-310001326003us-gaap:MeasurementInputEbitdaMultipleMemberus-gaap:EquitySecuritiesMembersrt:MaximumMemberbkcc:MarketCo</w:t>
      </w:r>
      <w:r>
        <w:rPr>
          <w:rFonts w:eastAsia="Times New Roman"/>
          <w:vanish/>
        </w:rPr>
        <w:t>mparableCompaniesMemberus-gaap:FairValueInputsLevel3Member2022-09-300001326003us-gaap:InterestRateSwapMember2022-01-012022-09-300001326003bkcc:FirstLienTermLoanMemberbkcc:PelotonInteractiveIncMemberbkcc:LeisureProductsMemberus-gaap:DebtSecuritiesMemberbkcc</w:t>
      </w:r>
      <w:r>
        <w:rPr>
          <w:rFonts w:eastAsia="Times New Roman"/>
          <w:vanish/>
        </w:rPr>
        <w:t>:SemiannuallySOFRMember2022-09-300001326003bkcc:UnsecuredSeniorNotesDueTwoThousandTwentyFiveMemberbkcc:TrancheTwoMember2022-06-092022-06-090001326003bkcc:IndustryConcentrationRiskMemberbkcc:InternetAndCatalogRetailMemberbkcc:InvestmentsAtFairValueMember202</w:t>
      </w:r>
      <w:r>
        <w:rPr>
          <w:rFonts w:eastAsia="Times New Roman"/>
          <w:vanish/>
        </w:rPr>
        <w:t>2-01-012022-09-300001326003srt:MaximumMembersrt:DirectorMember2021-11-020001326003bkcc:BankDebtMembersrt:MinimumMemberus-gaap:ValuationTechniqueOptionPricingModelMemberus-gaap:FairValueInputsLevel3Memberbkcc:MeasurementInputImpliedVolatilityMember2021-12-3</w:t>
      </w:r>
      <w:r>
        <w:rPr>
          <w:rFonts w:eastAsia="Times New Roman"/>
          <w:vanish/>
        </w:rPr>
        <w:t>10001326003bkcc:DistributorsMemberbkcc:IndustryConcentrationRiskMemberbkcc:InvestmentsAtFairValueMember2022-01-012022-09-300001326003bkcc:WarrantsToPurchaseSeriesCPreferredStockMemberbkcc:FinancialForceComMember2021-01-012021-12-310001326003bkcc:SoftwareMe</w:t>
      </w:r>
      <w:r>
        <w:rPr>
          <w:rFonts w:eastAsia="Times New Roman"/>
          <w:vanish/>
        </w:rPr>
        <w:t>mberbkcc:ZilliantIncorporatedMemberbkcc:QuarterlyLIBORMemberus-gaap:DebtSecuritiesMemberbkcc:FirstLienRevolverMember2021-12-310001326003bkcc:ControlledAffiliateSecurityMemberbkcc:BCICSeniorLoanPartnersLLCMemberbkcc:LimitedLiabilityCoInterestMember2021-12-3</w:t>
      </w:r>
      <w:r>
        <w:rPr>
          <w:rFonts w:eastAsia="Times New Roman"/>
          <w:vanish/>
        </w:rPr>
        <w:t>10001326003us-gaap:BuildingMemberbkcc:PorcelainAcquisitionCorporationMemberbkcc:QuarterlyLIBORMemberbkcc:FirstLienDelayedDrawTermLoanMemberus-gaap:DebtSecuritiesMember2021-12-310001326003bkcc:NonControlledAffiliateSecurityMember2021-01-012021-12-3100013260</w:t>
      </w:r>
      <w:r>
        <w:rPr>
          <w:rFonts w:eastAsia="Times New Roman"/>
          <w:vanish/>
        </w:rPr>
        <w:t>03us-gaap:EquitySecuritiesMemberus-gaap:FairValueInputsLevel3Member2021-12-310001326003bkcc:ProfessionalServicesMemberbkcc:IndustryConcentrationRiskMemberbkcc:InvestmentsAtFairValueMember2021-01-012021-12-310001326003bkcc:FirstLienTermLoanMemberbkcc:Wirele</w:t>
      </w:r>
      <w:r>
        <w:rPr>
          <w:rFonts w:eastAsia="Times New Roman"/>
          <w:vanish/>
        </w:rPr>
        <w:t>ssTelecommunicationServicesMemberbkcc:QuarterlyLIBORMemberbkcc:OpenMarketIncInfobipUnitedKingdomMemberus-gaap:DebtSecuritiesMember2021-12-310001326003us-gaap:MeasurementInputEbitdaMultipleMemberus-gaap:EquitySecuritiesMembersrt:MinimumMemberbkcc:MarketComp</w:t>
      </w:r>
      <w:r>
        <w:rPr>
          <w:rFonts w:eastAsia="Times New Roman"/>
          <w:vanish/>
        </w:rPr>
        <w:t>arableCompaniesMemberus-gaap:FairValueInputsLevel3Member2022-09-300001326003bkcc:IndustryConcentrationRiskMemberbkcc:ElectricalEquipmentMemberbkcc:InvestmentsAtFairValueMember2021-01-012021-12-310001326003bkcc:CareATCIncMemberbkcc:QuarterlyLIBORMemberbkcc:</w:t>
      </w:r>
      <w:r>
        <w:rPr>
          <w:rFonts w:eastAsia="Times New Roman"/>
          <w:vanish/>
        </w:rPr>
        <w:t>HealthCareTechnologyMemberus-gaap:DebtSecuritiesMemberbkcc:FirstLienRevolverMember2021-12-310001326003us-gaap:SubordinatedDebtMemberbkcc:ControlledAffiliateSecurityMemberbkcc:FirstBostonConstructionHoldingsLLCMember2021-01-012021-12-310001326003bkcc:FirstL</w:t>
      </w:r>
      <w:r>
        <w:rPr>
          <w:rFonts w:eastAsia="Times New Roman"/>
          <w:vanish/>
        </w:rPr>
        <w:t>ienTermLoanMemberbkcc:SuitedConnectorLLCMemberbkcc:MonthlyLIBORMemberus-gaap:DebtSecuritiesMemberbkcc:InternetSoftwareAndServicesMember2022-09-300001326003bkcc:CapitalMarketsMemberus-gaap:EquitySecuritiesMemberbkcc:MarsicoHoldingsLLCMember2022-09-300001326</w:t>
      </w:r>
      <w:r>
        <w:rPr>
          <w:rFonts w:eastAsia="Times New Roman"/>
          <w:vanish/>
        </w:rPr>
        <w:t>003us-gaap:MeasurementInputEbitdaMultipleMemberus-gaap:EquitySecuritiesMemberbkcc:MarketComparableCompaniesMemberus-gaap:FairValueInputsLevel3Member2021-12-310001326003bkcc:FirstLienTermLoanMemberbkcc:CareATCIncMemberbkcc:QuarterlyLIBORMemberbkcc:HealthCar</w:t>
      </w:r>
      <w:r>
        <w:rPr>
          <w:rFonts w:eastAsia="Times New Roman"/>
          <w:vanish/>
        </w:rPr>
        <w:t>eTechnologyMemberus-gaap:DebtSecuritiesMember2021-12-310001326003srt:MaximumMemberbkcc:BankDebtMemberus-gaap:ValuationTechniqueOptionPricingModelMemberus-gaap:FairValueInputsLevel3Memberbkcc:MeasurementInputImpliedVolatilityMember2021-12-310001326003bkcc:C</w:t>
      </w:r>
      <w:r>
        <w:rPr>
          <w:rFonts w:eastAsia="Times New Roman"/>
          <w:vanish/>
        </w:rPr>
        <w:t>ontrolledAffiliateSecurityMemberbkcc:RedAppleStoresIncMemberus-gaap:CommonStockMember2021-12-310001326003us-gaap:EquitySecuritiesMember2022-01-012022-09-300001326003bkcc:HealthCareProvidersAndServicesMemberbkcc:QuarterlyLIBORMemberbkcc:OutcomesGroupHolding</w:t>
      </w:r>
      <w:r>
        <w:rPr>
          <w:rFonts w:eastAsia="Times New Roman"/>
          <w:vanish/>
        </w:rPr>
        <w:t>sIncOneMemberus-gaap:DebtSecuritiesMemberbkcc:SecondLienTermLoanMember2022-09-300001326003srt:MaximumMemberbkcc:BankDebtMemberus-gaap:MeasurementInputExpectedTermMemberus-gaap:ValuationTechniqueOptionPricingModelMemberus-gaap:FairValueInputsLevel3Member202</w:t>
      </w:r>
      <w:r>
        <w:rPr>
          <w:rFonts w:eastAsia="Times New Roman"/>
          <w:vanish/>
        </w:rPr>
        <w:t>1-12-310001326003bkcc:BankDebtMember2020-12-310001326003us-gaap:EquitySecuritiesMember2021-09-300001326003bkcc:FirstLienTermLoanMemberbkcc:HealthCareProvidersAndServicesMemberbkcc:QuarterlyLIBORMemberus-gaap:DebtSecuritiesMemberbkcc:TempusLLCEpicStaffingMe</w:t>
      </w:r>
      <w:r>
        <w:rPr>
          <w:rFonts w:eastAsia="Times New Roman"/>
          <w:vanish/>
        </w:rPr>
        <w:t>mber2021-12-310001326003bkcc:FirstLienTermLoanMemberbkcc:CallodineCommercialFinanceLLCMemberbkcc:QuarterlyLIBORMemberus-gaap:DebtSecuritiesMemberbkcc:DiversifiedFinancialServicesMember2022-09-300001326003bkcc:PicoQuantitativeTradingLLCMemberbkcc:MonthlyLIB</w:t>
      </w:r>
      <w:r>
        <w:rPr>
          <w:rFonts w:eastAsia="Times New Roman"/>
          <w:vanish/>
        </w:rPr>
        <w:t>ORMemberus-gaap:DebtSecuritiesMemberbkcc:CapitalMarketsMemberbkcc:FirstLienIncrementalTermLoanMember2021-12-310001326003srt:MaximumMemberbkcc:SeniorSecuredLoansMemberus-gaap:BaseRateMember2022-09-300001326003bkcc:SoftwareMemberbkcc:RhodeHoldingsIncKaseyaMe</w:t>
      </w:r>
      <w:r>
        <w:rPr>
          <w:rFonts w:eastAsia="Times New Roman"/>
          <w:vanish/>
        </w:rPr>
        <w:t>mberbkcc:FirstLienDelayedDrawTermLoanMemberbkcc:QuarterlyLIBORMemberus-gaap:DebtSecuritiesMember2021-12-3100013260032022-01-012022-03-310001326003us-gaap:AutomobilesMemberbkcc:MonthlyLIBORMemberus-gaap:DebtSecuritiesMemberbkcc:FirstLienRevolverMemberbkcc:A</w:t>
      </w:r>
      <w:r>
        <w:rPr>
          <w:rFonts w:eastAsia="Times New Roman"/>
          <w:vanish/>
        </w:rPr>
        <w:t>LCVPurchaserIncMember2021-12-310001326003bkcc:FirstLienTermLoanMemberus-gaap:AutomobilesMemberbkcc:QuarterlyLIBORMemberus-gaap:DebtSecuritiesMemberbkcc:ALCVPurchaserIncMember2022-09-300001326003us-gaap:LondonInterbankOfferedRateLIBORMemberbkcc:SeniorSecure</w:t>
      </w:r>
      <w:r>
        <w:rPr>
          <w:rFonts w:eastAsia="Times New Roman"/>
          <w:vanish/>
        </w:rPr>
        <w:t>dRevolvingCreditFacilityMembersrt:MinimumMember2022-01-012022-09-300001326003us-gaap:TreasuryStockMember2022-06-300001326003bkcc:LimitedPartnershipInterestsMemberbkcc:StitchHoldingsLPMember2022-01-012022-09-300001326003bkcc:NonControlledAffiliatedInvestmen</w:t>
      </w:r>
      <w:r>
        <w:rPr>
          <w:rFonts w:eastAsia="Times New Roman"/>
          <w:vanish/>
        </w:rPr>
        <w:t>tsMember2022-07-012022-09-300001326003bkcc:BlackrockFinancialManagementIncorporationMember2021-01-012021-09-300001326003bkcc:TextilesApparelAndLuxuryGoodsMemberbkcc:IndustryConcentrationRiskMemberbkcc:InvestmentsAtFairValueMember2022-01-012022-09-300001326</w:t>
      </w:r>
      <w:r>
        <w:rPr>
          <w:rFonts w:eastAsia="Times New Roman"/>
          <w:vanish/>
        </w:rPr>
        <w:t>003bkcc:InsuranceMemberbkcc:FirstLienDelayedDrawTermLoanMemberus-gaap:DebtSecuritiesMemberbkcc:QuarterlySOFRMemberbkcc:AmeriLifeHoldingsLLCMember2022-09-300001326003bkcc:SoftwareMemberbkcc:QuarterlyLIBORMemberbkcc:FirstLienDelayedDrawTermLoanMemberbkcc:Cyb</w:t>
      </w:r>
      <w:r>
        <w:rPr>
          <w:rFonts w:eastAsia="Times New Roman"/>
          <w:vanish/>
        </w:rPr>
        <w:t>erGrantsHoldingsLLCMemberus-gaap:DebtSecuritiesMember2021-12-310001326003bkcc:ControlledAffiliateSecurityMemberbkcc:RedAppleStoresIncMemberbkcc:SeniorSecuredLoanSecondLienMember2021-01-012021-12-310001326003bkcc:RedAppleStoresIncMember2021-01-012021-12-310</w:t>
      </w:r>
      <w:r>
        <w:rPr>
          <w:rFonts w:eastAsia="Times New Roman"/>
          <w:vanish/>
        </w:rPr>
        <w:t>001326003bkcc:FirstLienTermLoanMemberbkcc:ConstructionAndEngineeringMemberus-gaap:DebtSecuritiesMemberbkcc:SunlandAsphaltAndConstructionLimitedLiabilityCompanyMemberbkcc:SemiannuallyLIBORMember2022-09-300001326003bkcc:ReimbursementExpensesMember2021-01-012</w:t>
      </w:r>
      <w:r>
        <w:rPr>
          <w:rFonts w:eastAsia="Times New Roman"/>
          <w:vanish/>
        </w:rPr>
        <w:t>021-09-300001326003bkcc:SeniorSecuredRevolvingCreditFacilityMembersrt:MinimumMemberus-gaap:BaseRateMember2021-01-012021-12-310001326003us-gaap:AdditionalPaidInCapitalMembersrt:CumulativeEffectPeriodOfAdoptionAdjustmentMember2021-12-310001326003bkcc:Limited</w:t>
      </w:r>
      <w:r>
        <w:rPr>
          <w:rFonts w:eastAsia="Times New Roman"/>
          <w:vanish/>
        </w:rPr>
        <w:t>PartnershipOrLimitedLiabilityCompanyInterestsMember2021-12-310001326003bkcc:IndustryConcentrationRiskMemberus-gaap:HealthcareSectorMemberbkcc:InvestmentsAtFairValueMember2021-01-012021-12-310001326003us-gaap:InterestRateSwapMemberus-gaap:SecuredOvernightFi</w:t>
      </w:r>
      <w:r>
        <w:rPr>
          <w:rFonts w:eastAsia="Times New Roman"/>
          <w:vanish/>
        </w:rPr>
        <w:t>nancingRateSofrOvernightIndexSwapRateMember2022-01-012022-09-300001326003bkcc:FirstLienTermLoanMemberbkcc:ConstructionAndEngineeringMemberbkcc:QuarterlyLIBORMemberus-gaap:DebtSecuritiesMemberbkcc:HomerenewBuyerIncProjectDreamMember2021-12-310001326003us-ga</w:t>
      </w:r>
      <w:r>
        <w:rPr>
          <w:rFonts w:eastAsia="Times New Roman"/>
          <w:vanish/>
        </w:rPr>
        <w:t>ap:FairValueInputsLevel2Memberus-gaap:OtherDebtSecuritiesMember2021-12-310001326003bkcc:MonthlyLIBORMemberbkcc:SuitedConnectorLLCMemberbkcc:FirstLienDelayedDrawTermLoanMemberus-gaap:DebtSecuritiesMemberbkcc:InternetSoftwareAndServicesMember2022-09-30000132</w:t>
      </w:r>
      <w:r>
        <w:rPr>
          <w:rFonts w:eastAsia="Times New Roman"/>
          <w:vanish/>
        </w:rPr>
        <w:t>6003bkcc:FirstLienDelayedDrawTermLoanBMemberbkcc:CommercialServicesAndSuppliesMemberus-gaap:DebtSecuritiesMemberbkcc:KellermeyerBergensonsServicesLLCMemberbkcc:SemiannuallyLIBORMember2021-12-310001326003bkcc:UnsecuredSeniorNotesDueTwoThousandTwentyFiveMemb</w:t>
      </w:r>
      <w:r>
        <w:rPr>
          <w:rFonts w:eastAsia="Times New Roman"/>
          <w:vanish/>
        </w:rPr>
        <w:t>erus-gaap:DebtInstrumentRedemptionPeriodOneMember2022-06-092022-06-090001326003srt:CumulativeEffectPeriodOfAdoptionAdjustmentMember2022-01-012022-03-310001326003us-gaap:BuildingMemberus-gaap:DebtSecuritiesMember2021-12-310001326003bkcc:MonthlyLIBORMemberbk</w:t>
      </w:r>
      <w:r>
        <w:rPr>
          <w:rFonts w:eastAsia="Times New Roman"/>
          <w:vanish/>
        </w:rPr>
        <w:t>cc:ZestAcquisitionCorpMemberus-gaap:DebtSecuritiesMemberbkcc:SecondLienTermLoanMemberbkcc:HealthCareEquipmentAndSuppliesMember2022-09-300001326003bkcc:ControlledAffiliateSecurityMemberus-gaap:CommonStockMemberbkcc:GordonBrothersFinanceCompanyMember2022-01-</w:t>
      </w:r>
      <w:r>
        <w:rPr>
          <w:rFonts w:eastAsia="Times New Roman"/>
          <w:vanish/>
        </w:rPr>
        <w:t>012022-09-300001326003bkcc:RestrictedSecuritiesMember2021-12-310001326003bkcc:SoftwareMemberbkcc:GTYTechnologiesHoldingsIncMemberus-gaap:DebtSecuritiesMemberbkcc:QuarterlySOFRMemberbkcc:FirstLienRevolverMember2022-09-300001326003bkcc:ControlledAffiliateSec</w:t>
      </w:r>
      <w:r>
        <w:rPr>
          <w:rFonts w:eastAsia="Times New Roman"/>
          <w:vanish/>
        </w:rPr>
        <w:t>urityMemberbkcc:RedAppleStoresIncMemberus-gaap:CommonStockMember2020-12-310001326003us-gaap:DebtSecuritiesMemberbkcc:MediaMember2022-09-300001326003us-gaap:IncomeApproachValuationTechniqueMemberus-gaap:EquitySecuritiesMembersrt:MaximumMemberus-gaap:FairVal</w:t>
      </w:r>
      <w:r>
        <w:rPr>
          <w:rFonts w:eastAsia="Times New Roman"/>
          <w:vanish/>
        </w:rPr>
        <w:t>ueInputsLevel3Memberus-gaap:MeasurementInputDiscountRateMember2022-09-300001326003bkcc:MonthlyLIBORMemberbkcc:FirstLienDelayedDrawTermLoanMemberbkcc:UnanetIncMemberbkcc:AerospaceAndDefenseMemberus-gaap:DebtSecuritiesMember2022-09-300001326003us-gaap:DebtSe</w:t>
      </w:r>
      <w:r>
        <w:rPr>
          <w:rFonts w:eastAsia="Times New Roman"/>
          <w:vanish/>
        </w:rPr>
        <w:t>curitiesMemberbkcc:ITServicesMember2021-12-310001326003bkcc:FirstLienTermLoanMemberbkcc:SonnySEnterprisesLLCMemberbkcc:QuarterlyLIBORMemberus-gaap:MachineryAndEquipmentMemberus-gaap:DebtSecuritiesMember2021-12-310001326003us-gaap:OtherDebtSecuritiesMember2</w:t>
      </w:r>
      <w:r>
        <w:rPr>
          <w:rFonts w:eastAsia="Times New Roman"/>
          <w:vanish/>
        </w:rPr>
        <w:t>022-07-012022-09-300001326003bkcc:BankDebtMember2022-09-300001326003bkcc:MonthlyLIBORMemberus-gaap:DebtSecuritiesMemberbkcc:SecondLienTermLoanMemberbkcc:QuartzHoldingCompanyQuickBaseMemberbkcc:InternetSoftwareAndServicesMember2022-09-300001326003bkcc:NonCo</w:t>
      </w:r>
      <w:r>
        <w:rPr>
          <w:rFonts w:eastAsia="Times New Roman"/>
          <w:vanish/>
        </w:rPr>
        <w:t>ntrolledAffiliateSecurityMemberbkcc:AGYEquityLLCMemberus-gaap:PreferredClassAMember2021-01-012021-12-310001326003bkcc:DiversifiedConsumerServicesMemberus-gaap:EquitySecuritiesMember2021-12-310001326003bkcc:ThermostatPurchaserIIIIncReedyIndustriesMemberbkcc</w:t>
      </w:r>
      <w:r>
        <w:rPr>
          <w:rFonts w:eastAsia="Times New Roman"/>
          <w:vanish/>
        </w:rPr>
        <w:t>:MonthlyLIBORMemberbkcc:CommercialServicesAndSuppliesMemberus-gaap:DebtSecuritiesMemberbkcc:SecondLienDelayedDrawTermLoanMember2021-12-310001326003bkcc:SoftwareMemberbkcc:KaseyaIncMemberbkcc:FirstLienDelayedDrawTermLoanMemberus-gaap:DebtSecuritiesMemberbkc</w:t>
      </w:r>
      <w:r>
        <w:rPr>
          <w:rFonts w:eastAsia="Times New Roman"/>
          <w:vanish/>
        </w:rPr>
        <w:t>c:SemiannuallySOFRMember2022-09-300001326003us-gaap:TreasuryStockMember2021-04-012021-06-300001326003bkcc:ProfessionalServicesMemberbkcc:IndustryConcentrationRiskMemberbkcc:InvestmentsAtFairValueMember2022-01-012022-09-300001326003us-gaap:CommonClassCMembe</w:t>
      </w:r>
      <w:r>
        <w:rPr>
          <w:rFonts w:eastAsia="Times New Roman"/>
          <w:vanish/>
        </w:rPr>
        <w:t>rbkcc:NonControlledAffiliateSecurityMemberbkcc:AGYEquityLLCMember2021-01-012021-12-310001326003bkcc:FirstLienFILOTermLoanMemberbkcc:TextilesApparelAndLuxuryGoodsMemberbkcc:QuarterlyLIBORMemberus-gaap:DebtSecuritiesMemberbkcc:WHBuyerLLCAnneKleinMember2021-1</w:t>
      </w:r>
      <w:r>
        <w:rPr>
          <w:rFonts w:eastAsia="Times New Roman"/>
          <w:vanish/>
        </w:rPr>
        <w:t>2-310001326003bkcc:WarrantsToPurchaseSeriesEStockMemberbkcc:WorldremitGroupLimitedUnitedKingdomMember2021-01-012021-12-310001326003bkcc:FirstLienTermLoanMemberbkcc:ZilliantIncorporatedMemberbkcc:SoftwareMemberbkcc:QuarterlyLIBORMemberus-gaap:DebtSecurities</w:t>
      </w:r>
      <w:r>
        <w:rPr>
          <w:rFonts w:eastAsia="Times New Roman"/>
          <w:vanish/>
        </w:rPr>
        <w:t>Member2021-12-310001326003bkcc:NonControlledAffiliateSecurityMemberbkcc:AGYEquityLLCMemberus-gaap:PreferredClassBMember2020-12-310001326003bkcc:ControlledAffiliateSecurityMemberus-gaap:PreferredStockMemberbkcc:GordonBrothersFinanceCompanyMember2021-01-0120</w:t>
      </w:r>
      <w:r>
        <w:rPr>
          <w:rFonts w:eastAsia="Times New Roman"/>
          <w:vanish/>
        </w:rPr>
        <w:t>21-12-310001326003bkcc:TechnologyHardwareStorageAndPeripheralsMemberbkcc:FirstLienDelayedDrawTermLoanMemberus-gaap:DebtSecuritiesMemberbkcc:QuarterlySOFRMemberbkcc:SumUpHoldingsLuxembourgSARLUnitedKingdomMember2022-09-300001326003bkcc:InsuranceMemberbkcc:I</w:t>
      </w:r>
      <w:r>
        <w:rPr>
          <w:rFonts w:eastAsia="Times New Roman"/>
          <w:vanish/>
        </w:rPr>
        <w:t>ndustryConcentrationRiskMemberbkcc:InvestmentsAtFairValueMember2021-01-012021-12-310001326003us-gaap:MeasurementInputExpectedTermMember2022-01-012022-09-300001326003us-gaap:RetainedEarningsMember2022-06-300001326003bkcc:SeniorSecuredRevolvingCreditFacility</w:t>
      </w:r>
      <w:r>
        <w:rPr>
          <w:rFonts w:eastAsia="Times New Roman"/>
          <w:vanish/>
        </w:rPr>
        <w:t>Member2021-12-310001326003bkcc:NonControlledAffiliatedInvestmentsMember2021-01-012021-09-300001326003us-gaap:EquitySecuritiesMembersrt:MinimumMemberus-gaap:ValuationTechniqueOptionPricingModelMemberus-gaap:FairValueInputsLevel3Memberbkcc:MeasurementInputEB</w:t>
      </w:r>
      <w:r>
        <w:rPr>
          <w:rFonts w:eastAsia="Times New Roman"/>
          <w:vanish/>
        </w:rPr>
        <w:t>ITDAOrRevenueMultiplesMember2021-12-310001326003us-gaap:DebtSecuritiesMemberbkcc:ContainersAndPackagingMember2021-12-310001326003bkcc:HouseholdDurablesMemberbkcc:IndustryConcentrationRiskMemberbkcc:InvestmentsAtFairValueMember2021-01-012021-12-310001326003</w:t>
      </w:r>
      <w:r>
        <w:rPr>
          <w:rFonts w:eastAsia="Times New Roman"/>
          <w:vanish/>
        </w:rPr>
        <w:t>bkcc:SeniorSecuredLoanFirstLienMemberbkcc:KemmererOperationsLLCWMLPMemberbkcc:NonControlledAffiliateSecurityMember2020-12-310001326003bkcc:ControlledAffiliateSecurityMemberbkcc:BCICSeniorLoanPartnersLLCMemberbkcc:LimitedLiabilityCoInterestMember2020-12-310</w:t>
      </w:r>
      <w:r>
        <w:rPr>
          <w:rFonts w:eastAsia="Times New Roman"/>
          <w:vanish/>
        </w:rPr>
        <w:t>001326003bkcc:BankDebtMemberus-gaap:ValuationTechniqueOptionPricingModelMemberus-gaap:FairValueInputsLevel3Memberbkcc:MeasurementInputImpliedVolatilityMember2022-09-300001326003bkcc:MonthlyLIBORMemberus-gaap:DebtSecuritiesMemberbkcc:DiversifiedFinancialSer</w:t>
      </w:r>
      <w:r>
        <w:rPr>
          <w:rFonts w:eastAsia="Times New Roman"/>
          <w:vanish/>
        </w:rPr>
        <w:t>vicesMemberus-gaap:UnsecuredDebtMemberbkcc:GordonBrothersFinanceCompanyMember2022-09-300001326003us-gaap:DebtSecuritiesMemberbkcc:DistributorsMember2021-12-310001326003us-gaap:InterestRateSwapMember2022-09-300001326003us-gaap:CommonStockMember2021-01-01202</w:t>
      </w:r>
      <w:r>
        <w:rPr>
          <w:rFonts w:eastAsia="Times New Roman"/>
          <w:vanish/>
        </w:rPr>
        <w:t>1-03-310001326003us-gaap:TreasuryStockMember2022-04-012022-06-300001326003bkcc:FirstLienTermLoanMemberbkcc:DiversifiedConsumerServicesMemberbkcc:QuarterlyLIBORMemberus-gaap:DebtSecuritiesMemberbkcc:ThrasIoLLCMember2021-12-310001326003bkcc:IndustryConcentra</w:t>
      </w:r>
      <w:r>
        <w:rPr>
          <w:rFonts w:eastAsia="Times New Roman"/>
          <w:vanish/>
        </w:rPr>
        <w:t>tionRiskMemberbkcc:ConsumerFinanceMemberbkcc:InvestmentsAtFairValueMember2022-01-012022-09-300001326003bkcc:CalceusAcquisitionIncColeHaanMemberbkcc:FirstLienTermLoanBMemberbkcc:QuarterlyLIBORMemberus-gaap:DebtSecuritiesMemberbkcc:SpecialtyRetailMember2022-</w:t>
      </w:r>
      <w:r>
        <w:rPr>
          <w:rFonts w:eastAsia="Times New Roman"/>
          <w:vanish/>
        </w:rPr>
        <w:t>09-300001326003bkcc:DiversifiedConsumerServicesMemberbkcc:MonthlyLIBORMemberbkcc:FirstLienDelayedDrawTermLoanMemberus-gaap:DebtSecuritiesMemberbkcc:RazorGroupGmbHGermanyMember2021-12-310001326003bkcc:FirstLienTermLoanMemberbkcc:JOBVITEIncMemberbkcc:Softwar</w:t>
      </w:r>
      <w:r>
        <w:rPr>
          <w:rFonts w:eastAsia="Times New Roman"/>
          <w:vanish/>
        </w:rPr>
        <w:t>eMemberus-gaap:DebtSecuritiesMemberbkcc:SemiannuallySOFRMember2022-09-300001326003bkcc:NonControlledAffiliatedInvestmentsMember2022-01-012022-09-300001326003us-gaap:CommonStockMember2022-07-012022-09-300001326003us-gaap:OtherDebtSecuritiesMemberus-gaap:Fai</w:t>
      </w:r>
      <w:r>
        <w:rPr>
          <w:rFonts w:eastAsia="Times New Roman"/>
          <w:vanish/>
        </w:rPr>
        <w:t>rValueInputsLevel3Member2022-09-300001326003bkcc:MonthlyLIBORMemberbkcc:ProfessionalServicesMemberbkcc:GIConsilioParentLLCMemberus-gaap:DebtSecuritiesMemberbkcc:SecondLienTermLoanMember2022-09-300001326003bkcc:MonthlyLIBORMemberbkcc:ProfessionalServicesMem</w:t>
      </w:r>
      <w:r>
        <w:rPr>
          <w:rFonts w:eastAsia="Times New Roman"/>
          <w:vanish/>
        </w:rPr>
        <w:t>berus-gaap:DebtSecuritiesMemberbkcc:VTTopCoIncVeritextMemberbkcc:SecondLienTermLoanMember2021-12-310001326003us-gaap:SubsequentEventMember2022-11-020001326003us-gaap:SubordinatedDebtMember2021-12-310001326003bkcc:SyndigoLLCMemberus-gaap:DebtSecuritiesMembe</w:t>
      </w:r>
      <w:r>
        <w:rPr>
          <w:rFonts w:eastAsia="Times New Roman"/>
          <w:vanish/>
        </w:rPr>
        <w:t>rbkcc:SecondLienTermLoanMemberbkcc:InternetAndCatalogRetailMemberbkcc:SemiannuallyLIBORMember2021-12-310001326003us-gaap:OtherDebtSecuritiesMember2021-01-012021-09-300001326003us-gaap:CommonStockMember2021-12-310001326003bkcc:TextilesApparelAndLuxuryGoodsM</w:t>
      </w:r>
      <w:r>
        <w:rPr>
          <w:rFonts w:eastAsia="Times New Roman"/>
          <w:vanish/>
        </w:rPr>
        <w:t>emberbkcc:JamesPerseEnterprisesIncMemberus-gaap:DebtSecuritiesMemberbkcc:QuarterlySOFRMemberbkcc:FirstLienRevolverMember2022-09-300001326003us-gaap:InvestmentsMember2021-12-310001326003us-gaap:GeographicConcentrationRiskMembercountry:CHbkcc:InvestmentsAtFa</w:t>
      </w:r>
      <w:r>
        <w:rPr>
          <w:rFonts w:eastAsia="Times New Roman"/>
          <w:vanish/>
        </w:rPr>
        <w:t>irValueMember2022-01-012022-09-300001326003us-gaap:EquitySecuritiesMemberus-gaap:FairValueInputsLevel1Member2022-09-3000013260032022-07-012022-09-300001326003us-gaap:AdditionalPaidInCapitalMember2021-09-300001326003bkcc:FirstLienTermLoanMemberbkcc:Quarterl</w:t>
      </w:r>
      <w:r>
        <w:rPr>
          <w:rFonts w:eastAsia="Times New Roman"/>
          <w:vanish/>
        </w:rPr>
        <w:t>yLIBORMemberbkcc:ApprissHealthLLCPatientPingMemberbkcc:HealthCareTechnologyMemberus-gaap:DebtSecuritiesMember2021-12-310001326003bkcc:FirstLienTermLoanMemberbkcc:QuarterlyLIBORMemberus-gaap:DebtSecuritiesMemberbkcc:PVHCHoldingCorpMemberbkcc:ContainersAndPa</w:t>
      </w:r>
      <w:r>
        <w:rPr>
          <w:rFonts w:eastAsia="Times New Roman"/>
          <w:vanish/>
        </w:rPr>
        <w:t>ckagingMember2022-09-300001326003bkcc:IndustryConcentrationRiskMemberbkcc:InvestmentsAtFairValueMember2022-01-012022-09-300001326003bkcc:RealEstateManagementAndDevelopmentMemberbkcc:IndustryConcentrationRiskMemberbkcc:InvestmentsAtFairValueMember2022-01-01</w:t>
      </w:r>
      <w:r>
        <w:rPr>
          <w:rFonts w:eastAsia="Times New Roman"/>
          <w:vanish/>
        </w:rPr>
        <w:t>2022-09-300001326003bkcc:SemiconductorsAndSemiconductorEquipmentMemberbkcc:IndustryConcentrationRiskMemberbkcc:InvestmentsAtFairValueMember2021-01-012021-12-310001326003us-gaap:InterestRateSwapMember2022-01-012022-09-300001326003bkcc:FirstLienSrSecuredNote</w:t>
      </w:r>
      <w:r>
        <w:rPr>
          <w:rFonts w:eastAsia="Times New Roman"/>
          <w:vanish/>
        </w:rPr>
        <w:t>sMemberbkcc:CalceusAcquisitionIncColeHaanMemberbkcc:FixedMemberus-gaap:DebtSecuritiesMemberbkcc:SpecialtyRetailMember2022-09-300001326003bkcc:NonControlledAffiliatedInvestmentsMember2021-07-012021-09-300001326003bkcc:RealEstateManagementAndDevelopmentMembe</w:t>
      </w:r>
      <w:r>
        <w:rPr>
          <w:rFonts w:eastAsia="Times New Roman"/>
          <w:vanish/>
        </w:rPr>
        <w:t>rbkcc:FirstLienDelayedDrawTermLoanMemberus-gaap:DebtSecuritiesMemberbkcc:GreystoneAffordableHousingInitiativesLLCMemberbkcc:SemiannuallyLIBORMember2021-12-310001326003us-gaap:FairValueInputsLevel2Memberbkcc:BankDebtMember2022-09-300001326003us-gaap:Treasur</w:t>
      </w:r>
      <w:r>
        <w:rPr>
          <w:rFonts w:eastAsia="Times New Roman"/>
          <w:vanish/>
        </w:rPr>
        <w:t>yStockMember2021-03-310001326003us-gaap:GeographicConcentrationRiskMembercountry:USbkcc:InvestmentsAtFairValueMember2021-01-012021-12-310001326003bkcc:AutomobilesSectorMemberbkcc:IndustryConcentrationRiskMemberbkcc:InvestmentsAtFairValueMember2022-01-01202</w:t>
      </w:r>
      <w:r>
        <w:rPr>
          <w:rFonts w:eastAsia="Times New Roman"/>
          <w:vanish/>
        </w:rPr>
        <w:t>2-09-300001326003us-gaap:AdditionalPaidInCapitalMember2021-03-310001326003bkcc:UnsecuredConvertibleSeniorNotesDue2022Member2021-12-310001326003bkcc:FirstLienDelayedDrawTermLoanMemberus-gaap:DebtSecuritiesMemberbkcc:QuarterlySOFRMemberbkcc:StreamlandMediaMi</w:t>
      </w:r>
      <w:r>
        <w:rPr>
          <w:rFonts w:eastAsia="Times New Roman"/>
          <w:vanish/>
        </w:rPr>
        <w:t>dcoLlcMember2022-09-300001326003bkcc:TwoThousandAndTwentyFivePrivatePlacementNotesMemberus-gaap:SecuredOvernightFinancingRateSofrOvernightIndexSwapRateMember2022-09-300001326003bkcc:FirstLienTermLoanMemberbkcc:CareATCIncMemberbkcc:QuarterlyLIBORMemberbkcc:</w:t>
      </w:r>
      <w:r>
        <w:rPr>
          <w:rFonts w:eastAsia="Times New Roman"/>
          <w:vanish/>
        </w:rPr>
        <w:t>HealthCareTechnologyMemberus-gaap:DebtSecuritiesMember2022-09-300001326003bkcc:StitchHoldingsLPMemberbkcc:LimitedPartnershipInterestsMember2021-01-012021-12-310001326003us-gaap:AdditionalPaidInCapitalMembersrt:CumulativeEffectPeriodOfAdoptionAdjustmentMemb</w:t>
      </w:r>
      <w:r>
        <w:rPr>
          <w:rFonts w:eastAsia="Times New Roman"/>
          <w:vanish/>
        </w:rPr>
        <w:t>er2022-01-012022-03-310001326003bkcc:ConstructionAndEngineeringMemberbkcc:IndustryConcentrationRiskMemberbkcc:InvestmentsAtFairValueMember2022-01-012022-09-3000013260032020-03-312020-03-310001326003bkcc:BankDebtMemberus-gaap:FairValueInputsLevel3Member2022</w:t>
      </w:r>
      <w:r>
        <w:rPr>
          <w:rFonts w:eastAsia="Times New Roman"/>
          <w:vanish/>
        </w:rPr>
        <w:t>-09-300001326003bkcc:IndustryConcentrationRiskMemberbkcc:ElectricalEquipmentMemberbkcc:InvestmentsAtFairValueMember2022-01-012022-09-3000013260032020-12-312020-12-310001326003bkcc:TechnologyHardwareStorageAndPeripheralsMemberbkcc:IndustryConcentrationRiskM</w:t>
      </w:r>
      <w:r>
        <w:rPr>
          <w:rFonts w:eastAsia="Times New Roman"/>
          <w:vanish/>
        </w:rPr>
        <w:t>emberbkcc:InvestmentsAtFairValueMember2021-01-012021-12-310001326003bkcc:HealthCareTechnologyMemberus-gaap:DebtSecuritiesMemberbkcc:QuarterlySOFRMemberbkcc:FirstLienRevolverMemberbkcc:ESOSolutionsIncMember2022-09-300001326003bkcc:ControlledAffiliateSecurit</w:t>
      </w:r>
      <w:r>
        <w:rPr>
          <w:rFonts w:eastAsia="Times New Roman"/>
          <w:vanish/>
        </w:rPr>
        <w:t>yMemberus-gaap:UnsecuredDebtMemberbkcc:GordonBrothersFinanceCompanyMember2021-01-012021-12-310001326003us-gaap:TreasuryStockMember2020-12-310001326003bkcc:FirstLienTermLoanMemberbkcc:QuarterlyLIBORMemberus-gaap:DebtSecuritiesMemberbkcc:PuppetIncMemberbkcc:</w:t>
      </w:r>
      <w:r>
        <w:rPr>
          <w:rFonts w:eastAsia="Times New Roman"/>
          <w:vanish/>
        </w:rPr>
        <w:t>ITServicesMember2021-12-310001326003bkcc:FirstLienTermLoanMemberbkcc:SoftwareMemberbkcc:MonthlyLIBORMemberbkcc:IntegrateComIncInfinityDataIncMemberus-gaap:DebtSecuritiesMember2022-09-300001326003bkcc:ThermostatPurchaserIIIIncReedyIndustriesMemberbkcc:Comme</w:t>
      </w:r>
      <w:r>
        <w:rPr>
          <w:rFonts w:eastAsia="Times New Roman"/>
          <w:vanish/>
        </w:rPr>
        <w:t>rcialServicesAndSuppliesMemberbkcc:QuarterlyLIBORMemberus-gaap:DebtSecuritiesMemberbkcc:SecondLienDelayedDrawTermLoanMember2022-09-300001326003bkcc:SoftwareMemberbkcc:QuarterlyLIBORMemberus-gaap:DebtSecuritiesMemberbkcc:SepVulcanAcquisitionIncTasktopCanada</w:t>
      </w:r>
      <w:r>
        <w:rPr>
          <w:rFonts w:eastAsia="Times New Roman"/>
          <w:vanish/>
        </w:rPr>
        <w:t>Memberbkcc:FirstLienRevolverMember2021-12-3100013260032021-03-312021-03-310001326003bkcc:FirstLienTermLoanMemberbkcc:PicoQuantitativeTradingLLCMemberbkcc:CapitalMarketsMemberbkcc:SemiannuallyLIBORMember2021-12-310001326003bkcc:FirstLienDelayedDrawTermLoanM</w:t>
      </w:r>
      <w:r>
        <w:rPr>
          <w:rFonts w:eastAsia="Times New Roman"/>
          <w:vanish/>
        </w:rPr>
        <w:t>emberus-gaap:DebtSecuritiesMemberbkcc:MediaMemberbkcc:QuarterlySOFRMemberbkcc:StreamlandMediaMidcoLlcMember2022-09-300001326003bkcc:SeniorSecuredNoteSecondLienMemberbkcc:NonControlledAffiliateSecurityMemberbkcc:AdvancedLightingTechnologiesLLCMember2021-01-</w:t>
      </w:r>
      <w:r>
        <w:rPr>
          <w:rFonts w:eastAsia="Times New Roman"/>
          <w:vanish/>
        </w:rPr>
        <w:t>012021-12-310001326003bkcc:DiversifiedConsumerServicesMemberbkcc:MXPPrimePlatformGmbHSellerXGermanyMemberbkcc:WarrantsToPurchasePreferredSeriesBSharesMemberus-gaap:EquitySecuritiesMember2022-09-300001326003bkcc:BlackrockFinancialManagementIncorporationMemb</w:t>
      </w:r>
      <w:r>
        <w:rPr>
          <w:rFonts w:eastAsia="Times New Roman"/>
          <w:vanish/>
        </w:rPr>
        <w:t>er2022-01-012022-09-300001326003bkcc:FirstLienTermLoanMemberbkcc:PersadoIncMemberus-gaap:DebtSecuritiesMemberbkcc:MonthlySOFRMemberbkcc:InternetSoftwareAndServicesMember2022-09-300001326003us-gaap:EquitySecuritiesMemberus-gaap:ValuationTechniqueOptionPrici</w:t>
      </w:r>
      <w:r>
        <w:rPr>
          <w:rFonts w:eastAsia="Times New Roman"/>
          <w:vanish/>
        </w:rPr>
        <w:t>ngModelMemberus-gaap:FairValueInputsLevel3Memberbkcc:MeasurementInputImpliedVolatilityMember2022-09-300001326003us-gaap:CommonStockMember2021-06-300001326003us-gaap:EquitySecuritiesMemberus-gaap:MeasurementInputRevenueMultipleMembersrt:MinimumMemberbkcc:Ma</w:t>
      </w:r>
      <w:r>
        <w:rPr>
          <w:rFonts w:eastAsia="Times New Roman"/>
          <w:vanish/>
        </w:rPr>
        <w:t>rketComparableCompaniesMemberus-gaap:FairValueInputsLevel3Member2022-09-300001326003bkcc:ContainersAndPackagingMemberbkcc:IndustryConcentrationRiskMemberbkcc:InvestmentsAtFairValueMember2021-01-012021-12-310001326003us-gaap:DebtSecuritiesMemberbkcc:ITServi</w:t>
      </w:r>
      <w:r>
        <w:rPr>
          <w:rFonts w:eastAsia="Times New Roman"/>
          <w:vanish/>
        </w:rPr>
        <w:t>cesMember2022-09-300001326003bkcc:UnsecuredSeniorNotesDueTwoThousandTwentyFiveMemberbkcc:TrancheTwoMember2022-06-090001326003bkcc:BankDebtMember2021-07-012021-09-300001326003us-gaap:CommonStockMember2021-04-012021-06-300001326003bkcc:AccordionPartnersLimit</w:t>
      </w:r>
      <w:r>
        <w:rPr>
          <w:rFonts w:eastAsia="Times New Roman"/>
          <w:vanish/>
        </w:rPr>
        <w:t>edLiabilityCompanyMemberus-gaap:DebtSecuritiesMemberbkcc:QuarterlySOFRMemberbkcc:DiversifiedFinancialServicesMemberbkcc:FirstLienRevolverMember2022-09-300001326003bkcc:MeasurementInputImpliedVolatilityMember2022-01-012022-09-300001326003bkcc:FirstLienTermL</w:t>
      </w:r>
      <w:r>
        <w:rPr>
          <w:rFonts w:eastAsia="Times New Roman"/>
          <w:vanish/>
        </w:rPr>
        <w:t>oanMemberbkcc:SoftwareMemberbkcc:SyntellisParentLLCAxiomSoftwareMemberus-gaap:DebtSecuritiesMemberbkcc:MonthlySOFRMember2022-09-300001326003us-gaap:PreferredStockMemberbkcc:ChemicalsMemberus-gaap:EquitySecuritiesMemberus-gaap:PreferredClassAMember2021-12-3</w:t>
      </w:r>
      <w:r>
        <w:rPr>
          <w:rFonts w:eastAsia="Times New Roman"/>
          <w:vanish/>
        </w:rPr>
        <w:t>10001326003bkcc:DiversifiedConsumerServicesMemberbkcc:FirstLienDelayedDrawTermLoanMemberus-gaap:DebtSecuritiesMemberbkcc:ThrasIoLLCMemberbkcc:SemiannuallyLIBORMember2022-09-300001326003us-gaap:GeographicConcentrationRiskMembercountry:GBbkcc:InvestmentsAtFa</w:t>
      </w:r>
      <w:r>
        <w:rPr>
          <w:rFonts w:eastAsia="Times New Roman"/>
          <w:vanish/>
        </w:rPr>
        <w:t>irValueMember2022-01-012022-09-300001326003bkcc:WarrantsToPurchaseSeriesEStockMemberbkcc:DiversifiedFinancialServicesMemberus-gaap:EquitySecuritiesMember2021-12-310001326003bkcc:RealEstateManagementAndDevelopmentMemberbkcc:FirstLienDelayedDrawTermLoanMembe</w:t>
      </w:r>
      <w:r>
        <w:rPr>
          <w:rFonts w:eastAsia="Times New Roman"/>
          <w:vanish/>
        </w:rPr>
        <w:t>rus-gaap:DebtSecuritiesMemberbkcc:GreystoneAffordableHousingInitiativesLLCMemberbkcc:SemiannuallyLIBORMember2022-09-300001326003bkcc:FirstLienTermLoanMemberbkcc:PhcBuyerLimitedLiabilityCompanyPatriotHomeCareMemberbkcc:HealthCareProvidersAndServicesMemberus</w:t>
      </w:r>
      <w:r>
        <w:rPr>
          <w:rFonts w:eastAsia="Times New Roman"/>
          <w:vanish/>
        </w:rPr>
        <w:t>-gaap:DebtSecuritiesMemberbkcc:MonthlySOFRMember2022-09-300001326003us-gaap:FairValueInputsLevel2Memberbkcc:BankDebtMember2021-12-310001326003bkcc:AugustTwoTwoThousandTwentyTwoMember2022-07-012022-09-300001326003bkcc:FirstLienTermLoanMemberus-gaap:DebtSecu</w:t>
      </w:r>
      <w:r>
        <w:rPr>
          <w:rFonts w:eastAsia="Times New Roman"/>
          <w:vanish/>
        </w:rPr>
        <w:t>ritiesMemberbkcc:HotelsRestaurantsAndLeisureMemberbkcc:QuarterlySOFRMemberbkcc:OcmLuxembourgBaccaratBidcoSARLInterblockSloveniaMember2022-09-300001326003bkcc:DistributorsMemberbkcc:IndustryConcentrationRiskMemberbkcc:InvestmentsAtFairValueMember2021-01-012</w:t>
      </w:r>
      <w:r>
        <w:rPr>
          <w:rFonts w:eastAsia="Times New Roman"/>
          <w:vanish/>
        </w:rPr>
        <w:t>021-12-310001326003bkcc:SyndigoLLCMemberus-gaap:DebtSecuritiesMemberbkcc:SecondLienTermLoanMemberbkcc:SemiannuallyLIBORMemberbkcc:InternetAndCatalogRetailMember2022-09-300001326003bkcc:CareATCIncMemberbkcc:QuarterlyLIBORMemberbkcc:HealthCareTechnologyMembe</w:t>
      </w:r>
      <w:r>
        <w:rPr>
          <w:rFonts w:eastAsia="Times New Roman"/>
          <w:vanish/>
        </w:rPr>
        <w:t>rus-gaap:DebtSecuritiesMemberbkcc:FirstLienRevolverMember2022-09-300001326003bkcc:SeniorSecuredLoansMember2022-09-300001326003us-gaap:AdditionalPaidInCapitalMember2021-12-310001326003bkcc:AccordionPartnersLimitedLiabilityCompanyMemberbkcc:FirstLienDelayedD</w:t>
      </w:r>
      <w:r>
        <w:rPr>
          <w:rFonts w:eastAsia="Times New Roman"/>
          <w:vanish/>
        </w:rPr>
        <w:t>rawTermLoanMemberus-gaap:DebtSecuritiesMemberbkcc:DiversifiedFinancialServicesMemberbkcc:QuarterlySOFRMember2022-09-300001326003bkcc:NonControlledNonAffiliatedInvestmentsMember2021-01-012021-09-300001326003us-gaap:OtherDebtSecuritiesMemberus-gaap:FairValue</w:t>
      </w:r>
      <w:r>
        <w:rPr>
          <w:rFonts w:eastAsia="Times New Roman"/>
          <w:vanish/>
        </w:rPr>
        <w:t>InputsLevel3Member2021-12-310001326003bkcc:DiversifiedFinancialServicesMemberbkcc:IndustryConcentrationRiskMemberbkcc:InvestmentsAtFairValueMember2021-01-012021-12-310001326003bkcc:SoftwareMemberbkcc:SupermanHoldingsLLCFoundationSoftwareMemberbkcc:Quarterl</w:t>
      </w:r>
      <w:r>
        <w:rPr>
          <w:rFonts w:eastAsia="Times New Roman"/>
          <w:vanish/>
        </w:rPr>
        <w:t>yLIBORMemberus-gaap:DebtSecuritiesMemberbkcc:FirstLienRevolverMember2022-09-300001326003bkcc:IndustryConcentrationRiskMemberbkcc:ITServicesMemberbkcc:InvestmentsAtFairValueMember2022-01-012022-09-300001326003bkcc:MonthlyLIBORMemberbkcc:SoftwareMemberbkcc:I</w:t>
      </w:r>
      <w:r>
        <w:rPr>
          <w:rFonts w:eastAsia="Times New Roman"/>
          <w:vanish/>
        </w:rPr>
        <w:t>ntegrateComIncInfinityDataIncMemberbkcc:FirstLienDelayedDrawTermLoanMemberus-gaap:DebtSecuritiesMember2022-09-300001326003bkcc:RealEstateManagementAndDevelopmentMemberbkcc:IndustryConcentrationRiskMemberbkcc:InvestmentsAtFairValueMember2021-01-012021-12-31</w:t>
      </w:r>
      <w:r>
        <w:rPr>
          <w:rFonts w:eastAsia="Times New Roman"/>
          <w:vanish/>
        </w:rPr>
        <w:t>0001326003bkcc:FivePointZeroZeroPercentConvertibleNotesDueTwoThousandTwentyTwoMember2022-01-012022-09-300001326003bkcc:FirstLienTermLoanMemberbkcc:ProfessionalServicesMemberus-gaap:DebtSecuritiesMemberbkcc:SemiannuallyLIBORMemberbkcc:TLEHoldingsLLCMember20</w:t>
      </w:r>
      <w:r>
        <w:rPr>
          <w:rFonts w:eastAsia="Times New Roman"/>
          <w:vanish/>
        </w:rPr>
        <w:t>21-12-310001326003bkcc:ControlledAffiliateSecurityMember2021-12-310001326003bkcc:MonthlyLIBORMemberbkcc:UnanetIncMemberus-gaap:DebtSecuritiesMemberbkcc:AerospaceAndDefenseMemberbkcc:FirstLienRevolverMember2021-12-310001326003bkcc:PrivatePlacementNotesMembe</w:t>
      </w:r>
      <w:r>
        <w:rPr>
          <w:rFonts w:eastAsia="Times New Roman"/>
          <w:vanish/>
        </w:rPr>
        <w:t>r2022-09-300001326003bkcc:DiversifiedConsumerServicesMemberus-gaap:DebtSecuritiesMember2021-12-310001326003bkcc:MetalsAndMiningMemberbkcc:KemmererHoldingsLLCWMLPMemberbkcc:LimitedPartnershipOrLimitedLiabilityCompanyInterestsMember2021-12-310001326003bkcc:C</w:t>
      </w:r>
      <w:r>
        <w:rPr>
          <w:rFonts w:eastAsia="Times New Roman"/>
          <w:vanish/>
        </w:rPr>
        <w:t>ommercialServicesAndSuppliesMemberbkcc:QuarterlyLIBORMemberus-gaap:DebtSecuritiesMemberbkcc:FirstLienDelayedDrawTermLoanAMemberbkcc:KellermeyerBergensonsServicesLLCMember2022-09-300001326003bkcc:FirstLienSrSecuredNotesMemberbkcc:CalceusAcquisitionIncColeHa</w:t>
      </w:r>
      <w:r>
        <w:rPr>
          <w:rFonts w:eastAsia="Times New Roman"/>
          <w:vanish/>
        </w:rPr>
        <w:t>anMemberus-gaap:DebtSecuritiesMemberbkcc:FixedMemberbkcc:SpecialtyRetailMember2021-12-310001326003us-gaap:CommonStockMember2022-01-012022-03-310001326003bkcc:FirstLienTermLoanMemberbkcc:ConstructionAndEngineeringMemberbkcc:QuarterlyLIBORMemberbkcc:PHRGInte</w:t>
      </w:r>
      <w:r>
        <w:rPr>
          <w:rFonts w:eastAsia="Times New Roman"/>
          <w:vanish/>
        </w:rPr>
        <w:t>rmediateLLCPowerHomeMemberus-gaap:DebtSecuritiesMember2021-12-310001326003us-gaap:IncomeApproachValuationTechniqueMemberbkcc:BankDebtMembersrt:MinimumMemberus-gaap:FairValueInputsLevel3Memberus-gaap:MeasurementInputDiscountRateMember2022-09-300001326003bkc</w:t>
      </w:r>
      <w:r>
        <w:rPr>
          <w:rFonts w:eastAsia="Times New Roman"/>
          <w:vanish/>
        </w:rPr>
        <w:t>c:CommercialServicesAndSuppliesMemberus-gaap:DebtSecuritiesMemberbkcc:FirstLienDelayedDrawTermLoanAMemberbkcc:KellermeyerBergensonsServicesLLCMemberbkcc:SemiannuallyLIBORMember2021-12-310001326003bkcc:ControlledAffiliateSecurityMemberus-gaap:CommonStockMem</w:t>
      </w:r>
      <w:r>
        <w:rPr>
          <w:rFonts w:eastAsia="Times New Roman"/>
          <w:vanish/>
        </w:rPr>
        <w:t>berbkcc:GordonBrothersFinanceCompanyMember2020-12-310001326003srt:CumulativeEffectPeriodOfAdoptionAdjustmentMember2022-01-012022-09-300001326003srt:MaximumMemberbkcc:SeniorSecuredLoansMemberus-gaap:BaseRateMember2021-12-310001326003bkcc:SoftwareMemberbkcc:</w:t>
      </w:r>
      <w:r>
        <w:rPr>
          <w:rFonts w:eastAsia="Times New Roman"/>
          <w:vanish/>
        </w:rPr>
        <w:t>FusionRiskManagementIncMemberus-gaap:DebtSecuritiesMemberbkcc:QuarterlySOFRMemberbkcc:FirstLienRevolverMember2022-09-300001326003bkcc:ContainersAndPackagingMemberbkcc:IndustryConcentrationRiskMemberbkcc:InvestmentsAtFairValueMember2022-01-012022-09-3000013</w:t>
      </w:r>
      <w:r>
        <w:rPr>
          <w:rFonts w:eastAsia="Times New Roman"/>
          <w:vanish/>
        </w:rPr>
        <w:t>26003bkcc:FirstLienTermLoanMemberbkcc:PorcelainAcquisitionCorporationMemberus-gaap:BuildingMemberus-gaap:DebtSecuritiesMember2022-09-300001326003bkcc:DiversifiedConsumerServicesMemberbkcc:PerchhqLlcMemberbkcc:WarrantsToPurchaseCommonStockMemberus-gaap:Equi</w:t>
      </w:r>
      <w:r>
        <w:rPr>
          <w:rFonts w:eastAsia="Times New Roman"/>
          <w:vanish/>
        </w:rPr>
        <w:t>tySecuritiesMember2022-09-300001326003bkcc:FirstLienTermLoanMemberbkcc:HealthCareTechnologyMemberus-gaap:DebtSecuritiesMemberbkcc:QuarterlySOFRMemberbkcc:ESOSolutionsIncMember2022-09-300001326003us-gaap:GeographicConcentrationRiskMembercountry:CAbkcc:Inves</w:t>
      </w:r>
      <w:r>
        <w:rPr>
          <w:rFonts w:eastAsia="Times New Roman"/>
          <w:vanish/>
        </w:rPr>
        <w:t>tmentsAtFairValueMember2021-01-012021-12-310001326003bkcc:FirstLienTermLoanMemberbkcc:DiversifiedConsumerServicesMemberus-gaap:DebtSecuritiesMemberbkcc:ThrasIoLLCMemberbkcc:SemiannuallyLIBORMember2022-09-300001326003bkcc:LimitedLiabilityCoInterestMemberbkc</w:t>
      </w:r>
      <w:r>
        <w:rPr>
          <w:rFonts w:eastAsia="Times New Roman"/>
          <w:vanish/>
        </w:rPr>
        <w:t>c:KemmererHoldingsLLCWMLPMemberbkcc:NonControlledAffiliateSecurityMember2021-01-012021-12-310001326003bkcc:AprilTwentyEightTwoThousandTwentyOneMember2021-04-012021-06-300001326003bkcc:IndustryConcentrationRiskMemberbkcc:WirelessTelecommunicationServicesMem</w:t>
      </w:r>
      <w:r>
        <w:rPr>
          <w:rFonts w:eastAsia="Times New Roman"/>
          <w:vanish/>
        </w:rPr>
        <w:t>berbkcc:InvestmentsAtFairValueMember2021-01-012021-12-310001326003us-gaap:FairValueInputsLevel2Memberus-gaap:EquitySecuritiesMember2021-12-310001326003bkcc:FirstLienTermLoanMemberbkcc:SoftwareMemberbkcc:QuarterlyLIBORMemberbkcc:ArasCorporationMemberus-gaap</w:t>
      </w:r>
      <w:r>
        <w:rPr>
          <w:rFonts w:eastAsia="Times New Roman"/>
          <w:vanish/>
        </w:rPr>
        <w:t>:DebtSecuritiesMember2022-09-300001326003bkcc:FusionHoldingCorpFinalsiteMemberbkcc:DiversifiedConsumerServicesMemberus-gaap:DebtSecuritiesMemberbkcc:QuarterlySOFRMemberbkcc:FirstLienRevolverMember2022-09-300001326003us-gaap:GeographicConcentrationRiskMembe</w:t>
      </w:r>
      <w:r>
        <w:rPr>
          <w:rFonts w:eastAsia="Times New Roman"/>
          <w:vanish/>
        </w:rPr>
        <w:t>rbkcc:InvestmentsAtFairValueMember2021-01-012021-12-310001326003bkcc:FirstLienTermLoanMemberbkcc:InsuranceMemberus-gaap:DebtSecuritiesMemberbkcc:AmeriLifeHoldingsLLCMemberbkcc:QuarterlySOFRMember2022-09-300001326003us-gaap:AdditionalPaidInCapitalMember2021</w:t>
      </w:r>
      <w:r>
        <w:rPr>
          <w:rFonts w:eastAsia="Times New Roman"/>
          <w:vanish/>
        </w:rPr>
        <w:t>-04-012021-06-300001326003bkcc:MonthlyLIBORMemberbkcc:HealthCareTechnologyMemberbkcc:ApprissHealthLLCPatientPingMemberus-gaap:DebtSecuritiesMemberbkcc:FirstLienRevolverMember2022-09-300001326003bkcc:FirstLienTermLoanMemberus-gaap:DebtSecuritiesMemberbkcc:D</w:t>
      </w:r>
      <w:r>
        <w:rPr>
          <w:rFonts w:eastAsia="Times New Roman"/>
          <w:vanish/>
        </w:rPr>
        <w:t>iversifiedFinancialServicesMemberbkcc:TwoToTenHoldcoIncMember2021-12-310001326003bkcc:FirstLienTermLoanMemberbkcc:SoftwareMemberbkcc:MonthlyLIBORMemberbkcc:OversightSystemsIncMemberus-gaap:DebtSecuritiesMember2022-09-300001326003us-gaap:CommonStockMember20</w:t>
      </w:r>
      <w:r>
        <w:rPr>
          <w:rFonts w:eastAsia="Times New Roman"/>
          <w:vanish/>
        </w:rPr>
        <w:t>22-03-310001326003us-gaap:TreasuryStockMember2022-01-012022-03-310001326003bkcc:FirstLienTermLoanMemberbkcc:MonthlyLIBORMemberbkcc:UnanetIncMemberus-gaap:DebtSecuritiesMemberbkcc:AerospaceAndDefenseMember2021-12-310001326003bkcc:FinancialForceComIncMemberb</w:t>
      </w:r>
      <w:r>
        <w:rPr>
          <w:rFonts w:eastAsia="Times New Roman"/>
          <w:vanish/>
        </w:rPr>
        <w:t>kcc:WarrantsToPurchaseSeriesCPreferredStockMemberus-gaap:EquitySecuritiesMemberbkcc:InternetSoftwareAndServicesMember2021-12-310001326003bkcc:ControlledAffiliateSecurityMemberbkcc:RedAppleStoresIncMemberus-gaap:CommonStockMember2021-01-012021-12-3100013260</w:t>
      </w:r>
      <w:r>
        <w:rPr>
          <w:rFonts w:eastAsia="Times New Roman"/>
          <w:vanish/>
        </w:rPr>
        <w:t>03bkcc:SuitedConnectorLLCMemberbkcc:FirstLienDelayedDrawTermLoanMemberbkcc:QuarterlyLIBORMemberus-gaap:DebtSecuritiesMemberbkcc:InternetSoftwareAndServicesMember2021-12-310001326003bkcc:SoftwareMemberbkcc:FirstLienDelayedDrawTermLoanMemberbkcc:QuarterlyLIB</w:t>
      </w:r>
      <w:r>
        <w:rPr>
          <w:rFonts w:eastAsia="Times New Roman"/>
          <w:vanish/>
        </w:rPr>
        <w:t>ORMemberbkcc:ArasCorporationMemberus-gaap:DebtSecuritiesMember2021-12-310001326003bkcc:NonControlledAffiliateSecurityMemberbkcc:AGYEquityLLCMemberus-gaap:PreferredClassAMember2022-01-012022-09-300001326003bkcc:BankDebtMemberus-gaap:MeasurementInputExpected</w:t>
      </w:r>
      <w:r>
        <w:rPr>
          <w:rFonts w:eastAsia="Times New Roman"/>
          <w:vanish/>
        </w:rPr>
        <w:t>TermMemberus-gaap:ValuationTechniqueOptionPricingModelMemberus-gaap:FairValueInputsLevel3Member2021-12-310001326003bkcc:IndustryConcentrationRiskMemberbkcc:RoadAndRailMemberbkcc:InvestmentsAtFairValueMember2022-01-012022-09-300001326003bkcc:ReimbursementEx</w:t>
      </w:r>
      <w:r>
        <w:rPr>
          <w:rFonts w:eastAsia="Times New Roman"/>
          <w:vanish/>
        </w:rPr>
        <w:t>pensesMember2022-01-012022-09-300001326003bkcc:FirstLienTermLoanMemberbkcc:ConstructionAndEngineeringMemberus-gaap:DebtSecuritiesMemberbkcc:QuarterlySOFRMemberbkcc:HomerenewBuyerIncProjectDreamMember2022-09-300001326003bkcc:FirstLienTermLoanMemberbkcc:Emer</w:t>
      </w:r>
      <w:r>
        <w:rPr>
          <w:rFonts w:eastAsia="Times New Roman"/>
          <w:vanish/>
        </w:rPr>
        <w:t>aldTechnologiesUSAcquisitioncoIncMemberus-gaap:DebtSecuritiesMemberbkcc:SemiconductorsAndSemiconductorEquipmentMemberbkcc:MonthlySOFRMember2022-09-300001326003bkcc:NonControlledAffiliateSecurityMemberbkcc:AGYEquityLLCMemberus-gaap:PreferredClassAMember2021</w:t>
      </w:r>
      <w:r>
        <w:rPr>
          <w:rFonts w:eastAsia="Times New Roman"/>
          <w:vanish/>
        </w:rPr>
        <w:t>-12-310001326003bkcc:CapitalMarketsMemberus-gaap:EquitySecuritiesMember2022-09-300001326003us-gaap:DebtSecuritiesMemberbkcc:AerospaceAndDefenseMember2022-09-300001326003us-gaap:CommonStockMember2022-09-300001326003us-gaap:EquitySecuritiesMemberus-gaap:Meas</w:t>
      </w:r>
      <w:r>
        <w:rPr>
          <w:rFonts w:eastAsia="Times New Roman"/>
          <w:vanish/>
        </w:rPr>
        <w:t>urementInputExpectedTermMemberus-gaap:ValuationTechniqueOptionPricingModelMemberus-gaap:FairValueInputsLevel3Member2022-09-300001326003us-gaap:DebtSecuritiesMemberbkcc:DiversifiedTelecommunicationServicesMember2021-12-310001326003bkcc:SeniorSecuredNoteSeco</w:t>
      </w:r>
      <w:r>
        <w:rPr>
          <w:rFonts w:eastAsia="Times New Roman"/>
          <w:vanish/>
        </w:rPr>
        <w:t>ndLienMemberbkcc:NonControlledAffiliateSecurityMemberbkcc:AdvancedLightingTechnologiesLLCMember2020-12-310001326003bkcc:AdvantageInsuranceIncMemberus-gaap:PreferredStockMemberbkcc:NonControlledAffiliateSecurityMember2020-12-3100013260032021-04-012021-06-30</w:t>
      </w:r>
      <w:r>
        <w:rPr>
          <w:rFonts w:eastAsia="Times New Roman"/>
          <w:vanish/>
        </w:rPr>
        <w:t>0001326003bkcc:FirstLienTermLoanMemberbkcc:AlpineAcquisitionCorpIIMemberus-gaap:DebtSecuritiesMemberbkcc:PaperAndForestProductsMemberbkcc:QuarterlySOFRMember2022-09-300001326003bkcc:InsuranceMemberbkcc:IndustryConcentrationRiskMemberbkcc:InvestmentsAtFairV</w:t>
      </w:r>
      <w:r>
        <w:rPr>
          <w:rFonts w:eastAsia="Times New Roman"/>
          <w:vanish/>
        </w:rPr>
        <w:t>alueMember2022-01-012022-09-300001326003bkcc:AutomobilesSectorMemberbkcc:IndustryConcentrationRiskMemberbkcc:InvestmentsAtFairValueMember2021-01-012021-12-310001326003bkcc:LeisureProductsMemberbkcc:IndustryConcentrationRiskMemberbkcc:InvestmentsAtFairValue</w:t>
      </w:r>
      <w:r>
        <w:rPr>
          <w:rFonts w:eastAsia="Times New Roman"/>
          <w:vanish/>
        </w:rPr>
        <w:t>Member2022-01-012022-09-300001326003bkcc:MonthlyLIBORMemberus-gaap:DebtSecuritiesMemberbkcc:ZestAcquisitionCorpMemberbkcc:SecondLienTermLoanMemberbkcc:HealthCareEquipmentAndSuppliesMember2021-12-310001326003us-gaap:FairValueInputsLevel3Member2022-07-012022</w:t>
      </w:r>
      <w:r>
        <w:rPr>
          <w:rFonts w:eastAsia="Times New Roman"/>
          <w:vanish/>
        </w:rPr>
        <w:t>-09-300001326003bkcc:SeniorSecuredLoanFirstLienMember2022-09-300001326003bkcc:ControlledAffiliateSecurityMemberbkcc:RedAppleStoresIncMemberbkcc:SeniorSecuredNoteSecondLienMember2021-12-310001326003bkcc:TwoThousandAndTwentyFivePrivatePlacementNotesMemberus-</w:t>
      </w:r>
      <w:r>
        <w:rPr>
          <w:rFonts w:eastAsia="Times New Roman"/>
          <w:vanish/>
        </w:rPr>
        <w:t>gaap:SecuredOvernightFinancingRateSofrOvernightIndexSwapRateMember2022-01-012022-09-300001326003us-gaap:MachineryAndEquipmentMemberus-gaap:DebtSecuritiesMember2021-12-310001326003bkcc:MetalsAndMiningMemberbkcc:IndustryConcentrationRiskMemberbkcc:Investment</w:t>
      </w:r>
      <w:r>
        <w:rPr>
          <w:rFonts w:eastAsia="Times New Roman"/>
          <w:vanish/>
        </w:rPr>
        <w:t>sAtFairValueMember2021-01-012021-12-310001326003bkcc:TwoThousandAndTwentyFivePrivatePlacementNotesMemberus-gaap:SecuredOvernightFinancingRateSofrOvernightIndexSwapRateMember2022-06-092022-06-090001326003us-gaap:DebtSecuritiesMemberbkcc:SemiconductorsAndSem</w:t>
      </w:r>
      <w:r>
        <w:rPr>
          <w:rFonts w:eastAsia="Times New Roman"/>
          <w:vanish/>
        </w:rPr>
        <w:t>iconductorEquipmentMember2022-09-300001326003bkcc:SandataTechnologiesLLCMemberbkcc:FirstLienTermLoanMemberbkcc:QuarterlyLIBORMemberbkcc:HealthCareTechnologyMemberus-gaap:DebtSecuritiesMember2021-12-310001326003bkcc:FirstLienTermLoanMemberbkcc:RoadAndRailMe</w:t>
      </w:r>
      <w:r>
        <w:rPr>
          <w:rFonts w:eastAsia="Times New Roman"/>
          <w:vanish/>
        </w:rPr>
        <w:t>mberus-gaap:DebtSecuritiesMemberbkcc:SemiannuallyLIBORMemberbkcc:KeepTruckinIncMember2021-12-310001326003bkcc:ControlledAffiliateSecurityMemberbkcc:FirstBostonConstructionHoldingsLLCMemberbkcc:LimitedLiabilityCoInterestMember2021-12-310001326003bkcc:Monthl</w:t>
      </w:r>
      <w:r>
        <w:rPr>
          <w:rFonts w:eastAsia="Times New Roman"/>
          <w:vanish/>
        </w:rPr>
        <w:t>yLIBORMemberbkcc:InsuranceMemberus-gaap:DebtSecuritiesMemberbkcc:FirstLienRevolverMemberbkcc:ITParentLLCMember2022-09-300001326003bkcc:InsuranceMemberbkcc:FirstLienDelayedDrawTermLoanMemberus-gaap:DebtSecuritiesMemberbkcc:MonthlySOFRMemberbkcc:PeterCFoyAnd</w:t>
      </w:r>
      <w:r>
        <w:rPr>
          <w:rFonts w:eastAsia="Times New Roman"/>
          <w:vanish/>
        </w:rPr>
        <w:t>AssociatesInsuranceServicesLlcPcfInsuranceMember2022-09-300001326003bkcc:FirstLienTermLoanMemberbkcc:AccordionPartnersLimitedLiabilityCompanyMemberus-gaap:DebtSecuritiesMemberbkcc:QuarterlySOFRMemberbkcc:DiversifiedFinancialServicesMember2022-09-3000013260</w:t>
      </w:r>
      <w:r>
        <w:rPr>
          <w:rFonts w:eastAsia="Times New Roman"/>
          <w:vanish/>
        </w:rPr>
        <w:t>03bkcc:ControlledAffiliateSecurityMember2021-01-012021-12-310001326003bkcc:MonthlyLIBORMemberbkcc:FirstLienDelayedDrawTermLoanMemberbkcc:FinancialForceComIncMember2021-12-310001326003bkcc:FirstLienTermLoanMemberbkcc:MonthlyLIBORMemberbkcc:UnanetIncMemberus</w:t>
      </w:r>
      <w:r>
        <w:rPr>
          <w:rFonts w:eastAsia="Times New Roman"/>
          <w:vanish/>
        </w:rPr>
        <w:t>-gaap:DebtSecuritiesMemberbkcc:AerospaceAndDefenseMember2022-09-300001326003us-gaap:IncomeApproachValuationTechniqueMemberus-gaap:EquitySecuritiesMembersrt:MinimumMemberus-gaap:FairValueInputsLevel3Memberus-gaap:MeasurementInputDiscountRateMember2022-09-30</w:t>
      </w:r>
      <w:r>
        <w:rPr>
          <w:rFonts w:eastAsia="Times New Roman"/>
          <w:vanish/>
        </w:rPr>
        <w:t>0001326003srt:MaximumMemberbkcc:BankDebtMemberus-gaap:MeasurementInputExpectedTermMemberus-gaap:ValuationTechniqueOptionPricingModelMemberus-gaap:FairValueInputsLevel3Member2022-09-300001326003bkcc:UnsecuredSeniorNotesDueTwoThousandTwentyFiveMemberbkcc:Tra</w:t>
      </w:r>
      <w:r>
        <w:rPr>
          <w:rFonts w:eastAsia="Times New Roman"/>
          <w:vanish/>
        </w:rPr>
        <w:t>ncheOneMember2022-06-092022-06-090001326003us-gaap:MeasurementInputRevenueMultipleMembersrt:MaximumMemberbkcc:MarketComparableCompaniesMemberus-gaap:OtherDebtSecuritiesMemberus-gaap:FairValueInputsLevel3Member2022-09-300001326003bkcc:MonthlyLIBORMemberbkcc</w:t>
      </w:r>
      <w:r>
        <w:rPr>
          <w:rFonts w:eastAsia="Times New Roman"/>
          <w:vanish/>
        </w:rPr>
        <w:t>:MagentaBuyerLLCMcAfeeMemberus-gaap:DebtSecuritiesMemberbkcc:SecondLienTermLoanMemberbkcc:InternetSoftwareAndServicesMember2022-09-300001326003bkcc:SecondLienTermLoanBMemberbkcc:EnsonoIncMemberus-gaap:DebtSecuritiesMemberbkcc:ITServicesMemberbkcc:Semiannua</w:t>
      </w:r>
      <w:r>
        <w:rPr>
          <w:rFonts w:eastAsia="Times New Roman"/>
          <w:vanish/>
        </w:rPr>
        <w:t>llyLIBORMember2021-12-310001326003bkcc:SandataTechnologiesLLCMemberbkcc:QuarterlyLIBORMemberbkcc:HealthCareTechnologyMemberus-gaap:DebtSecuritiesMemberbkcc:FirstLienRevolverMember2022-09-300001326003us-gaap:EquitySecuritiesMembersrt:MinimumMemberus-gaap:Va</w:t>
      </w:r>
      <w:r>
        <w:rPr>
          <w:rFonts w:eastAsia="Times New Roman"/>
          <w:vanish/>
        </w:rPr>
        <w:t>luationTechniqueOptionPricingModelMemberus-gaap:FairValueInputsLevel3Memberbkcc:MeasurementInputEBITDAOrRevenueMultiplesMember2022-09-300001326003bkcc:SeniorSecuredRevolvingCreditFacilityMember2022-09-300001326003bkcc:IndustryConcentrationRiskMemberbkcc:Ae</w:t>
      </w:r>
      <w:r>
        <w:rPr>
          <w:rFonts w:eastAsia="Times New Roman"/>
          <w:vanish/>
        </w:rPr>
        <w:t>rospaceAndDefenseMemberbkcc:InvestmentsAtFairValueMember2022-01-012022-09-300001326003bkcc:MonthlyLIBORMemberbkcc:NEPIIIncMemberbkcc:MediaMemberus-gaap:DebtSecuritiesMemberbkcc:SecondLienTermLoanMember2022-09-300001326003us-gaap:TreasuryStockMember2022-07-</w:t>
      </w:r>
      <w:r>
        <w:rPr>
          <w:rFonts w:eastAsia="Times New Roman"/>
          <w:vanish/>
        </w:rPr>
        <w:t>012022-09-3000013260032020-12-310001326003bkcc:ConstructionAndEngineeringMemberbkcc:QuarterlyLIBORMemberus-gaap:DebtSecuritiesMemberbkcc:FirstLienRevolverMemberbkcc:HomerenewBuyerIncProjectDreamMember2021-12-310001326003srt:CumulativeEffectPeriodOfAdoption</w:t>
      </w:r>
      <w:r>
        <w:rPr>
          <w:rFonts w:eastAsia="Times New Roman"/>
          <w:vanish/>
        </w:rPr>
        <w:t>AdjustmentMember2021-09-300001326003bkcc:UnsecuredConvertibleSeniorNotesDue2022Member2022-09-300001326003bkcc:DiversifiedConsumerServicesMemberbkcc:SellerXGermanyGmbHCoKgGermanyMemberbkcc:FirstLienDelayedDrawTermLoanMemberbkcc:QuarterlyLIBORMemberus-gaap:D</w:t>
      </w:r>
      <w:r>
        <w:rPr>
          <w:rFonts w:eastAsia="Times New Roman"/>
          <w:vanish/>
        </w:rPr>
        <w:t>ebtSecuritiesMember2021-12-310001326003bkcc:SeniorSecuredNotesMember2021-12-310001326003us-gaap:PreferredStockMemberbkcc:BlackbirdHoldcoIncMember2021-01-012021-12-310001326003bkcc:BankDebtMember2022-06-300001326003bkcc:FirstLienTermLoanMemberbkcc:Insurance</w:t>
      </w:r>
      <w:r>
        <w:rPr>
          <w:rFonts w:eastAsia="Times New Roman"/>
          <w:vanish/>
        </w:rPr>
        <w:t>Memberus-gaap:DebtSecuritiesMemberbkcc:MonthlySOFRMemberbkcc:PeterCFoyAndAssociatesInsuranceServicesLlcPcfInsuranceMember2022-09-3000013260032021-10-012021-12-310001326003us-gaap:MeasurementInputEbitdaMultipleMember2022-01-012022-09-300001326003bkcc:FivePo</w:t>
      </w:r>
      <w:r>
        <w:rPr>
          <w:rFonts w:eastAsia="Times New Roman"/>
          <w:vanish/>
        </w:rPr>
        <w:t>intZeroZeroPercentConvertibleNotesDueTwoThousandTwentyTwoMemberus-gaap:IPOMember2017-06-130001326003bkcc:SeniorSecuredRevolvingCreditFacilityMember2021-04-220001326003bkcc:IndustryConcentrationRiskMemberbkcc:MachinerySectorMemberbkcc:InvestmentsAtFairValue</w:t>
      </w:r>
      <w:r>
        <w:rPr>
          <w:rFonts w:eastAsia="Times New Roman"/>
          <w:vanish/>
        </w:rPr>
        <w:t>Member2022-01-012022-09-300001326003bkcc:FirstLienDelayedDrawTermLoanMemberus-gaap:MachineryAndEquipmentMemberbkcc:SonnySEnterprisesLLCMemberbkcc:QuarterlyLIBORMemberus-gaap:DebtSecuritiesMember2022-09-300001326003us-gaap:PreferredStockMemberbkcc:Blackbird</w:t>
      </w:r>
      <w:r>
        <w:rPr>
          <w:rFonts w:eastAsia="Times New Roman"/>
          <w:vanish/>
        </w:rPr>
        <w:t>HoldcoIncMember2022-01-012022-09-300001326003srt:MaximumMember2021-12-310001326003us-gaap:AdditionalPaidInCapitalMember2022-01-012022-03-310001326003bkcc:SeniorSecuredNotesMember2022-09-300001326003bkcc:AerospaceAndDefenseMemberus-gaap:DebtSecuritiesMember</w:t>
      </w:r>
      <w:r>
        <w:rPr>
          <w:rFonts w:eastAsia="Times New Roman"/>
          <w:vanish/>
        </w:rPr>
        <w:t>2021-12-310001326003us-gaap:RetainedEarningsMember2020-12-310001326003bkcc:FirstLienTermLoanMemberbkcc:QuarterlyLIBORMemberbkcc:DiversifiedFinancialServicesMemberbkcc:WorldremitGroupLimitedUnitedKingdomMember2021-12-310001326003us-gaap:OverAllotmentOptionM</w:t>
      </w:r>
      <w:r>
        <w:rPr>
          <w:rFonts w:eastAsia="Times New Roman"/>
          <w:vanish/>
        </w:rPr>
        <w:t>emberbkcc:FivePointZeroZeroPercentConvertibleNotesDueTwoThousandTwentyTwoMember2017-06-130001326003bkcc:SoftwareMemberbkcc:IntegrateComIncInfinityDataIncMemberbkcc:FirstLienDelayedDrawTermLoanMemberbkcc:QuarterlyLIBORMemberus-gaap:DebtSecuritiesMember2021-</w:t>
      </w:r>
      <w:r>
        <w:rPr>
          <w:rFonts w:eastAsia="Times New Roman"/>
          <w:vanish/>
        </w:rPr>
        <w:t>12-310001326003bkcc:IndustryConcentrationRiskMemberbkcc:HotelsRestaurantsAndLeisureMemberbkcc:InvestmentsAtFairValueMember2021-01-012021-12-310001326003bkcc:FirstLienTermLoanMemberbkcc:SoftwareMemberbkcc:RhodeHoldingsIncKaseyaMemberbkcc:QuarterlyLIBORMembe</w:t>
      </w:r>
      <w:r>
        <w:rPr>
          <w:rFonts w:eastAsia="Times New Roman"/>
          <w:vanish/>
        </w:rPr>
        <w:t>rus-gaap:DebtSecuritiesMember2021-12-310001326003us-gaap:AdditionalPaidInCapitalMember2022-03-310001326003bkcc:SoftwareMemberbkcc:SEPEigerBidcoLtdMemberus-gaap:DebtSecuritiesMemberbkcc:QuarterlySOFRMemberbkcc:FirstLienRevolverMember2022-09-300001326003us-g</w:t>
      </w:r>
      <w:r>
        <w:rPr>
          <w:rFonts w:eastAsia="Times New Roman"/>
          <w:vanish/>
        </w:rPr>
        <w:t>aap:CommonClassCMemberbkcc:ChemicalsMemberbkcc:AGYEquityLLCMemberus-gaap:EquitySecuritiesMember2021-12-310001326003us-gaap:TreasuryStockMember2022-03-310001326003us-gaap:RetainedEarningsMembersrt:CumulativeEffectPeriodOfAdoptionAdjustmentMember2021-12-3100</w:t>
      </w:r>
      <w:r>
        <w:rPr>
          <w:rFonts w:eastAsia="Times New Roman"/>
          <w:vanish/>
        </w:rPr>
        <w:t>01326003bkcc:ReimbursementExpensesMember2021-07-012021-09-300001326003us-gaap:EquitySecuritiesMembersrt:MaximumMemberus-gaap:ValuationTechniqueOptionPricingModelMemberus-gaap:FairValueInputsLevel3Memberbkcc:MeasurementInputImpliedVolatilityMember2021-12-31</w:t>
      </w:r>
      <w:r>
        <w:rPr>
          <w:rFonts w:eastAsia="Times New Roman"/>
          <w:vanish/>
        </w:rPr>
        <w:t>0001326003bkcc:ThermostatPurchaserIIIIncReedyIndustriesMemberbkcc:MonthlyLIBORMemberbkcc:CommercialServicesAndSuppliesMemberus-gaap:DebtSecuritiesMemberbkcc:SecondLienTermLoanMember2021-12-310001326003bkcc:FirstLienTermLoanMemberus-gaap:BuildingMemberbkcc:</w:t>
      </w:r>
      <w:r>
        <w:rPr>
          <w:rFonts w:eastAsia="Times New Roman"/>
          <w:vanish/>
        </w:rPr>
        <w:t>PorcelainAcquisitionCorporationMemberbkcc:QuarterlyLIBORMemberus-gaap:DebtSecuritiesMember2021-12-310001326003bkcc:RoadAndRailMemberus-gaap:DebtSecuritiesMember2021-12-310001326003bkcc:IndustryConcentrationRiskMemberbkcc:RoadAndRailMemberbkcc:InvestmentsAt</w:t>
      </w:r>
      <w:r>
        <w:rPr>
          <w:rFonts w:eastAsia="Times New Roman"/>
          <w:vanish/>
        </w:rPr>
        <w:t>FairValueMember2021-01-012021-12-310001326003bkcc:SeniorSecuredLoansSecondOrOtherPriorityLienMember2021-12-310001326003us-gaap:GeographicConcentrationRiskMembercountry:DEbkcc:InvestmentsAtFairValueMember2021-01-012021-12-3100013260032022-09-302022-09-30000</w:t>
      </w:r>
      <w:r>
        <w:rPr>
          <w:rFonts w:eastAsia="Times New Roman"/>
          <w:vanish/>
        </w:rPr>
        <w:t>1326003bkcc:WealthEnhancementGroupLimitedLiabilityCompanyMemberbkcc:FirstLienDelayedDrawTermLoanMemberbkcc:SemiannuallySOFRMemberus-gaap:DebtSecuritiesMemberbkcc:DiversifiedFinancialServicesMember2022-09-300001326003bkcc:WarrantsToPurchaseCommonStockMember</w:t>
      </w:r>
      <w:r>
        <w:rPr>
          <w:rFonts w:eastAsia="Times New Roman"/>
          <w:vanish/>
        </w:rPr>
        <w:t>bkcc:ElevateBrandsHoldcoIncMember2022-01-012022-09-300001326003bkcc:DudeSolutionsHoldingsIncMemberbkcc:ProfessionalServicesMemberbkcc:QuarterlyLIBORMemberus-gaap:DebtSecuritiesMemberbkcc:FirstLienRevolverMember2021-12-310001326003us-gaap:PreferredStockMemb</w:t>
      </w:r>
      <w:r>
        <w:rPr>
          <w:rFonts w:eastAsia="Times New Roman"/>
          <w:vanish/>
        </w:rPr>
        <w:t>erbkcc:BlackbirdPurchaserIncOhioTransmissionCorpMemberbkcc:TradingCompaniesAndDistributorsMemberus-gaap:EquitySecuritiesMember2022-09-300001326003bkcc:SEPRaptorAcquisitionIncLoopioCanadaMemberbkcc:SoftwareMemberbkcc:QuarterlyLIBORMemberus-gaap:DebtSecuriti</w:t>
      </w:r>
      <w:r>
        <w:rPr>
          <w:rFonts w:eastAsia="Times New Roman"/>
          <w:vanish/>
        </w:rPr>
        <w:t>esMemberbkcc:FirstLienRevolverMember2021-12-310001326003bkcc:FirstLienTermLoanMemberbkcc:MonthlyLIBORMemberbkcc:HannaAnderssonLLCMemberus-gaap:DebtSecuritiesMemberbkcc:SpecialtyRetailMember2022-09-300001326003bkcc:InsuranceMemberus-gaap:DebtSecuritiesMembe</w:t>
      </w:r>
      <w:r>
        <w:rPr>
          <w:rFonts w:eastAsia="Times New Roman"/>
          <w:vanish/>
        </w:rPr>
        <w:t>rbkcc:AmeriLifeHoldingsLLCMemberbkcc:QuarterlySOFRMemberbkcc:FirstLienRevolverMember2022-09-300001326003bkcc:NonControlledAffiliatedInvestmentsMember2022-09-300001326003us-gaap:GeographicConcentrationRiskMembercountry:CAbkcc:InvestmentsAtFairValueMember202</w:t>
      </w:r>
      <w:r>
        <w:rPr>
          <w:rFonts w:eastAsia="Times New Roman"/>
          <w:vanish/>
        </w:rPr>
        <w:t>2-01-012022-09-3000013260032022-06-300001326003bkcc:FirstLienTermLoanMemberbkcc:MonthlyLIBORMemberbkcc:HannaAnderssonLLCMemberus-gaap:DebtSecuritiesMemberbkcc:SpecialtyRetailMember2021-12-310001326003bkcc:FirstLienTermLoanMemberbkcc:SoftwareMemberbkcc:Supe</w:t>
      </w:r>
      <w:r>
        <w:rPr>
          <w:rFonts w:eastAsia="Times New Roman"/>
          <w:vanish/>
        </w:rPr>
        <w:t>rmanHoldingsLLCFoundationSoftwareMemberbkcc:QuarterlyLIBORMemberus-gaap:DebtSecuritiesMember2021-12-310001326003bkcc:BankDebtMember2021-09-300001326003bkcc:InsuranceMemberus-gaap:DebtSecuritiesMemberbkcc:AmeriLifeHoldingsLLCMemberbkcc:SecondLienTermLoanMem</w:t>
      </w:r>
      <w:r>
        <w:rPr>
          <w:rFonts w:eastAsia="Times New Roman"/>
          <w:vanish/>
        </w:rPr>
        <w:t>berbkcc:SemiannuallyLIBORMember2021-12-310001326003bkcc:InvestmentAdvisorExpensesMember2022-01-012022-09-300001326003bkcc:TextilesApparelAndLuxuryGoodsMemberbkcc:IndustryConcentrationRiskMemberbkcc:InvestmentsAtFairValueMember2021-01-012021-12-310001326003</w:t>
      </w:r>
      <w:r>
        <w:rPr>
          <w:rFonts w:eastAsia="Times New Roman"/>
          <w:vanish/>
        </w:rPr>
        <w:t>us-gaap:EquitySecuritiesMember2021-07-012021-09-300001326003bkcc:RisingInterestRatesOrChangesInInterestRatesMember2022-01-012022-09-300001326003bkcc:NonControlledAffiliateSecurityMemberbkcc:AGYEquityLLCMemberus-gaap:PreferredClassBMember2021-12-31000132600</w:t>
      </w:r>
      <w:r>
        <w:rPr>
          <w:rFonts w:eastAsia="Times New Roman"/>
          <w:vanish/>
        </w:rPr>
        <w:t>3bkcc:PreIncentiveFeeNetInvestmentIncomeLessThanOnePointSevenFivePercentageOfNetAssetsMember2020-05-022020-05-020001326003bkcc:AdvantageInsuranceIncMemberus-gaap:PreferredStockMemberbkcc:NonControlledAffiliateSecurityMember2021-12-310001326003bkcc:Insuranc</w:t>
      </w:r>
      <w:r>
        <w:rPr>
          <w:rFonts w:eastAsia="Times New Roman"/>
          <w:vanish/>
        </w:rPr>
        <w:t>eMemberus-gaap:DebtSecuritiesMember2021-12-310001326003bkcc:IderaIncMemberus-gaap:DebtSecuritiesMemberbkcc:SecondLienTermLoanMemberbkcc:ITServicesMemberbkcc:SemiannuallyLIBORMember2021-12-310001326003bkcc:TeamServicesGroupLLCMemberbkcc:HealthCareProvidersA</w:t>
      </w:r>
      <w:r>
        <w:rPr>
          <w:rFonts w:eastAsia="Times New Roman"/>
          <w:vanish/>
        </w:rPr>
        <w:t>ndServicesMemberbkcc:QuarterlyLIBORMemberus-gaap:DebtSecuritiesMemberbkcc:SecondLienTermLoanMember2022-09-300001326003us-gaap:EquitySecuritiesMemberus-gaap:ValuationTechniqueOptionPricingModelMemberus-gaap:FairValueInputsLevel3Memberbkcc:MeasurementInputEB</w:t>
      </w:r>
      <w:r>
        <w:rPr>
          <w:rFonts w:eastAsia="Times New Roman"/>
          <w:vanish/>
        </w:rPr>
        <w:t>ITDAOrRevenueMultiplesMember2021-12-310001326003bkcc:ColonyDisplayLLCMemberbkcc:QuarterlyLIBORMemberbkcc:FirstLienDelayedDrawTermLoanMemberus-gaap:DebtSecuritiesMemberbkcc:DistributorsMember2021-12-310001326003bkcc:QuarterlyLIBORMemberbkcc:RoadAndRailMembe</w:t>
      </w:r>
      <w:r>
        <w:rPr>
          <w:rFonts w:eastAsia="Times New Roman"/>
          <w:vanish/>
        </w:rPr>
        <w:t>rus-gaap:DebtSecuritiesMemberbkcc:StGeorgeWarehousingTruckingCoOfCaliforniaIncMemberbkcc:FirstLienLastOutDelayedDrawTermLoanMember2021-12-310001326003bkcc:DiversifiedConsumerServicesMemberbkcc:FixedMemberbkcc:RazorGroupGmbHGermanyMemberus-gaap:DebtSecuriti</w:t>
      </w:r>
      <w:r>
        <w:rPr>
          <w:rFonts w:eastAsia="Times New Roman"/>
          <w:vanish/>
        </w:rPr>
        <w:t>esMemberbkcc:FirstLienSrSecuredConvertibleTermLoanMember2022-09-300001326003bkcc:FirstLienTermLoanMemberbkcc:ConsumerFinanceMemberbkcc:FreedomFinancialNetworkFundingLimitedLiabilityCompanyMemberus-gaap:DebtSecuritiesMemberbkcc:QuarterlySOFRMember2022-09-30</w:t>
      </w:r>
      <w:r>
        <w:rPr>
          <w:rFonts w:eastAsia="Times New Roman"/>
          <w:vanish/>
        </w:rPr>
        <w:t>0001326003us-gaap:AdditionalPaidInCapitalMember2021-07-012021-09-300001326003bkcc:WarrantsToPurchasePreferredStockMemberbkcc:ElevateBrandsHoldcoIncMember2022-01-012022-09-300001326003bkcc:IndustryConcentrationRiskMemberbkcc:HealthCareTechnologyMemberbkcc:I</w:t>
      </w:r>
      <w:r>
        <w:rPr>
          <w:rFonts w:eastAsia="Times New Roman"/>
          <w:vanish/>
        </w:rPr>
        <w:t>nvestmentsAtFairValueMember2022-01-012022-09-300001326003bkcc:KemmererOperationsLLCWMLPMemberbkcc:DelayedDrawTermLoanFirstLienMemberbkcc:NonControlledAffiliateSecurityMember2022-01-012022-09-300001326003bkcc:WarrantsToPurchaseMembershipUnitsMemberbkcc:Capi</w:t>
      </w:r>
      <w:r>
        <w:rPr>
          <w:rFonts w:eastAsia="Times New Roman"/>
          <w:vanish/>
        </w:rPr>
        <w:t>talMarketsMemberus-gaap:EquitySecuritiesMember2021-12-310001326003bkcc:HealthCareTechnologyMemberus-gaap:DebtSecuritiesMemberbkcc:FirstLienRevolverMemberbkcc:SemiannuallyLIBORMemberbkcc:ESOSolutionsIncMember2021-12-310001326003us-gaap:DebtSecuritiesMemberb</w:t>
      </w:r>
      <w:r>
        <w:rPr>
          <w:rFonts w:eastAsia="Times New Roman"/>
          <w:vanish/>
        </w:rPr>
        <w:t>kcc:HotelsRestaurantsAndLeisureMemberbkcc:QuarterlySOFRMemberbkcc:FirstLienRevolverMemberbkcc:OcmLuxembourgBaccaratBidcoSARLInterblockSloveniaMember2022-09-300001326003bkcc:InvestmentAdvisorExpensesMember2021-07-012021-09-300001326003bkcc:PreIncentiveFeeNe</w:t>
      </w:r>
      <w:r>
        <w:rPr>
          <w:rFonts w:eastAsia="Times New Roman"/>
          <w:vanish/>
        </w:rPr>
        <w:t>tInvestmentIncomeBetweenOnePointSevenFiveAndTwoPointOneTwoPercentageOfNetAssetsMember2020-05-022020-05-020001326003us-gaap:FairValueInputsLevel3Member2022-01-012022-09-300001326003bkcc:ControlledAffiliateSecurityMember2022-01-012022-09-300001326003bkcc:Fin</w:t>
      </w:r>
      <w:r>
        <w:rPr>
          <w:rFonts w:eastAsia="Times New Roman"/>
          <w:vanish/>
        </w:rPr>
        <w:t>ancialForceComIncMemberbkcc:WarrantsToPurchaseSeriesCPreferredStockMemberus-gaap:EquitySecuritiesMemberbkcc:InternetSoftwareAndServicesMember2022-09-300001326003us-gaap:IncomeApproachValuationTechniqueMemberus-gaap:OtherDebtSecuritiesMemberus-gaap:FairValu</w:t>
      </w:r>
      <w:r>
        <w:rPr>
          <w:rFonts w:eastAsia="Times New Roman"/>
          <w:vanish/>
        </w:rPr>
        <w:t>eInputsLevel3Memberus-gaap:MeasurementInputDiscountRateMember2021-12-310001326003bkcc:PicoQuantitativeTradingHoldingsLLCMemberbkcc:WarrantsToPurchaseMembershipUnitsMember2021-01-012021-12-310001326003bkcc:ControlledAffiliateSecurityMemberus-gaap:PreferredS</w:t>
      </w:r>
      <w:r>
        <w:rPr>
          <w:rFonts w:eastAsia="Times New Roman"/>
          <w:vanish/>
        </w:rPr>
        <w:t>tockMemberbkcc:GordonBrothersFinanceCompanyMember2020-12-310001326003us-gaap:MeasurementInputRevenueMultipleMembersrt:MaximumMemberbkcc:BankDebtMemberus-gaap:ValuationTechniqueOptionPricingModelMemberus-gaap:FairValueInputsLevel3Member2021-12-310001326003u</w:t>
      </w:r>
      <w:r>
        <w:rPr>
          <w:rFonts w:eastAsia="Times New Roman"/>
          <w:vanish/>
        </w:rPr>
        <w:t>s-gaap:FairValueInputsLevel1Memberus-gaap:OtherDebtSecuritiesMember2021-12-310001326003bkcc:QuarterlyLIBORMemberus-gaap:MachineryAndEquipmentMemberbkcc:SonnySEnterprisesLLCMemberbkcc:FirstLienDelayedDrawTermLoanMemberus-gaap:DebtSecuritiesMember2021-12-310</w:t>
      </w:r>
      <w:r>
        <w:rPr>
          <w:rFonts w:eastAsia="Times New Roman"/>
          <w:vanish/>
        </w:rPr>
        <w:t>0013260032020-07-012020-09-300001326003us-gaap:MeasurementInputRevenueMultipleMembersrt:MinimumMemberbkcc:MarketComparableCompaniesMemberus-gaap:OtherDebtSecuritiesMemberus-gaap:FairValueInputsLevel3Member2021-12-310001326003bkcc:MetronetSystemsHoldingsLim</w:t>
      </w:r>
      <w:r>
        <w:rPr>
          <w:rFonts w:eastAsia="Times New Roman"/>
          <w:vanish/>
        </w:rPr>
        <w:t>itedLiabilityCompanyMemberbkcc:MonthlyLIBORMemberus-gaap:DebtSecuritiesMemberbkcc:SecondLienDelayedDrawTermLoanMemberbkcc:DiversifiedTelecommunicationServicesMember2022-09-300001326003bkcc:SoftwareMemberbkcc:IntegrateComIncInfinityDataIncMemberbkcc:Quarter</w:t>
      </w:r>
      <w:r>
        <w:rPr>
          <w:rFonts w:eastAsia="Times New Roman"/>
          <w:vanish/>
        </w:rPr>
        <w:t>lyLIBORMemberus-gaap:DebtSecuritiesMemberbkcc:FirstLienRevolverMember2021-12-310001326003bkcc:ControlledAffiliateSecurityMemberus-gaap:UnsecuredDebtMemberbkcc:GordonBrothersFinanceCompanyMember2022-01-012022-09-300001326003bkcc:AdvantageInsuranceIncMemberu</w:t>
      </w:r>
      <w:r>
        <w:rPr>
          <w:rFonts w:eastAsia="Times New Roman"/>
          <w:vanish/>
        </w:rPr>
        <w:t>s-gaap:SeriesBPreferredStockMemberbkcc:NonControlledAffiliateSecurityMember2020-12-310001326003bkcc:ConstructionAndEngineeringMemberus-gaap:DebtSecuritiesMember2021-12-310001326003us-gaap:EquitySecuritiesMemberus-gaap:MeasurementInputRevenueMultipleMemberb</w:t>
      </w:r>
      <w:r>
        <w:rPr>
          <w:rFonts w:eastAsia="Times New Roman"/>
          <w:vanish/>
        </w:rPr>
        <w:t>kcc:MarketComparableCompaniesMemberus-gaap:FairValueInputsLevel3Member2022-09-300001326003bkcc:MonthlyLIBORMemberbkcc:AstraAcquisitionCorpMemberus-gaap:DebtSecuritiesMemberbkcc:SecondLienTermLoanMemberbkcc:InternetSoftwareAndServicesMember2021-12-310001326</w:t>
      </w:r>
      <w:r>
        <w:rPr>
          <w:rFonts w:eastAsia="Times New Roman"/>
          <w:vanish/>
        </w:rPr>
        <w:t>003bkcc:FirstLienTermLoanMemberbkcc:SoftwareMemberbkcc:QuarterlyLIBORMemberbkcc:SyntellisPerformanceSolutionsIncAxiomSoftwareMemberus-gaap:DebtSecuritiesMember2021-12-310001326003bkcc:BankDebtMemberus-gaap:ValuationTechniqueOptionPricingModelMemberus-gaap:</w:t>
      </w:r>
      <w:r>
        <w:rPr>
          <w:rFonts w:eastAsia="Times New Roman"/>
          <w:vanish/>
        </w:rPr>
        <w:t>FairValueInputsLevel3Memberbkcc:MeasurementInputImpliedVolatilityMember2021-12-310001326003bkcc:NonControlledAffiliateSecurityMemberbkcc:AGYEquityLLCMemberus-gaap:PreferredClassBMember2022-01-012022-09-300001326003bkcc:NonControlledAffiliateSecurityMemberb</w:t>
      </w:r>
      <w:r>
        <w:rPr>
          <w:rFonts w:eastAsia="Times New Roman"/>
          <w:vanish/>
        </w:rPr>
        <w:t>kcc:AGYEquityLLCMemberus-gaap:PreferredClassAMember2022-09-300001326003us-gaap:TreasuryStockMember2021-09-300001326003us-gaap:GeographicConcentrationRiskMembercountry:SIbkcc:InvestmentsAtFairValueMember2022-01-012022-09-300001326003us-gaap:CommonStockMembe</w:t>
      </w:r>
      <w:r>
        <w:rPr>
          <w:rFonts w:eastAsia="Times New Roman"/>
          <w:vanish/>
        </w:rPr>
        <w:t>r2022-06-300001326003bkcc:FirstLienTermLoanMemberbkcc:CommercialServicesAndSuppliesMemberbkcc:PuebloMechanicalAndControlsLLCMemberus-gaap:DebtSecuritiesMemberbkcc:QuarterlySOFRMember2022-09-300001326003us-gaap:CommonStockMemberbkcc:DiversifiedFinancialServ</w:t>
      </w:r>
      <w:r>
        <w:rPr>
          <w:rFonts w:eastAsia="Times New Roman"/>
          <w:vanish/>
        </w:rPr>
        <w:t>icesMemberus-gaap:EquitySecuritiesMember2021-12-3100013260032020-04-012020-06-300001326003bkcc:DiversifiedConsumerServicesMemberbkcc:IndustryConcentrationRiskMemberbkcc:InvestmentsAtFairValueMember2022-01-012022-09-300001326003bkcc:CommercialServicesAndSup</w:t>
      </w:r>
      <w:r>
        <w:rPr>
          <w:rFonts w:eastAsia="Times New Roman"/>
          <w:vanish/>
        </w:rPr>
        <w:t>pliesMemberus-gaap:DebtSecuritiesMember2022-09-300001326003bkcc:ControlledAffiliateSecurityMemberus-gaap:UnsecuredDebtMemberbkcc:GordonBrothersFinanceCompanyMember2022-09-300001326003us-gaap:IncomeApproachValuationTechniqueMembersrt:MaximumMemberbkcc:BankD</w:t>
      </w:r>
      <w:r>
        <w:rPr>
          <w:rFonts w:eastAsia="Times New Roman"/>
          <w:vanish/>
        </w:rPr>
        <w:t>ebtMemberus-gaap:FairValueInputsLevel3Memberus-gaap:MeasurementInputDiscountRateMember2021-12-310001326003bkcc:SeniorSecuredLoanFirstLienMemberbkcc:AdvancedLightingTechnologiesLLCMemberbkcc:NonControlledAffiliateSecurityMember2021-12-310001326003bkcc:Limit</w:t>
      </w:r>
      <w:r>
        <w:rPr>
          <w:rFonts w:eastAsia="Times New Roman"/>
          <w:vanish/>
        </w:rPr>
        <w:t>edLiabilityCoInterestMemberbkcc:KemmererHoldingsLLCWMLPMemberbkcc:NonControlledAffiliateSecurityMember2022-09-300001326003bkcc:ProfessionalServicesMemberus-gaap:DebtSecuritiesMember2021-12-310001326003bkcc:BankDebtMemberus-gaap:FairValueInputsLevel3Member2</w:t>
      </w:r>
      <w:r>
        <w:rPr>
          <w:rFonts w:eastAsia="Times New Roman"/>
          <w:vanish/>
        </w:rPr>
        <w:t>021-12-310001326003us-gaap:IncomeApproachValuationTechniqueMembersrt:MaximumMemberus-gaap:OtherDebtSecuritiesMemberus-gaap:FairValueInputsLevel3Memberus-gaap:MeasurementInputDiscountRateMember2021-12-310001326003us-gaap:CommonClassCMemberbkcc:NonControlled</w:t>
      </w:r>
      <w:r>
        <w:rPr>
          <w:rFonts w:eastAsia="Times New Roman"/>
          <w:vanish/>
        </w:rPr>
        <w:t>AffiliateSecurityMemberbkcc:AGYEquityLLCMember2022-09-300001326003bkcc:RisksRelatedToInflationMember2022-01-012022-09-300001326003bkcc:UnsecuredSeniorNotesDueTwoThousandTwentyFiveMemberbkcc:TrancheOneMember2022-01-012022-09-300001326003us-gaap:TreasuryStoc</w:t>
      </w:r>
      <w:r>
        <w:rPr>
          <w:rFonts w:eastAsia="Times New Roman"/>
          <w:vanish/>
        </w:rPr>
        <w:t>kMember2022-09-300001326003us-gaap:MeasurementInputEbitdaMultipleMemberbkcc:BankDebtMemberbkcc:MarketComparableCompaniesMemberus-gaap:FairValueInputsLevel3Member2021-12-310001326003bkcc:AdvantageInsuranceIncMemberus-gaap:PreferredStockMemberbkcc:NonControl</w:t>
      </w:r>
      <w:r>
        <w:rPr>
          <w:rFonts w:eastAsia="Times New Roman"/>
          <w:vanish/>
        </w:rPr>
        <w:t>ledAffiliateSecurityMember2021-01-012021-12-310001326003bkcc:SoftwareMemberbkcc:QuarterlyLIBORMemberbkcc:ArasCorporationMemberus-gaap:DebtSecuritiesMemberbkcc:FirstLienRevolverMember2021-12-310001326003us-gaap:CommonStockMember2022-04-012022-06-30000132600</w:t>
      </w:r>
      <w:r>
        <w:rPr>
          <w:rFonts w:eastAsia="Times New Roman"/>
          <w:vanish/>
        </w:rPr>
        <w:t>3us-gaap:RetainedEarningsMember2021-09-300001326003bkcc:IndustryConcentrationRiskMemberbkcc:HotelsRestaurantsAndLeisureMemberbkcc:InvestmentsAtFairValueMember2022-01-012022-09-300001326003us-gaap:RetainedEarningsMember2022-01-012022-03-310001326003bkcc:Tex</w:t>
      </w:r>
      <w:r>
        <w:rPr>
          <w:rFonts w:eastAsia="Times New Roman"/>
          <w:vanish/>
        </w:rPr>
        <w:t>tilesApparelAndLuxuryGoodsMemberus-gaap:DebtSecuritiesMember2022-09-300001326003bkcc:MarchTwoTwoThousandTwentyOneMember2021-01-012021-03-310001326003bkcc:FirstLienTermLoanMemberbkcc:SoftwareMemberbkcc:QuarterlyLIBORMemberus-gaap:DebtSecuritiesMemberbkcc:Se</w:t>
      </w:r>
      <w:r>
        <w:rPr>
          <w:rFonts w:eastAsia="Times New Roman"/>
          <w:vanish/>
        </w:rPr>
        <w:t>pVulcanAcquisitionIncTasktopCanadaMember2021-12-310001326003us-gaap:EquitySecuritiesMemberus-gaap:ValuationTechniqueOptionPricingModelMemberus-gaap:FairValueInputsLevel3Memberbkcc:MeasurementInputImpliedVolatilityMember2021-12-310001326003bkcc:QuarterlyLIB</w:t>
      </w:r>
      <w:r>
        <w:rPr>
          <w:rFonts w:eastAsia="Times New Roman"/>
          <w:vanish/>
        </w:rPr>
        <w:t>ORMemberbkcc:ApprissHealthLLCPatientPingMemberbkcc:HealthCareTechnologyMemberus-gaap:DebtSecuritiesMemberbkcc:FirstLienRevolverMember2021-12-310001326003bkcc:FirstLienTermLoanMemberbkcc:ColonyDisplayLLCMemberus-gaap:DebtSecuritiesMemberbkcc:SemiannuallySOF</w:t>
      </w:r>
      <w:r>
        <w:rPr>
          <w:rFonts w:eastAsia="Times New Roman"/>
          <w:vanish/>
        </w:rPr>
        <w:t>RMemberbkcc:DistributorsMember2022-09-300001326003us-gaap:DebtSecuritiesMemberbkcc:DiversifiedFinancialServicesMember2022-09-3000013260032020-09-302020-09-300001326003us-gaap:CommonClassCMemberbkcc:NonControlledAffiliateSecurityMemberbkcc:AGYEquityLLCMembe</w:t>
      </w:r>
      <w:r>
        <w:rPr>
          <w:rFonts w:eastAsia="Times New Roman"/>
          <w:vanish/>
        </w:rPr>
        <w:t>r2022-01-012022-09-300001326003us-gaap:EquitySecuritiesMembersrt:MinimumMemberus-gaap:ValuationTechniqueOptionPricingModelMemberus-gaap:FairValueInputsLevel3Memberbkcc:MeasurementInputImpliedVolatilityMember2021-12-310001326003bkcc:OilGasAndConsumableFuels</w:t>
      </w:r>
      <w:r>
        <w:rPr>
          <w:rFonts w:eastAsia="Times New Roman"/>
          <w:vanish/>
        </w:rPr>
        <w:t>Memberus-gaap:EquitySecuritiesMember2021-12-310001326003bkcc:SoftwareMemberbkcc:ZilliantIncorporatedMemberus-gaap:DebtSecuritiesMemberbkcc:FirstLienRevolverMemberbkcc:SemiannuallyLIBORMember2022-09-300001326003bkcc:SeniorSecuredRevolvingCreditFacilityMembe</w:t>
      </w:r>
      <w:r>
        <w:rPr>
          <w:rFonts w:eastAsia="Times New Roman"/>
          <w:vanish/>
        </w:rPr>
        <w:t>rsrt:MaximumMemberus-gaap:BaseRateMember2021-01-012021-12-310001326003bkcc:GreyOrangeIncorporatedMemberbkcc:FirstLienTermLoanMemberbkcc:SoftwareMemberus-gaap:DebtSecuritiesMemberbkcc:SemiannuallySOFRMember2022-09-300001326003bkcc:NonControlledAffiliateSecu</w:t>
      </w:r>
      <w:r>
        <w:rPr>
          <w:rFonts w:eastAsia="Times New Roman"/>
          <w:vanish/>
        </w:rPr>
        <w:t>rityMemberbkcc:AGYEquityLLCMemberus-gaap:PreferredClassBMember2021-01-012021-12-310001326003bkcc:WarrantsToPurchaseCommonStockMemberbkcc:GreyOrangeInternationalIncMember2022-01-012022-09-300001326003bkcc:FirstLienTermLoanMemberbkcc:SoftwareMemberbkcc:Quart</w:t>
      </w:r>
      <w:r>
        <w:rPr>
          <w:rFonts w:eastAsia="Times New Roman"/>
          <w:vanish/>
        </w:rPr>
        <w:t>erlyLIBORMemberus-gaap:DebtSecuritiesMemberbkcc:SEPRaptorAcquisitionIncMember2022-09-300001326003bkcc:InvestmentAdvisorExpensesMember2021-01-012021-09-300001326003bkcc:HealthCareProvidersAndServicesMemberus-gaap:DebtSecuritiesMemberbkcc:OpcoBorrowerLimited</w:t>
      </w:r>
      <w:r>
        <w:rPr>
          <w:rFonts w:eastAsia="Times New Roman"/>
          <w:vanish/>
        </w:rPr>
        <w:t>LiabilityCompanyGivingHomeHealthCareMemberbkcc:FirstLienRevolverMemberbkcc:MonthlySOFRMember2022-09-300001326003bkcc:FirstLienTermLoanMemberbkcc:BackofficeAssociatesHoldingsLLCSynitiMemberbkcc:SoftwareMemberus-gaap:DebtSecuritiesMemberbkcc:SemiannuallyLIBO</w:t>
      </w:r>
      <w:r>
        <w:rPr>
          <w:rFonts w:eastAsia="Times New Roman"/>
          <w:vanish/>
        </w:rPr>
        <w:t>RMember2021-12-310001326003us-gaap:FairValueInputsLevel1Memberbkcc:BankDebtMember2022-09-300001326003us-gaap:OtherDebtSecuritiesMember2022-09-300001326003bkcc:IndustryConcentrationRiskMemberbkcc:SoftwareMemberbkcc:InvestmentsAtFairValueMember2021-01-012021</w:t>
      </w:r>
      <w:r>
        <w:rPr>
          <w:rFonts w:eastAsia="Times New Roman"/>
          <w:vanish/>
        </w:rPr>
        <w:t>-12-310001326003bkcc:ConstructionAndEngineeringMemberbkcc:IndustryConcentrationRiskMemberbkcc:InvestmentsAtFairValueMember2021-01-012021-12-310001326003us-gaap:TreasuryStockMember2021-06-300001326003bkcc:ControlledAffiliatedInvestmentsMember2021-12-3100013</w:t>
      </w:r>
      <w:r>
        <w:rPr>
          <w:rFonts w:eastAsia="Times New Roman"/>
          <w:vanish/>
        </w:rPr>
        <w:t>26003bkcc:ControlledInvestmentMember2021-01-012021-09-300001326003bkcc:FirstLienTermLoanMemberbkcc:ColonyDisplayLLCMemberbkcc:QuarterlyLIBORMemberus-gaap:DebtSecuritiesMemberbkcc:DistributorsMember2021-12-310001326003bkcc:DiversifiedTelecommunicationServic</w:t>
      </w:r>
      <w:r>
        <w:rPr>
          <w:rFonts w:eastAsia="Times New Roman"/>
          <w:vanish/>
        </w:rPr>
        <w:t>esMemberbkcc:IndustryConcentrationRiskMemberbkcc:InvestmentsAtFairValueMember2022-01-012022-09-300001326003bkcc:ControlledInvestmentMember2022-01-012022-09-300001326003bkcc:MonthlyLIBORMemberbkcc:BlackbirdPurchaserIncOhioTransmissionCorpMemberus-gaap:DebtS</w:t>
      </w:r>
      <w:r>
        <w:rPr>
          <w:rFonts w:eastAsia="Times New Roman"/>
          <w:vanish/>
        </w:rPr>
        <w:t>ecuritiesMemberbkcc:TradingCompaniesAndDistributorsMemberbkcc:SecondLienTermLoanMember2022-09-300001326003srt:MaximumMember2020-05-020001326003bkcc:CashAndInvestmentMember2022-09-300001326003bkcc:MonthlyLIBORMemberbkcc:OasisFinancialLLCMemberus-gaap:DebtSe</w:t>
      </w:r>
      <w:r>
        <w:rPr>
          <w:rFonts w:eastAsia="Times New Roman"/>
          <w:vanish/>
        </w:rPr>
        <w:t>curitiesMemberbkcc:DiversifiedFinancialServicesMemberbkcc:SecondLienTermLoanMember2021-12-310001326003bkcc:FirstLienDelayedDrawTermLoanMemberbkcc:UnanetIncMemberbkcc:AerospaceAndDefenseMemberus-gaap:DebtSecuritiesMember2022-09-300001326003bkcc:DelayedDrawT</w:t>
      </w:r>
      <w:r>
        <w:rPr>
          <w:rFonts w:eastAsia="Times New Roman"/>
          <w:vanish/>
        </w:rPr>
        <w:t>ermLoanFirstLienMemberbkcc:KemmererHoldingsLLCWMLPMemberbkcc:NonControlledAffiliateSecurityMember2022-09-300001326003bkcc:FirstLienTermLoanMemberbkcc:ConsumerFinanceMemberbkcc:BarriFinancialGroupLLCMemberbkcc:MonthlyLIBORMemberus-gaap:DebtSecuritiesMember2</w:t>
      </w:r>
      <w:r>
        <w:rPr>
          <w:rFonts w:eastAsia="Times New Roman"/>
          <w:vanish/>
        </w:rPr>
        <w:t>021-12-310001326003bkcc:MonthlyLIBORMemberbkcc:UnanetIncMemberus-gaap:DebtSecuritiesMemberbkcc:AerospaceAndDefenseMemberbkcc:FirstLienRevolverMember2022-09-300001326003bkcc:ControlledAffiliateSecurityMemberbkcc:FirstBostonConstructionHoldingsLLCMemberbkcc:</w:t>
      </w:r>
      <w:r>
        <w:rPr>
          <w:rFonts w:eastAsia="Times New Roman"/>
          <w:vanish/>
        </w:rPr>
        <w:t>LimitedLiabilityCoInterestMember2020-12-310001326003bkcc:FirstLienLastOutTermLoanMemberbkcc:RoadAndRailMemberbkcc:QuarterlyLIBORMemberus-gaap:DebtSecuritiesMemberbkcc:StGeorgeWarehousingTruckingCoOfCaliforniaIncMember2021-12-310001326003bkcc:DiversifiedCon</w:t>
      </w:r>
      <w:r>
        <w:rPr>
          <w:rFonts w:eastAsia="Times New Roman"/>
          <w:vanish/>
        </w:rPr>
        <w:t>sumerServicesMemberbkcc:WarrantsToPurchaseCommonStockMemberus-gaap:EquitySecuritiesMemberbkcc:ElevateBrandsHoldcoIncMember2022-09-300001326003bkcc:StitchHoldingsLPMemberbkcc:LimitedPartnershipOrLimitedLiabilityCompanyInterestsMemberbkcc:HouseholdDurablesMe</w:t>
      </w:r>
      <w:r>
        <w:rPr>
          <w:rFonts w:eastAsia="Times New Roman"/>
          <w:vanish/>
        </w:rPr>
        <w:t>mberus-gaap:EquitySecuritiesMember2022-09-300001326003bkcc:TwoThousandAndTwentyFivePrivatePlacementNotesMember2022-09-300001326003bkcc:PicoQuantitativeTradingHoldingsLLCMemberbkcc:WarrantsToPurchaseMembershipUnitsMember2022-01-012022-09-300001326003us-gaap</w:t>
      </w:r>
      <w:r>
        <w:rPr>
          <w:rFonts w:eastAsia="Times New Roman"/>
          <w:vanish/>
        </w:rPr>
        <w:t>:MeasurementInputRevenueMultipleMemberbkcc:BankDebtMembersrt:MinimumMemberus-gaap:ValuationTechniqueOptionPricingModelMemberus-gaap:FairValueInputsLevel3Member2021-12-310001326003bkcc:FirstLienTermLoanMemberbkcc:CommercialServicesAndSuppliesMemberus-gaap:D</w:t>
      </w:r>
      <w:r>
        <w:rPr>
          <w:rFonts w:eastAsia="Times New Roman"/>
          <w:vanish/>
        </w:rPr>
        <w:t>ebtSecuritiesMemberbkcc:KellermeyerBergensonsServicesLLCMemberbkcc:SemiannuallyLIBORMember2021-12-310001326003bkcc:FloatingRateMemberbkcc:SeniorSecuredLoansMember2021-12-310001326003us-gaap:CommonStockMember2021-12-310001326003bkcc:NonControlledAffiliateSe</w:t>
      </w:r>
      <w:r>
        <w:rPr>
          <w:rFonts w:eastAsia="Times New Roman"/>
          <w:vanish/>
        </w:rPr>
        <w:t>curityMemberbkcc:AGYEquityLLCMemberus-gaap:PreferredClassBMember2022-09-300001326003bkcc:LimitedPartnershipOrLimitedLiabilityCompanyInterestsMemberbkcc:MarsicoHoldingsLLCMember2022-01-012022-09-300001326003bkcc:IndustryConcentrationRiskMemberbkcc:TobaccoRe</w:t>
      </w:r>
      <w:r>
        <w:rPr>
          <w:rFonts w:eastAsia="Times New Roman"/>
          <w:vanish/>
        </w:rPr>
        <w:t>latedMemberbkcc:InvestmentsAtFairValueMember2021-01-012021-12-310001326003bkcc:WarrantsToPurchaseSeriesDStockMemberbkcc:DiversifiedFinancialServicesMemberus-gaap:EquitySecuritiesMember2021-12-310001326003bkcc:MetalsAndMiningMemberbkcc:KemmererHoldingsLLCWM</w:t>
      </w:r>
      <w:r>
        <w:rPr>
          <w:rFonts w:eastAsia="Times New Roman"/>
          <w:vanish/>
        </w:rPr>
        <w:t>LPMemberus-gaap:EquitySecuritiesMember2022-09-300001326003bkcc:SeniorSecuredRevolvingCreditFacilityMember2021-01-012021-12-310001326003bkcc:ReimbursementExpensesMember2022-07-012022-09-300001326003bkcc:RealEstateManagementAndDevelopmentMemberbkcc:FirstLien</w:t>
      </w:r>
      <w:r>
        <w:rPr>
          <w:rFonts w:eastAsia="Times New Roman"/>
          <w:vanish/>
        </w:rPr>
        <w:t>DelayedDrawTermLoanMemberus-gaap:DebtSecuritiesMemberbkcc:MonthlySOFRMemberbkcc:GreystoneSelectCompanyIILLCMember2022-09-300001326003bkcc:StitchHoldingsLPMemberbkcc:LimitedPartnershipOrLimitedLiabilityCompanyInterestsMemberbkcc:HouseholdDurablesMemberus-ga</w:t>
      </w:r>
      <w:r>
        <w:rPr>
          <w:rFonts w:eastAsia="Times New Roman"/>
          <w:vanish/>
        </w:rPr>
        <w:t>ap:EquitySecuritiesMember2021-12-310001326003us-gaap:EquitySecuritiesMemberus-gaap:ValuationTechniqueOptionPricingModelMemberus-gaap:FairValueInputsLevel3Memberbkcc:MeasurementInputEBITDAOrRevenueMultiplesMember2022-09-300001326003us-gaap:DebtSecuritiesMem</w:t>
      </w:r>
      <w:r>
        <w:rPr>
          <w:rFonts w:eastAsia="Times New Roman"/>
          <w:vanish/>
        </w:rPr>
        <w:t>berbkcc:DiversifiedFinancialServicesMember2021-12-310001326003bkcc:SeniorSecuredLoanFirstLienMemberbkcc:AdvancedLightingTechnologiesLLCMemberbkcc:NonControlledAffiliateSecurityMember2021-01-012021-12-310001326003bkcc:BluefinHoldingLLCBlackMountainMemberbkc</w:t>
      </w:r>
      <w:r>
        <w:rPr>
          <w:rFonts w:eastAsia="Times New Roman"/>
          <w:vanish/>
        </w:rPr>
        <w:t>c:SoftwareMemberbkcc:QuarterlyLIBORMemberus-gaap:DebtSecuritiesMemberbkcc:SecondLienTermLoanMember2021-12-310001326003bkcc:FivePointZeroZeroPercentConvertibleNotesDueTwoThousandTwentyTwoMember2017-06-130001326003bkcc:HealthCareProvidersAndServicesMemberbkc</w:t>
      </w:r>
      <w:r>
        <w:rPr>
          <w:rFonts w:eastAsia="Times New Roman"/>
          <w:vanish/>
        </w:rPr>
        <w:t>c:QuarterlyLIBORMemberbkcc:FirstLienDelayedDrawTermLoanMemberus-gaap:DebtSecuritiesMemberbkcc:TempusLLCEpicStaffingMember2021-12-310001326003us-gaap:CommonStockMember2020-12-310001326003bkcc:DiversifiedFinancialServicesMemberbkcc:IndustryConcentrationRiskM</w:t>
      </w:r>
      <w:r>
        <w:rPr>
          <w:rFonts w:eastAsia="Times New Roman"/>
          <w:vanish/>
        </w:rPr>
        <w:t>emberbkcc:InvestmentsAtFairValueMember2022-01-012022-09-300001326003bkcc:WarrantsToPurchaseSeriesEStockMemberbkcc:DiversifiedFinancialServicesMemberus-gaap:EquitySecuritiesMemberbkcc:WorldremitGroupLimitedUnitedKingdomMember2021-12-310001326003bkcc:Textile</w:t>
      </w:r>
      <w:r>
        <w:rPr>
          <w:rFonts w:eastAsia="Times New Roman"/>
          <w:vanish/>
        </w:rPr>
        <w:t>sApparelAndLuxuryGoodsMemberus-gaap:DebtSecuritiesMember2021-12-310001326003us-gaap:TreasuryStockMembersrt:CumulativeEffectPeriodOfAdoptionAdjustmentMember2022-01-012022-03-310001326003us-gaap:MeasurementInputEbitdaMultipleMemberus-gaap:EquitySecuritiesMem</w:t>
      </w:r>
      <w:r>
        <w:rPr>
          <w:rFonts w:eastAsia="Times New Roman"/>
          <w:vanish/>
        </w:rPr>
        <w:t>bersrt:MaximumMemberbkcc:MarketComparableCompaniesMemberus-gaap:FairValueInputsLevel3Member2021-12-310001326003bkcc:FirstLienTermLoanMemberbkcc:PluralsightIncMemberus-gaap:DebtSecuritiesMemberbkcc:InternetSoftwareAndServicesMemberbkcc:SemiannuallyLIBORMemb</w:t>
      </w:r>
      <w:r>
        <w:rPr>
          <w:rFonts w:eastAsia="Times New Roman"/>
          <w:vanish/>
        </w:rPr>
        <w:t>er2021-12-310001326003bkcc:OilGasAndConsumableFuelsMemberbkcc:TrailblazerEnergyResourcesLimitedLiabilityCompanyMemberus-gaap:EquitySecuritiesMember2022-09-300001326003bkcc:FirstLienTermLoanMemberbkcc:RevealDataCorporationEtAlMemberus-gaap:DebtSecuritiesMem</w:t>
      </w:r>
      <w:r>
        <w:rPr>
          <w:rFonts w:eastAsia="Times New Roman"/>
          <w:vanish/>
        </w:rPr>
        <w:t>berbkcc:MonthlySOFRMemberbkcc:InternetSoftwareAndServicesMember2022-09-300001326003bkcc:FirstLienTermLoanMemberbkcc:JuulLabsIncMemberbkcc:QuarterlyLIBORMemberbkcc:TobaccoRelatedMemberus-gaap:DebtSecuritiesMember2021-12-310001326003us-gaap:DebtSecuritiesMem</w:t>
      </w:r>
      <w:r>
        <w:rPr>
          <w:rFonts w:eastAsia="Times New Roman"/>
          <w:vanish/>
        </w:rPr>
        <w:t>berbkcc:TradingCompaniesAndDistributorsMember2022-09-300001326003bkcc:SoftwareMemberbkcc:QuarterlyLIBORMemberbkcc:FirstLienDelayedDrawTermLoanMemberus-gaap:DebtSecuritiesMemberbkcc:CyberGrantsHoldingsLLCMember2022-09-3000013260032021-01-012021-03-310001326</w:t>
      </w:r>
      <w:r>
        <w:rPr>
          <w:rFonts w:eastAsia="Times New Roman"/>
          <w:vanish/>
        </w:rPr>
        <w:t>0032022-03-310001326003bkcc:ControlledAffiliateSecurityMember2022-09-300001326003bkcc:UnsecuredSeniorNotesDueTwoThousandTwentyFiveMemberbkcc:TrancheTwoMember2022-01-012022-09-300001326003bkcc:DiversifiedConsumerServicesMemberbkcc:MonthlyLIBORMemberus-gaap:</w:t>
      </w:r>
      <w:r>
        <w:rPr>
          <w:rFonts w:eastAsia="Times New Roman"/>
          <w:vanish/>
        </w:rPr>
        <w:t>DebtSecuritiesMemberbkcc:FirstLienIncrementalTermLoanMemberbkcc:WheleLLCPerchMember2022-09-300001326003bkcc:ICIMSIncMemberbkcc:ProfessionalServicesMemberus-gaap:DebtSecuritiesMemberbkcc:QuarterlySOFRMemberbkcc:FirstLienRevolverMember2022-09-300001326003bkc</w:t>
      </w:r>
      <w:r>
        <w:rPr>
          <w:rFonts w:eastAsia="Times New Roman"/>
          <w:vanish/>
        </w:rPr>
        <w:t>c:FirstLienTermLoanMemberbkcc:BackofficeAssociatesHoldingsLLCSynitiMemberbkcc:SoftwareMemberus-gaap:DebtSecuritiesMemberbkcc:QuarterlySOFRMember2022-09-300001326003bkcc:FirstLienTermLoanMemberbkcc:TextilesApparelAndLuxuryGoodsMemberbkcc:JamesPerseEnterpris</w:t>
      </w:r>
      <w:r>
        <w:rPr>
          <w:rFonts w:eastAsia="Times New Roman"/>
          <w:vanish/>
        </w:rPr>
        <w:t>esIncMemberus-gaap:DebtSecuritiesMemberbkcc:SemiannuallyLIBORMember2021-12-310001326003bkcc:BlackbirdPurchaserIncOhioTransmissionCorpMemberus-gaap:EquitySecuritiesMember2021-12-310001326003bkcc:IndustryConcentrationRiskMemberus-gaap:HealthcareSectorMemberb</w:t>
      </w:r>
      <w:r>
        <w:rPr>
          <w:rFonts w:eastAsia="Times New Roman"/>
          <w:vanish/>
        </w:rPr>
        <w:t>kcc:InvestmentsAtFairValueMember2022-01-012022-09-300001326003bkcc:WarrantsToPurchasePreferredSeriesA1SharesMemberbkcc:RazorGroupGmbHGermanyMember2022-01-012022-09-300001326003us-gaap:MeasurementInputEbitdaMultipleMemberus-gaap:EquitySecuritiesMemberbkcc:M</w:t>
      </w:r>
      <w:r>
        <w:rPr>
          <w:rFonts w:eastAsia="Times New Roman"/>
          <w:vanish/>
        </w:rPr>
        <w:t>arketComparableCompaniesMemberus-gaap:FairValueInputsLevel3Member2022-09-300001326003us-gaap:CashMemberbkcc:SoftwareMemberbkcc:RhodeHoldingsIncKaseyaMemberbkcc:FirstLienDelayedDrawTermLoanMemberbkcc:QuarterlyLIBORMemberus-gaap:DebtSecuritiesMember2021-12-3</w:t>
      </w:r>
      <w:r>
        <w:rPr>
          <w:rFonts w:eastAsia="Times New Roman"/>
          <w:vanish/>
        </w:rPr>
        <w:t>10001326003bkcc:SoftwareMemberbkcc:QuarterlyLIBORMemberus-gaap:DebtSecuritiesMemberbkcc:CyberGrantsHoldingsLLCMemberbkcc:FirstLienRevolverMember2022-09-300001326003bkcc:DiversifiedFinancialServicesMemberus-gaap:EquitySecuritiesMember2021-12-310001326003us-</w:t>
      </w:r>
      <w:r>
        <w:rPr>
          <w:rFonts w:eastAsia="Times New Roman"/>
          <w:vanish/>
        </w:rPr>
        <w:t>gaap:EquitySecuritiesMembersrt:MaximumMemberus-gaap:ValuationTechniqueOptionPricingModelMemberus-gaap:FairValueInputsLevel3Memberbkcc:MeasurementInputEBITDAOrRevenueMultiplesMember2022-09-300001326003bkcc:UnsecuredDebtSecuritiesMember2022-09-300001326003bk</w:t>
      </w:r>
      <w:r>
        <w:rPr>
          <w:rFonts w:eastAsia="Times New Roman"/>
          <w:vanish/>
        </w:rPr>
        <w:t>cc:FirstLienTermLoanMemberbkcc:HealthCareTechnologyMemberus-gaap:DebtSecuritiesMemberbkcc:ESOSolutionsIncMemberbkcc:SemiannuallyLIBORMember2021-12-310001326003bkcc:AdvantageInsuranceIncMemberus-gaap:SeriesBPreferredStockMemberbkcc:NonControlledAffiliateSec</w:t>
      </w:r>
      <w:r>
        <w:rPr>
          <w:rFonts w:eastAsia="Times New Roman"/>
          <w:vanish/>
        </w:rPr>
        <w:t>urityMember2021-01-012021-12-310001326003us-gaap:EquitySecuritiesMembersrt:MinimumMemberus-gaap:MeasurementInputExpectedTermMemberus-gaap:ValuationTechniqueOptionPricingModelMemberus-gaap:FairValueInputsLevel3Member2022-09-300001326003bkcc:FirstLienTermLoa</w:t>
      </w:r>
      <w:r>
        <w:rPr>
          <w:rFonts w:eastAsia="Times New Roman"/>
          <w:vanish/>
        </w:rPr>
        <w:t>nMemberbkcc:ConstructionAndEngineeringMemberbkcc:QuarterlyLIBORMemberus-gaap:DebtSecuritiesMemberbkcc:SunlandAsphaltAndConstructionLimitedLiabilityCompanyMember2021-12-310001326003bkcc:WarrantsToPurchaseSeriesDStockMemberbkcc:DiversifiedFinancialServicesMe</w:t>
      </w:r>
      <w:r>
        <w:rPr>
          <w:rFonts w:eastAsia="Times New Roman"/>
          <w:vanish/>
        </w:rPr>
        <w:t>mberus-gaap:EquitySecuritiesMemberbkcc:WorldremitGroupLimitedUnitedKingdomMember2021-12-310001326003bkcc:LimitedLiabilityCoInterestMemberbkcc:NonControlledAffiliateSecurityMemberbkcc:AdvancedLightingTechnologiesLLCMember2020-12-310001326003bkcc:HealthCareT</w:t>
      </w:r>
      <w:r>
        <w:rPr>
          <w:rFonts w:eastAsia="Times New Roman"/>
          <w:vanish/>
        </w:rPr>
        <w:t>echnologyMemberus-gaap:DebtSecuritiesMember2021-12-310001326003bkcc:FirstLienTermLoanMemberbkcc:SoftwareMemberbkcc:FusionRiskManagementIncMemberus-gaap:DebtSecuritiesMemberbkcc:QuarterlySOFRMember2022-09-300001326003bkcc:SeniorSecuredLoanFirstLienMemberbkc</w:t>
      </w:r>
      <w:r>
        <w:rPr>
          <w:rFonts w:eastAsia="Times New Roman"/>
          <w:vanish/>
        </w:rPr>
        <w:t>c:KemmererOperationsLLCWMLPMemberbkcc:NonControlledAffiliateSecurityMember2021-12-310001326003bkcc:MonthlyLIBORMemberbkcc:ProfessionalServicesMemberbkcc:FirstLienDelayedDrawTermLoanMemberus-gaap:DebtSecuritiesMemberbkcc:TLEHoldingsLLCMember2022-09-30000132</w:t>
      </w:r>
      <w:r>
        <w:rPr>
          <w:rFonts w:eastAsia="Times New Roman"/>
          <w:vanish/>
        </w:rPr>
        <w:t>6003us-gaap:CommonClassCMemberbkcc:NonControlledAffiliateSecurityMemberbkcc:AGYEquityLLCMember2021-12-310001326003us-gaap:RetainedEarningsMember2021-04-012021-06-300001326003bkcc:AprilTwentySevenTwoThousandTwentyTwoMember2022-04-012022-06-300001326003bkcc:</w:t>
      </w:r>
      <w:r>
        <w:rPr>
          <w:rFonts w:eastAsia="Times New Roman"/>
          <w:vanish/>
        </w:rPr>
        <w:t>FirstLienTermLoanMemberbkcc:DiversifiedConsumerServicesMemberbkcc:SellerXGermanyGmbHCoKgGermanyMemberbkcc:QuarterlyLIBORMemberus-gaap:DebtSecuritiesMember2021-12-3100013260032021-06-300001326003us-gaap:CommonStockMember2022-09-300001326003us-gaap:Additiona</w:t>
      </w:r>
      <w:r>
        <w:rPr>
          <w:rFonts w:eastAsia="Times New Roman"/>
          <w:vanish/>
        </w:rPr>
        <w:t>lPaidInCapitalMember2022-09-300001326003bkcc:QuarterlyLIBORMemberbkcc:BWHoldingIncBrookWhittleMemberus-gaap:DebtSecuritiesMemberbkcc:SecondLienDelayedDrawTermLoanMemberbkcc:ContainersAndPackagingMember2021-12-310001326003bkcc:FirstLienTermLoanMemberbkcc:Mo</w:t>
      </w:r>
      <w:r>
        <w:rPr>
          <w:rFonts w:eastAsia="Times New Roman"/>
          <w:vanish/>
        </w:rPr>
        <w:t>nthlyLIBORMemberbkcc:SoftwareMemberus-gaap:DebtSecuritiesMemberbkcc:AerospikeIncMember2022-09-3000013260032020-06-302020-06-300001326003bkcc:IndustryConcentrationRiskMemberbkcc:HealthCareEquipmentAndSuppliesMemberbkcc:InvestmentsAtFairValueMember2022-01-01</w:t>
      </w:r>
      <w:r>
        <w:rPr>
          <w:rFonts w:eastAsia="Times New Roman"/>
          <w:vanish/>
        </w:rPr>
        <w:t>2022-09-300001326003bkcc:CommercialServicesAndSuppliesMemberbkcc:IndustryConcentrationRiskMemberbkcc:InvestmentsAtFairValueMember2022-01-012022-09-300001326003us-gaap:AdditionalPaidInCapitalMember2021-06-300001326003bkcc:ControlledAffiliateSecurityMemberus</w:t>
      </w:r>
      <w:r>
        <w:rPr>
          <w:rFonts w:eastAsia="Times New Roman"/>
          <w:vanish/>
        </w:rPr>
        <w:t>-gaap:CommonStockMemberbkcc:GordonBrothersFinanceCompanyMember2021-12-310001326003bkcc:SailpointTechnologiesHoldingsIncMemberus-gaap:DebtSecuritiesMemberbkcc:FirstLienRevolverMemberbkcc:MonthlySOFRMemberbkcc:InternetSoftwareAndServicesMember2022-09-3000013</w:t>
      </w:r>
      <w:r>
        <w:rPr>
          <w:rFonts w:eastAsia="Times New Roman"/>
          <w:vanish/>
        </w:rPr>
        <w:t>26003us-gaap:DebtSecuritiesMemberbkcc:SpecialtyRetailMember2021-12-310001326003us-gaap:SubsequentEventMember2022-10-280001326003bkcc:UnsecuredSeniorNotesDueTwoThousandTwentyFiveMemberus-gaap:DebtInstrumentRedemptionPeriodFourMember2022-06-092022-06-0900013</w:t>
      </w:r>
      <w:r>
        <w:rPr>
          <w:rFonts w:eastAsia="Times New Roman"/>
          <w:vanish/>
        </w:rPr>
        <w:t>26003bkcc:FirstLienTermLoanMemberbkcc:SoftwareMemberbkcc:QuarterlyLIBORMemberus-gaap:DebtSecuritiesMemberbkcc:SEPRaptorAcquisitionIncMember2021-12-310001326003us-gaap:CommonStockMember2021-03-310001326003bkcc:ConsumerFinanceMemberbkcc:FreedomFinancialNetwo</w:t>
      </w:r>
      <w:r>
        <w:rPr>
          <w:rFonts w:eastAsia="Times New Roman"/>
          <w:vanish/>
        </w:rPr>
        <w:t>rkFundingLimitedLiabilityCompanyMemberbkcc:FirstLienDelayedDrawTermLoanMemberus-gaap:DebtSecuritiesMemberbkcc:QuarterlySOFRMember2022-09-300001326003bkcc:QuarterlyLIBORMemberbkcc:BWHoldingIncBrookWhittleMemberus-gaap:DebtSecuritiesMemberbkcc:ContainersAndP</w:t>
      </w:r>
      <w:r>
        <w:rPr>
          <w:rFonts w:eastAsia="Times New Roman"/>
          <w:vanish/>
        </w:rPr>
        <w:t>ackagingMemberbkcc:SecondLienTermLoanMember2021-12-310001326003us-gaap:SubordinatedDebtMemberbkcc:ControlledAffiliateSecurityMemberbkcc:FirstBostonConstructionHoldingsLLCMember2020-12-3100013260032021-07-012021-09-300001326003bkcc:FirstLienTermLoanMemberbk</w:t>
      </w:r>
      <w:r>
        <w:rPr>
          <w:rFonts w:eastAsia="Times New Roman"/>
          <w:vanish/>
        </w:rPr>
        <w:t>cc:JobandTalentUSAIncUnitedKingdomMemberbkcc:MonthlyLIBORMemberbkcc:ProfessionalServicesMemberus-gaap:DebtSecuritiesMember2021-12-310001326003bkcc:SeniorSecuredLoansMembersrt:MinimumMemberus-gaap:BaseRateMember2022-09-300001326003bkcc:UnsecuredConvertibleS</w:t>
      </w:r>
      <w:r>
        <w:rPr>
          <w:rFonts w:eastAsia="Times New Roman"/>
          <w:vanish/>
        </w:rPr>
        <w:t>eniorNotesDue2022Member2022-01-012022-09-300001326003us-gaap:EquitySecuritiesMembersrt:MaximumMemberus-gaap:ValuationTechniqueOptionPricingModelMemberus-gaap:FairValueInputsLevel3Memberbkcc:MeasurementInputImpliedVolatilityMember2022-09-300001326003bkcc:So</w:t>
      </w:r>
      <w:r>
        <w:rPr>
          <w:rFonts w:eastAsia="Times New Roman"/>
          <w:vanish/>
        </w:rPr>
        <w:t>ftwareMemberus-gaap:DebtSecuritiesMember2021-12-310001326003bkcc:MBSParentLLCMemberbkcc:MediaMemberbkcc:LimitedPartnershipOrLimitedLiabilityCompanyInterestsMemberus-gaap:EquitySecuritiesMember2022-09-300001326003us-gaap:IncomeApproachValuationTechniqueMemb</w:t>
      </w:r>
      <w:r>
        <w:rPr>
          <w:rFonts w:eastAsia="Times New Roman"/>
          <w:vanish/>
        </w:rPr>
        <w:t>ersrt:MinimumMemberus-gaap:OtherDebtSecuritiesMemberus-gaap:FairValueInputsLevel3Memberus-gaap:MeasurementInputDiscountRateMember2022-09-300001326003us-gaap:FairValueInputsLevel3Member2021-12-3100013260032022-01-012022-09-300001326003us-gaap:AutomobilesMem</w:t>
      </w:r>
      <w:r>
        <w:rPr>
          <w:rFonts w:eastAsia="Times New Roman"/>
          <w:vanish/>
        </w:rPr>
        <w:t>berus-gaap:DebtSecuritiesMember2022-09-300001326003bkcc:EmeraldTechnologiesUSAcquisitioncoIncMemberus-gaap:DebtSecuritiesMemberbkcc:SemiconductorsAndSemiconductorEquipmentMemberbkcc:FirstLienRevolverMemberbkcc:MonthlySOFRMember2022-09-300001326003bkcc:Razo</w:t>
      </w:r>
      <w:r>
        <w:rPr>
          <w:rFonts w:eastAsia="Times New Roman"/>
          <w:vanish/>
        </w:rPr>
        <w:t>rGroupGmbHGermanyTwoMemberbkcc:DiversifiedConsumerServicesMemberbkcc:FixedMemberus-gaap:DebtSecuritiesMemberbkcc:FirstLienSrSecuredConvertibleTermLoanMember2022-09-300001326003bkcc:ChemicalsMemberbkcc:AGYEquityLLCMemberus-gaap:EquitySecuritiesMemberus-gaap</w:t>
      </w:r>
      <w:r>
        <w:rPr>
          <w:rFonts w:eastAsia="Times New Roman"/>
          <w:vanish/>
        </w:rPr>
        <w:t>:PreferredClassBMember2022-09-300001326003bkcc:SoftwareMemberbkcc:KaseyaIncMemberus-gaap:DebtSecuritiesMemberbkcc:SemiannuallySOFRMemberbkcc:FirstLienRevolverMember2022-09-300001326003us-gaap:FairValueInputsLevel3Member2022-09-300001326003bkcc:PicoQuantita</w:t>
      </w:r>
      <w:r>
        <w:rPr>
          <w:rFonts w:eastAsia="Times New Roman"/>
          <w:vanish/>
        </w:rPr>
        <w:t>tiveTradingHoldingsLLCMemberbkcc:CapitalMarketsMemberus-gaap:EquitySecuritiesMember2022-09-300001326003bkcc:LimitedPartnershipOrLimitedLiabilityCompanyInterestsMemberbkcc:CapitalMarketsMemberus-gaap:EquitySecuritiesMember2021-12-310001326003bkcc:TwoThousan</w:t>
      </w:r>
      <w:r>
        <w:rPr>
          <w:rFonts w:eastAsia="Times New Roman"/>
          <w:vanish/>
        </w:rPr>
        <w:t>dAndTwentyFivePrivatePlacementNotesMemberus-gaap:SecuredOvernightFinancingRateSofrOvernightIndexSwapRateMember2022-06-090001326003bkcc:OilGasAndConsumableFuelsMemberbkcc:LimitedPartnershipOrLimitedLiabilityCompanyInterestsMemberbkcc:ETXEnergyManagementComp</w:t>
      </w:r>
      <w:r>
        <w:rPr>
          <w:rFonts w:eastAsia="Times New Roman"/>
          <w:vanish/>
        </w:rPr>
        <w:t>anyLLCMemberus-gaap:EquitySecuritiesMember2021-12-310001326003bkcc:OilGasAndConsumableFuelsMemberus-gaap:EquitySecuritiesMember2022-09-300001326003bkcc:BankDebtMember2021-12-310001326003bkcc:DiversifiedConsumerServicesMemberus-gaap:EquitySecuritiesMemberbk</w:t>
      </w:r>
      <w:r>
        <w:rPr>
          <w:rFonts w:eastAsia="Times New Roman"/>
          <w:vanish/>
        </w:rPr>
        <w:t>cc:WarrantsToPurchasePreferredStockMemberbkcc:ElevateBrandsHoldcoIncMember2022-09-300001326003bkcc:OilGasAndConsumableFuelsMemberbkcc:IndustryConcentrationRiskMemberbkcc:InvestmentsAtFairValueMember2022-01-012022-09-300001326003bkcc:FirstLienTermLoanMember</w:t>
      </w:r>
      <w:r>
        <w:rPr>
          <w:rFonts w:eastAsia="Times New Roman"/>
          <w:vanish/>
        </w:rPr>
        <w:t>bkcc:MetalsAndMiningMemberbkcc:KemmererOperationsLLCWMLPMemberus-gaap:DebtSecuritiesMemberbkcc:FixedMember2022-09-300001326003bkcc:InsuranceMemberbkcc:QuarterlyLIBORMemberus-gaap:DebtSecuritiesMemberbkcc:FirstLienRevolverMemberbkcc:ITParentLLCMember2021-12</w:t>
      </w:r>
      <w:r>
        <w:rPr>
          <w:rFonts w:eastAsia="Times New Roman"/>
          <w:vanish/>
        </w:rPr>
        <w:t>-310001326003bkcc:ConstructionAndEngineeringMemberbkcc:FirstLienDelayedDrawTermLoanMemberus-gaap:DebtSecuritiesMemberbkcc:SunlandAsphaltAndConstructionLimitedLiabilityCompanyMemberbkcc:SemiannuallyLIBORMember2022-09-300001326003bkcc:KemmererOperationsLLCWM</w:t>
      </w:r>
      <w:r>
        <w:rPr>
          <w:rFonts w:eastAsia="Times New Roman"/>
          <w:vanish/>
        </w:rPr>
        <w:t>LPMemberbkcc:LimitedLiabilityCoInterestMemberbkcc:NonControlledAffiliateSecurityMember2022-01-012022-09-300001326003bkcc:FirstLienTermLoanMemberbkcc:ICIMSIncMemberbkcc:ProfessionalServicesMemberus-gaap:DebtSecuritiesMemberbkcc:QuarterlySOFRMember2022-09-30</w:t>
      </w:r>
      <w:r>
        <w:rPr>
          <w:rFonts w:eastAsia="Times New Roman"/>
          <w:vanish/>
        </w:rPr>
        <w:t>0001326003bkcc:IndustryConcentrationRiskMemberbkcc:InvestmentsAtFairValueMember2021-01-012021-12-310001326003bkcc:TwoThousandAndTwentyFivePrivatePlacementNotesMemberbkcc:FixedInterestRateMember2022-06-090001326003bkcc:ElectricalEquipmentMemberbkcc:Quarterl</w:t>
      </w:r>
      <w:r>
        <w:rPr>
          <w:rFonts w:eastAsia="Times New Roman"/>
          <w:vanish/>
        </w:rPr>
        <w:t>yLIBORMemberus-gaap:DebtSecuritiesMemberbkcc:SecondLienSeniorSecuredNotesMemberbkcc:AdvancedLightingTechnologiesLLCMember2022-09-300001326003bkcc:FirstLienTermLoanMemberbkcc:SoftwareMemberbkcc:SemiannuallySOFRMemberus-gaap:DebtSecuritiesMemberbkcc:NvestInc</w:t>
      </w:r>
      <w:r>
        <w:rPr>
          <w:rFonts w:eastAsia="Times New Roman"/>
          <w:vanish/>
        </w:rPr>
        <w:t>Member2022-09-300001326003bkcc:IndustryConcentrationRiskMemberbkcc:TradingCompaniesAndDistributorsMemberbkcc:InvestmentsAtFairValueMember2021-01-012021-12-310001326003bkcc:FirstLienTermLoanMemberbkcc:HealthCareProvidersAndServicesMemberus-gaap:DebtSecuriti</w:t>
      </w:r>
      <w:r>
        <w:rPr>
          <w:rFonts w:eastAsia="Times New Roman"/>
          <w:vanish/>
        </w:rPr>
        <w:t>esMemberbkcc:OpcoBorrowerLimitedLiabilityCompanyGivingHomeHealthCareMemberbkcc:MonthlySOFRMember2022-09-300001326003bkcc:BankDebtMember2021-01-012021-09-300001326003bkcc:DiversifiedConsumerServicesMemberbkcc:SellerXGermanyGmbHCoKgGermanyMemberbkcc:FirstLie</w:t>
      </w:r>
      <w:r>
        <w:rPr>
          <w:rFonts w:eastAsia="Times New Roman"/>
          <w:vanish/>
        </w:rPr>
        <w:t>nDelayedDrawTermLoanMemberbkcc:QuarterlyLIBORMemberus-gaap:DebtSecuritiesMember2022-09-300001326003us-gaap:PreferredStockMember2022-09-300001326003us-gaap:CommonStockMemberbkcc:DiversifiedFinancialServicesMemberus-gaap:EquitySecuritiesMemberbkcc:GordonBrot</w:t>
      </w:r>
      <w:r>
        <w:rPr>
          <w:rFonts w:eastAsia="Times New Roman"/>
          <w:vanish/>
        </w:rPr>
        <w:t>hersFinanceCompanyMember2022-09-300001326003us-gaap:EquitySecuritiesMember2020-12-310001326003bkcc:FirstLienTermLoanMemberbkcc:RealEstateManagementAndDevelopmentMemberus-gaap:DebtSecuritiesMemberbkcc:MonthlySOFRMemberbkcc:GreystoneSelectCompanyIILLCMember2</w:t>
      </w:r>
      <w:r>
        <w:rPr>
          <w:rFonts w:eastAsia="Times New Roman"/>
          <w:vanish/>
        </w:rPr>
        <w:t>022-09-300001326003us-gaap:FairValueInputsLevel1Memberus-gaap:OtherDebtSecuritiesMember2022-09-300001326003bkcc:FirstLienTermLoanMemberus-gaap:AutomobilesMemberbkcc:MonthlyLIBORMemberus-gaap:DebtSecuritiesMemberbkcc:ALCVPurchaserIncMember2021-12-3100013260</w:t>
      </w:r>
      <w:r>
        <w:rPr>
          <w:rFonts w:eastAsia="Times New Roman"/>
          <w:vanish/>
        </w:rPr>
        <w:t>03bkcc:DiversifiedTelecommunicationServicesMemberbkcc:IndustryConcentrationRiskMemberbkcc:InvestmentsAtFairValueMember2021-01-012021-12-310001326003us-gaap:EquitySecuritiesMembersrt:MinimumMemberus-gaap:ValuationTechniqueOptionPricingModelMemberus-gaap:Fai</w:t>
      </w:r>
      <w:r>
        <w:rPr>
          <w:rFonts w:eastAsia="Times New Roman"/>
          <w:vanish/>
        </w:rPr>
        <w:t>rValueInputsLevel3Memberbkcc:MeasurementInputImpliedVolatilityMember2022-09-300001326003bkcc:DiversifiedConsumerServicesMemberus-gaap:EquitySecuritiesMember2022-09-300001326003bkcc:FirstLienTermLoanMemberbkcc:JobandTalentUSAIncUnitedKingdomMemberbkcc:Profe</w:t>
      </w:r>
      <w:r>
        <w:rPr>
          <w:rFonts w:eastAsia="Times New Roman"/>
          <w:vanish/>
        </w:rPr>
        <w:t>ssionalServicesMemberus-gaap:DebtSecuritiesMemberbkcc:MonthlySOFRMember2022-09-300001326003bkcc:HouseholdDurablesMemberbkcc:IndustryConcentrationRiskMemberbkcc:InvestmentsAtFairValueMember2022-01-012022-09-300001326003us-gaap:GeographicConcentrationRiskMem</w:t>
      </w:r>
      <w:r>
        <w:rPr>
          <w:rFonts w:eastAsia="Times New Roman"/>
          <w:vanish/>
        </w:rPr>
        <w:t>bercountry:SIbkcc:InvestmentsAtFairValueMember2021-01-012021-12-310001326003bkcc:IndustryConcentrationRiskMemberbkcc:TobaccoRelatedMemberbkcc:InvestmentsAtFairValueMember2022-01-012022-09-300001326003bkcc:FirstLienTermLoanMemberbkcc:PicoQuantitativeTrading</w:t>
      </w:r>
      <w:r>
        <w:rPr>
          <w:rFonts w:eastAsia="Times New Roman"/>
          <w:vanish/>
        </w:rPr>
        <w:t>LLCMemberus-gaap:DebtSecuritiesMemberbkcc:QuarterlySOFRMemberbkcc:CapitalMarketsMember2022-09-300001326003us-gaap:EquitySecuritiesMemberus-gaap:FairValueInputsLevel1Member2021-12-3100013260032022-06-302022-06-300001326003bkcc:FirstLienTermLoanMemberbkcc:So</w:t>
      </w:r>
      <w:r>
        <w:rPr>
          <w:rFonts w:eastAsia="Times New Roman"/>
          <w:vanish/>
        </w:rPr>
        <w:t>ftwareMemberbkcc:KaseyaIncMemberbkcc:SemiannuallySOFRMemberus-gaap:DebtSecuritiesMember2022-09-300001326003bkcc:NonControlledNonAffiliatedInvestmentsMember2021-07-012021-09-3000013260032021-09-300001326003bkcc:FirstLienTermLoanMemberus-gaap:DebtSecuritiesM</w:t>
      </w:r>
      <w:r>
        <w:rPr>
          <w:rFonts w:eastAsia="Times New Roman"/>
          <w:vanish/>
        </w:rPr>
        <w:t>emberbkcc:DiversifiedFinancialServicesMemberbkcc:MonthlySOFRMemberbkcc:TwoToTenHoldcoIncMember2022-09-300001326003srt:MinimumMemberbkcc:BankDebtMemberus-gaap:ValuationTechniqueOptionPricingModelMemberus-gaap:FairValueInputsLevel3Memberbkcc:MeasurementInput</w:t>
      </w:r>
      <w:r>
        <w:rPr>
          <w:rFonts w:eastAsia="Times New Roman"/>
          <w:vanish/>
        </w:rPr>
        <w:t>ImpliedVolatilityMember2022-09-300001326003bkcc:TwoThousandAndTwentyFivePrivatePlacementNotesMemberbkcc:FixedInterestRateMember2022-09-300001326003bkcc:KemmererOperationsLLCWMLPMemberbkcc:SeniorSecuredLoanFirstLienMemberbkcc:NonControlledAffiliateSecurityM</w:t>
      </w:r>
      <w:r>
        <w:rPr>
          <w:rFonts w:eastAsia="Times New Roman"/>
          <w:vanish/>
        </w:rPr>
        <w:t>ember2021-01-012021-12-310001326003us-gaap:SubordinatedDebtMemberbkcc:CallodineCommercialFinanceLLCMemberus-gaap:DebtSecuritiesMemberbkcc:DiversifiedFinancialServicesMember2021-12-310001326003bkcc:FirstLienTermLoanMemberbkcc:ConsumerFinanceMemberbkcc:Barri</w:t>
      </w:r>
      <w:r>
        <w:rPr>
          <w:rFonts w:eastAsia="Times New Roman"/>
          <w:vanish/>
        </w:rPr>
        <w:t>FinancialGroupLLCMemberbkcc:MonthlyLIBORMemberus-gaap:DebtSecuritiesMember2022-09-300001326003bkcc:QuarterlyLIBORMemberbkcc:HealthCareTechnologyMemberus-gaap:DebtSecuritiesMemberbkcc:GainwellAcquisitionCorpMemberbkcc:SecondLienTermLoanMember2022-09-3000013</w:t>
      </w:r>
      <w:r>
        <w:rPr>
          <w:rFonts w:eastAsia="Times New Roman"/>
          <w:vanish/>
        </w:rPr>
        <w:t>26003us-gaap:EquitySecuritiesMember2022-06-300001326003bkcc:ZilliantIncorporatedMemberbkcc:SoftwareMemberbkcc:FirstLienDelayedDrawTermLoanMemberus-gaap:DebtSecuritiesMemberbkcc:SemiannuallyLIBORMember2022-09-300001326003us-gaap:DebtSecuritiesMemberbkcc:Con</w:t>
      </w:r>
      <w:r>
        <w:rPr>
          <w:rFonts w:eastAsia="Times New Roman"/>
          <w:vanish/>
        </w:rPr>
        <w:t>tainersAndPackagingMember2022-09-300001326003bkcc:InvestmentAdvisorExpensesMember2022-07-012022-09-300001326003bkcc:CommercialServicesAndSuppliesMemberbkcc:FirstLienDelayedDrawTermLoanMemberbkcc:PuebloMechanicalAndControlsLLCMemberus-gaap:DebtSecuritiesMem</w:t>
      </w:r>
      <w:r>
        <w:rPr>
          <w:rFonts w:eastAsia="Times New Roman"/>
          <w:vanish/>
        </w:rPr>
        <w:t>berbkcc:QuarterlySOFRMember2022-09-300001326003bkcc:IndustryConcentrationRiskMemberbkcc:SpecialtyRetailMemberbkcc:InvestmentsAtFairValueMember2022-01-012022-09-300001326003bkcc:FirstLienTermLoanMemberus-gaap:BuildingMemberbkcc:PorcelainAcquisitionCorporati</w:t>
      </w:r>
      <w:r>
        <w:rPr>
          <w:rFonts w:eastAsia="Times New Roman"/>
          <w:vanish/>
        </w:rPr>
        <w:t>onMemberbkcc:QuarterlyLIBORMemberus-gaap:DebtSecuritiesMember2022-09-300001326003bkcc:NonControlledNonAffiliatedInvestmentsMember2021-12-310001326003bkcc:BackofficeAssociatesHoldingsLLCSynitiMemberus-gaap:PrimeRateMemberbkcc:SoftwareMemberus-gaap:DebtSecur</w:t>
      </w:r>
      <w:r>
        <w:rPr>
          <w:rFonts w:eastAsia="Times New Roman"/>
          <w:vanish/>
        </w:rPr>
        <w:t>itiesMemberbkcc:FirstLienRevolverMember2022-09-300001326003bkcc:FirstLienTermLoanMemberbkcc:SoftwareMemberbkcc:AlphasenseIncMemberus-gaap:DebtSecuritiesMemberbkcc:MonthlySOFRMember2022-09-300001326003bkcc:RealEstateManagementAndDevelopmentMemberus-gaap:Deb</w:t>
      </w:r>
      <w:r>
        <w:rPr>
          <w:rFonts w:eastAsia="Times New Roman"/>
          <w:vanish/>
        </w:rPr>
        <w:t>tSecuritiesMember2022-09-300001326003us-gaap:WarrantMemberbkcc:AdvancedLightingTechnologiesLLCMemberbkcc:NonControlledAffiliateSecurityMember2021-12-310001326003bkcc:MonthlyLIBORMemberus-gaap:DebtSecuritiesMemberbkcc:BlackbirdPurchaserIncOhioTransmissionCo</w:t>
      </w:r>
      <w:r>
        <w:rPr>
          <w:rFonts w:eastAsia="Times New Roman"/>
          <w:vanish/>
        </w:rPr>
        <w:t>rpMemberbkcc:SecondLienDelayedDrawTermLoanMemberbkcc:TradingCompaniesAndDistributorsMember2022-09-300001326003bkcc:HealthCareTechnologyMemberus-gaap:DebtSecuritiesMember2022-09-300001326003bkcc:TerManagementResourcesLimitedLiabilityCompanyMemberbkcc:OilGas</w:t>
      </w:r>
      <w:r>
        <w:rPr>
          <w:rFonts w:eastAsia="Times New Roman"/>
          <w:vanish/>
        </w:rPr>
        <w:t>AndConsumableFuelsMemberus-gaap:EquitySecuritiesMember2022-09-300001326003bkcc:PreIncentiveFeeNetInvestmentIncomeMoreThanTwoPointOneTwoPercentageOfNetAssetsMember2020-05-022020-05-020001326003srt:MaximumMemberbkcc:PreIncentiveFeeNetInvestmentIncomeBetweenO</w:t>
      </w:r>
      <w:r>
        <w:rPr>
          <w:rFonts w:eastAsia="Times New Roman"/>
          <w:vanish/>
        </w:rPr>
        <w:t>nePointSevenFiveAndTwoPointOneTwoPercentageOfNetAssetsMember2020-05-022020-05-020001326003us-gaap:MeasurementInputRevenueMultipleMemberbkcc:MarketComparableCompaniesMemberus-gaap:OtherDebtSecuritiesMemberus-gaap:FairValueInputsLevel3Member2022-09-300001326</w:t>
      </w:r>
      <w:r>
        <w:rPr>
          <w:rFonts w:eastAsia="Times New Roman"/>
          <w:vanish/>
        </w:rPr>
        <w:t>003bkcc:MonthlyLIBORMemberus-gaap:DebtSecuritiesMemberbkcc:SecondLienTermLoanMemberbkcc:QuartzHoldingCompanyQuickBaseMemberbkcc:InternetSoftwareAndServicesMember2021-12-310001326003bkcc:GCChampionAcquisitionLimitedLiabilityCompanyMemberbkcc:FirstLienDelaye</w:t>
      </w:r>
      <w:r>
        <w:rPr>
          <w:rFonts w:eastAsia="Times New Roman"/>
          <w:vanish/>
        </w:rPr>
        <w:t>dDrawTermLoanMemberus-gaap:DebtSecuritiesMemberbkcc:DiversifiedFinancialServicesMemberbkcc:MonthlySOFRMember2022-09-300001326003us-gaap:IncomeApproachValuationTechniqueMembersrt:MinimumMemberbkcc:BankDebtMemberus-gaap:FairValueInputsLevel3Memberus-gaap:Mea</w:t>
      </w:r>
      <w:r>
        <w:rPr>
          <w:rFonts w:eastAsia="Times New Roman"/>
          <w:vanish/>
        </w:rPr>
        <w:t>surementInputDiscountRateMember2021-12-310001326003bkcc:BlackrockCapitalInvestmentCorporationMember2022-09-300001326003bkcc:SoftwareMemberbkcc:SupermanHoldingsLLCFoundationSoftwareMemberbkcc:QuarterlyLIBORMemberus-gaap:DebtSecuritiesMemberbkcc:FirstLienRev</w:t>
      </w:r>
      <w:r>
        <w:rPr>
          <w:rFonts w:eastAsia="Times New Roman"/>
          <w:vanish/>
        </w:rPr>
        <w:t>olverMember2021-12-310001326003us-gaap:IncomeApproachValuationTechniqueMemberus-gaap:OtherDebtSecuritiesMemberus-gaap:FairValueInputsLevel3Memberus-gaap:MeasurementInputDiscountRateMember2022-09-300001326003us-gaap:EquitySecuritiesMember2021-12-31000132600</w:t>
      </w:r>
      <w:r>
        <w:rPr>
          <w:rFonts w:eastAsia="Times New Roman"/>
          <w:vanish/>
        </w:rPr>
        <w:t>3us-gaap:MachineryAndEquipmentMemberus-gaap:DebtSecuritiesMember2022-09-300001326003bkcc:SandataTechnologiesLLCMemberbkcc:QuarterlyLIBORMemberbkcc:HealthCareTechnologyMemberus-gaap:DebtSecuritiesMemberbkcc:FirstLienRevolverMember2021-12-310001326003bkcc:So</w:t>
      </w:r>
      <w:r>
        <w:rPr>
          <w:rFonts w:eastAsia="Times New Roman"/>
          <w:vanish/>
        </w:rPr>
        <w:t>ftwareMemberbkcc:QuarterlyLIBORMemberus-gaap:DebtSecuritiesMemberbkcc:FirstLienRevolverMemberbkcc:SEPRaptorAcquisitionIncMember2021-12-310001326003us-gaap:GeographicConcentrationRiskMembercountry:USbkcc:InvestmentsAtFairValueMember2022-01-012022-09-3000013</w:t>
      </w:r>
      <w:r>
        <w:rPr>
          <w:rFonts w:eastAsia="Times New Roman"/>
          <w:vanish/>
        </w:rPr>
        <w:t>26003srt:MinimumMemberbkcc:BankDebtMemberus-gaap:MeasurementInputExpectedTermMemberus-gaap:ValuationTechniqueOptionPricingModelMemberus-gaap:FairValueInputsLevel3Member2021-12-310001326003bkcc:ControlledAffiliatedInvestmentsMember2022-09-300001326003bkcc:S</w:t>
      </w:r>
      <w:r>
        <w:rPr>
          <w:rFonts w:eastAsia="Times New Roman"/>
          <w:vanish/>
        </w:rPr>
        <w:t>oftwareMemberbkcc:FirstLienDelayedDrawTermLoanMemberbkcc:GTYTechnologiesHoldingsIncMemberus-gaap:DebtSecuritiesMemberbkcc:QuarterlySOFRMember2022-09-300001326003bkcc:FirstLienTermLoanMemberbkcc:SoftwareMemberus-gaap:DebtSecuritiesMemberbkcc:ElasticPathSoft</w:t>
      </w:r>
      <w:r>
        <w:rPr>
          <w:rFonts w:eastAsia="Times New Roman"/>
          <w:vanish/>
        </w:rPr>
        <w:t>wareIncMemberbkcc:QuarterlySOFRMember2022-09-300001326003bkcc:FirstLienTermLoanMemberbkcc:QuarterlyLIBORMemberus-gaap:DebtSecuritiesMemberbkcc:DiversifiedFinancialServicesMemberbkcc:WorldremitGroupLimitedUnitedKingdomMember2022-09-300001326003bkcc:Quarterl</w:t>
      </w:r>
      <w:r>
        <w:rPr>
          <w:rFonts w:eastAsia="Times New Roman"/>
          <w:vanish/>
        </w:rPr>
        <w:t>yLIBORMemberus-gaap:DebtSecuritiesMemberbkcc:MetricStreamIncMemberbkcc:FirstLienIncrementalTermLoanMemberbkcc:InternetSoftwareAndServicesMember2021-12-310001326003bkcc:DiversifiedConsumerServicesMemberbkcc:IndustryConcentrationRiskMemberbkcc:InvestmentsAtF</w:t>
      </w:r>
      <w:r>
        <w:rPr>
          <w:rFonts w:eastAsia="Times New Roman"/>
          <w:vanish/>
        </w:rPr>
        <w:t>airValueMember2021-01-012021-12-310001326003us-gaap:EquitySecuritiesMemberus-gaap:MeasurementInputRevenueMultipleMembersrt:MinimumMemberbkcc:MarketComparableCompaniesMemberus-gaap:FairValueInputsLevel3Member2021-12-310001326003bkcc:CallodineCommercialFinan</w:t>
      </w:r>
      <w:r>
        <w:rPr>
          <w:rFonts w:eastAsia="Times New Roman"/>
          <w:vanish/>
        </w:rPr>
        <w:t>ceLLCMemberbkcc:QuarterlyLIBORMemberus-gaap:DebtSecuritiesMemberbkcc:DiversifiedFinancialServicesMemberbkcc:DelayedDrawTermLoanMember2021-12-310001326003us-gaap:DebtSecuritiesMemberbkcc:InternetSoftwareAndServicesMember2022-09-300001326003bkcc:FirstLienTer</w:t>
      </w:r>
      <w:r>
        <w:rPr>
          <w:rFonts w:eastAsia="Times New Roman"/>
          <w:vanish/>
        </w:rPr>
        <w:t>mLoanMemberbkcc:INHBuyerIncIMSHealthMemberbkcc:HealthCareProvidersAndServicesMemberus-gaap:DebtSecuritiesMemberbkcc:SemiannuallyLIBORMember2021-12-310001326003bkcc:WarrantsToPurchasePreferredSeriesBSharesMemberbkcc:MXPPrimePlatformGmbHSellerXGermanyMember2</w:t>
      </w:r>
      <w:r>
        <w:rPr>
          <w:rFonts w:eastAsia="Times New Roman"/>
          <w:vanish/>
        </w:rPr>
        <w:t>022-01-012022-09-300001326003us-gaap:AdditionalPaidInCapitalMember2022-04-012022-06-300001326003srt:MaximumMemberus-gaap:MeasurementInputRevenueMultipleMemberbkcc:BankDebtMemberus-gaap:ValuationTechniqueOptionPricingModelMemberus-gaap:FairValueInputsLevel3</w:t>
      </w:r>
      <w:r>
        <w:rPr>
          <w:rFonts w:eastAsia="Times New Roman"/>
          <w:vanish/>
        </w:rPr>
        <w:t>Member2022-09-300001326003bkcc:FirstLienTermLoanMemberbkcc:ZilliantIncorporatedMemberbkcc:SoftwareMemberus-gaap:DebtSecuritiesMemberbkcc:SemiannuallyLIBORMember2022-09-300001326003us-gaap:CashAndCashEquivalentsMember2021-12-310001326003us-gaap:SubsequentEv</w:t>
      </w:r>
      <w:r>
        <w:rPr>
          <w:rFonts w:eastAsia="Times New Roman"/>
          <w:vanish/>
        </w:rPr>
        <w:t>entMember2022-10-282022-10-280001326003bkcc:FirstLienTermLoanMemberbkcc:SandataTechnologiesLLCMemberbkcc:QuarterlyLIBORMemberbkcc:HealthCareTechnologyMemberus-gaap:DebtSecuritiesMember2022-09-300001326003us-gaap:AdditionalPaidInCapitalMember2022-06-3000013</w:t>
      </w:r>
      <w:r>
        <w:rPr>
          <w:rFonts w:eastAsia="Times New Roman"/>
          <w:vanish/>
        </w:rPr>
        <w:t>26003bkcc:MetalsAndMiningMemberus-gaap:DebtSecuritiesMember2021-12-310001326003bkcc:ChemicalsMemberus-gaap:EquitySecuritiesMember2022-09-300001326003bkcc:WarrantsToPurchaseSeriesDStockMemberbkcc:DiversifiedFinancialServicesMemberus-gaap:EquitySecuritiesMem</w:t>
      </w:r>
      <w:r>
        <w:rPr>
          <w:rFonts w:eastAsia="Times New Roman"/>
          <w:vanish/>
        </w:rPr>
        <w:t>berbkcc:WorldremitGroupLimitedUnitedKingdomMember2022-09-300001326003bkcc:MetronetSystemsHoldingsLimitedLiabilityCompanyMemberbkcc:MonthlyLIBORMemberus-gaap:DebtSecuritiesMemberbkcc:DiversifiedTelecommunicationServicesMemberbkcc:SecondLienTermLoanMember202</w:t>
      </w:r>
      <w:r>
        <w:rPr>
          <w:rFonts w:eastAsia="Times New Roman"/>
          <w:vanish/>
        </w:rPr>
        <w:t>2-09-300001326003bkcc:SeniorSecuredRevolvingCreditFacilityMember2021-04-222021-04-220001326003bkcc:LimitedLiabilityCoInterestMemberbkcc:NonControlledAffiliateSecurityMemberbkcc:AdvancedLightingTechnologiesLLCMember2021-12-310001326003bkcc:MonthlyLIBORMembe</w:t>
      </w:r>
      <w:r>
        <w:rPr>
          <w:rFonts w:eastAsia="Times New Roman"/>
          <w:vanish/>
        </w:rPr>
        <w:t>rbkcc:SoftwareMemberbkcc:IntegrateComIncInfinityDataIncMemberus-gaap:DebtSecuritiesMemberbkcc:FirstLienRevolverMember2022-09-300001326003bkcc:FirstLienTermLoanMemberbkcc:MonthlyLIBORMemberbkcc:PluralsightIncMemberus-gaap:DebtSecuritiesMemberbkcc:InternetSo</w:t>
      </w:r>
      <w:r>
        <w:rPr>
          <w:rFonts w:eastAsia="Times New Roman"/>
          <w:vanish/>
        </w:rPr>
        <w:t>ftwareAndServicesMember2022-09-300001326003bkcc:FirstLienTermLoanMemberbkcc:QuarterlyLIBORMemberus-gaap:DebtSecuritiesMemberbkcc:MetricStreamIncMemberbkcc:InternetSoftwareAndServicesMember2021-12-310001326003bkcc:ConstructionAndEngineeringMemberus-gaap:Deb</w:t>
      </w:r>
      <w:r>
        <w:rPr>
          <w:rFonts w:eastAsia="Times New Roman"/>
          <w:vanish/>
        </w:rPr>
        <w:t>tSecuritiesMemberbkcc:FirstLienRevolverMemberbkcc:MonthlySOFRMemberbkcc:HomerenewBuyerIncProjectDreamMember2022-09-300001326003bkcc:SeniorSecuredRevolvingCreditFacilityMembersrt:MaximumMemberus-gaap:BaseRateMember2022-01-012022-09-300001326003bkcc:FirstLie</w:t>
      </w:r>
      <w:r>
        <w:rPr>
          <w:rFonts w:eastAsia="Times New Roman"/>
          <w:vanish/>
        </w:rPr>
        <w:t>nTermLoanMemberbkcc:SoftwareMemberbkcc:QuarterlyLIBORMemberbkcc:ArasCorporationMemberus-gaap:DebtSecuritiesMember2021-12-310001326003bkcc:CreditRiskRelatedToInvestmentsMember2022-01-012022-09-300001326003bkcc:SeniorSecuredRevolvingCreditFacilityMember2021-</w:t>
      </w:r>
      <w:r>
        <w:rPr>
          <w:rFonts w:eastAsia="Times New Roman"/>
          <w:vanish/>
        </w:rPr>
        <w:t>04-232021-04-230001326003us-gaap:PreferredStockMemberbkcc:DiversifiedFinancialServicesMemberus-gaap:EquitySecuritiesMemberbkcc:GordonBrothersFinanceCompanyMember2022-09-300001326003bkcc:SuitedConnectorLLCMemberbkcc:QuarterlyLIBORMemberus-gaap:DebtSecuritie</w:t>
      </w:r>
      <w:r>
        <w:rPr>
          <w:rFonts w:eastAsia="Times New Roman"/>
          <w:vanish/>
        </w:rPr>
        <w:t>sMemberbkcc:FirstLienRevolverMemberbkcc:InternetSoftwareAndServicesMember2022-09-300001326003bkcc:EquityWarrantsOrOptionsMember2022-09-300001326003us-gaap:TreasuryStockMember2021-12-310001326003us-gaap:FairValueInputsLevel2Member2021-12-310001326003bkcc:Wa</w:t>
      </w:r>
      <w:r>
        <w:rPr>
          <w:rFonts w:eastAsia="Times New Roman"/>
          <w:vanish/>
        </w:rPr>
        <w:t>rrantsToPurchaseCommonStockMemberbkcc:PerchhqLlcMember2022-01-012022-09-300001326003bkcc:CapitalMarketsMemberus-gaap:EquitySecuritiesMember2021-12-310001326003us-gaap:LondonInterbankOfferedRateLIBORMemberbkcc:SeniorSecuredRevolvingCreditFacilityMembersrt:M</w:t>
      </w:r>
      <w:r>
        <w:rPr>
          <w:rFonts w:eastAsia="Times New Roman"/>
          <w:vanish/>
        </w:rPr>
        <w:t>aximumMember2022-01-012022-09-300001326003bkcc:FirstLienTermLoanMemberbkcc:CommercialServicesAndSuppliesMemberbkcc:QuarterlyLIBORMemberus-gaap:DebtSecuritiesMemberbkcc:KellermeyerBergensonsServicesLLCMember2022-09-300001326003us-gaap:FairValueInputsLevel1M</w:t>
      </w:r>
      <w:r>
        <w:rPr>
          <w:rFonts w:eastAsia="Times New Roman"/>
          <w:vanish/>
        </w:rPr>
        <w:t>emberbkcc:BankDebtMember2021-12-310001326003bkcc:ControlledInvestmentMember2021-12-310001326003us-gaap:DebtSecuritiesMemberbkcc:HotelsRestaurantsAndLeisureMember2022-09-300001326003bkcc:BankDebtMemberus-gaap:MeasurementInputExpectedTermMemberus-gaap:Valuat</w:t>
      </w:r>
      <w:r>
        <w:rPr>
          <w:rFonts w:eastAsia="Times New Roman"/>
          <w:vanish/>
        </w:rPr>
        <w:t>ionTechniqueOptionPricingModelMemberus-gaap:FairValueInputsLevel3Member2022-09-300001326003bkcc:UnsecuredConvertibleSeniorNotesDue2022Member2021-01-012021-12-310001326003bkcc:CalceusAcquisitionIncColeHaanMemberbkcc:FirstLienTermLoanBMemberbkcc:QuarterlyLIB</w:t>
      </w:r>
      <w:r>
        <w:rPr>
          <w:rFonts w:eastAsia="Times New Roman"/>
          <w:vanish/>
        </w:rPr>
        <w:t>ORMemberus-gaap:DebtSecuritiesMemberbkcc:SpecialtyRetailMember2021-12-310001326003bkcc:BuildingProductsMemberbkcc:IndustryConcentrationRiskMemberbkcc:InvestmentsAtFairValueMember2022-01-012022-09-300001326003us-gaap:FairValueInputsLevel2Member2022-09-30000</w:t>
      </w:r>
      <w:r>
        <w:rPr>
          <w:rFonts w:eastAsia="Times New Roman"/>
          <w:vanish/>
        </w:rPr>
        <w:t>1326003bkcc:CapitalMarketsMemberbkcc:IndustryConcentrationRiskMemberbkcc:InvestmentsAtFairValueMember2021-01-012021-12-310001326003bkcc:KemmererHoldingsLLCWMLPMemberbkcc:LimitedLiabilityCoInterestMemberbkcc:NonControlledAffiliateSecurityMember2021-12-31000</w:t>
      </w:r>
      <w:r>
        <w:rPr>
          <w:rFonts w:eastAsia="Times New Roman"/>
          <w:vanish/>
        </w:rPr>
        <w:t>1326003us-gaap:ForeignExchangeForwardMember2022-09-300001326003us-gaap:IncomeApproachValuationTechniqueMembersrt:MinimumMemberus-gaap:OtherDebtSecuritiesMemberus-gaap:FairValueInputsLevel3Memberus-gaap:MeasurementInputDiscountRateMember2021-12-31xbrli:pure</w:t>
      </w:r>
      <w:r>
        <w:rPr>
          <w:rFonts w:eastAsia="Times New Roman"/>
          <w:vanish/>
        </w:rPr>
        <w:t>bkcc:Investmentxbrli:sharesiso4217:USDiso4217:USDxbrli:sharesbkcc:Tranche</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pBdr>
          <w:bottom w:val="double" w:sz="6" w:space="1" w:color="auto"/>
        </w:pBdr>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35"/>
          <w:szCs w:val="35"/>
        </w:rPr>
        <w:t>UNITED STATE</w:t>
      </w:r>
      <w:r>
        <w:rPr>
          <w:b/>
          <w:bCs/>
          <w:sz w:val="35"/>
          <w:szCs w:val="35"/>
        </w:rPr>
        <w:t>S</w:t>
      </w:r>
      <w:r>
        <w:rPr>
          <w:b/>
          <w:bCs/>
          <w:sz w:val="35"/>
          <w:szCs w:val="35"/>
        </w:rPr>
        <w:t xml:space="preserve"> </w:t>
      </w:r>
    </w:p>
    <w:p w:rsidR="00000000" w:rsidRDefault="003D51DE">
      <w:pPr>
        <w:pStyle w:val="a3"/>
        <w:spacing w:before="0" w:beforeAutospacing="0" w:after="0" w:afterAutospacing="0"/>
        <w:jc w:val="center"/>
        <w:rPr>
          <w:sz w:val="20"/>
          <w:szCs w:val="20"/>
        </w:rPr>
      </w:pPr>
      <w:r>
        <w:rPr>
          <w:b/>
          <w:bCs/>
          <w:sz w:val="35"/>
          <w:szCs w:val="35"/>
        </w:rPr>
        <w:t>SECURITIES AND EXCHANGE COMMISSIO</w:t>
      </w:r>
      <w:r>
        <w:rPr>
          <w:b/>
          <w:bCs/>
          <w:sz w:val="35"/>
          <w:szCs w:val="35"/>
        </w:rPr>
        <w:t>N</w:t>
      </w:r>
      <w:r>
        <w:rPr>
          <w:b/>
          <w:bCs/>
          <w:sz w:val="35"/>
          <w:szCs w:val="35"/>
        </w:rPr>
        <w:t xml:space="preserve"> </w:t>
      </w:r>
    </w:p>
    <w:p w:rsidR="00000000" w:rsidRDefault="003D51DE">
      <w:pPr>
        <w:pStyle w:val="a3"/>
        <w:spacing w:before="0" w:beforeAutospacing="0" w:after="0" w:afterAutospacing="0"/>
        <w:jc w:val="center"/>
        <w:rPr>
          <w:sz w:val="20"/>
          <w:szCs w:val="20"/>
        </w:rPr>
      </w:pPr>
      <w:r>
        <w:rPr>
          <w:b/>
          <w:bCs/>
          <w:sz w:val="23"/>
          <w:szCs w:val="23"/>
        </w:rPr>
        <w:t>WASHINGTON, DC 2054</w:t>
      </w:r>
      <w:r>
        <w:rPr>
          <w:b/>
          <w:bCs/>
          <w:sz w:val="23"/>
          <w:szCs w:val="23"/>
        </w:rPr>
        <w:t>9</w:t>
      </w:r>
      <w:r>
        <w:rPr>
          <w:b/>
          <w:bCs/>
          <w:sz w:val="23"/>
          <w:szCs w:val="23"/>
        </w:rPr>
        <w:t xml:space="preserve"> </w:t>
      </w:r>
    </w:p>
    <w:p w:rsidR="00000000" w:rsidRDefault="003D51DE">
      <w:pPr>
        <w:pStyle w:val="a3"/>
        <w:pBdr>
          <w:bottom w:val="single" w:sz="4" w:space="1" w:color="auto"/>
        </w:pBdr>
        <w:spacing w:before="0" w:beforeAutospacing="0" w:after="160" w:afterAutospacing="0"/>
        <w:ind w:left="4762" w:right="4762"/>
        <w:jc w:val="center"/>
        <w:rPr>
          <w:sz w:val="20"/>
          <w:szCs w:val="20"/>
        </w:rPr>
      </w:pPr>
      <w:r>
        <w:rPr>
          <w:sz w:val="20"/>
          <w:szCs w:val="20"/>
        </w:rPr>
        <w:t> </w:t>
      </w:r>
    </w:p>
    <w:p w:rsidR="00000000" w:rsidRDefault="003D51DE">
      <w:pPr>
        <w:pStyle w:val="a3"/>
        <w:spacing w:before="160" w:beforeAutospacing="0" w:after="0" w:afterAutospacing="0"/>
        <w:jc w:val="center"/>
        <w:rPr>
          <w:sz w:val="20"/>
          <w:szCs w:val="20"/>
        </w:rPr>
      </w:pPr>
      <w:r>
        <w:rPr>
          <w:b/>
          <w:bCs/>
          <w:sz w:val="35"/>
          <w:szCs w:val="35"/>
        </w:rPr>
        <w:t>FORM</w:t>
      </w:r>
      <w:r>
        <w:rPr>
          <w:b/>
          <w:bCs/>
          <w:sz w:val="35"/>
          <w:szCs w:val="35"/>
        </w:rPr>
        <w:t xml:space="preserve"> </w:t>
      </w:r>
      <w:r>
        <w:rPr>
          <w:b/>
          <w:bCs/>
          <w:sz w:val="35"/>
          <w:szCs w:val="35"/>
        </w:rPr>
        <w:t>10-</w:t>
      </w:r>
      <w:r>
        <w:rPr>
          <w:b/>
          <w:bCs/>
          <w:sz w:val="35"/>
          <w:szCs w:val="35"/>
        </w:rPr>
        <w:t>Q</w:t>
      </w:r>
      <w:r>
        <w:rPr>
          <w:b/>
          <w:bCs/>
          <w:sz w:val="35"/>
          <w:szCs w:val="35"/>
        </w:rPr>
        <w:t xml:space="preserve"> </w:t>
      </w:r>
    </w:p>
    <w:p w:rsidR="00000000" w:rsidRDefault="003D51DE">
      <w:pPr>
        <w:pStyle w:val="a3"/>
        <w:pBdr>
          <w:bottom w:val="single" w:sz="4" w:space="1" w:color="auto"/>
        </w:pBdr>
        <w:spacing w:before="0" w:beforeAutospacing="0" w:after="120" w:afterAutospacing="0"/>
        <w:ind w:left="4762" w:right="4762"/>
        <w:jc w:val="center"/>
        <w:rPr>
          <w:sz w:val="20"/>
          <w:szCs w:val="20"/>
        </w:rPr>
      </w:pPr>
      <w:r>
        <w:rPr>
          <w:sz w:val="20"/>
          <w:szCs w:val="20"/>
        </w:rPr>
        <w:t> </w:t>
      </w:r>
    </w:p>
    <w:p w:rsidR="00000000" w:rsidRDefault="003D51DE">
      <w:pPr>
        <w:pStyle w:val="a3"/>
        <w:spacing w:before="0" w:beforeAutospacing="0" w:after="0" w:afterAutospacing="0"/>
        <w:rPr>
          <w:sz w:val="20"/>
          <w:szCs w:val="20"/>
        </w:rPr>
      </w:pPr>
      <w:r>
        <w:rPr>
          <w:b/>
          <w:bCs/>
          <w:sz w:val="19"/>
          <w:szCs w:val="19"/>
        </w:rPr>
        <w:t>(Mark One</w:t>
      </w:r>
      <w:r>
        <w:rPr>
          <w:b/>
          <w:bCs/>
          <w:sz w:val="19"/>
          <w:szCs w:val="19"/>
        </w:rPr>
        <w:t>)</w:t>
      </w:r>
      <w:r>
        <w:rPr>
          <w:b/>
          <w:bCs/>
          <w:sz w:val="19"/>
          <w:szCs w:val="19"/>
        </w:rPr>
        <w:t xml:space="preserve"> </w:t>
      </w:r>
    </w:p>
    <w:p w:rsidR="00000000" w:rsidRDefault="003D51DE">
      <w:pPr>
        <w:pStyle w:val="a3"/>
        <w:spacing w:before="0" w:beforeAutospacing="0" w:after="0" w:afterAutospacing="0"/>
        <w:ind w:hanging="735"/>
        <w:rPr>
          <w:sz w:val="20"/>
          <w:szCs w:val="20"/>
        </w:rPr>
      </w:pPr>
      <w:r>
        <w:rPr>
          <w:rFonts w:ascii="Segoe UI Emoji" w:hAnsi="Segoe UI Emoji" w:cs="Segoe UI Emoji"/>
          <w:sz w:val="23"/>
          <w:szCs w:val="23"/>
        </w:rPr>
        <w:t>☑</w:t>
      </w:r>
      <w:r>
        <w:rPr>
          <w:sz w:val="23"/>
          <w:szCs w:val="23"/>
        </w:rPr>
        <w:t xml:space="preserve"> </w:t>
      </w:r>
      <w:r>
        <w:rPr>
          <w:b/>
          <w:bCs/>
          <w:sz w:val="23"/>
          <w:szCs w:val="23"/>
        </w:rPr>
        <w:t xml:space="preserve">QUARTERLY REPORT PURSUANT TO SECTION 13 OR 15(d) OF THE SECURITIES EXCHANGE </w:t>
      </w:r>
      <w:r>
        <w:rPr>
          <w:b/>
          <w:bCs/>
          <w:sz w:val="23"/>
          <w:szCs w:val="23"/>
        </w:rPr>
        <w:t>ACT OF 1934</w:t>
      </w:r>
      <w:r>
        <w:rPr>
          <w:b/>
          <w:bCs/>
          <w:sz w:val="23"/>
          <w:szCs w:val="23"/>
        </w:rPr>
        <w:t>.</w:t>
      </w:r>
      <w:r>
        <w:rPr>
          <w:sz w:val="23"/>
          <w:szCs w:val="23"/>
        </w:rPr>
        <w:t xml:space="preserve"> </w:t>
      </w:r>
    </w:p>
    <w:p w:rsidR="00000000" w:rsidRDefault="003D51DE">
      <w:pPr>
        <w:pStyle w:val="a3"/>
        <w:spacing w:before="160" w:beforeAutospacing="0" w:after="0" w:afterAutospacing="0"/>
        <w:jc w:val="center"/>
        <w:rPr>
          <w:sz w:val="20"/>
          <w:szCs w:val="20"/>
        </w:rPr>
      </w:pPr>
      <w:r>
        <w:rPr>
          <w:b/>
          <w:bCs/>
          <w:sz w:val="19"/>
          <w:szCs w:val="19"/>
        </w:rPr>
        <w:t>For the quarterly period ended</w:t>
      </w:r>
      <w:r>
        <w:rPr>
          <w:b/>
          <w:bCs/>
          <w:sz w:val="19"/>
          <w:szCs w:val="19"/>
        </w:rPr>
        <w:t xml:space="preserve"> </w:t>
      </w:r>
      <w:r>
        <w:rPr>
          <w:b/>
          <w:bCs/>
          <w:sz w:val="19"/>
          <w:szCs w:val="19"/>
        </w:rPr>
        <w:t>September 30,</w:t>
      </w:r>
      <w:r>
        <w:rPr>
          <w:b/>
          <w:bCs/>
          <w:sz w:val="19"/>
          <w:szCs w:val="19"/>
        </w:rPr>
        <w:t xml:space="preserve"> </w:t>
      </w:r>
      <w:r>
        <w:rPr>
          <w:b/>
          <w:bCs/>
          <w:sz w:val="19"/>
          <w:szCs w:val="19"/>
        </w:rPr>
        <w:t>202</w:t>
      </w:r>
      <w:r>
        <w:rPr>
          <w:b/>
          <w:bCs/>
          <w:sz w:val="19"/>
          <w:szCs w:val="19"/>
        </w:rPr>
        <w:t>2</w:t>
      </w:r>
      <w:r>
        <w:rPr>
          <w:b/>
          <w:bCs/>
          <w:sz w:val="19"/>
          <w:szCs w:val="19"/>
        </w:rPr>
        <w:t xml:space="preserve"> </w:t>
      </w:r>
    </w:p>
    <w:p w:rsidR="00000000" w:rsidRDefault="003D51DE">
      <w:pPr>
        <w:pStyle w:val="a3"/>
        <w:spacing w:before="160" w:beforeAutospacing="0" w:after="0" w:afterAutospacing="0"/>
        <w:jc w:val="center"/>
        <w:rPr>
          <w:sz w:val="20"/>
          <w:szCs w:val="20"/>
        </w:rPr>
      </w:pPr>
      <w:r>
        <w:rPr>
          <w:b/>
          <w:bCs/>
          <w:sz w:val="19"/>
          <w:szCs w:val="19"/>
        </w:rPr>
        <w:t>O</w:t>
      </w:r>
      <w:r>
        <w:rPr>
          <w:b/>
          <w:bCs/>
          <w:sz w:val="19"/>
          <w:szCs w:val="19"/>
        </w:rPr>
        <w:t>R</w:t>
      </w:r>
      <w:r>
        <w:rPr>
          <w:sz w:val="19"/>
          <w:szCs w:val="19"/>
        </w:rPr>
        <w:t xml:space="preserve"> </w:t>
      </w:r>
    </w:p>
    <w:p w:rsidR="00000000" w:rsidRDefault="003D51DE">
      <w:pPr>
        <w:pStyle w:val="a3"/>
        <w:spacing w:before="160" w:beforeAutospacing="0" w:after="0" w:afterAutospacing="0"/>
        <w:ind w:hanging="735"/>
        <w:rPr>
          <w:sz w:val="20"/>
          <w:szCs w:val="20"/>
        </w:rPr>
      </w:pPr>
      <w:r>
        <w:rPr>
          <w:rFonts w:ascii="Segoe UI Symbol" w:hAnsi="Segoe UI Symbol" w:cs="Segoe UI Symbol"/>
          <w:sz w:val="23"/>
          <w:szCs w:val="23"/>
        </w:rPr>
        <w:t>☐</w:t>
      </w:r>
      <w:r>
        <w:rPr>
          <w:sz w:val="23"/>
          <w:szCs w:val="23"/>
        </w:rPr>
        <w:t xml:space="preserve"> </w:t>
      </w:r>
      <w:r>
        <w:rPr>
          <w:b/>
          <w:bCs/>
          <w:sz w:val="23"/>
          <w:szCs w:val="23"/>
        </w:rPr>
        <w:t>TRANSITION REPORT PURSUANT TO SECTION 13 OR 15(d) OF THE SECURITIES EXCHANGE ACT OF 1934</w:t>
      </w:r>
      <w:r>
        <w:rPr>
          <w:b/>
          <w:bCs/>
          <w:sz w:val="23"/>
          <w:szCs w:val="23"/>
        </w:rPr>
        <w:t>.</w:t>
      </w:r>
      <w:r>
        <w:rPr>
          <w:sz w:val="23"/>
          <w:szCs w:val="23"/>
        </w:rPr>
        <w:t xml:space="preserve"> </w:t>
      </w:r>
    </w:p>
    <w:p w:rsidR="00000000" w:rsidRDefault="003D51DE">
      <w:pPr>
        <w:pStyle w:val="a3"/>
        <w:spacing w:before="160" w:beforeAutospacing="0" w:after="0" w:afterAutospacing="0"/>
        <w:jc w:val="center"/>
        <w:rPr>
          <w:sz w:val="20"/>
          <w:szCs w:val="20"/>
        </w:rPr>
      </w:pPr>
      <w:r>
        <w:rPr>
          <w:b/>
          <w:bCs/>
          <w:sz w:val="19"/>
          <w:szCs w:val="19"/>
        </w:rPr>
        <w:t>For the transition period from t</w:t>
      </w:r>
      <w:r>
        <w:rPr>
          <w:b/>
          <w:bCs/>
          <w:sz w:val="19"/>
          <w:szCs w:val="19"/>
        </w:rPr>
        <w:t>o</w:t>
      </w:r>
      <w:r>
        <w:rPr>
          <w:b/>
          <w:bCs/>
          <w:sz w:val="19"/>
          <w:szCs w:val="19"/>
        </w:rPr>
        <w:t xml:space="preserve"> </w:t>
      </w:r>
    </w:p>
    <w:p w:rsidR="00000000" w:rsidRDefault="003D51DE">
      <w:pPr>
        <w:pStyle w:val="a3"/>
        <w:spacing w:before="160" w:beforeAutospacing="0" w:after="0" w:afterAutospacing="0"/>
        <w:jc w:val="center"/>
        <w:rPr>
          <w:sz w:val="20"/>
          <w:szCs w:val="20"/>
        </w:rPr>
      </w:pPr>
      <w:r>
        <w:rPr>
          <w:b/>
          <w:bCs/>
          <w:sz w:val="19"/>
          <w:szCs w:val="19"/>
        </w:rPr>
        <w:t>Commission file number</w:t>
      </w:r>
      <w:r>
        <w:rPr>
          <w:b/>
          <w:bCs/>
          <w:sz w:val="19"/>
          <w:szCs w:val="19"/>
        </w:rPr>
        <w:t xml:space="preserve"> </w:t>
      </w:r>
      <w:r>
        <w:rPr>
          <w:b/>
          <w:bCs/>
          <w:sz w:val="19"/>
          <w:szCs w:val="19"/>
        </w:rPr>
        <w:t>814-0071</w:t>
      </w:r>
      <w:r>
        <w:rPr>
          <w:b/>
          <w:bCs/>
          <w:sz w:val="19"/>
          <w:szCs w:val="19"/>
        </w:rPr>
        <w:t>2</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40"/>
          <w:szCs w:val="40"/>
        </w:rPr>
        <w:t>B</w:t>
      </w:r>
      <w:r>
        <w:rPr>
          <w:b/>
          <w:bCs/>
          <w:sz w:val="35"/>
          <w:szCs w:val="35"/>
        </w:rPr>
        <w:t>LAC</w:t>
      </w:r>
      <w:r>
        <w:rPr>
          <w:b/>
          <w:bCs/>
          <w:sz w:val="35"/>
          <w:szCs w:val="35"/>
        </w:rPr>
        <w:t>K</w:t>
      </w:r>
      <w:r>
        <w:rPr>
          <w:b/>
          <w:bCs/>
          <w:sz w:val="40"/>
          <w:szCs w:val="40"/>
        </w:rPr>
        <w:t>R</w:t>
      </w:r>
      <w:r>
        <w:rPr>
          <w:b/>
          <w:bCs/>
          <w:sz w:val="35"/>
          <w:szCs w:val="35"/>
        </w:rPr>
        <w:t>OCK</w:t>
      </w:r>
      <w:r>
        <w:rPr>
          <w:b/>
          <w:bCs/>
          <w:sz w:val="35"/>
          <w:szCs w:val="35"/>
        </w:rPr>
        <w:t xml:space="preserve"> </w:t>
      </w:r>
      <w:r>
        <w:rPr>
          <w:b/>
          <w:bCs/>
          <w:sz w:val="40"/>
          <w:szCs w:val="40"/>
        </w:rPr>
        <w:t>C</w:t>
      </w:r>
      <w:r>
        <w:rPr>
          <w:b/>
          <w:bCs/>
          <w:sz w:val="35"/>
          <w:szCs w:val="35"/>
        </w:rPr>
        <w:t>APITA</w:t>
      </w:r>
      <w:r>
        <w:rPr>
          <w:b/>
          <w:bCs/>
          <w:sz w:val="35"/>
          <w:szCs w:val="35"/>
        </w:rPr>
        <w:t>L</w:t>
      </w:r>
      <w:r>
        <w:rPr>
          <w:b/>
          <w:bCs/>
          <w:sz w:val="40"/>
          <w:szCs w:val="40"/>
        </w:rPr>
        <w:t xml:space="preserve"> </w:t>
      </w:r>
      <w:r>
        <w:rPr>
          <w:b/>
          <w:bCs/>
          <w:sz w:val="40"/>
          <w:szCs w:val="40"/>
        </w:rPr>
        <w:t>I</w:t>
      </w:r>
      <w:r>
        <w:rPr>
          <w:b/>
          <w:bCs/>
          <w:sz w:val="35"/>
          <w:szCs w:val="35"/>
        </w:rPr>
        <w:t>NVESTMEN</w:t>
      </w:r>
      <w:r>
        <w:rPr>
          <w:b/>
          <w:bCs/>
          <w:sz w:val="35"/>
          <w:szCs w:val="35"/>
        </w:rPr>
        <w:t>T</w:t>
      </w:r>
      <w:r>
        <w:rPr>
          <w:b/>
          <w:bCs/>
          <w:sz w:val="40"/>
          <w:szCs w:val="40"/>
        </w:rPr>
        <w:t xml:space="preserve"> </w:t>
      </w:r>
      <w:r>
        <w:rPr>
          <w:b/>
          <w:bCs/>
          <w:sz w:val="40"/>
          <w:szCs w:val="40"/>
        </w:rPr>
        <w:t>C</w:t>
      </w:r>
      <w:r>
        <w:rPr>
          <w:b/>
          <w:bCs/>
          <w:sz w:val="35"/>
          <w:szCs w:val="35"/>
        </w:rPr>
        <w:t>ORPORATIO</w:t>
      </w:r>
      <w:r>
        <w:rPr>
          <w:b/>
          <w:bCs/>
          <w:sz w:val="35"/>
          <w:szCs w:val="35"/>
        </w:rPr>
        <w:t>N</w:t>
      </w:r>
      <w:r>
        <w:rPr>
          <w:b/>
          <w:bCs/>
          <w:sz w:val="40"/>
          <w:szCs w:val="40"/>
        </w:rPr>
        <w:t xml:space="preserve"> </w:t>
      </w:r>
    </w:p>
    <w:p w:rsidR="00000000" w:rsidRDefault="003D51DE">
      <w:pPr>
        <w:pStyle w:val="a3"/>
        <w:spacing w:before="0" w:beforeAutospacing="0" w:after="0" w:afterAutospacing="0"/>
        <w:jc w:val="center"/>
        <w:rPr>
          <w:sz w:val="20"/>
          <w:szCs w:val="20"/>
        </w:rPr>
      </w:pPr>
      <w:r>
        <w:rPr>
          <w:b/>
          <w:bCs/>
          <w:sz w:val="19"/>
          <w:szCs w:val="19"/>
        </w:rPr>
        <w:t>(Exact Name of Registrant as Specified in Its Charter</w:t>
      </w:r>
      <w:r>
        <w:rPr>
          <w:b/>
          <w:bCs/>
          <w:sz w:val="19"/>
          <w:szCs w:val="19"/>
        </w:rPr>
        <w:t>)</w:t>
      </w:r>
      <w:r>
        <w:rPr>
          <w:b/>
          <w:bCs/>
          <w:sz w:val="19"/>
          <w:szCs w:val="19"/>
        </w:rPr>
        <w:t xml:space="preserve"> </w:t>
      </w:r>
    </w:p>
    <w:p w:rsidR="00000000" w:rsidRDefault="003D51D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3D51D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3D51DE">
            <w:pPr>
              <w:rPr>
                <w:sz w:val="20"/>
                <w:szCs w:val="20"/>
              </w:rPr>
            </w:pPr>
          </w:p>
        </w:tc>
        <w:tc>
          <w:tcPr>
            <w:tcW w:w="2500" w:type="pct"/>
            <w:vAlign w:val="center"/>
            <w:hideMark/>
          </w:tcPr>
          <w:p w:rsidR="00000000" w:rsidRDefault="003D51DE">
            <w:pPr>
              <w:rPr>
                <w:rFonts w:eastAsia="Times New Roman"/>
                <w:sz w:val="20"/>
                <w:szCs w:val="20"/>
              </w:rPr>
            </w:pPr>
          </w:p>
        </w:tc>
      </w:tr>
      <w:tr w:rsidR="00000000">
        <w:trPr>
          <w:tblCellSpacing w:w="15" w:type="dxa"/>
        </w:trPr>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r>
      <w:tr w:rsidR="00000000">
        <w:trPr>
          <w:trHeight w:val="180"/>
          <w:tblCellSpacing w:w="15" w:type="dxa"/>
        </w:trPr>
        <w:tc>
          <w:tcPr>
            <w:tcW w:w="0" w:type="auto"/>
            <w:hideMark/>
          </w:tcPr>
          <w:p w:rsidR="00000000" w:rsidRDefault="003D51DE">
            <w:pPr>
              <w:pStyle w:val="a3"/>
              <w:spacing w:before="0" w:beforeAutospacing="0" w:after="0" w:afterAutospacing="0"/>
              <w:jc w:val="center"/>
              <w:rPr>
                <w:sz w:val="20"/>
                <w:szCs w:val="20"/>
              </w:rPr>
            </w:pPr>
            <w:r>
              <w:rPr>
                <w:b/>
                <w:bCs/>
                <w:sz w:val="19"/>
                <w:szCs w:val="19"/>
              </w:rPr>
              <w:t>Delawar</w:t>
            </w:r>
            <w:r>
              <w:rPr>
                <w:b/>
                <w:bCs/>
                <w:sz w:val="19"/>
                <w:szCs w:val="19"/>
              </w:rPr>
              <w:t>e</w:t>
            </w:r>
          </w:p>
        </w:tc>
        <w:tc>
          <w:tcPr>
            <w:tcW w:w="0" w:type="auto"/>
            <w:hideMark/>
          </w:tcPr>
          <w:p w:rsidR="00000000" w:rsidRDefault="003D51DE">
            <w:pPr>
              <w:pStyle w:val="a3"/>
              <w:spacing w:before="0" w:beforeAutospacing="0" w:after="0" w:afterAutospacing="0"/>
              <w:jc w:val="center"/>
              <w:rPr>
                <w:sz w:val="20"/>
                <w:szCs w:val="20"/>
              </w:rPr>
            </w:pPr>
            <w:r>
              <w:rPr>
                <w:b/>
                <w:bCs/>
                <w:sz w:val="19"/>
                <w:szCs w:val="19"/>
              </w:rPr>
              <w:t>20-272515</w:t>
            </w:r>
            <w:r>
              <w:rPr>
                <w:b/>
                <w:bCs/>
                <w:sz w:val="19"/>
                <w:szCs w:val="19"/>
              </w:rPr>
              <w:t>1</w:t>
            </w:r>
          </w:p>
        </w:tc>
      </w:tr>
      <w:tr w:rsidR="00000000">
        <w:trPr>
          <w:trHeight w:val="140"/>
          <w:tblCellSpacing w:w="15" w:type="dxa"/>
        </w:trPr>
        <w:tc>
          <w:tcPr>
            <w:tcW w:w="0" w:type="auto"/>
            <w:hideMark/>
          </w:tcPr>
          <w:p w:rsidR="00000000" w:rsidRDefault="003D51DE">
            <w:pPr>
              <w:pStyle w:val="a3"/>
              <w:spacing w:before="0" w:beforeAutospacing="0" w:after="0" w:afterAutospacing="0"/>
              <w:jc w:val="center"/>
              <w:rPr>
                <w:sz w:val="15"/>
                <w:szCs w:val="15"/>
              </w:rPr>
            </w:pPr>
            <w:r>
              <w:rPr>
                <w:b/>
                <w:bCs/>
                <w:sz w:val="15"/>
                <w:szCs w:val="15"/>
              </w:rPr>
              <w:t>(State or Other Jurisdiction o</w:t>
            </w:r>
            <w:r>
              <w:rPr>
                <w:b/>
                <w:bCs/>
                <w:sz w:val="15"/>
                <w:szCs w:val="15"/>
              </w:rPr>
              <w:t>f</w:t>
            </w:r>
          </w:p>
          <w:p w:rsidR="00000000" w:rsidRDefault="003D51DE">
            <w:pPr>
              <w:pStyle w:val="a3"/>
              <w:spacing w:before="0" w:beforeAutospacing="0" w:after="0" w:afterAutospacing="0"/>
              <w:jc w:val="center"/>
              <w:rPr>
                <w:sz w:val="15"/>
                <w:szCs w:val="15"/>
              </w:rPr>
            </w:pPr>
            <w:r>
              <w:rPr>
                <w:b/>
                <w:bCs/>
                <w:sz w:val="15"/>
                <w:szCs w:val="15"/>
              </w:rPr>
              <w:t>Incorporation or Organization</w:t>
            </w:r>
            <w:r>
              <w:rPr>
                <w:b/>
                <w:bCs/>
                <w:sz w:val="15"/>
                <w:szCs w:val="15"/>
              </w:rPr>
              <w:t>)</w:t>
            </w:r>
          </w:p>
        </w:tc>
        <w:tc>
          <w:tcPr>
            <w:tcW w:w="0" w:type="auto"/>
            <w:hideMark/>
          </w:tcPr>
          <w:p w:rsidR="00000000" w:rsidRDefault="003D51DE">
            <w:pPr>
              <w:pStyle w:val="a3"/>
              <w:spacing w:before="0" w:beforeAutospacing="0" w:after="0" w:afterAutospacing="0"/>
              <w:jc w:val="center"/>
              <w:rPr>
                <w:sz w:val="15"/>
                <w:szCs w:val="15"/>
              </w:rPr>
            </w:pPr>
            <w:r>
              <w:rPr>
                <w:b/>
                <w:bCs/>
                <w:sz w:val="15"/>
                <w:szCs w:val="15"/>
              </w:rPr>
              <w:t>(I.R.S. Employe</w:t>
            </w:r>
            <w:r>
              <w:rPr>
                <w:b/>
                <w:bCs/>
                <w:sz w:val="15"/>
                <w:szCs w:val="15"/>
              </w:rPr>
              <w:t>r</w:t>
            </w:r>
          </w:p>
          <w:p w:rsidR="00000000" w:rsidRDefault="003D51DE">
            <w:pPr>
              <w:pStyle w:val="a3"/>
              <w:spacing w:before="0" w:beforeAutospacing="0" w:after="0" w:afterAutospacing="0"/>
              <w:jc w:val="center"/>
              <w:rPr>
                <w:sz w:val="15"/>
                <w:szCs w:val="15"/>
              </w:rPr>
            </w:pPr>
            <w:r>
              <w:rPr>
                <w:b/>
                <w:bCs/>
                <w:sz w:val="15"/>
                <w:szCs w:val="15"/>
              </w:rPr>
              <w:t>Identification No.</w:t>
            </w:r>
            <w:r>
              <w:rPr>
                <w:b/>
                <w:bCs/>
                <w:sz w:val="15"/>
                <w:szCs w:val="15"/>
              </w:rPr>
              <w:t>)</w:t>
            </w:r>
          </w:p>
        </w:tc>
      </w:tr>
      <w:tr w:rsidR="00000000">
        <w:trPr>
          <w:trHeight w:val="245"/>
          <w:tblCellSpacing w:w="15" w:type="dxa"/>
        </w:trPr>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r>
      <w:tr w:rsidR="00000000">
        <w:trPr>
          <w:trHeight w:val="180"/>
          <w:tblCellSpacing w:w="15" w:type="dxa"/>
        </w:trPr>
        <w:tc>
          <w:tcPr>
            <w:tcW w:w="0" w:type="auto"/>
            <w:hideMark/>
          </w:tcPr>
          <w:p w:rsidR="00000000" w:rsidRDefault="003D51DE">
            <w:pPr>
              <w:pStyle w:val="a3"/>
              <w:spacing w:before="0" w:beforeAutospacing="0" w:after="0" w:afterAutospacing="0"/>
              <w:jc w:val="center"/>
              <w:rPr>
                <w:sz w:val="16"/>
                <w:szCs w:val="16"/>
              </w:rPr>
            </w:pPr>
            <w:r>
              <w:rPr>
                <w:b/>
                <w:bCs/>
                <w:sz w:val="19"/>
                <w:szCs w:val="19"/>
              </w:rPr>
              <w:t>40 East 5</w:t>
            </w:r>
            <w:r>
              <w:rPr>
                <w:b/>
                <w:bCs/>
                <w:sz w:val="19"/>
                <w:szCs w:val="19"/>
              </w:rPr>
              <w:t>2</w:t>
            </w:r>
            <w:r>
              <w:rPr>
                <w:b/>
                <w:bCs/>
                <w:sz w:val="11"/>
                <w:szCs w:val="11"/>
              </w:rPr>
              <w:t>n</w:t>
            </w:r>
            <w:r>
              <w:rPr>
                <w:b/>
                <w:bCs/>
                <w:sz w:val="11"/>
                <w:szCs w:val="11"/>
              </w:rPr>
              <w:t>d</w:t>
            </w:r>
            <w:r>
              <w:rPr>
                <w:b/>
                <w:bCs/>
                <w:sz w:val="19"/>
                <w:szCs w:val="19"/>
              </w:rPr>
              <w:t xml:space="preserve"> Stree</w:t>
            </w:r>
            <w:r>
              <w:rPr>
                <w:b/>
                <w:bCs/>
                <w:sz w:val="19"/>
                <w:szCs w:val="19"/>
              </w:rPr>
              <w:t>t</w:t>
            </w:r>
            <w:r>
              <w:rPr>
                <w:b/>
                <w:bCs/>
                <w:sz w:val="19"/>
                <w:szCs w:val="19"/>
              </w:rPr>
              <w:t>,</w:t>
            </w:r>
            <w:r>
              <w:rPr>
                <w:b/>
                <w:bCs/>
                <w:sz w:val="19"/>
                <w:szCs w:val="19"/>
              </w:rPr>
              <w:t xml:space="preserve"> </w:t>
            </w:r>
            <w:r>
              <w:rPr>
                <w:b/>
                <w:bCs/>
                <w:sz w:val="19"/>
                <w:szCs w:val="19"/>
              </w:rPr>
              <w:t>New Yor</w:t>
            </w:r>
            <w:r>
              <w:rPr>
                <w:b/>
                <w:bCs/>
                <w:sz w:val="19"/>
                <w:szCs w:val="19"/>
              </w:rPr>
              <w:t>k</w:t>
            </w:r>
            <w:r>
              <w:rPr>
                <w:b/>
                <w:bCs/>
                <w:sz w:val="19"/>
                <w:szCs w:val="19"/>
              </w:rPr>
              <w:t>,</w:t>
            </w:r>
            <w:r>
              <w:rPr>
                <w:b/>
                <w:bCs/>
                <w:sz w:val="19"/>
                <w:szCs w:val="19"/>
              </w:rPr>
              <w:t xml:space="preserve"> </w:t>
            </w:r>
            <w:r>
              <w:rPr>
                <w:b/>
                <w:bCs/>
                <w:sz w:val="19"/>
                <w:szCs w:val="19"/>
              </w:rPr>
              <w:t>N</w:t>
            </w:r>
            <w:r>
              <w:rPr>
                <w:b/>
                <w:bCs/>
                <w:sz w:val="19"/>
                <w:szCs w:val="19"/>
              </w:rPr>
              <w:t>Y</w:t>
            </w:r>
          </w:p>
        </w:tc>
        <w:tc>
          <w:tcPr>
            <w:tcW w:w="0" w:type="auto"/>
            <w:hideMark/>
          </w:tcPr>
          <w:p w:rsidR="00000000" w:rsidRDefault="003D51DE">
            <w:pPr>
              <w:pStyle w:val="a3"/>
              <w:spacing w:before="0" w:beforeAutospacing="0" w:after="0" w:afterAutospacing="0"/>
              <w:jc w:val="center"/>
              <w:rPr>
                <w:sz w:val="20"/>
                <w:szCs w:val="20"/>
              </w:rPr>
            </w:pPr>
            <w:r>
              <w:rPr>
                <w:b/>
                <w:bCs/>
                <w:sz w:val="19"/>
                <w:szCs w:val="19"/>
              </w:rPr>
              <w:t>1002</w:t>
            </w:r>
            <w:r>
              <w:rPr>
                <w:b/>
                <w:bCs/>
                <w:sz w:val="19"/>
                <w:szCs w:val="19"/>
              </w:rPr>
              <w:t>2</w:t>
            </w:r>
          </w:p>
        </w:tc>
      </w:tr>
      <w:tr w:rsidR="00000000">
        <w:trPr>
          <w:trHeight w:val="140"/>
          <w:tblCellSpacing w:w="15" w:type="dxa"/>
        </w:trPr>
        <w:tc>
          <w:tcPr>
            <w:tcW w:w="0" w:type="auto"/>
            <w:hideMark/>
          </w:tcPr>
          <w:p w:rsidR="00000000" w:rsidRDefault="003D51DE">
            <w:pPr>
              <w:pStyle w:val="a3"/>
              <w:spacing w:before="0" w:beforeAutospacing="0" w:after="0" w:afterAutospacing="0"/>
              <w:jc w:val="center"/>
              <w:rPr>
                <w:sz w:val="15"/>
                <w:szCs w:val="15"/>
              </w:rPr>
            </w:pPr>
            <w:r>
              <w:rPr>
                <w:b/>
                <w:bCs/>
                <w:sz w:val="15"/>
                <w:szCs w:val="15"/>
              </w:rPr>
              <w:t>(Address of Principal Executive Offices</w:t>
            </w:r>
            <w:r>
              <w:rPr>
                <w:b/>
                <w:bCs/>
                <w:sz w:val="15"/>
                <w:szCs w:val="15"/>
              </w:rPr>
              <w:t>)</w:t>
            </w:r>
          </w:p>
        </w:tc>
        <w:tc>
          <w:tcPr>
            <w:tcW w:w="0" w:type="auto"/>
            <w:hideMark/>
          </w:tcPr>
          <w:p w:rsidR="00000000" w:rsidRDefault="003D51DE">
            <w:pPr>
              <w:pStyle w:val="a3"/>
              <w:spacing w:before="0" w:beforeAutospacing="0" w:after="0" w:afterAutospacing="0"/>
              <w:jc w:val="center"/>
              <w:rPr>
                <w:sz w:val="15"/>
                <w:szCs w:val="15"/>
              </w:rPr>
            </w:pPr>
            <w:r>
              <w:rPr>
                <w:b/>
                <w:bCs/>
                <w:sz w:val="15"/>
                <w:szCs w:val="15"/>
              </w:rPr>
              <w:t>(Zip Code</w:t>
            </w:r>
            <w:r>
              <w:rPr>
                <w:b/>
                <w:bCs/>
                <w:sz w:val="15"/>
                <w:szCs w:val="15"/>
              </w:rPr>
              <w:t>)</w:t>
            </w:r>
          </w:p>
        </w:tc>
      </w:tr>
    </w:tbl>
    <w:p w:rsidR="00000000" w:rsidRDefault="003D51DE">
      <w:pPr>
        <w:pStyle w:val="a3"/>
        <w:spacing w:before="120" w:beforeAutospacing="0" w:after="0" w:afterAutospacing="0"/>
        <w:jc w:val="center"/>
        <w:rPr>
          <w:sz w:val="20"/>
          <w:szCs w:val="20"/>
        </w:rPr>
      </w:pPr>
      <w:r>
        <w:rPr>
          <w:b/>
          <w:bCs/>
          <w:sz w:val="19"/>
          <w:szCs w:val="19"/>
        </w:rPr>
        <w:t>Registrant’s Telephone Number, Including Area Code:</w:t>
      </w:r>
      <w:r>
        <w:rPr>
          <w:b/>
          <w:bCs/>
          <w:sz w:val="19"/>
          <w:szCs w:val="19"/>
        </w:rPr>
        <w:t xml:space="preserve"> </w:t>
      </w:r>
      <w:r>
        <w:rPr>
          <w:b/>
          <w:bCs/>
          <w:sz w:val="19"/>
          <w:szCs w:val="19"/>
        </w:rPr>
        <w:t>21</w:t>
      </w:r>
      <w:r>
        <w:rPr>
          <w:b/>
          <w:bCs/>
          <w:sz w:val="19"/>
          <w:szCs w:val="19"/>
        </w:rPr>
        <w:t>2</w:t>
      </w:r>
      <w:r>
        <w:rPr>
          <w:b/>
          <w:bCs/>
          <w:sz w:val="19"/>
          <w:szCs w:val="19"/>
        </w:rPr>
        <w:t>-</w:t>
      </w:r>
      <w:r>
        <w:rPr>
          <w:b/>
          <w:bCs/>
          <w:sz w:val="19"/>
          <w:szCs w:val="19"/>
        </w:rPr>
        <w:t>810-580</w:t>
      </w:r>
      <w:r>
        <w:rPr>
          <w:b/>
          <w:bCs/>
          <w:sz w:val="19"/>
          <w:szCs w:val="19"/>
        </w:rPr>
        <w:t>0</w:t>
      </w:r>
      <w:r>
        <w:rPr>
          <w:b/>
          <w:bCs/>
          <w:sz w:val="19"/>
          <w:szCs w:val="19"/>
        </w:rPr>
        <w:t xml:space="preserve"> </w:t>
      </w:r>
    </w:p>
    <w:p w:rsidR="00000000" w:rsidRDefault="003D51DE">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ind w:firstLine="702"/>
        <w:rPr>
          <w:sz w:val="20"/>
          <w:szCs w:val="20"/>
        </w:rPr>
      </w:pPr>
      <w:r>
        <w:rPr>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7"/>
          <w:szCs w:val="17"/>
        </w:rPr>
        <w:t>uch reports), and (2) has been subject to such filing requirements for the past 90 days.</w:t>
      </w:r>
      <w:r>
        <w:rPr>
          <w:sz w:val="17"/>
          <w:szCs w:val="17"/>
        </w:rPr>
        <w:t xml:space="preserve"> </w:t>
      </w:r>
      <w:r>
        <w:rPr>
          <w:sz w:val="17"/>
          <w:szCs w:val="17"/>
        </w:rPr>
        <w:t>Ye</w:t>
      </w:r>
      <w:r>
        <w:rPr>
          <w:sz w:val="17"/>
          <w:szCs w:val="17"/>
        </w:rPr>
        <w:t>s</w:t>
      </w:r>
      <w:r>
        <w:rPr>
          <w:sz w:val="17"/>
          <w:szCs w:val="17"/>
        </w:rPr>
        <w:t xml:space="preserve"> </w:t>
      </w:r>
      <w:r>
        <w:rPr>
          <w:rFonts w:ascii="Segoe UI Emoji" w:hAnsi="Segoe UI Emoji" w:cs="Segoe UI Emoji"/>
          <w:sz w:val="17"/>
          <w:szCs w:val="17"/>
        </w:rPr>
        <w:t>☑</w:t>
      </w:r>
      <w:r>
        <w:rPr>
          <w:sz w:val="17"/>
          <w:szCs w:val="17"/>
        </w:rPr>
        <w:t xml:space="preserve"> No </w:t>
      </w:r>
      <w:r>
        <w:rPr>
          <w:rFonts w:ascii="Segoe UI Symbol" w:hAnsi="Segoe UI Symbol" w:cs="Segoe UI Symbol"/>
          <w:sz w:val="17"/>
          <w:szCs w:val="17"/>
        </w:rPr>
        <w:t>☐</w:t>
      </w:r>
      <w:r>
        <w:rPr>
          <w:sz w:val="17"/>
          <w:szCs w:val="17"/>
        </w:rPr>
        <w:t xml:space="preserve"> </w:t>
      </w:r>
    </w:p>
    <w:p w:rsidR="00000000" w:rsidRDefault="003D51DE">
      <w:pPr>
        <w:pStyle w:val="a3"/>
        <w:spacing w:before="120" w:beforeAutospacing="0" w:after="0" w:afterAutospacing="0"/>
        <w:ind w:firstLine="702"/>
        <w:rPr>
          <w:sz w:val="20"/>
          <w:szCs w:val="20"/>
        </w:rPr>
      </w:pPr>
      <w:r>
        <w:rPr>
          <w:sz w:val="17"/>
          <w:szCs w:val="17"/>
        </w:rPr>
        <w:t>Indicate by check mark whether the registrant has submitted electronically every Interactive Data File required to be submitted pursuant to Rule 405 of Reg</w:t>
      </w:r>
      <w:r>
        <w:rPr>
          <w:sz w:val="17"/>
          <w:szCs w:val="17"/>
        </w:rPr>
        <w:t>ulation S-T (§232.405 of this chapter) during the preceding 12 months (or for such shorter period that the registrant was required to submit such files).</w:t>
      </w:r>
      <w:r>
        <w:rPr>
          <w:sz w:val="17"/>
          <w:szCs w:val="17"/>
        </w:rPr>
        <w:t xml:space="preserve"> </w:t>
      </w:r>
      <w:r>
        <w:rPr>
          <w:sz w:val="17"/>
          <w:szCs w:val="17"/>
        </w:rPr>
        <w:t>Ye</w:t>
      </w:r>
      <w:r>
        <w:rPr>
          <w:sz w:val="17"/>
          <w:szCs w:val="17"/>
        </w:rPr>
        <w:t>s</w:t>
      </w:r>
      <w:r>
        <w:rPr>
          <w:sz w:val="17"/>
          <w:szCs w:val="17"/>
        </w:rPr>
        <w:t xml:space="preserve"> </w:t>
      </w:r>
      <w:r>
        <w:rPr>
          <w:rFonts w:ascii="Segoe UI Emoji" w:hAnsi="Segoe UI Emoji" w:cs="Segoe UI Emoji"/>
          <w:sz w:val="17"/>
          <w:szCs w:val="17"/>
        </w:rPr>
        <w:t>☑</w:t>
      </w:r>
      <w:r>
        <w:rPr>
          <w:sz w:val="17"/>
          <w:szCs w:val="17"/>
        </w:rPr>
        <w:t xml:space="preserve"> No </w:t>
      </w:r>
      <w:r>
        <w:rPr>
          <w:rFonts w:ascii="Segoe UI Symbol" w:hAnsi="Segoe UI Symbol" w:cs="Segoe UI Symbol"/>
          <w:sz w:val="17"/>
          <w:szCs w:val="17"/>
        </w:rPr>
        <w:t>☐</w:t>
      </w:r>
      <w:r>
        <w:rPr>
          <w:sz w:val="17"/>
          <w:szCs w:val="17"/>
        </w:rPr>
        <w:t xml:space="preserve"> </w:t>
      </w:r>
    </w:p>
    <w:p w:rsidR="00000000" w:rsidRDefault="003D51DE">
      <w:pPr>
        <w:pStyle w:val="a3"/>
        <w:spacing w:before="120" w:beforeAutospacing="0" w:after="0" w:afterAutospacing="0"/>
        <w:ind w:firstLine="702"/>
        <w:rPr>
          <w:sz w:val="20"/>
          <w:szCs w:val="20"/>
        </w:rPr>
      </w:pPr>
      <w:r>
        <w:rPr>
          <w:sz w:val="17"/>
          <w:szCs w:val="17"/>
        </w:rPr>
        <w:t>Indicate by check mark whether the Registrant is a large accelerated filer, an accelerated</w:t>
      </w:r>
      <w:r>
        <w:rPr>
          <w:sz w:val="17"/>
          <w:szCs w:val="17"/>
        </w:rPr>
        <w:t xml:space="preserve"> filer, a non-accelerated filer, a smaller reporting company, or an emerging growth company. See the definitions of “large accelerated filer,” “accelerated filer,” “smaller reporting company,” and “emerging growth company” in Rule 12b-2 of the Exchange Act</w:t>
      </w:r>
      <w:r>
        <w:rPr>
          <w:sz w:val="17"/>
          <w:szCs w:val="17"/>
        </w:rPr>
        <w:t>.</w:t>
      </w:r>
      <w:r>
        <w:rPr>
          <w:sz w:val="17"/>
          <w:szCs w:val="17"/>
        </w:rPr>
        <w:t xml:space="preserve"> </w:t>
      </w:r>
    </w:p>
    <w:p w:rsidR="00000000" w:rsidRDefault="003D51DE">
      <w:pPr>
        <w:pStyle w:val="a3"/>
        <w:spacing w:before="120" w:beforeAutospacing="0" w:after="0" w:afterAutospacing="0"/>
        <w:jc w:val="center"/>
        <w:rPr>
          <w:sz w:val="20"/>
          <w:szCs w:val="20"/>
        </w:rPr>
      </w:pPr>
      <w:r>
        <w:rPr>
          <w:sz w:val="17"/>
          <w:szCs w:val="17"/>
        </w:rPr>
        <w:t xml:space="preserve">Large accelerated filer </w:t>
      </w:r>
      <w:r>
        <w:rPr>
          <w:rFonts w:ascii="Segoe UI Symbol" w:hAnsi="Segoe UI Symbol" w:cs="Segoe UI Symbol"/>
          <w:sz w:val="17"/>
          <w:szCs w:val="17"/>
        </w:rPr>
        <w:t>☐</w:t>
      </w:r>
      <w:r>
        <w:rPr>
          <w:sz w:val="17"/>
          <w:szCs w:val="17"/>
        </w:rPr>
        <w:t xml:space="preserve"> Accelerated filer </w:t>
      </w:r>
      <w:r>
        <w:rPr>
          <w:rFonts w:ascii="Segoe UI Symbol" w:hAnsi="Segoe UI Symbol" w:cs="Segoe UI Symbol"/>
          <w:sz w:val="17"/>
          <w:szCs w:val="17"/>
        </w:rPr>
        <w:t>☐</w:t>
      </w:r>
      <w:r>
        <w:rPr>
          <w:sz w:val="17"/>
          <w:szCs w:val="17"/>
        </w:rPr>
        <w:t xml:space="preserve"> </w:t>
      </w:r>
      <w:r>
        <w:rPr>
          <w:sz w:val="17"/>
          <w:szCs w:val="17"/>
        </w:rPr>
        <w:t>Non-Accelerated file</w:t>
      </w:r>
      <w:r>
        <w:rPr>
          <w:sz w:val="17"/>
          <w:szCs w:val="17"/>
        </w:rPr>
        <w:t>r</w:t>
      </w:r>
      <w:r>
        <w:rPr>
          <w:sz w:val="17"/>
          <w:szCs w:val="17"/>
        </w:rPr>
        <w:t xml:space="preserve"> </w:t>
      </w:r>
      <w:r>
        <w:rPr>
          <w:rFonts w:ascii="Segoe UI Emoji" w:hAnsi="Segoe UI Emoji" w:cs="Segoe UI Emoji"/>
          <w:sz w:val="17"/>
          <w:szCs w:val="17"/>
        </w:rPr>
        <w:t>☑</w:t>
      </w:r>
      <w:r>
        <w:rPr>
          <w:sz w:val="17"/>
          <w:szCs w:val="17"/>
        </w:rPr>
        <w:t xml:space="preserve"> </w:t>
      </w:r>
    </w:p>
    <w:p w:rsidR="00000000" w:rsidRDefault="003D51DE">
      <w:pPr>
        <w:pStyle w:val="a3"/>
        <w:spacing w:before="120" w:beforeAutospacing="0" w:after="0" w:afterAutospacing="0"/>
        <w:jc w:val="center"/>
        <w:rPr>
          <w:sz w:val="20"/>
          <w:szCs w:val="20"/>
        </w:rPr>
      </w:pPr>
      <w:r>
        <w:rPr>
          <w:sz w:val="17"/>
          <w:szCs w:val="17"/>
        </w:rPr>
        <w:t>Smaller reporting company</w:t>
      </w:r>
      <w:r>
        <w:rPr>
          <w:sz w:val="17"/>
          <w:szCs w:val="17"/>
        </w:rPr>
        <w:t xml:space="preserve"> </w:t>
      </w:r>
      <w:r>
        <w:rPr>
          <w:rFonts w:ascii="Segoe UI Symbol" w:hAnsi="Segoe UI Symbol" w:cs="Segoe UI Symbol"/>
          <w:sz w:val="17"/>
          <w:szCs w:val="17"/>
        </w:rPr>
        <w:t>☐</w:t>
      </w:r>
      <w:r>
        <w:rPr>
          <w:sz w:val="17"/>
          <w:szCs w:val="17"/>
        </w:rPr>
        <w:t xml:space="preserve"> Emerging growth company</w:t>
      </w:r>
      <w:r>
        <w:rPr>
          <w:sz w:val="17"/>
          <w:szCs w:val="17"/>
        </w:rPr>
        <w:t xml:space="preserve"> </w:t>
      </w:r>
      <w:r>
        <w:rPr>
          <w:rFonts w:ascii="Segoe UI Symbol" w:hAnsi="Segoe UI Symbol" w:cs="Segoe UI Symbol"/>
          <w:sz w:val="17"/>
          <w:szCs w:val="17"/>
        </w:rPr>
        <w:t>☐</w:t>
      </w:r>
      <w:r>
        <w:rPr>
          <w:sz w:val="17"/>
          <w:szCs w:val="17"/>
        </w:rPr>
        <w:t xml:space="preserve"> </w:t>
      </w:r>
    </w:p>
    <w:p w:rsidR="00000000" w:rsidRDefault="003D51DE">
      <w:pPr>
        <w:pStyle w:val="a3"/>
        <w:spacing w:before="120" w:beforeAutospacing="0" w:after="0" w:afterAutospacing="0"/>
        <w:ind w:firstLine="702"/>
        <w:rPr>
          <w:sz w:val="20"/>
          <w:szCs w:val="20"/>
        </w:rPr>
      </w:pPr>
      <w:r>
        <w:rPr>
          <w:sz w:val="17"/>
          <w:szCs w:val="17"/>
        </w:rPr>
        <w:lastRenderedPageBreak/>
        <w:t>If an emerging growth company, indicate by check mark if the registrant has elected not to use the extended transition period f</w:t>
      </w:r>
      <w:r>
        <w:rPr>
          <w:sz w:val="17"/>
          <w:szCs w:val="17"/>
        </w:rPr>
        <w:t xml:space="preserve">or complying with any new or revised financial accounting standards provided pursuant to Section 13(a) of the Exchange Act. </w:t>
      </w:r>
      <w:r>
        <w:rPr>
          <w:rFonts w:ascii="Segoe UI Symbol" w:hAnsi="Segoe UI Symbol" w:cs="Segoe UI Symbol"/>
          <w:sz w:val="17"/>
          <w:szCs w:val="17"/>
        </w:rPr>
        <w:t>☐</w:t>
      </w:r>
      <w:r>
        <w:rPr>
          <w:sz w:val="17"/>
          <w:szCs w:val="17"/>
        </w:rPr>
        <w:t xml:space="preserve"> </w:t>
      </w:r>
    </w:p>
    <w:p w:rsidR="00000000" w:rsidRDefault="003D51DE">
      <w:pPr>
        <w:pStyle w:val="a3"/>
        <w:spacing w:before="120" w:beforeAutospacing="0" w:after="0" w:afterAutospacing="0"/>
        <w:ind w:firstLine="702"/>
        <w:rPr>
          <w:sz w:val="20"/>
          <w:szCs w:val="20"/>
        </w:rPr>
      </w:pPr>
      <w:r>
        <w:rPr>
          <w:sz w:val="17"/>
          <w:szCs w:val="17"/>
        </w:rPr>
        <w:t xml:space="preserve">Indicate by check mark whether the Registrant is a shell company (as defined in Rule 12b-2 of the Exchange Act). Yes </w:t>
      </w:r>
      <w:r>
        <w:rPr>
          <w:rFonts w:ascii="Segoe UI Symbol" w:hAnsi="Segoe UI Symbol" w:cs="Segoe UI Symbol"/>
          <w:sz w:val="17"/>
          <w:szCs w:val="17"/>
        </w:rPr>
        <w:t>☐</w:t>
      </w:r>
      <w:r>
        <w:rPr>
          <w:sz w:val="17"/>
          <w:szCs w:val="17"/>
        </w:rPr>
        <w:t xml:space="preserve"> No</w:t>
      </w:r>
      <w:r>
        <w:rPr>
          <w:sz w:val="17"/>
          <w:szCs w:val="17"/>
        </w:rPr>
        <w:t xml:space="preserve"> </w:t>
      </w:r>
      <w:r>
        <w:rPr>
          <w:rFonts w:ascii="Segoe UI Emoji" w:hAnsi="Segoe UI Emoji" w:cs="Segoe UI Emoji"/>
          <w:sz w:val="17"/>
          <w:szCs w:val="17"/>
        </w:rPr>
        <w:t>☑</w:t>
      </w:r>
      <w:r>
        <w:rPr>
          <w:sz w:val="17"/>
          <w:szCs w:val="17"/>
        </w:rPr>
        <w:t xml:space="preserve"> </w:t>
      </w:r>
    </w:p>
    <w:p w:rsidR="00000000" w:rsidRDefault="003D51DE">
      <w:pPr>
        <w:pStyle w:val="a3"/>
        <w:spacing w:before="120" w:beforeAutospacing="0" w:after="0" w:afterAutospacing="0"/>
        <w:rPr>
          <w:sz w:val="20"/>
          <w:szCs w:val="20"/>
        </w:rPr>
      </w:pPr>
      <w:r>
        <w:rPr>
          <w:sz w:val="17"/>
          <w:szCs w:val="17"/>
        </w:rPr>
        <w:t>Secu</w:t>
      </w:r>
      <w:r>
        <w:rPr>
          <w:sz w:val="17"/>
          <w:szCs w:val="17"/>
        </w:rPr>
        <w:t>rities registered pursuant to Section 12(b) of the Act</w:t>
      </w:r>
      <w:r>
        <w:rPr>
          <w:sz w:val="17"/>
          <w:szCs w:val="17"/>
        </w:rPr>
        <w:t>:</w:t>
      </w:r>
      <w:r>
        <w:rPr>
          <w:sz w:val="17"/>
          <w:szCs w:val="17"/>
        </w:rPr>
        <w:t xml:space="preserve"> </w:t>
      </w:r>
    </w:p>
    <w:p w:rsidR="00000000" w:rsidRDefault="003D51D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2759"/>
        <w:gridCol w:w="2773"/>
      </w:tblGrid>
      <w:tr w:rsidR="00000000">
        <w:trPr>
          <w:tblCellSpacing w:w="15" w:type="dxa"/>
        </w:trPr>
        <w:tc>
          <w:tcPr>
            <w:tcW w:w="1667" w:type="pct"/>
            <w:vAlign w:val="center"/>
            <w:hideMark/>
          </w:tcPr>
          <w:p w:rsidR="00000000" w:rsidRDefault="003D51DE">
            <w:pPr>
              <w:rPr>
                <w:sz w:val="20"/>
                <w:szCs w:val="20"/>
              </w:rPr>
            </w:pPr>
          </w:p>
        </w:tc>
        <w:tc>
          <w:tcPr>
            <w:tcW w:w="1667" w:type="pct"/>
            <w:vAlign w:val="center"/>
            <w:hideMark/>
          </w:tcPr>
          <w:p w:rsidR="00000000" w:rsidRDefault="003D51DE">
            <w:pPr>
              <w:rPr>
                <w:rFonts w:eastAsia="Times New Roman"/>
                <w:sz w:val="20"/>
                <w:szCs w:val="20"/>
              </w:rPr>
            </w:pPr>
          </w:p>
        </w:tc>
        <w:tc>
          <w:tcPr>
            <w:tcW w:w="1666" w:type="pct"/>
            <w:vAlign w:val="center"/>
            <w:hideMark/>
          </w:tcPr>
          <w:p w:rsidR="00000000" w:rsidRDefault="003D51DE">
            <w:pPr>
              <w:rPr>
                <w:rFonts w:eastAsia="Times New Roman"/>
                <w:sz w:val="20"/>
                <w:szCs w:val="20"/>
              </w:rPr>
            </w:pPr>
          </w:p>
        </w:tc>
      </w:tr>
      <w:tr w:rsidR="00000000">
        <w:trPr>
          <w:trHeight w:val="461"/>
          <w:tblCellSpacing w:w="15" w:type="dxa"/>
        </w:trPr>
        <w:tc>
          <w:tcPr>
            <w:tcW w:w="0" w:type="auto"/>
            <w:vAlign w:val="bottom"/>
            <w:hideMark/>
          </w:tcPr>
          <w:p w:rsidR="00000000" w:rsidRDefault="003D51DE">
            <w:pPr>
              <w:pStyle w:val="a3"/>
              <w:spacing w:before="0" w:beforeAutospacing="0" w:after="0" w:afterAutospacing="0"/>
              <w:jc w:val="center"/>
              <w:rPr>
                <w:sz w:val="19"/>
                <w:szCs w:val="19"/>
              </w:rPr>
            </w:pPr>
            <w:r>
              <w:rPr>
                <w:b/>
                <w:bCs/>
                <w:sz w:val="19"/>
                <w:szCs w:val="19"/>
                <w:u w:val="single"/>
              </w:rPr>
              <w:t>Title of each clas</w:t>
            </w:r>
            <w:r>
              <w:rPr>
                <w:b/>
                <w:bCs/>
                <w:sz w:val="19"/>
                <w:szCs w:val="19"/>
                <w:u w:val="single"/>
              </w:rPr>
              <w:t>s</w:t>
            </w:r>
          </w:p>
        </w:tc>
        <w:tc>
          <w:tcPr>
            <w:tcW w:w="0" w:type="auto"/>
            <w:vAlign w:val="bottom"/>
            <w:hideMark/>
          </w:tcPr>
          <w:p w:rsidR="00000000" w:rsidRDefault="003D51DE">
            <w:pPr>
              <w:pStyle w:val="a3"/>
              <w:spacing w:before="0" w:beforeAutospacing="0" w:after="0" w:afterAutospacing="0"/>
              <w:jc w:val="center"/>
              <w:rPr>
                <w:sz w:val="19"/>
                <w:szCs w:val="19"/>
              </w:rPr>
            </w:pPr>
            <w:r>
              <w:rPr>
                <w:b/>
                <w:bCs/>
                <w:sz w:val="19"/>
                <w:szCs w:val="19"/>
                <w:u w:val="single"/>
              </w:rPr>
              <w:t>Trading symbol(s</w:t>
            </w:r>
            <w:r>
              <w:rPr>
                <w:b/>
                <w:bCs/>
                <w:sz w:val="19"/>
                <w:szCs w:val="19"/>
                <w:u w:val="single"/>
              </w:rPr>
              <w:t>)</w:t>
            </w:r>
          </w:p>
        </w:tc>
        <w:tc>
          <w:tcPr>
            <w:tcW w:w="0" w:type="auto"/>
            <w:vAlign w:val="bottom"/>
            <w:hideMark/>
          </w:tcPr>
          <w:p w:rsidR="00000000" w:rsidRDefault="003D51DE">
            <w:pPr>
              <w:pStyle w:val="a3"/>
              <w:spacing w:before="0" w:beforeAutospacing="0" w:after="0" w:afterAutospacing="0"/>
              <w:jc w:val="center"/>
              <w:rPr>
                <w:sz w:val="19"/>
                <w:szCs w:val="19"/>
              </w:rPr>
            </w:pPr>
            <w:r>
              <w:rPr>
                <w:b/>
                <w:bCs/>
                <w:sz w:val="19"/>
                <w:szCs w:val="19"/>
                <w:u w:val="single"/>
              </w:rPr>
              <w:t>Name of each exchange on which registere</w:t>
            </w:r>
            <w:r>
              <w:rPr>
                <w:b/>
                <w:bCs/>
                <w:sz w:val="19"/>
                <w:szCs w:val="19"/>
                <w:u w:val="single"/>
              </w:rPr>
              <w:t>d</w:t>
            </w:r>
          </w:p>
        </w:tc>
      </w:tr>
      <w:tr w:rsidR="00000000">
        <w:trPr>
          <w:trHeight w:val="274"/>
          <w:tblCellSpacing w:w="15" w:type="dxa"/>
        </w:trPr>
        <w:tc>
          <w:tcPr>
            <w:tcW w:w="0" w:type="auto"/>
            <w:vAlign w:val="bottom"/>
            <w:hideMark/>
          </w:tcPr>
          <w:p w:rsidR="00000000" w:rsidRDefault="003D51DE">
            <w:pPr>
              <w:pStyle w:val="a3"/>
              <w:spacing w:before="0" w:beforeAutospacing="0" w:after="0" w:afterAutospacing="0"/>
              <w:jc w:val="center"/>
              <w:rPr>
                <w:sz w:val="20"/>
                <w:szCs w:val="20"/>
              </w:rPr>
            </w:pPr>
            <w:r>
              <w:rPr>
                <w:sz w:val="19"/>
                <w:szCs w:val="19"/>
              </w:rPr>
              <w:t>Common Stock, $0.001 par valu</w:t>
            </w:r>
            <w:r>
              <w:rPr>
                <w:sz w:val="19"/>
                <w:szCs w:val="19"/>
              </w:rPr>
              <w:t>e</w:t>
            </w:r>
          </w:p>
        </w:tc>
        <w:tc>
          <w:tcPr>
            <w:tcW w:w="0" w:type="auto"/>
            <w:vAlign w:val="bottom"/>
            <w:hideMark/>
          </w:tcPr>
          <w:p w:rsidR="00000000" w:rsidRDefault="003D51DE">
            <w:pPr>
              <w:pStyle w:val="a3"/>
              <w:spacing w:before="0" w:beforeAutospacing="0" w:after="0" w:afterAutospacing="0"/>
              <w:jc w:val="center"/>
              <w:rPr>
                <w:sz w:val="20"/>
                <w:szCs w:val="20"/>
              </w:rPr>
            </w:pPr>
            <w:r>
              <w:rPr>
                <w:sz w:val="19"/>
                <w:szCs w:val="19"/>
              </w:rPr>
              <w:t>BKC</w:t>
            </w:r>
            <w:r>
              <w:rPr>
                <w:sz w:val="19"/>
                <w:szCs w:val="19"/>
              </w:rPr>
              <w:t>C</w:t>
            </w:r>
          </w:p>
        </w:tc>
        <w:tc>
          <w:tcPr>
            <w:tcW w:w="0" w:type="auto"/>
            <w:vAlign w:val="bottom"/>
            <w:hideMark/>
          </w:tcPr>
          <w:p w:rsidR="00000000" w:rsidRDefault="003D51DE">
            <w:pPr>
              <w:pStyle w:val="a3"/>
              <w:spacing w:before="0" w:beforeAutospacing="0" w:after="0" w:afterAutospacing="0"/>
              <w:jc w:val="center"/>
              <w:rPr>
                <w:sz w:val="20"/>
                <w:szCs w:val="20"/>
              </w:rPr>
            </w:pPr>
            <w:r>
              <w:rPr>
                <w:sz w:val="19"/>
                <w:szCs w:val="19"/>
              </w:rPr>
              <w:t>NASDAQ Global Select Marke</w:t>
            </w:r>
            <w:r>
              <w:rPr>
                <w:sz w:val="19"/>
                <w:szCs w:val="19"/>
              </w:rPr>
              <w:t>t</w:t>
            </w:r>
          </w:p>
        </w:tc>
      </w:tr>
    </w:tbl>
    <w:p w:rsidR="00000000" w:rsidRDefault="003D51DE">
      <w:pPr>
        <w:pStyle w:val="a3"/>
        <w:spacing w:before="120" w:beforeAutospacing="0" w:after="0" w:afterAutospacing="0"/>
        <w:ind w:firstLine="702"/>
        <w:rPr>
          <w:sz w:val="20"/>
          <w:szCs w:val="20"/>
        </w:rPr>
      </w:pPr>
      <w:r>
        <w:rPr>
          <w:sz w:val="17"/>
          <w:szCs w:val="17"/>
        </w:rPr>
        <w:t>The number of shares of the Registrant’s common stock, $.001 par value per share, outstanding at November 2, 2022 was</w:t>
      </w:r>
      <w:r>
        <w:rPr>
          <w:sz w:val="17"/>
          <w:szCs w:val="17"/>
        </w:rPr>
        <w:t xml:space="preserve"> </w:t>
      </w:r>
      <w:r>
        <w:rPr>
          <w:sz w:val="17"/>
          <w:szCs w:val="17"/>
        </w:rPr>
        <w:t>72,571,90</w:t>
      </w:r>
      <w:r>
        <w:rPr>
          <w:sz w:val="17"/>
          <w:szCs w:val="17"/>
        </w:rPr>
        <w:t>7</w:t>
      </w:r>
      <w:r>
        <w:rPr>
          <w:sz w:val="17"/>
          <w:szCs w:val="17"/>
        </w:rPr>
        <w:t>.</w:t>
      </w:r>
      <w:r>
        <w:rPr>
          <w:sz w:val="17"/>
          <w:szCs w:val="17"/>
        </w:rPr>
        <w:t xml:space="preserve"> </w:t>
      </w:r>
    </w:p>
    <w:p w:rsidR="00000000" w:rsidRDefault="003D51DE">
      <w:pPr>
        <w:pStyle w:val="a3"/>
        <w:pBdr>
          <w:bottom w:val="double" w:sz="6" w:space="1" w:color="auto"/>
        </w:pBdr>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rPr>
          <w:rFonts w:eastAsia="Times New Roman"/>
        </w:rPr>
      </w:pPr>
      <w:r>
        <w:rPr>
          <w:rFonts w:eastAsia="Times New Roman"/>
        </w:rPr>
        <w:pict>
          <v:rect id="_x0000_i1025"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80" w:beforeAutospacing="0" w:after="0" w:afterAutospacing="0"/>
        <w:jc w:val="center"/>
        <w:rPr>
          <w:sz w:val="20"/>
          <w:szCs w:val="20"/>
        </w:rPr>
      </w:pPr>
      <w:r>
        <w:rPr>
          <w:b/>
          <w:bCs/>
          <w:sz w:val="19"/>
          <w:szCs w:val="19"/>
        </w:rPr>
        <w:t>FORM 10-</w:t>
      </w:r>
      <w:r>
        <w:rPr>
          <w:b/>
          <w:bCs/>
          <w:sz w:val="19"/>
          <w:szCs w:val="19"/>
        </w:rPr>
        <w:t>Q</w:t>
      </w:r>
    </w:p>
    <w:p w:rsidR="00000000" w:rsidRDefault="003D51DE">
      <w:pPr>
        <w:pStyle w:val="a3"/>
        <w:spacing w:before="80" w:beforeAutospacing="0" w:after="0" w:afterAutospacing="0"/>
        <w:jc w:val="center"/>
        <w:rPr>
          <w:sz w:val="20"/>
          <w:szCs w:val="20"/>
        </w:rPr>
      </w:pPr>
      <w:r>
        <w:rPr>
          <w:b/>
          <w:bCs/>
          <w:sz w:val="19"/>
          <w:szCs w:val="19"/>
        </w:rPr>
        <w:t>FOR THE THREE AND NINE MONTHS ENDED SEPTEMBER 30, 202</w:t>
      </w:r>
      <w:r>
        <w:rPr>
          <w:b/>
          <w:bCs/>
          <w:sz w:val="19"/>
          <w:szCs w:val="19"/>
        </w:rPr>
        <w:t>2</w:t>
      </w:r>
      <w:r>
        <w:rPr>
          <w:b/>
          <w:bCs/>
          <w:sz w:val="19"/>
          <w:szCs w:val="19"/>
        </w:rPr>
        <w:t xml:space="preserve"> </w:t>
      </w:r>
    </w:p>
    <w:p w:rsidR="00000000" w:rsidRDefault="003D51DE">
      <w:pPr>
        <w:pStyle w:val="a3"/>
        <w:spacing w:before="180" w:beforeAutospacing="0" w:after="0" w:afterAutospacing="0"/>
        <w:jc w:val="center"/>
        <w:rPr>
          <w:sz w:val="20"/>
          <w:szCs w:val="20"/>
        </w:rPr>
      </w:pPr>
      <w:r>
        <w:rPr>
          <w:b/>
          <w:bCs/>
          <w:sz w:val="19"/>
          <w:szCs w:val="19"/>
        </w:rPr>
        <w:t>Table of Content</w:t>
      </w:r>
      <w:r>
        <w:rPr>
          <w:b/>
          <w:bCs/>
          <w:sz w:val="19"/>
          <w:szCs w:val="19"/>
        </w:rPr>
        <w:t>s</w:t>
      </w:r>
      <w:r>
        <w:rPr>
          <w:b/>
          <w:bCs/>
          <w:sz w:val="19"/>
          <w:szCs w:val="19"/>
        </w:rPr>
        <w:t xml:space="preserve"> </w:t>
      </w:r>
    </w:p>
    <w:p w:rsidR="00000000" w:rsidRDefault="003D51D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4"/>
        <w:gridCol w:w="6806"/>
        <w:gridCol w:w="596"/>
      </w:tblGrid>
      <w:tr w:rsidR="00000000">
        <w:trPr>
          <w:tblCellSpacing w:w="15" w:type="dxa"/>
        </w:trPr>
        <w:tc>
          <w:tcPr>
            <w:tcW w:w="553" w:type="pct"/>
            <w:shd w:val="clear" w:color="auto" w:fill="FFFFFF"/>
            <w:vAlign w:val="center"/>
            <w:hideMark/>
          </w:tcPr>
          <w:p w:rsidR="00000000" w:rsidRDefault="003D51DE">
            <w:pPr>
              <w:rPr>
                <w:sz w:val="20"/>
                <w:szCs w:val="20"/>
              </w:rPr>
            </w:pPr>
          </w:p>
        </w:tc>
        <w:tc>
          <w:tcPr>
            <w:tcW w:w="4168" w:type="pct"/>
            <w:shd w:val="clear" w:color="auto" w:fill="FFFFFF"/>
            <w:vAlign w:val="center"/>
            <w:hideMark/>
          </w:tcPr>
          <w:p w:rsidR="00000000" w:rsidRDefault="003D51DE">
            <w:pPr>
              <w:rPr>
                <w:rFonts w:eastAsia="Times New Roman"/>
                <w:sz w:val="20"/>
                <w:szCs w:val="20"/>
              </w:rPr>
            </w:pPr>
          </w:p>
        </w:tc>
        <w:tc>
          <w:tcPr>
            <w:tcW w:w="277" w:type="pct"/>
            <w:shd w:val="clear" w:color="auto" w:fill="FFFFFF"/>
            <w:vAlign w:val="center"/>
            <w:hideMark/>
          </w:tcPr>
          <w:p w:rsidR="00000000" w:rsidRDefault="003D51DE">
            <w:pPr>
              <w:rPr>
                <w:rFonts w:eastAsia="Times New Roman"/>
                <w:sz w:val="20"/>
                <w:szCs w:val="20"/>
              </w:rPr>
            </w:pPr>
          </w:p>
        </w:tc>
      </w:tr>
      <w:tr w:rsidR="00000000">
        <w:trPr>
          <w:trHeight w:val="140"/>
          <w:tblCellSpacing w:w="15" w:type="dxa"/>
        </w:trPr>
        <w:tc>
          <w:tcPr>
            <w:tcW w:w="0" w:type="auto"/>
            <w:vAlign w:val="bottom"/>
            <w:hideMark/>
          </w:tcPr>
          <w:p w:rsidR="00000000" w:rsidRDefault="003D51DE">
            <w:pPr>
              <w:pStyle w:val="a3"/>
              <w:spacing w:before="20" w:beforeAutospacing="0" w:after="0" w:afterAutospacing="0"/>
              <w:jc w:val="center"/>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u w:val="single"/>
              </w:rPr>
              <w:t>INDE</w:t>
            </w:r>
            <w:r>
              <w:rPr>
                <w:sz w:val="15"/>
                <w:szCs w:val="15"/>
                <w:u w:val="single"/>
              </w:rPr>
              <w:t>X</w:t>
            </w:r>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jc w:val="right"/>
              <w:rPr>
                <w:sz w:val="15"/>
                <w:szCs w:val="15"/>
              </w:rPr>
            </w:pPr>
            <w:r>
              <w:rPr>
                <w:sz w:val="15"/>
                <w:szCs w:val="15"/>
                <w:u w:val="single"/>
              </w:rPr>
              <w:t>PAGE NO</w:t>
            </w:r>
            <w:r>
              <w:rPr>
                <w:sz w:val="15"/>
                <w:szCs w:val="15"/>
                <w:u w:val="single"/>
              </w:rPr>
              <w:t>.</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c>
          <w:tcPr>
            <w:tcW w:w="0" w:type="auto"/>
            <w:vAlign w:val="center"/>
            <w:hideMark/>
          </w:tcPr>
          <w:p w:rsidR="00000000" w:rsidRDefault="003D51DE">
            <w:pPr>
              <w:pStyle w:val="a3"/>
              <w:spacing w:before="0" w:beforeAutospacing="0" w:after="0" w:afterAutospacing="0"/>
              <w:rPr>
                <w:sz w:val="8"/>
                <w:szCs w:val="8"/>
              </w:rPr>
            </w:pPr>
            <w:r>
              <w:rPr>
                <w:sz w:val="8"/>
                <w:szCs w:val="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PART I</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part_i_financial_information" w:history="1">
              <w:r>
                <w:rPr>
                  <w:rStyle w:val="a4"/>
                  <w:sz w:val="19"/>
                  <w:szCs w:val="19"/>
                </w:rPr>
                <w:t>FINANCIAL INFORMATIO</w:t>
              </w:r>
              <w:r>
                <w:rPr>
                  <w:rStyle w:val="a4"/>
                  <w:sz w:val="19"/>
                  <w:szCs w:val="19"/>
                </w:rPr>
                <w:t>N</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1</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1_consolidated_financial_statement" w:history="1">
              <w:r>
                <w:rPr>
                  <w:rStyle w:val="a4"/>
                  <w:sz w:val="19"/>
                  <w:szCs w:val="19"/>
                </w:rPr>
                <w:t>CONSOLIDATED FINANCIAL STATEMENT</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jc w:val="right"/>
              <w:rPr>
                <w:sz w:val="19"/>
                <w:szCs w:val="19"/>
              </w:rPr>
            </w:pPr>
            <w:r>
              <w:rPr>
                <w:sz w:val="19"/>
                <w:szCs w:val="19"/>
              </w:rPr>
              <w:t>3</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consolidated_statements_assets_liabilit" w:history="1">
              <w:r>
                <w:rPr>
                  <w:rStyle w:val="a4"/>
                  <w:sz w:val="19"/>
                  <w:szCs w:val="19"/>
                </w:rPr>
                <w:t>Consolidated Statements of Assets and Liabilities as of September 30, 2022 (unaudited)</w:t>
              </w:r>
              <w:r>
                <w:rPr>
                  <w:rStyle w:val="a4"/>
                  <w:sz w:val="19"/>
                  <w:szCs w:val="19"/>
                </w:rPr>
                <w:t xml:space="preserve"> and December 31, 202</w:t>
              </w:r>
              <w:r>
                <w:rPr>
                  <w:rStyle w:val="a4"/>
                  <w:sz w:val="19"/>
                  <w:szCs w:val="19"/>
                </w:rPr>
                <w:t>1</w:t>
              </w:r>
              <w:r>
                <w:rPr>
                  <w:rStyle w:val="a4"/>
                  <w:sz w:val="19"/>
                  <w:szCs w:val="19"/>
                </w:rPr>
                <w:t xml:space="preserve"> </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3</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consolidated_statements_operations" w:history="1">
              <w:r>
                <w:rPr>
                  <w:rStyle w:val="a4"/>
                  <w:sz w:val="19"/>
                  <w:szCs w:val="19"/>
                </w:rPr>
                <w:t>Consolidated Statements of Operations for the three and nine months ended September 30, 2022 (unaudited) and September 30, 2021 (unaudited</w:t>
              </w:r>
              <w:r>
                <w:rPr>
                  <w:rStyle w:val="a4"/>
                  <w:sz w:val="19"/>
                  <w:szCs w:val="19"/>
                </w:rPr>
                <w:t>)</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4</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consolidated_statements_changes_in_net_" w:history="1">
              <w:r>
                <w:rPr>
                  <w:rStyle w:val="a4"/>
                  <w:sz w:val="19"/>
                  <w:szCs w:val="19"/>
                </w:rPr>
                <w:t xml:space="preserve">Consolidated Statements of Changes in Net </w:t>
              </w:r>
              <w:r>
                <w:rPr>
                  <w:rStyle w:val="a4"/>
                  <w:sz w:val="19"/>
                  <w:szCs w:val="19"/>
                </w:rPr>
                <w:t>Assets for the three and nine months ended September 30, 2022 (unaudited) and September 30, 2021 (unaudited</w:t>
              </w:r>
              <w:r>
                <w:rPr>
                  <w:rStyle w:val="a4"/>
                  <w:sz w:val="19"/>
                  <w:szCs w:val="19"/>
                </w:rPr>
                <w:t>)</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consolidated_statements_cash_flows" w:history="1">
              <w:r>
                <w:rPr>
                  <w:rStyle w:val="a4"/>
                  <w:sz w:val="19"/>
                  <w:szCs w:val="19"/>
                </w:rPr>
                <w:t>Consolidated Statements of Cash Flows for the nine months ended September 30, 2022 (unaudited) and September 30, 2021 (unaudited</w:t>
              </w:r>
              <w:r>
                <w:rPr>
                  <w:rStyle w:val="a4"/>
                  <w:sz w:val="19"/>
                  <w:szCs w:val="19"/>
                </w:rPr>
                <w:t>)</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6</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consolidated_schedules_investments" w:history="1">
              <w:r>
                <w:rPr>
                  <w:rStyle w:val="a4"/>
                  <w:sz w:val="19"/>
                  <w:szCs w:val="19"/>
                </w:rPr>
                <w:t>Consolidated Schedules of Investments as of September 30,</w:t>
              </w:r>
              <w:r>
                <w:rPr>
                  <w:rStyle w:val="a4"/>
                  <w:sz w:val="19"/>
                  <w:szCs w:val="19"/>
                </w:rPr>
                <w:t xml:space="preserve"> 2022 (unaudited) and December 31, 202</w:t>
              </w:r>
              <w:r>
                <w:rPr>
                  <w:rStyle w:val="a4"/>
                  <w:sz w:val="19"/>
                  <w:szCs w:val="19"/>
                </w:rPr>
                <w:t>1</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7</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hyperlink w:anchor="notes_to_consolidated_financial_stateme" w:history="1">
              <w:r>
                <w:rPr>
                  <w:rStyle w:val="a4"/>
                  <w:sz w:val="19"/>
                  <w:szCs w:val="19"/>
                </w:rPr>
                <w:t>Notes to Consolidated Financial Statements (unaudited</w:t>
              </w:r>
              <w:r>
                <w:rPr>
                  <w:rStyle w:val="a4"/>
                  <w:sz w:val="19"/>
                  <w:szCs w:val="19"/>
                </w:rPr>
                <w:t>)</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2</w:t>
            </w:r>
            <w:r>
              <w:rPr>
                <w:sz w:val="19"/>
                <w:szCs w:val="19"/>
              </w:rPr>
              <w:t>3</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2</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2_managements_discussion_analysis_" w:history="1">
              <w:r>
                <w:rPr>
                  <w:rStyle w:val="a4"/>
                  <w:sz w:val="19"/>
                  <w:szCs w:val="19"/>
                </w:rPr>
                <w:t>Management’s Discussion and Analysis of Financial Condition and Results of Operation</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4</w:t>
            </w:r>
            <w:r>
              <w:rPr>
                <w:sz w:val="19"/>
                <w:szCs w:val="19"/>
              </w:rPr>
              <w:t>4</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3</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3_quantitative_qualitative_disclos" w:history="1">
              <w:r>
                <w:rPr>
                  <w:rStyle w:val="a4"/>
                  <w:sz w:val="19"/>
                  <w:szCs w:val="19"/>
                </w:rPr>
                <w:t>Quantitative and Qualitativ</w:t>
              </w:r>
              <w:r>
                <w:rPr>
                  <w:rStyle w:val="a4"/>
                  <w:sz w:val="19"/>
                  <w:szCs w:val="19"/>
                </w:rPr>
                <w:t>e Disclosures About Market Ris</w:t>
              </w:r>
              <w:r>
                <w:rPr>
                  <w:rStyle w:val="a4"/>
                  <w:sz w:val="19"/>
                  <w:szCs w:val="19"/>
                </w:rPr>
                <w:t>k</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4</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4</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4_controls_procedures" w:history="1">
              <w:r>
                <w:rPr>
                  <w:rStyle w:val="a4"/>
                  <w:sz w:val="19"/>
                  <w:szCs w:val="19"/>
                </w:rPr>
                <w:t>Controls and Procedure</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5</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lastRenderedPageBreak/>
              <w:t>PART II</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part_ii_or_information" w:history="1">
              <w:r>
                <w:rPr>
                  <w:rStyle w:val="a4"/>
                  <w:sz w:val="19"/>
                  <w:szCs w:val="19"/>
                </w:rPr>
                <w:t>OTHER INFORMATIO</w:t>
              </w:r>
              <w:r>
                <w:rPr>
                  <w:rStyle w:val="a4"/>
                  <w:sz w:val="19"/>
                  <w:szCs w:val="19"/>
                </w:rPr>
                <w:t>N</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1</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1_legal_proceedings" w:history="1">
              <w:r>
                <w:rPr>
                  <w:rStyle w:val="a4"/>
                  <w:sz w:val="19"/>
                  <w:szCs w:val="19"/>
                </w:rPr>
                <w:t>Legal Proceeding</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6</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1A</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1a_risk_factors" w:history="1">
              <w:r>
                <w:rPr>
                  <w:rStyle w:val="a4"/>
                  <w:sz w:val="19"/>
                  <w:szCs w:val="19"/>
                </w:rPr>
                <w:t>Risk Factor</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6</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2</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2_unregistered_sales_equity_securi" w:history="1">
              <w:r>
                <w:rPr>
                  <w:rStyle w:val="a4"/>
                  <w:sz w:val="19"/>
                  <w:szCs w:val="19"/>
                </w:rPr>
                <w:t>Unregistered Sales of Equity Securities and Use of Proceed</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7</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3</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3_defaults_upon_senior_securities" w:history="1">
              <w:r>
                <w:rPr>
                  <w:rStyle w:val="a4"/>
                  <w:sz w:val="19"/>
                  <w:szCs w:val="19"/>
                </w:rPr>
                <w:t>Defaults Upon Senior Securitie</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8</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4</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4_mine_safety_disclosures" w:history="1">
              <w:r>
                <w:rPr>
                  <w:rStyle w:val="a4"/>
                  <w:sz w:val="19"/>
                  <w:szCs w:val="19"/>
                </w:rPr>
                <w:t>Mine Safety Disclosure</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8</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5</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5_or_information" w:history="1">
              <w:r>
                <w:rPr>
                  <w:rStyle w:val="a4"/>
                  <w:sz w:val="19"/>
                  <w:szCs w:val="19"/>
                </w:rPr>
                <w:t>Other Informatio</w:t>
              </w:r>
              <w:r>
                <w:rPr>
                  <w:rStyle w:val="a4"/>
                  <w:sz w:val="19"/>
                  <w:szCs w:val="19"/>
                </w:rPr>
                <w:t>n</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5</w:t>
            </w:r>
            <w:r>
              <w:rPr>
                <w:sz w:val="19"/>
                <w:szCs w:val="19"/>
              </w:rPr>
              <w:t>8</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80"/>
              <w:rPr>
                <w:sz w:val="19"/>
                <w:szCs w:val="19"/>
              </w:rPr>
            </w:pPr>
            <w:r>
              <w:rPr>
                <w:sz w:val="19"/>
                <w:szCs w:val="19"/>
              </w:rPr>
              <w:t>Item 6</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hyperlink w:anchor="item_6_exhibits" w:history="1">
              <w:r>
                <w:rPr>
                  <w:rStyle w:val="a4"/>
                  <w:sz w:val="19"/>
                  <w:szCs w:val="19"/>
                </w:rPr>
                <w:t>Exhibit</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6</w:t>
            </w:r>
            <w:r>
              <w:rPr>
                <w:sz w:val="19"/>
                <w:szCs w:val="19"/>
              </w:rPr>
              <w:t>0</w:t>
            </w:r>
          </w:p>
        </w:tc>
      </w:tr>
      <w:tr w:rsidR="00000000">
        <w:trPr>
          <w:trHeight w:val="115"/>
          <w:tblCellSpacing w:w="15" w:type="dxa"/>
        </w:trPr>
        <w:tc>
          <w:tcPr>
            <w:tcW w:w="0" w:type="auto"/>
            <w:gridSpan w:val="2"/>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right"/>
              <w:rPr>
                <w:sz w:val="12"/>
                <w:szCs w:val="12"/>
              </w:rPr>
            </w:pPr>
            <w:r>
              <w:rPr>
                <w:sz w:val="12"/>
                <w:szCs w:val="12"/>
              </w:rPr>
              <w:t> </w:t>
            </w:r>
          </w:p>
        </w:tc>
      </w:tr>
      <w:tr w:rsidR="00000000">
        <w:trPr>
          <w:trHeight w:val="180"/>
          <w:tblCellSpacing w:w="15" w:type="dxa"/>
        </w:trPr>
        <w:tc>
          <w:tcPr>
            <w:tcW w:w="0" w:type="auto"/>
            <w:gridSpan w:val="2"/>
            <w:hideMark/>
          </w:tcPr>
          <w:p w:rsidR="00000000" w:rsidRDefault="003D51DE">
            <w:pPr>
              <w:pStyle w:val="a3"/>
              <w:spacing w:before="0" w:beforeAutospacing="0" w:after="0" w:afterAutospacing="0"/>
              <w:rPr>
                <w:sz w:val="19"/>
                <w:szCs w:val="19"/>
              </w:rPr>
            </w:pPr>
            <w:hyperlink w:anchor="signatures" w:history="1">
              <w:r>
                <w:rPr>
                  <w:rStyle w:val="a4"/>
                  <w:sz w:val="19"/>
                  <w:szCs w:val="19"/>
                </w:rPr>
                <w:t>SIGNATURE</w:t>
              </w:r>
              <w:r>
                <w:rPr>
                  <w:rStyle w:val="a4"/>
                  <w:sz w:val="19"/>
                  <w:szCs w:val="19"/>
                </w:rPr>
                <w:t>S</w:t>
              </w:r>
            </w:hyperlink>
          </w:p>
        </w:tc>
        <w:tc>
          <w:tcPr>
            <w:tcW w:w="0" w:type="auto"/>
            <w:tcMar>
              <w:top w:w="15" w:type="dxa"/>
              <w:left w:w="144" w:type="dxa"/>
              <w:bottom w:w="15" w:type="dxa"/>
              <w:right w:w="15" w:type="dxa"/>
            </w:tcMar>
            <w:vAlign w:val="bottom"/>
            <w:hideMark/>
          </w:tcPr>
          <w:p w:rsidR="00000000" w:rsidRDefault="003D51DE">
            <w:pPr>
              <w:pStyle w:val="a3"/>
              <w:spacing w:before="0" w:beforeAutospacing="0" w:after="20" w:afterAutospacing="0"/>
              <w:jc w:val="right"/>
              <w:rPr>
                <w:sz w:val="19"/>
                <w:szCs w:val="19"/>
              </w:rPr>
            </w:pPr>
            <w:r>
              <w:rPr>
                <w:sz w:val="19"/>
                <w:szCs w:val="19"/>
              </w:rPr>
              <w:t>6</w:t>
            </w:r>
            <w:r>
              <w:rPr>
                <w:sz w:val="19"/>
                <w:szCs w:val="19"/>
              </w:rPr>
              <w:t>1</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2</w:t>
      </w:r>
    </w:p>
    <w:p w:rsidR="00000000" w:rsidRDefault="003D51DE">
      <w:pPr>
        <w:rPr>
          <w:rFonts w:eastAsia="Times New Roman"/>
        </w:rPr>
      </w:pPr>
      <w:r>
        <w:rPr>
          <w:rFonts w:eastAsia="Times New Roman"/>
        </w:rPr>
        <w:pict>
          <v:rect id="_x0000_i102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both"/>
        <w:rPr>
          <w:sz w:val="20"/>
          <w:szCs w:val="20"/>
        </w:rPr>
      </w:pPr>
      <w:r>
        <w:rPr>
          <w:b/>
          <w:bCs/>
          <w:sz w:val="19"/>
          <w:szCs w:val="19"/>
        </w:rPr>
        <w:t>PART I. FINANC</w:t>
      </w:r>
      <w:r>
        <w:rPr>
          <w:b/>
          <w:bCs/>
          <w:sz w:val="19"/>
          <w:szCs w:val="19"/>
        </w:rPr>
        <w:t>I</w:t>
      </w:r>
      <w:r>
        <w:rPr>
          <w:b/>
          <w:bCs/>
          <w:sz w:val="19"/>
          <w:szCs w:val="19"/>
        </w:rPr>
        <w:t>AL INFORMATIO</w:t>
      </w:r>
      <w:r>
        <w:rPr>
          <w:b/>
          <w:bCs/>
          <w:sz w:val="19"/>
          <w:szCs w:val="19"/>
        </w:rPr>
        <w:t>N</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In this Quarterly Report, “Company”, “we”, “us” and “our” refer to BlackRock Capital Investment Corporation unless the context states otherwise</w:t>
      </w:r>
      <w:r>
        <w:rPr>
          <w:sz w:val="19"/>
          <w:szCs w:val="19"/>
        </w:rPr>
        <w:t>.</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Item 1. Consolidated</w:t>
      </w:r>
      <w:r>
        <w:rPr>
          <w:b/>
          <w:bCs/>
          <w:sz w:val="19"/>
          <w:szCs w:val="19"/>
        </w:rPr>
        <w:t xml:space="preserve"> </w:t>
      </w:r>
      <w:r>
        <w:rPr>
          <w:b/>
          <w:bCs/>
          <w:sz w:val="19"/>
          <w:szCs w:val="19"/>
        </w:rPr>
        <w:t>Financial Statement</w:t>
      </w:r>
      <w:r>
        <w:rPr>
          <w:b/>
          <w:bCs/>
          <w:sz w:val="19"/>
          <w:szCs w:val="19"/>
        </w:rPr>
        <w:t>s</w:t>
      </w:r>
      <w:r>
        <w:rPr>
          <w:b/>
          <w:bCs/>
          <w:sz w:val="19"/>
          <w:szCs w:val="19"/>
        </w:rPr>
        <w:t xml:space="preserve"> </w:t>
      </w:r>
    </w:p>
    <w:p w:rsidR="00000000" w:rsidRDefault="003D51DE">
      <w:pPr>
        <w:pStyle w:val="a3"/>
        <w:spacing w:before="24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Statements o</w:t>
      </w:r>
      <w:r>
        <w:rPr>
          <w:b/>
          <w:bCs/>
          <w:sz w:val="19"/>
          <w:szCs w:val="19"/>
        </w:rPr>
        <w:t>f</w:t>
      </w:r>
      <w:r>
        <w:rPr>
          <w:b/>
          <w:bCs/>
          <w:sz w:val="19"/>
          <w:szCs w:val="19"/>
        </w:rPr>
        <w:t xml:space="preserve"> Assets and Liabilitie</w:t>
      </w:r>
      <w:r>
        <w:rPr>
          <w:b/>
          <w:bCs/>
          <w:sz w:val="19"/>
          <w:szCs w:val="19"/>
        </w:rPr>
        <w:t>s</w:t>
      </w:r>
      <w:r>
        <w:rPr>
          <w:b/>
          <w:bCs/>
          <w:sz w:val="19"/>
          <w:szCs w:val="19"/>
        </w:rPr>
        <w:t xml:space="preserve"> </w:t>
      </w:r>
    </w:p>
    <w:p w:rsidR="00000000" w:rsidRDefault="003D51DE">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5"/>
        <w:gridCol w:w="110"/>
        <w:gridCol w:w="160"/>
        <w:gridCol w:w="1127"/>
        <w:gridCol w:w="127"/>
        <w:gridCol w:w="108"/>
        <w:gridCol w:w="160"/>
        <w:gridCol w:w="1127"/>
        <w:gridCol w:w="142"/>
      </w:tblGrid>
      <w:tr w:rsidR="00000000">
        <w:trPr>
          <w:tblCellSpacing w:w="15" w:type="dxa"/>
        </w:trPr>
        <w:tc>
          <w:tcPr>
            <w:tcW w:w="3291"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w:t>
            </w:r>
            <w:r>
              <w:rPr>
                <w:b/>
                <w:bCs/>
                <w:sz w:val="16"/>
                <w:szCs w:val="16"/>
              </w:rPr>
              <w:br/>
              <w:t>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(Unaudited</w:t>
            </w:r>
            <w:r>
              <w:rPr>
                <w:b/>
                <w:bCs/>
                <w:sz w:val="16"/>
                <w:szCs w:val="16"/>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Investments at fair value</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ind w:left="200"/>
              <w:rPr>
                <w:sz w:val="20"/>
                <w:szCs w:val="20"/>
              </w:rPr>
            </w:pPr>
            <w:r>
              <w:rPr>
                <w:sz w:val="20"/>
                <w:szCs w:val="20"/>
              </w:rPr>
              <w:t xml:space="preserve">Non-controlled, non-affiliated investments (cost of </w:t>
            </w:r>
            <w:r>
              <w:rPr>
                <w:sz w:val="20"/>
                <w:szCs w:val="20"/>
              </w:rPr>
              <w:t>$</w:t>
            </w:r>
            <w:r>
              <w:rPr>
                <w:sz w:val="20"/>
                <w:szCs w:val="20"/>
              </w:rPr>
              <w:t>559,525,66</w:t>
            </w:r>
            <w:r>
              <w:rPr>
                <w:sz w:val="20"/>
                <w:szCs w:val="20"/>
              </w:rPr>
              <w:t>3</w:t>
            </w:r>
            <w:r>
              <w:rPr>
                <w:sz w:val="20"/>
                <w:szCs w:val="20"/>
              </w:rPr>
              <w:t xml:space="preserve"> and </w:t>
            </w:r>
            <w:r>
              <w:rPr>
                <w:sz w:val="20"/>
                <w:szCs w:val="20"/>
              </w:rPr>
              <w:t>$</w:t>
            </w:r>
            <w:r>
              <w:rPr>
                <w:sz w:val="20"/>
                <w:szCs w:val="20"/>
              </w:rPr>
              <w:t>520,501,27</w:t>
            </w:r>
            <w:r>
              <w:rPr>
                <w:sz w:val="20"/>
                <w:szCs w:val="20"/>
              </w:rPr>
              <w:t>4</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551,835,92</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526,504,94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ind w:left="200"/>
              <w:rPr>
                <w:sz w:val="20"/>
                <w:szCs w:val="20"/>
              </w:rPr>
            </w:pPr>
            <w:r>
              <w:rPr>
                <w:sz w:val="20"/>
                <w:szCs w:val="20"/>
              </w:rPr>
              <w:t xml:space="preserve">Non-controlled, affiliated investments (cost of </w:t>
            </w:r>
            <w:r>
              <w:rPr>
                <w:sz w:val="20"/>
                <w:szCs w:val="20"/>
              </w:rPr>
              <w:t>$</w:t>
            </w:r>
            <w:r>
              <w:rPr>
                <w:sz w:val="20"/>
                <w:szCs w:val="20"/>
              </w:rPr>
              <w:t>4,866,58</w:t>
            </w:r>
            <w:r>
              <w:rPr>
                <w:sz w:val="20"/>
                <w:szCs w:val="20"/>
              </w:rPr>
              <w:t>7</w:t>
            </w:r>
            <w:r>
              <w:rPr>
                <w:sz w:val="20"/>
                <w:szCs w:val="20"/>
              </w:rPr>
              <w:t xml:space="preserve"> and </w:t>
            </w:r>
            <w:r>
              <w:rPr>
                <w:sz w:val="20"/>
                <w:szCs w:val="20"/>
              </w:rPr>
              <w:t>$</w:t>
            </w:r>
            <w:r>
              <w:rPr>
                <w:sz w:val="20"/>
                <w:szCs w:val="20"/>
              </w:rPr>
              <w:t>5,027,61</w:t>
            </w:r>
            <w:r>
              <w:rPr>
                <w:sz w:val="20"/>
                <w:szCs w:val="20"/>
              </w:rPr>
              <w:t>6</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4,303,20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4,131,97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ind w:left="200"/>
              <w:rPr>
                <w:sz w:val="20"/>
                <w:szCs w:val="20"/>
              </w:rPr>
            </w:pPr>
            <w:r>
              <w:rPr>
                <w:sz w:val="20"/>
                <w:szCs w:val="20"/>
              </w:rPr>
              <w:t xml:space="preserve">Controlled investments (cost of </w:t>
            </w:r>
            <w:r>
              <w:rPr>
                <w:sz w:val="20"/>
                <w:szCs w:val="20"/>
              </w:rPr>
              <w:t>$</w:t>
            </w:r>
            <w:r>
              <w:rPr>
                <w:sz w:val="20"/>
                <w:szCs w:val="20"/>
              </w:rPr>
              <w:t>84,922,38</w:t>
            </w:r>
            <w:r>
              <w:rPr>
                <w:sz w:val="20"/>
                <w:szCs w:val="20"/>
              </w:rPr>
              <w:t>1</w:t>
            </w:r>
            <w:r>
              <w:rPr>
                <w:sz w:val="20"/>
                <w:szCs w:val="20"/>
              </w:rPr>
              <w:t xml:space="preserve"> and </w:t>
            </w:r>
            <w:r>
              <w:rPr>
                <w:sz w:val="20"/>
                <w:szCs w:val="20"/>
              </w:rPr>
              <w:t>$</w:t>
            </w:r>
            <w:r>
              <w:rPr>
                <w:sz w:val="20"/>
                <w:szCs w:val="20"/>
              </w:rPr>
              <w:t>89,097,76</w:t>
            </w:r>
            <w:r>
              <w:rPr>
                <w:sz w:val="20"/>
                <w:szCs w:val="20"/>
              </w:rPr>
              <w:t>5</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18,442,00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21,927,07</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ind w:left="200"/>
              <w:rPr>
                <w:sz w:val="20"/>
                <w:szCs w:val="20"/>
              </w:rPr>
            </w:pPr>
            <w:r>
              <w:rPr>
                <w:sz w:val="20"/>
                <w:szCs w:val="20"/>
              </w:rPr>
              <w:t xml:space="preserve">Total investments at fair value (cost of </w:t>
            </w:r>
            <w:r>
              <w:rPr>
                <w:sz w:val="20"/>
                <w:szCs w:val="20"/>
              </w:rPr>
              <w:t>$</w:t>
            </w:r>
            <w:r>
              <w:rPr>
                <w:sz w:val="20"/>
                <w:szCs w:val="20"/>
              </w:rPr>
              <w:t>649,314,63</w:t>
            </w:r>
            <w:r>
              <w:rPr>
                <w:sz w:val="20"/>
                <w:szCs w:val="20"/>
              </w:rPr>
              <w:t>1</w:t>
            </w:r>
            <w:r>
              <w:rPr>
                <w:sz w:val="20"/>
                <w:szCs w:val="20"/>
              </w:rPr>
              <w:t xml:space="preserve"> and </w:t>
            </w:r>
            <w:r>
              <w:rPr>
                <w:sz w:val="20"/>
                <w:szCs w:val="20"/>
              </w:rPr>
              <w:t>$</w:t>
            </w:r>
            <w:r>
              <w:rPr>
                <w:sz w:val="20"/>
                <w:szCs w:val="20"/>
              </w:rPr>
              <w:t>614,626,65</w:t>
            </w:r>
            <w:r>
              <w:rPr>
                <w:sz w:val="20"/>
                <w:szCs w:val="20"/>
              </w:rPr>
              <w:t>5</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574,581,13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29,859,86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12,750,12</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Interest, dividends and fees receivabl</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3,327,31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3,671,72</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Due from broke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1,878,13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Deferred debt issuance cost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1,170,13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1,511,41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lastRenderedPageBreak/>
              <w:t>Receivable for investments sol</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415,51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690,55</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Prepaid expenses and other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722,18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788,46</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611,954,27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571,976,27</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Liabilitie</w:t>
            </w:r>
            <w:r>
              <w:rPr>
                <w:b/>
                <w:bCs/>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Debt (net of deferred issuance costs of </w:t>
            </w:r>
            <w:r>
              <w:rPr>
                <w:sz w:val="20"/>
                <w:szCs w:val="20"/>
              </w:rPr>
              <w:t>$</w:t>
            </w:r>
            <w:r>
              <w:rPr>
                <w:sz w:val="20"/>
                <w:szCs w:val="20"/>
              </w:rPr>
              <w:t>1,050,26</w:t>
            </w:r>
            <w:r>
              <w:rPr>
                <w:sz w:val="20"/>
                <w:szCs w:val="20"/>
              </w:rPr>
              <w:t>9</w:t>
            </w:r>
            <w:r>
              <w:rPr>
                <w:sz w:val="20"/>
                <w:szCs w:val="20"/>
              </w:rPr>
              <w:t xml:space="preserve"> and </w:t>
            </w:r>
            <w:r>
              <w:rPr>
                <w:sz w:val="20"/>
                <w:szCs w:val="20"/>
              </w:rPr>
              <w:t>$</w:t>
            </w:r>
            <w:r>
              <w:rPr>
                <w:sz w:val="20"/>
                <w:szCs w:val="20"/>
              </w:rPr>
              <w:t>425,27</w:t>
            </w:r>
            <w:r>
              <w:rPr>
                <w:sz w:val="20"/>
                <w:szCs w:val="20"/>
              </w:rPr>
              <w:t>2</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Dividends payabl</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7,312,23</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7,392,97</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Payable for investments purchase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3,532,83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11,679,79</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Management fees payabl</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2,118,11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2,122,51</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Income incentive fees payable (see Note 3</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1,690,74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170,00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Accrued capital gains incentive fees (see Note 3</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1,544,56</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Interest and debt related payable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1,315,16</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601,37</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Interest Rate Swap at fair valu</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1,214,65</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Accrued administrative expense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345,70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384,22</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Accrued expenses and other liabilitie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1,441,34</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1,553,50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279,920,53</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222,324,30</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Commitments and contingencies (see Note 9</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Net asset</w:t>
            </w:r>
            <w:r>
              <w:rPr>
                <w:b/>
                <w:bCs/>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Common stock, par value </w:t>
            </w:r>
            <w:r>
              <w:rPr>
                <w:sz w:val="20"/>
                <w:szCs w:val="20"/>
              </w:rPr>
              <w:t>$</w:t>
            </w:r>
            <w:r>
              <w:rPr>
                <w:sz w:val="20"/>
                <w:szCs w:val="20"/>
              </w:rPr>
              <w:t>.00</w:t>
            </w:r>
            <w:r>
              <w:rPr>
                <w:sz w:val="20"/>
                <w:szCs w:val="20"/>
              </w:rPr>
              <w:t>1</w:t>
            </w:r>
            <w:r>
              <w:rPr>
                <w:sz w:val="20"/>
                <w:szCs w:val="20"/>
              </w:rPr>
              <w:t> per share,</w:t>
            </w:r>
            <w:r>
              <w:rPr>
                <w:sz w:val="20"/>
                <w:szCs w:val="20"/>
              </w:rPr>
              <w:t xml:space="preserve"> </w:t>
            </w:r>
            <w:r>
              <w:rPr>
                <w:sz w:val="20"/>
                <w:szCs w:val="20"/>
              </w:rPr>
              <w:t>200,000,00</w:t>
            </w:r>
            <w:r>
              <w:rPr>
                <w:sz w:val="20"/>
                <w:szCs w:val="20"/>
              </w:rPr>
              <w:t>0</w:t>
            </w:r>
            <w:r>
              <w:rPr>
                <w:sz w:val="20"/>
                <w:szCs w:val="20"/>
              </w:rPr>
              <w:t> common shares authorized,</w:t>
            </w:r>
            <w:r>
              <w:rPr>
                <w:sz w:val="20"/>
                <w:szCs w:val="20"/>
              </w:rPr>
              <w:t xml:space="preserve"> </w:t>
            </w:r>
            <w:r>
              <w:rPr>
                <w:sz w:val="20"/>
                <w:szCs w:val="20"/>
              </w:rPr>
              <w:t>84,481,79</w:t>
            </w:r>
            <w:r>
              <w:rPr>
                <w:sz w:val="20"/>
                <w:szCs w:val="20"/>
              </w:rPr>
              <w:t>7</w:t>
            </w:r>
            <w:r>
              <w:rPr>
                <w:sz w:val="20"/>
                <w:szCs w:val="20"/>
              </w:rPr>
              <w:t> and</w:t>
            </w:r>
            <w:r>
              <w:rPr>
                <w:sz w:val="20"/>
                <w:szCs w:val="20"/>
              </w:rPr>
              <w:t xml:space="preserve"> </w:t>
            </w:r>
            <w:r>
              <w:rPr>
                <w:sz w:val="20"/>
                <w:szCs w:val="20"/>
              </w:rPr>
              <w:t>84,478,25</w:t>
            </w:r>
            <w:r>
              <w:rPr>
                <w:sz w:val="20"/>
                <w:szCs w:val="20"/>
              </w:rPr>
              <w:t>1</w:t>
            </w:r>
            <w:r>
              <w:rPr>
                <w:sz w:val="20"/>
                <w:szCs w:val="20"/>
              </w:rPr>
              <w:t> issued and</w:t>
            </w:r>
            <w:r>
              <w:rPr>
                <w:sz w:val="20"/>
                <w:szCs w:val="20"/>
              </w:rPr>
              <w:t xml:space="preserve"> </w:t>
            </w:r>
            <w:r>
              <w:rPr>
                <w:sz w:val="20"/>
                <w:szCs w:val="20"/>
              </w:rPr>
              <w:t>72,890,23</w:t>
            </w:r>
            <w:r>
              <w:rPr>
                <w:sz w:val="20"/>
                <w:szCs w:val="20"/>
              </w:rPr>
              <w:t>1</w:t>
            </w:r>
            <w:r>
              <w:rPr>
                <w:sz w:val="20"/>
                <w:szCs w:val="20"/>
              </w:rPr>
              <w:t> and</w:t>
            </w:r>
            <w:r>
              <w:rPr>
                <w:sz w:val="20"/>
                <w:szCs w:val="20"/>
              </w:rPr>
              <w:t xml:space="preserve"> </w:t>
            </w:r>
            <w:r>
              <w:rPr>
                <w:sz w:val="20"/>
                <w:szCs w:val="20"/>
              </w:rPr>
              <w:t>73,876,98</w:t>
            </w:r>
            <w:r>
              <w:rPr>
                <w:sz w:val="20"/>
                <w:szCs w:val="20"/>
              </w:rPr>
              <w:t>7</w:t>
            </w:r>
            <w:r>
              <w:rPr>
                <w:sz w:val="20"/>
                <w:szCs w:val="20"/>
              </w:rPr>
              <w:t> </w:t>
            </w:r>
            <w:r>
              <w:rPr>
                <w:sz w:val="20"/>
                <w:szCs w:val="20"/>
              </w:rPr>
              <w:t>outstandin</w:t>
            </w:r>
            <w:r>
              <w:rPr>
                <w:sz w:val="20"/>
                <w:szCs w:val="20"/>
              </w:rPr>
              <w:t>g</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84,48</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84,47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Paid-in capital in excess of pa</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848,052,54</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852,360,17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Distributable earnings (losses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443,881,33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434,303,29</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Treasury stock at cost,</w:t>
            </w:r>
            <w:r>
              <w:rPr>
                <w:sz w:val="20"/>
                <w:szCs w:val="20"/>
              </w:rPr>
              <w:t xml:space="preserve"> </w:t>
            </w:r>
            <w:r>
              <w:rPr>
                <w:sz w:val="20"/>
                <w:szCs w:val="20"/>
              </w:rPr>
              <w:t>11,591,56</w:t>
            </w:r>
            <w:r>
              <w:rPr>
                <w:sz w:val="20"/>
                <w:szCs w:val="20"/>
              </w:rPr>
              <w:t>6</w:t>
            </w:r>
            <w:r>
              <w:rPr>
                <w:sz w:val="20"/>
                <w:szCs w:val="20"/>
              </w:rPr>
              <w:t> and</w:t>
            </w:r>
            <w:r>
              <w:rPr>
                <w:sz w:val="20"/>
                <w:szCs w:val="20"/>
              </w:rPr>
              <w:t xml:space="preserve"> </w:t>
            </w:r>
            <w:r>
              <w:rPr>
                <w:sz w:val="20"/>
                <w:szCs w:val="20"/>
              </w:rPr>
              <w:t>10,601,26</w:t>
            </w:r>
            <w:r>
              <w:rPr>
                <w:sz w:val="20"/>
                <w:szCs w:val="20"/>
              </w:rPr>
              <w:t>4</w:t>
            </w:r>
            <w:r>
              <w:rPr>
                <w:sz w:val="20"/>
                <w:szCs w:val="20"/>
              </w:rPr>
              <w:t> shares hel</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72,221,95</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68,489,38</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net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332,033,74</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349,651,97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liabilities and net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611,954,27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571,976,27</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Net assets per shar</w:t>
            </w:r>
            <w:r>
              <w:rPr>
                <w:b/>
                <w:bCs/>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4.5</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20"/>
          <w:szCs w:val="20"/>
        </w:rPr>
        <w:t>3</w:t>
      </w:r>
    </w:p>
    <w:p w:rsidR="00000000" w:rsidRDefault="003D51DE">
      <w:pPr>
        <w:rPr>
          <w:rFonts w:eastAsia="Times New Roman"/>
        </w:rPr>
      </w:pPr>
      <w:r>
        <w:rPr>
          <w:rFonts w:eastAsia="Times New Roman"/>
        </w:rPr>
        <w:pict>
          <v:rect id="_x0000_i1027"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40" w:beforeAutospacing="0" w:after="0" w:afterAutospacing="0"/>
        <w:jc w:val="center"/>
        <w:rPr>
          <w:sz w:val="20"/>
          <w:szCs w:val="20"/>
        </w:rPr>
      </w:pPr>
      <w:r>
        <w:rPr>
          <w:b/>
          <w:bCs/>
          <w:sz w:val="19"/>
          <w:szCs w:val="19"/>
        </w:rPr>
        <w:t>Consolidated State</w:t>
      </w:r>
      <w:r>
        <w:rPr>
          <w:b/>
          <w:bCs/>
          <w:sz w:val="19"/>
          <w:szCs w:val="19"/>
        </w:rPr>
        <w:t>m</w:t>
      </w:r>
      <w:r>
        <w:rPr>
          <w:b/>
          <w:bCs/>
          <w:sz w:val="19"/>
          <w:szCs w:val="19"/>
        </w:rPr>
        <w:t>ents of Operation</w:t>
      </w:r>
      <w:r>
        <w:rPr>
          <w:b/>
          <w:bCs/>
          <w:sz w:val="19"/>
          <w:szCs w:val="19"/>
        </w:rPr>
        <w:t>s</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6"/>
        <w:gridCol w:w="100"/>
        <w:gridCol w:w="135"/>
        <w:gridCol w:w="850"/>
        <w:gridCol w:w="110"/>
        <w:gridCol w:w="98"/>
        <w:gridCol w:w="135"/>
        <w:gridCol w:w="888"/>
        <w:gridCol w:w="110"/>
        <w:gridCol w:w="98"/>
        <w:gridCol w:w="135"/>
        <w:gridCol w:w="788"/>
        <w:gridCol w:w="110"/>
        <w:gridCol w:w="98"/>
        <w:gridCol w:w="135"/>
        <w:gridCol w:w="785"/>
        <w:gridCol w:w="125"/>
      </w:tblGrid>
      <w:tr w:rsidR="00000000">
        <w:trPr>
          <w:tblCellSpacing w:w="15" w:type="dxa"/>
        </w:trPr>
        <w:tc>
          <w:tcPr>
            <w:tcW w:w="2303"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7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4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4"/>
                <w:szCs w:val="14"/>
              </w:rPr>
            </w:pPr>
            <w:r>
              <w:rPr>
                <w:b/>
                <w:bCs/>
                <w:sz w:val="14"/>
                <w:szCs w:val="14"/>
              </w:rPr>
              <w:t>Three Months Ende</w:t>
            </w:r>
            <w:r>
              <w:rPr>
                <w:b/>
                <w:bCs/>
                <w:sz w:val="14"/>
                <w:szCs w:val="14"/>
              </w:rPr>
              <w:t>d</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3D51DE">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3D51DE">
            <w:pPr>
              <w:pStyle w:val="a3"/>
              <w:spacing w:before="0" w:beforeAutospacing="0" w:after="0" w:afterAutospacing="0"/>
              <w:jc w:val="center"/>
              <w:rPr>
                <w:sz w:val="14"/>
                <w:szCs w:val="14"/>
              </w:rPr>
            </w:pPr>
            <w:r>
              <w:rPr>
                <w:b/>
                <w:bCs/>
                <w:sz w:val="14"/>
                <w:szCs w:val="14"/>
              </w:rPr>
              <w:t>Nine Months Ende</w:t>
            </w:r>
            <w:r>
              <w:rPr>
                <w:b/>
                <w:bCs/>
                <w:sz w:val="14"/>
                <w:szCs w:val="14"/>
              </w:rPr>
              <w:t>d</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4"/>
                <w:szCs w:val="14"/>
              </w:rPr>
            </w:pPr>
            <w:r>
              <w:rPr>
                <w:b/>
                <w:bCs/>
                <w:sz w:val="14"/>
                <w:szCs w:val="14"/>
              </w:rPr>
              <w:t>September 30, 202</w:t>
            </w:r>
            <w:r>
              <w:rPr>
                <w:b/>
                <w:bCs/>
                <w:sz w:val="14"/>
                <w:szCs w:val="14"/>
              </w:rPr>
              <w:t>2</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4"/>
                <w:szCs w:val="14"/>
              </w:rPr>
            </w:pPr>
            <w:r>
              <w:rPr>
                <w:b/>
                <w:bCs/>
                <w:sz w:val="14"/>
                <w:szCs w:val="14"/>
              </w:rPr>
              <w:t>September 30, 202</w:t>
            </w:r>
            <w:r>
              <w:rPr>
                <w:b/>
                <w:bCs/>
                <w:sz w:val="14"/>
                <w:szCs w:val="14"/>
              </w:rPr>
              <w:t>1</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4"/>
                <w:szCs w:val="14"/>
              </w:rPr>
            </w:pPr>
            <w:r>
              <w:rPr>
                <w:b/>
                <w:bCs/>
                <w:sz w:val="14"/>
                <w:szCs w:val="14"/>
              </w:rPr>
              <w:t>September 30, 202</w:t>
            </w:r>
            <w:r>
              <w:rPr>
                <w:b/>
                <w:bCs/>
                <w:sz w:val="14"/>
                <w:szCs w:val="14"/>
              </w:rPr>
              <w:t>2</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4"/>
                <w:szCs w:val="14"/>
              </w:rPr>
            </w:pPr>
            <w:r>
              <w:rPr>
                <w:b/>
                <w:bCs/>
                <w:sz w:val="14"/>
                <w:szCs w:val="14"/>
              </w:rPr>
              <w:t>September 30, 202</w:t>
            </w:r>
            <w:r>
              <w:rPr>
                <w:b/>
                <w:bCs/>
                <w:sz w:val="14"/>
                <w:szCs w:val="14"/>
              </w:rPr>
              <w:t>1</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b/>
                <w:bCs/>
                <w:sz w:val="15"/>
                <w:szCs w:val="15"/>
              </w:rPr>
              <w:t>Investment incom</w:t>
            </w:r>
            <w:r>
              <w:rPr>
                <w:b/>
                <w:bCs/>
                <w:sz w:val="15"/>
                <w:szCs w:val="15"/>
              </w:rPr>
              <w:t>e</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Interest income (excluding PIK)</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14,733,80</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11,247,24</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37,986,72</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28,507,31</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11,86</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718,57</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PIK interest income</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376,85</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436,92</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626,01</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2,033,31</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114,90</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123,52</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347,37</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360,53</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Dividend income (excluding PIK)</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71,50</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lastRenderedPageBreak/>
              <w:t>Controlled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483,03</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1,531,01</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PIK dividend income</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81,18</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235,79</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Other income</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718,63</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223,59</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1,280,72</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410,58</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Total investment incom</w:t>
            </w:r>
            <w:r>
              <w:rPr>
                <w:sz w:val="15"/>
                <w:szCs w:val="15"/>
              </w:rPr>
              <w:t>e</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16,025,39</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12,514,32</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40,476,63</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33,644,70</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b/>
                <w:bCs/>
                <w:sz w:val="15"/>
                <w:szCs w:val="15"/>
              </w:rPr>
              <w:t>Operating expense</w:t>
            </w:r>
            <w:r>
              <w:rPr>
                <w:b/>
                <w:bCs/>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Interest and other debt expense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3,337,73</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2,973,40</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8,927,37</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8,695,68</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Management fee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2,118,11</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2,086,21</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6,125,14</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5,661,66</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Incentive fees on incom</w:t>
            </w:r>
            <w:r>
              <w:rPr>
                <w:sz w:val="15"/>
                <w:szCs w:val="15"/>
              </w:rPr>
              <w:t>e</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1,621,40</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79,38</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1,709,75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79,38</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Incentive fees on capital gain</w:t>
            </w:r>
            <w:r>
              <w:rPr>
                <w:sz w:val="15"/>
                <w:szCs w:val="15"/>
              </w:rPr>
              <w:t>s</w:t>
            </w:r>
            <w:r>
              <w:rPr>
                <w:sz w:val="10"/>
                <w:szCs w:val="10"/>
              </w:rPr>
              <w:t>(1</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1,291,95</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1,544,56</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1,291,95</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Administrative expense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345,70</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333,05</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1,010,47</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970,05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Professional fee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214,02</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301,97</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724,36</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968,96</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Insurance expens</w:t>
            </w:r>
            <w:r>
              <w:rPr>
                <w:sz w:val="15"/>
                <w:szCs w:val="15"/>
              </w:rPr>
              <w:t>e</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187,02</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204,19</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582,89</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605,15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Director fee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149,37</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158,12</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455,62</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464,37</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Investment advisor expense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25,81</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87,50</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77,45</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262,50</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Other operating expense</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363,16</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167,73</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1,129,75</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781,25</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Total expenses, before incentive fee waive</w:t>
            </w:r>
            <w:r>
              <w:rPr>
                <w:sz w:val="15"/>
                <w:szCs w:val="15"/>
              </w:rPr>
              <w:t>r</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8,362,35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7,683,55</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19,198,28</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19,780,99</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Incentive fee waiver (see Note 3</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79,38</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79,38</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Total expenses, net of incentive fee waive</w:t>
            </w:r>
            <w:r>
              <w:rPr>
                <w:sz w:val="15"/>
                <w:szCs w:val="15"/>
              </w:rPr>
              <w:t>r</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8,362,35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7,604,17</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19,198,28</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19,701,61</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b/>
                <w:bCs/>
                <w:sz w:val="15"/>
                <w:szCs w:val="15"/>
              </w:rPr>
              <w:t>Net investment incom</w:t>
            </w:r>
            <w:r>
              <w:rPr>
                <w:b/>
                <w:bCs/>
                <w:sz w:val="15"/>
                <w:szCs w:val="15"/>
              </w:rPr>
              <w:t>e</w:t>
            </w:r>
            <w:r>
              <w:rPr>
                <w:sz w:val="10"/>
                <w:szCs w:val="10"/>
              </w:rPr>
              <w:t>(1</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7,663,03</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4,910,15</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21,278,34</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13,943,09</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b/>
                <w:bCs/>
                <w:sz w:val="15"/>
                <w:szCs w:val="15"/>
              </w:rPr>
              <w:t>Realized and unrealized gain (loss) on investments, Interest Rate Swap and foreign currenc</w:t>
            </w:r>
            <w:r>
              <w:rPr>
                <w:b/>
                <w:bCs/>
                <w:sz w:val="15"/>
                <w:szCs w:val="15"/>
              </w:rPr>
              <w:t>y</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Net realized gain (loss)</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370,66</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22,048,07</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1,196,57</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21,408,57</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7,989,59</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524,44</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10,515,62</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3D51DE">
            <w:pPr>
              <w:pStyle w:val="a3"/>
              <w:spacing w:before="0" w:beforeAutospacing="0" w:after="0" w:afterAutospacing="0"/>
              <w:ind w:left="600"/>
              <w:rPr>
                <w:sz w:val="15"/>
                <w:szCs w:val="15"/>
              </w:rPr>
            </w:pPr>
            <w:r>
              <w:rPr>
                <w:sz w:val="15"/>
                <w:szCs w:val="15"/>
              </w:rPr>
              <w:t>Net realized gain (loss</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370,66</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22,572,52</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1,196,57</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2,903,35</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Net change in unrealized appreciation (depreciation)</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non-affiliated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1,281,03</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17,434,64</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13,693,40</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19,898,63</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Non-controlled, affiliated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102,58</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31,70</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332,25</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7,019,89</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Controlled investment</w:t>
            </w:r>
            <w:r>
              <w:rPr>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232,07</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1,522,55</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690,31</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16,349,39</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Interest Rate Swa</w:t>
            </w:r>
            <w:r>
              <w:rPr>
                <w:sz w:val="15"/>
                <w:szCs w:val="15"/>
              </w:rPr>
              <w:t>p</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1,015,96</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1,214,65</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5"/>
                <w:szCs w:val="15"/>
              </w:rPr>
            </w:pPr>
            <w:r>
              <w:rPr>
                <w:sz w:val="15"/>
                <w:szCs w:val="15"/>
              </w:rPr>
              <w:t>Foreign currency translatio</w:t>
            </w:r>
            <w:r>
              <w:rPr>
                <w:sz w:val="15"/>
                <w:szCs w:val="15"/>
              </w:rPr>
              <w:t>n</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285,36</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r>
      <w:tr w:rsidR="00000000">
        <w:trPr>
          <w:trHeight w:val="140"/>
          <w:tblCellSpacing w:w="15" w:type="dxa"/>
        </w:trPr>
        <w:tc>
          <w:tcPr>
            <w:tcW w:w="0" w:type="auto"/>
            <w:hideMark/>
          </w:tcPr>
          <w:p w:rsidR="00000000" w:rsidRDefault="003D51DE">
            <w:pPr>
              <w:pStyle w:val="a3"/>
              <w:spacing w:before="0" w:beforeAutospacing="0" w:after="0" w:afterAutospacing="0"/>
              <w:ind w:left="600"/>
              <w:rPr>
                <w:sz w:val="15"/>
                <w:szCs w:val="15"/>
              </w:rPr>
            </w:pPr>
            <w:r>
              <w:rPr>
                <w:sz w:val="15"/>
                <w:szCs w:val="15"/>
              </w:rPr>
              <w:t>Net change in unrealized appreciation (depreciation</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2,426,48</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15,880,37</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13,885,49</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42,982,57</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Net realized and unrealized gain (loss</w:t>
            </w: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2,055,82</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6,692,14</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w:t>
            </w:r>
            <w:r>
              <w:rPr>
                <w:sz w:val="15"/>
                <w:szCs w:val="15"/>
              </w:rPr>
              <w:t>12,688,92</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45,885,92</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3D51DE">
            <w:pPr>
              <w:pStyle w:val="a3"/>
              <w:spacing w:before="0" w:beforeAutospacing="0" w:after="0" w:afterAutospacing="0"/>
              <w:ind w:left="20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b/>
                <w:bCs/>
                <w:sz w:val="15"/>
                <w:szCs w:val="15"/>
              </w:rPr>
              <w:t>Net increase (decrease) in net assets resulting from operation</w:t>
            </w:r>
            <w:r>
              <w:rPr>
                <w:b/>
                <w:bCs/>
                <w:sz w:val="15"/>
                <w:szCs w:val="15"/>
              </w:rPr>
              <w:t>s</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5,607,21</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11,602,29</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8,589,42</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59,829,02</w:t>
            </w:r>
            <w:r>
              <w:rPr>
                <w:sz w:val="15"/>
                <w:szCs w:val="15"/>
              </w:rPr>
              <w:t>4</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gridSpan w:val="2"/>
            <w:vAlign w:val="bottom"/>
            <w:hideMark/>
          </w:tcPr>
          <w:p w:rsidR="00000000" w:rsidRDefault="003D51DE">
            <w:pPr>
              <w:pStyle w:val="a3"/>
              <w:spacing w:before="0" w:beforeAutospacing="0" w:after="0" w:afterAutospacing="0"/>
              <w:jc w:val="right"/>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Net investment income per share—basi</w:t>
            </w:r>
            <w:r>
              <w:rPr>
                <w:sz w:val="15"/>
                <w:szCs w:val="15"/>
              </w:rPr>
              <w:t>c</w:t>
            </w:r>
            <w:r>
              <w:rPr>
                <w:sz w:val="10"/>
                <w:szCs w:val="10"/>
              </w:rPr>
              <w:t>(1</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0.0</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0.2</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Earnings (loss) per share—basi</w:t>
            </w:r>
            <w:r>
              <w:rPr>
                <w:sz w:val="15"/>
                <w:szCs w:val="15"/>
              </w:rPr>
              <w:t>c</w:t>
            </w:r>
            <w:r>
              <w:rPr>
                <w:sz w:val="10"/>
                <w:szCs w:val="10"/>
              </w:rPr>
              <w:t>(1</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0.0</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6</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0.8</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Weighted average shares outstanding—basi</w:t>
            </w:r>
            <w:r>
              <w:rPr>
                <w:sz w:val="15"/>
                <w:szCs w:val="15"/>
              </w:rPr>
              <w:t>c</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73,170,32</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74,081,69</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73,551,05</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74,221,55</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Net investment income per share—dilute</w:t>
            </w:r>
            <w:r>
              <w:rPr>
                <w:sz w:val="15"/>
                <w:szCs w:val="15"/>
              </w:rPr>
              <w:t>d</w:t>
            </w:r>
            <w:r>
              <w:rPr>
                <w:sz w:val="10"/>
                <w:szCs w:val="10"/>
              </w:rPr>
              <w:t>(1)(2</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0.0</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0.2</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9</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Earnings (loss) per share—dilute</w:t>
            </w:r>
            <w:r>
              <w:rPr>
                <w:sz w:val="15"/>
                <w:szCs w:val="15"/>
              </w:rPr>
              <w:t>d</w:t>
            </w:r>
            <w:r>
              <w:rPr>
                <w:sz w:val="10"/>
                <w:szCs w:val="10"/>
              </w:rPr>
              <w:t>(1)(2</w:t>
            </w:r>
            <w:r>
              <w:rPr>
                <w:sz w:val="10"/>
                <w:szCs w:val="10"/>
              </w:rPr>
              <w:t>)</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0.0</w:t>
            </w:r>
            <w:r>
              <w:rPr>
                <w:sz w:val="15"/>
                <w:szCs w:val="15"/>
              </w:rPr>
              <w:t>8</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5</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0.1</w:t>
            </w:r>
            <w:r>
              <w:rPr>
                <w:sz w:val="15"/>
                <w:szCs w:val="15"/>
              </w:rPr>
              <w:t>2</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0.7</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r w:rsidR="00000000">
        <w:trPr>
          <w:trHeight w:val="140"/>
          <w:tblCellSpacing w:w="15" w:type="dxa"/>
        </w:trPr>
        <w:tc>
          <w:tcPr>
            <w:tcW w:w="0" w:type="auto"/>
            <w:hideMark/>
          </w:tcPr>
          <w:p w:rsidR="00000000" w:rsidRDefault="003D51DE">
            <w:pPr>
              <w:pStyle w:val="a3"/>
              <w:spacing w:before="0" w:beforeAutospacing="0" w:after="0" w:afterAutospacing="0"/>
              <w:rPr>
                <w:sz w:val="15"/>
                <w:szCs w:val="15"/>
              </w:rPr>
            </w:pPr>
            <w:r>
              <w:rPr>
                <w:sz w:val="15"/>
                <w:szCs w:val="15"/>
              </w:rPr>
              <w:t>Weighted average shares outstanding—dilute</w:t>
            </w:r>
            <w:r>
              <w:rPr>
                <w:sz w:val="15"/>
                <w:szCs w:val="15"/>
              </w:rPr>
              <w:t>d</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73,170,32</w:t>
            </w:r>
            <w:r>
              <w:rPr>
                <w:sz w:val="15"/>
                <w:szCs w:val="15"/>
              </w:rPr>
              <w:t>3</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91,075,43</w:t>
            </w:r>
            <w:r>
              <w:rPr>
                <w:sz w:val="15"/>
                <w:szCs w:val="15"/>
              </w:rPr>
              <w:t>0</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83,884,14</w:t>
            </w:r>
            <w:r>
              <w:rPr>
                <w:sz w:val="15"/>
                <w:szCs w:val="15"/>
              </w:rPr>
              <w:t>1</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5"/>
                <w:szCs w:val="15"/>
              </w:rPr>
              <w:t>91,215,28</w:t>
            </w:r>
            <w:r>
              <w:rPr>
                <w:sz w:val="15"/>
                <w:szCs w:val="15"/>
              </w:rPr>
              <w:t>7</w:t>
            </w:r>
          </w:p>
        </w:tc>
        <w:tc>
          <w:tcPr>
            <w:tcW w:w="0" w:type="auto"/>
            <w:noWrap/>
            <w:vAlign w:val="bottom"/>
            <w:hideMark/>
          </w:tcPr>
          <w:p w:rsidR="00000000" w:rsidRDefault="003D51DE">
            <w:pPr>
              <w:pStyle w:val="a3"/>
              <w:spacing w:before="0" w:beforeAutospacing="0" w:after="0" w:afterAutospacing="0"/>
              <w:rPr>
                <w:sz w:val="15"/>
                <w:szCs w:val="15"/>
              </w:rPr>
            </w:pPr>
            <w:r>
              <w:rPr>
                <w:sz w:val="15"/>
                <w:szCs w:val="15"/>
              </w:rPr>
              <w:t> </w:t>
            </w:r>
          </w:p>
        </w:tc>
      </w:tr>
    </w:tbl>
    <w:p w:rsidR="00000000" w:rsidRDefault="003D51DE">
      <w:pPr>
        <w:jc w:val="both"/>
        <w:divId w:val="1237666460"/>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150555920"/>
        <w:rPr>
          <w:rFonts w:eastAsia="Times New Roman"/>
        </w:rPr>
      </w:pPr>
      <w:r>
        <w:rPr>
          <w:rFonts w:eastAsia="Times New Roman"/>
          <w:sz w:val="15"/>
          <w:szCs w:val="15"/>
        </w:rPr>
        <w:t>Net investment income and per share amounts displayed above are net of the accrual (reversal) for incentive fees on capital gains which is reflected on a hypothetical liquidation basis in accordance with GAAP for the nine month period ended September 30, 2</w:t>
      </w:r>
      <w:r>
        <w:rPr>
          <w:rFonts w:eastAsia="Times New Roman"/>
          <w:sz w:val="15"/>
          <w:szCs w:val="15"/>
        </w:rPr>
        <w:t>022 and for the three and nine month periods ended September 30, 2021 (see Note 3)</w:t>
      </w:r>
      <w:r>
        <w:rPr>
          <w:rFonts w:eastAsia="Times New Roman"/>
          <w:sz w:val="15"/>
          <w:szCs w:val="15"/>
        </w:rPr>
        <w:t>.</w:t>
      </w:r>
    </w:p>
    <w:p w:rsidR="00000000" w:rsidRDefault="003D51DE">
      <w:pPr>
        <w:jc w:val="both"/>
        <w:divId w:val="474441"/>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1497645774"/>
        <w:rPr>
          <w:rFonts w:eastAsia="Times New Roman"/>
        </w:rPr>
      </w:pPr>
      <w:r>
        <w:rPr>
          <w:rFonts w:eastAsia="Times New Roman"/>
          <w:sz w:val="15"/>
          <w:szCs w:val="15"/>
        </w:rPr>
        <w:t>For the nine month period ended September 30, 2022, the impact of the hypothetical conversion of the 2022 Convertible Notes was antidilutive (see Note 8)</w:t>
      </w:r>
      <w:r>
        <w:rPr>
          <w:rFonts w:eastAsia="Times New Roman"/>
          <w:sz w:val="15"/>
          <w:szCs w:val="15"/>
        </w:rPr>
        <w:t>.</w:t>
      </w:r>
    </w:p>
    <w:p w:rsidR="00000000" w:rsidRDefault="003D51DE">
      <w:pPr>
        <w:pStyle w:val="a3"/>
        <w:spacing w:before="120" w:beforeAutospacing="0" w:after="0" w:afterAutospacing="0"/>
        <w:jc w:val="center"/>
        <w:rPr>
          <w:sz w:val="20"/>
          <w:szCs w:val="20"/>
        </w:rPr>
      </w:pPr>
      <w:r>
        <w:rPr>
          <w:sz w:val="19"/>
          <w:szCs w:val="19"/>
        </w:rPr>
        <w:t>The accompany</w:t>
      </w:r>
      <w:r>
        <w:rPr>
          <w:sz w:val="19"/>
          <w:szCs w:val="19"/>
        </w:rPr>
        <w:t>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4</w:t>
      </w:r>
    </w:p>
    <w:p w:rsidR="00000000" w:rsidRDefault="003D51DE">
      <w:pPr>
        <w:rPr>
          <w:rFonts w:eastAsia="Times New Roman"/>
        </w:rPr>
      </w:pPr>
      <w:r>
        <w:rPr>
          <w:rFonts w:eastAsia="Times New Roman"/>
        </w:rPr>
        <w:pict>
          <v:rect id="_x0000_i1028"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lastRenderedPageBreak/>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 xml:space="preserve">Consolidated Statements </w:t>
      </w:r>
      <w:r>
        <w:rPr>
          <w:b/>
          <w:bCs/>
          <w:sz w:val="19"/>
          <w:szCs w:val="19"/>
        </w:rPr>
        <w:t>o</w:t>
      </w:r>
      <w:r>
        <w:rPr>
          <w:b/>
          <w:bCs/>
          <w:sz w:val="19"/>
          <w:szCs w:val="19"/>
        </w:rPr>
        <w:t>f Changes in Net Asset</w:t>
      </w:r>
      <w:r>
        <w:rPr>
          <w:b/>
          <w:bCs/>
          <w:sz w:val="19"/>
          <w:szCs w:val="19"/>
        </w:rPr>
        <w:t>s</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7"/>
        <w:gridCol w:w="108"/>
        <w:gridCol w:w="145"/>
        <w:gridCol w:w="929"/>
        <w:gridCol w:w="124"/>
        <w:gridCol w:w="108"/>
        <w:gridCol w:w="156"/>
        <w:gridCol w:w="665"/>
        <w:gridCol w:w="108"/>
        <w:gridCol w:w="108"/>
        <w:gridCol w:w="155"/>
        <w:gridCol w:w="1010"/>
        <w:gridCol w:w="124"/>
        <w:gridCol w:w="108"/>
        <w:gridCol w:w="155"/>
        <w:gridCol w:w="1074"/>
        <w:gridCol w:w="124"/>
        <w:gridCol w:w="108"/>
        <w:gridCol w:w="155"/>
        <w:gridCol w:w="979"/>
        <w:gridCol w:w="124"/>
        <w:gridCol w:w="108"/>
        <w:gridCol w:w="155"/>
        <w:gridCol w:w="1010"/>
        <w:gridCol w:w="139"/>
      </w:tblGrid>
      <w:tr w:rsidR="00000000">
        <w:trPr>
          <w:tblCellSpacing w:w="15" w:type="dxa"/>
        </w:trPr>
        <w:tc>
          <w:tcPr>
            <w:tcW w:w="1503"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0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3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Shares Outstandin</w:t>
            </w:r>
            <w:r>
              <w:rPr>
                <w:b/>
                <w:bCs/>
                <w:sz w:val="19"/>
                <w:szCs w:val="19"/>
              </w:rPr>
              <w:t>g</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Par Amount, Shares Issue</w:t>
            </w:r>
            <w:r>
              <w:rPr>
                <w:b/>
                <w:bCs/>
                <w:sz w:val="19"/>
                <w:szCs w:val="19"/>
              </w:rPr>
              <w:t>d</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Paid in Capital</w:t>
            </w:r>
            <w:r>
              <w:rPr>
                <w:b/>
                <w:bCs/>
                <w:sz w:val="19"/>
                <w:szCs w:val="19"/>
              </w:rPr>
              <w:br/>
              <w:t>in Excess of Pa</w:t>
            </w:r>
            <w:r>
              <w:rPr>
                <w:b/>
                <w:bCs/>
                <w:sz w:val="19"/>
                <w:szCs w:val="19"/>
              </w:rPr>
              <w:t>r</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Distributable</w:t>
            </w:r>
            <w:r>
              <w:rPr>
                <w:b/>
                <w:bCs/>
                <w:sz w:val="19"/>
                <w:szCs w:val="19"/>
              </w:rPr>
              <w:br/>
              <w:t>earnings (loss</w:t>
            </w:r>
            <w:r>
              <w:rPr>
                <w:b/>
                <w:bCs/>
                <w:sz w:val="19"/>
                <w:szCs w:val="19"/>
              </w:rPr>
              <w:t>)</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Treasury Stock at Cos</w:t>
            </w:r>
            <w:r>
              <w:rPr>
                <w:b/>
                <w:bCs/>
                <w:sz w:val="19"/>
                <w:szCs w:val="19"/>
              </w:rPr>
              <w:t>t</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Total Net</w:t>
            </w:r>
            <w:r>
              <w:rPr>
                <w:b/>
                <w:bCs/>
                <w:sz w:val="19"/>
                <w:szCs w:val="19"/>
              </w:rPr>
              <w:br/>
              <w:t>Asset</w:t>
            </w:r>
            <w:r>
              <w:rPr>
                <w:b/>
                <w:bCs/>
                <w:sz w:val="19"/>
                <w:szCs w:val="19"/>
              </w:rPr>
              <w:t>s</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December 31, 202</w:t>
            </w:r>
            <w:r>
              <w:rPr>
                <w:sz w:val="19"/>
                <w:szCs w:val="19"/>
              </w:rPr>
              <w:t>1</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73,876,98</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852,360,17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434,303,29</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68,489,38</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349,651,97</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Cumulative effect of adjustment for the adoption of</w:t>
            </w:r>
            <w:r>
              <w:rPr>
                <w:sz w:val="19"/>
                <w:szCs w:val="19"/>
              </w:rPr>
              <w:t xml:space="preserve"> </w:t>
            </w:r>
            <w:r>
              <w:rPr>
                <w:sz w:val="19"/>
                <w:szCs w:val="19"/>
              </w:rPr>
              <w:t>ASU 2020-0</w:t>
            </w:r>
            <w:r>
              <w:rPr>
                <w:sz w:val="19"/>
                <w:szCs w:val="19"/>
              </w:rPr>
              <w:t>6</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4,337,63</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3,888,23</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449,39</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106,30</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440,23</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440,23</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6,495,09</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6,495,09</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972,72</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972,72</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7,380,27</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7,380,27</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March 31, 202</w:t>
            </w:r>
            <w:r>
              <w:rPr>
                <w:sz w:val="19"/>
                <w:szCs w:val="19"/>
              </w:rPr>
              <w:t>2</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73,770,67</w:t>
            </w:r>
            <w:r>
              <w:rPr>
                <w:sz w:val="19"/>
                <w:szCs w:val="19"/>
              </w:rPr>
              <w:t>9</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848,022,54</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432,272,96</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68,929,62</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346,904,44</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420,08</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1,586,45</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1,586,45</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Issuance of common stock from the conversion of the 2022 Convertible Note</w:t>
            </w:r>
            <w:r>
              <w:rPr>
                <w:sz w:val="19"/>
                <w:szCs w:val="19"/>
              </w:rPr>
              <w:t>s</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3,54</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29,99</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30,00</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7,120,21</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7,120,21</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9,660,37</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9,660,37</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7,363,18</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7,363,18</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June 30, 202</w:t>
            </w:r>
            <w:r>
              <w:rPr>
                <w:sz w:val="19"/>
                <w:szCs w:val="19"/>
              </w:rPr>
              <w:t>2</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73,354,14</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84,48</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848,052,54</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442,176,30</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70,516,07</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335,444,64</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463,91</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1,705,87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1,705,87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7,663,03</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7,663,03</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2,055,82</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2,055,82</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7,312,23</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7,312,23</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September 30, 202</w:t>
            </w:r>
            <w:r>
              <w:rPr>
                <w:sz w:val="19"/>
                <w:szCs w:val="19"/>
              </w:rPr>
              <w:t>2</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72,890,23</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84,48</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848,052,54</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443,881,33</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72,221,95</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332,033,74</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bl>
    <w:p w:rsidR="00000000" w:rsidRDefault="003D51D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6"/>
        <w:gridCol w:w="110"/>
        <w:gridCol w:w="135"/>
        <w:gridCol w:w="939"/>
        <w:gridCol w:w="124"/>
        <w:gridCol w:w="108"/>
        <w:gridCol w:w="156"/>
        <w:gridCol w:w="656"/>
        <w:gridCol w:w="108"/>
        <w:gridCol w:w="108"/>
        <w:gridCol w:w="155"/>
        <w:gridCol w:w="1010"/>
        <w:gridCol w:w="110"/>
        <w:gridCol w:w="108"/>
        <w:gridCol w:w="155"/>
        <w:gridCol w:w="1074"/>
        <w:gridCol w:w="124"/>
        <w:gridCol w:w="108"/>
        <w:gridCol w:w="155"/>
        <w:gridCol w:w="979"/>
        <w:gridCol w:w="124"/>
        <w:gridCol w:w="108"/>
        <w:gridCol w:w="155"/>
        <w:gridCol w:w="1010"/>
        <w:gridCol w:w="139"/>
      </w:tblGrid>
      <w:tr w:rsidR="00000000">
        <w:trPr>
          <w:tblCellSpacing w:w="15" w:type="dxa"/>
        </w:trPr>
        <w:tc>
          <w:tcPr>
            <w:tcW w:w="1505"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3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4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Common Stoc</w:t>
            </w:r>
            <w:r>
              <w:rPr>
                <w:b/>
                <w:bCs/>
                <w:sz w:val="16"/>
                <w:szCs w:val="16"/>
              </w:rPr>
              <w:t>k</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Shares Outstandin</w:t>
            </w:r>
            <w:r>
              <w:rPr>
                <w:b/>
                <w:bCs/>
                <w:sz w:val="19"/>
                <w:szCs w:val="19"/>
              </w:rPr>
              <w:t>g</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Par Amount, Shares Issue</w:t>
            </w:r>
            <w:r>
              <w:rPr>
                <w:b/>
                <w:bCs/>
                <w:sz w:val="19"/>
                <w:szCs w:val="19"/>
              </w:rPr>
              <w:t>d</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Paid in Capital</w:t>
            </w:r>
            <w:r>
              <w:rPr>
                <w:b/>
                <w:bCs/>
                <w:sz w:val="19"/>
                <w:szCs w:val="19"/>
              </w:rPr>
              <w:br/>
              <w:t>in Excess of Pa</w:t>
            </w:r>
            <w:r>
              <w:rPr>
                <w:b/>
                <w:bCs/>
                <w:sz w:val="19"/>
                <w:szCs w:val="19"/>
              </w:rPr>
              <w:t>r</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Distributable</w:t>
            </w:r>
            <w:r>
              <w:rPr>
                <w:b/>
                <w:bCs/>
                <w:sz w:val="19"/>
                <w:szCs w:val="19"/>
              </w:rPr>
              <w:br/>
              <w:t>earnings (loss</w:t>
            </w:r>
            <w:r>
              <w:rPr>
                <w:b/>
                <w:bCs/>
                <w:sz w:val="19"/>
                <w:szCs w:val="19"/>
              </w:rPr>
              <w:t>)</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Treasury Stock at Cos</w:t>
            </w:r>
            <w:r>
              <w:rPr>
                <w:b/>
                <w:bCs/>
                <w:sz w:val="19"/>
                <w:szCs w:val="19"/>
              </w:rPr>
              <w:t>t</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center"/>
              <w:rPr>
                <w:sz w:val="19"/>
                <w:szCs w:val="19"/>
              </w:rPr>
            </w:pPr>
            <w:r>
              <w:rPr>
                <w:b/>
                <w:bCs/>
                <w:sz w:val="19"/>
                <w:szCs w:val="19"/>
              </w:rPr>
              <w:t>Total Net</w:t>
            </w:r>
            <w:r>
              <w:rPr>
                <w:b/>
                <w:bCs/>
                <w:sz w:val="19"/>
                <w:szCs w:val="19"/>
              </w:rPr>
              <w:br/>
              <w:t>Asset</w:t>
            </w:r>
            <w:r>
              <w:rPr>
                <w:b/>
                <w:bCs/>
                <w:sz w:val="19"/>
                <w:szCs w:val="19"/>
              </w:rPr>
              <w:t>s</w:t>
            </w:r>
          </w:p>
        </w:tc>
        <w:tc>
          <w:tcPr>
            <w:tcW w:w="0" w:type="auto"/>
            <w:vAlign w:val="bottom"/>
            <w:hideMark/>
          </w:tcPr>
          <w:p w:rsidR="00000000" w:rsidRDefault="003D51DE">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December 31, 202</w:t>
            </w:r>
            <w:r>
              <w:rPr>
                <w:sz w:val="19"/>
                <w:szCs w:val="19"/>
              </w:rPr>
              <w:t>0</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74,466,66</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858,079,71</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476,857,05</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66,296,85</w:t>
            </w:r>
            <w:r>
              <w:rPr>
                <w:sz w:val="19"/>
                <w:szCs w:val="19"/>
              </w:rPr>
              <w:t>9</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315,010,27</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256,06</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869,72</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869,72</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4,190,21</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4,190,21</w:t>
            </w:r>
            <w:r>
              <w:rPr>
                <w:sz w:val="19"/>
                <w:szCs w:val="19"/>
              </w:rPr>
              <w:t>7</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12,010,78</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12,010,78</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7,441,59</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7,441,59</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March 31, 202</w:t>
            </w:r>
            <w:r>
              <w:rPr>
                <w:sz w:val="19"/>
                <w:szCs w:val="19"/>
              </w:rPr>
              <w:t>1</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74,210,60</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858,079,71</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468,097,64</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67,166,58</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322,899,96</w:t>
            </w:r>
            <w:r>
              <w:rPr>
                <w:sz w:val="19"/>
                <w:szCs w:val="19"/>
              </w:rPr>
              <w:t>2</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80,94</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301,70</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301,70</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4,842,72</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4,842,72</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27,182,99</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27,182,99</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7,413,59</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7,413,59</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June 30, 202</w:t>
            </w:r>
            <w:r>
              <w:rPr>
                <w:sz w:val="19"/>
                <w:szCs w:val="19"/>
              </w:rPr>
              <w:t>1</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74,129,65</w:t>
            </w:r>
            <w:r>
              <w:rPr>
                <w:sz w:val="19"/>
                <w:szCs w:val="19"/>
              </w:rPr>
              <w:t>9</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858,079,71</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443,485,51</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67,468,28</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347,210,38</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Repurchase of common stoc</w:t>
            </w:r>
            <w:r>
              <w:rPr>
                <w:sz w:val="19"/>
                <w:szCs w:val="19"/>
              </w:rPr>
              <w:t>k</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133,03</w:t>
            </w:r>
            <w:r>
              <w:rPr>
                <w:sz w:val="19"/>
                <w:szCs w:val="19"/>
              </w:rPr>
              <w:t>9</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532,28</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532,28</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investment incom</w:t>
            </w:r>
            <w:r>
              <w:rPr>
                <w:sz w:val="19"/>
                <w:szCs w:val="19"/>
              </w:rPr>
              <w:t>e</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4,910,15</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4,910,15</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Net realized and unrealized gain (loss</w:t>
            </w:r>
            <w:r>
              <w:rPr>
                <w:sz w:val="19"/>
                <w:szCs w:val="19"/>
              </w:rPr>
              <w:t>)</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6,692,14</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6,692,14</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Dividends to common stockholder</w:t>
            </w:r>
            <w:r>
              <w:rPr>
                <w:sz w:val="19"/>
                <w:szCs w:val="19"/>
              </w:rPr>
              <w:t>s</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7,405,84</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7,405,84</w:t>
            </w:r>
            <w:r>
              <w:rPr>
                <w:sz w:val="19"/>
                <w:szCs w:val="19"/>
              </w:rPr>
              <w:t>5</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Balance at September 30, 202</w:t>
            </w:r>
            <w:r>
              <w:rPr>
                <w:sz w:val="19"/>
                <w:szCs w:val="19"/>
              </w:rPr>
              <w:t>1</w:t>
            </w:r>
          </w:p>
        </w:tc>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73,996,62</w:t>
            </w:r>
            <w:r>
              <w:rPr>
                <w:sz w:val="19"/>
                <w:szCs w:val="19"/>
              </w:rPr>
              <w:t>0</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84,47</w:t>
            </w:r>
            <w:r>
              <w:rPr>
                <w:sz w:val="19"/>
                <w:szCs w:val="19"/>
              </w:rPr>
              <w:t>8</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858,079,71</w:t>
            </w:r>
            <w:r>
              <w:rPr>
                <w:sz w:val="19"/>
                <w:szCs w:val="19"/>
              </w:rPr>
              <w:t>3</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439,289,06</w:t>
            </w:r>
            <w:r>
              <w:rPr>
                <w:sz w:val="19"/>
                <w:szCs w:val="19"/>
              </w:rPr>
              <w:t>4</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w:t>
            </w:r>
            <w:r>
              <w:rPr>
                <w:sz w:val="19"/>
                <w:szCs w:val="19"/>
              </w:rPr>
              <w:t>68,000,57</w:t>
            </w:r>
            <w:r>
              <w:rPr>
                <w:sz w:val="19"/>
                <w:szCs w:val="19"/>
              </w:rPr>
              <w:t>6</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19"/>
                <w:szCs w:val="19"/>
              </w:rPr>
            </w:pPr>
            <w:r>
              <w:rPr>
                <w:sz w:val="19"/>
                <w:szCs w:val="19"/>
              </w:rPr>
              <w:t> </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9"/>
                <w:szCs w:val="19"/>
              </w:rPr>
              <w:t>350,874,55</w:t>
            </w:r>
            <w:r>
              <w:rPr>
                <w:sz w:val="19"/>
                <w:szCs w:val="19"/>
              </w:rPr>
              <w:t>1</w:t>
            </w:r>
          </w:p>
        </w:tc>
        <w:tc>
          <w:tcPr>
            <w:tcW w:w="0" w:type="auto"/>
            <w:noWrap/>
            <w:vAlign w:val="bottom"/>
            <w:hideMark/>
          </w:tcPr>
          <w:p w:rsidR="00000000" w:rsidRDefault="003D51DE">
            <w:pPr>
              <w:pStyle w:val="a3"/>
              <w:spacing w:before="0" w:beforeAutospacing="0" w:after="0" w:afterAutospacing="0"/>
              <w:rPr>
                <w:sz w:val="19"/>
                <w:szCs w:val="19"/>
              </w:rPr>
            </w:pPr>
            <w:r>
              <w:rPr>
                <w:sz w:val="19"/>
                <w:szCs w:val="19"/>
              </w:rPr>
              <w:t> </w:t>
            </w:r>
          </w:p>
        </w:tc>
      </w:tr>
    </w:tbl>
    <w:p w:rsidR="00000000" w:rsidRDefault="003D51DE">
      <w:pPr>
        <w:jc w:val="both"/>
        <w:divId w:val="1162693434"/>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721100016"/>
        <w:rPr>
          <w:rFonts w:eastAsia="Times New Roman"/>
        </w:rPr>
      </w:pPr>
      <w:r>
        <w:rPr>
          <w:rFonts w:eastAsia="Times New Roman"/>
          <w:sz w:val="15"/>
          <w:szCs w:val="15"/>
        </w:rPr>
        <w:t>See Notes 2 and 4 for further information related to the adoption of ASU 2020-06</w:t>
      </w:r>
      <w:r>
        <w:rPr>
          <w:rFonts w:eastAsia="Times New Roman"/>
          <w:sz w:val="15"/>
          <w:szCs w:val="15"/>
        </w:rPr>
        <w:t>.</w:t>
      </w:r>
    </w:p>
    <w:p w:rsidR="00000000" w:rsidRDefault="003D51DE">
      <w:pPr>
        <w:jc w:val="both"/>
        <w:divId w:val="549878888"/>
        <w:rPr>
          <w:rFonts w:eastAsia="Times New Roman"/>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2130927453"/>
        <w:rPr>
          <w:rFonts w:eastAsia="Times New Roman"/>
        </w:rPr>
      </w:pPr>
      <w:r>
        <w:rPr>
          <w:rFonts w:eastAsia="Times New Roman"/>
          <w:sz w:val="15"/>
          <w:szCs w:val="15"/>
        </w:rPr>
        <w:t>Sources of dividends to stockholders will be adjusted on an annual basis, if necessary, and calculated in accordance with federal income tax regulations (see Note 2). For the three months ended September 30, 2022, it is estimated that there was</w:t>
      </w:r>
      <w:r>
        <w:rPr>
          <w:rFonts w:eastAsia="Times New Roman"/>
          <w:sz w:val="15"/>
          <w:szCs w:val="15"/>
        </w:rPr>
        <w:t xml:space="preserve"> </w:t>
      </w:r>
      <w:r>
        <w:rPr>
          <w:rFonts w:eastAsia="Times New Roman"/>
          <w:sz w:val="15"/>
          <w:szCs w:val="15"/>
        </w:rPr>
        <w:t>n</w:t>
      </w:r>
      <w:r>
        <w:rPr>
          <w:rFonts w:eastAsia="Times New Roman"/>
          <w:sz w:val="15"/>
          <w:szCs w:val="15"/>
        </w:rPr>
        <w:t>o</w:t>
      </w:r>
      <w:r>
        <w:rPr>
          <w:rFonts w:eastAsia="Times New Roman"/>
          <w:sz w:val="15"/>
          <w:szCs w:val="15"/>
        </w:rPr>
        <w:t xml:space="preserve"> return o</w:t>
      </w:r>
      <w:r>
        <w:rPr>
          <w:rFonts w:eastAsia="Times New Roman"/>
          <w:sz w:val="15"/>
          <w:szCs w:val="15"/>
        </w:rPr>
        <w:t xml:space="preserve">f capital based on book income. For the three months ended June 30, 2022, it is estimated that </w:t>
      </w:r>
      <w:r>
        <w:rPr>
          <w:rFonts w:eastAsia="Times New Roman"/>
          <w:sz w:val="15"/>
          <w:szCs w:val="15"/>
        </w:rPr>
        <w:t>$</w:t>
      </w:r>
      <w:r>
        <w:rPr>
          <w:rFonts w:eastAsia="Times New Roman"/>
          <w:sz w:val="15"/>
          <w:szCs w:val="15"/>
        </w:rPr>
        <w:t>242,96</w:t>
      </w:r>
      <w:r>
        <w:rPr>
          <w:rFonts w:eastAsia="Times New Roman"/>
          <w:sz w:val="15"/>
          <w:szCs w:val="15"/>
        </w:rPr>
        <w:t>8</w:t>
      </w:r>
      <w:r>
        <w:rPr>
          <w:rFonts w:eastAsia="Times New Roman"/>
          <w:sz w:val="15"/>
          <w:szCs w:val="15"/>
        </w:rPr>
        <w:t xml:space="preserve"> out of the total </w:t>
      </w:r>
      <w:r>
        <w:rPr>
          <w:rFonts w:eastAsia="Times New Roman"/>
          <w:sz w:val="15"/>
          <w:szCs w:val="15"/>
        </w:rPr>
        <w:t>$</w:t>
      </w:r>
      <w:r>
        <w:rPr>
          <w:rFonts w:eastAsia="Times New Roman"/>
          <w:sz w:val="15"/>
          <w:szCs w:val="15"/>
        </w:rPr>
        <w:t>7,363,18</w:t>
      </w:r>
      <w:r>
        <w:rPr>
          <w:rFonts w:eastAsia="Times New Roman"/>
          <w:sz w:val="15"/>
          <w:szCs w:val="15"/>
        </w:rPr>
        <w:t>4</w:t>
      </w:r>
      <w:r>
        <w:rPr>
          <w:rFonts w:eastAsia="Times New Roman"/>
          <w:sz w:val="15"/>
          <w:szCs w:val="15"/>
        </w:rPr>
        <w:t xml:space="preserve"> dividend was from a return of capital based on book income. For the three months ended March 31, 2022, it is estimated that </w:t>
      </w:r>
      <w:r>
        <w:rPr>
          <w:rFonts w:eastAsia="Times New Roman"/>
          <w:sz w:val="15"/>
          <w:szCs w:val="15"/>
        </w:rPr>
        <w:t>$</w:t>
      </w:r>
      <w:r>
        <w:rPr>
          <w:rFonts w:eastAsia="Times New Roman"/>
          <w:sz w:val="15"/>
          <w:szCs w:val="15"/>
        </w:rPr>
        <w:t>885,17</w:t>
      </w:r>
      <w:r>
        <w:rPr>
          <w:rFonts w:eastAsia="Times New Roman"/>
          <w:sz w:val="15"/>
          <w:szCs w:val="15"/>
        </w:rPr>
        <w:t>5</w:t>
      </w:r>
      <w:r>
        <w:rPr>
          <w:rFonts w:eastAsia="Times New Roman"/>
          <w:sz w:val="15"/>
          <w:szCs w:val="15"/>
        </w:rPr>
        <w:t xml:space="preserve"> out of the total </w:t>
      </w:r>
      <w:r>
        <w:rPr>
          <w:rFonts w:eastAsia="Times New Roman"/>
          <w:sz w:val="15"/>
          <w:szCs w:val="15"/>
        </w:rPr>
        <w:t>$</w:t>
      </w:r>
      <w:r>
        <w:rPr>
          <w:rFonts w:eastAsia="Times New Roman"/>
          <w:sz w:val="15"/>
          <w:szCs w:val="15"/>
        </w:rPr>
        <w:t>7,380,27</w:t>
      </w:r>
      <w:r>
        <w:rPr>
          <w:rFonts w:eastAsia="Times New Roman"/>
          <w:sz w:val="15"/>
          <w:szCs w:val="15"/>
        </w:rPr>
        <w:t>0</w:t>
      </w:r>
      <w:r>
        <w:rPr>
          <w:rFonts w:eastAsia="Times New Roman"/>
          <w:sz w:val="15"/>
          <w:szCs w:val="15"/>
        </w:rPr>
        <w:t xml:space="preserve"> dividend was from a return of capital based on book income.</w:t>
      </w:r>
      <w:r>
        <w:rPr>
          <w:rFonts w:eastAsia="Times New Roman"/>
          <w:sz w:val="15"/>
          <w:szCs w:val="15"/>
        </w:rPr>
        <w:t xml:space="preserve">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5</w:t>
      </w:r>
    </w:p>
    <w:p w:rsidR="00000000" w:rsidRDefault="003D51DE">
      <w:pPr>
        <w:rPr>
          <w:rFonts w:eastAsia="Times New Roman"/>
        </w:rPr>
      </w:pPr>
      <w:r>
        <w:rPr>
          <w:rFonts w:eastAsia="Times New Roman"/>
        </w:rPr>
        <w:pict>
          <v:rect id="_x0000_i1029"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w:t>
      </w:r>
      <w:r>
        <w:rPr>
          <w:b/>
          <w:bCs/>
          <w:sz w:val="19"/>
          <w:szCs w:val="19"/>
        </w:rPr>
        <w:t>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Statem</w:t>
      </w:r>
      <w:r>
        <w:rPr>
          <w:b/>
          <w:bCs/>
          <w:sz w:val="19"/>
          <w:szCs w:val="19"/>
        </w:rPr>
        <w:t>e</w:t>
      </w:r>
      <w:r>
        <w:rPr>
          <w:b/>
          <w:bCs/>
          <w:sz w:val="19"/>
          <w:szCs w:val="19"/>
        </w:rPr>
        <w:t>nts of Cash Flow</w:t>
      </w:r>
      <w:r>
        <w:rPr>
          <w:b/>
          <w:bCs/>
          <w:sz w:val="19"/>
          <w:szCs w:val="19"/>
        </w:rPr>
        <w:t>s</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01"/>
        <w:gridCol w:w="105"/>
        <w:gridCol w:w="150"/>
        <w:gridCol w:w="1020"/>
        <w:gridCol w:w="120"/>
        <w:gridCol w:w="105"/>
        <w:gridCol w:w="150"/>
        <w:gridCol w:w="1020"/>
        <w:gridCol w:w="135"/>
      </w:tblGrid>
      <w:tr w:rsidR="00000000">
        <w:trPr>
          <w:tblCellSpacing w:w="15" w:type="dxa"/>
        </w:trPr>
        <w:tc>
          <w:tcPr>
            <w:tcW w:w="3465"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2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Operating activitie</w:t>
            </w:r>
            <w:r>
              <w:rPr>
                <w:b/>
                <w:bCs/>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increase (decrease) in net assets resulting from operation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8,589,42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59,829,02</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Adjustments to reconcile net increase (decrease) in net assets resulting from operations to net cash provided by (used in) operating activities</w:t>
            </w: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Net realized (gain) los</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1,196,57</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2,903,35</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Net change in unrealized (appreciation) depreciation of investment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12,670,83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43,267,93</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Net change in unrealized (appreciation) depreciation on Interest Rate Swa</w:t>
            </w:r>
            <w:r>
              <w:rPr>
                <w:sz w:val="18"/>
                <w:szCs w:val="18"/>
              </w:rPr>
              <w:t>p</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1,214,65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Net change in unrealized (appreciation) depreciation on foreign currency translatio</w:t>
            </w:r>
            <w:r>
              <w:rPr>
                <w:sz w:val="18"/>
                <w:szCs w:val="18"/>
              </w:rPr>
              <w:t>n</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285,36</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dividend income paid in kin</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1,209,18</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2,393,85</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Net amortization of investment discounts and premium</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2,533,47</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1,555,79</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Amortization of deferred debt issuance cost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868,34</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1,214,53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Amortization of original issue discount on deb</w:t>
            </w:r>
            <w:r>
              <w:rPr>
                <w:sz w:val="18"/>
                <w:szCs w:val="18"/>
              </w:rPr>
              <w:t>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702,77</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Changes in assets and liabilities</w:t>
            </w: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Purchase of investment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194,380,77</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203,961,13</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Proceeds from disposition of investment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164,537,11</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174,919,42</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Decrease (increase) in interest, dividends and fees receivabl</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439,32</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1,316,91</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Decrease (increase) in due from broke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1,878,13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Decrease (increase) in receivable for investments sol</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275,03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5,406,56</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Decrease (increase) in prepaid expenses and other asset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66,28</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521,01</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payable for investments purchase</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8,146,96</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826,45</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interest and debt related payable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713,78</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1,875,73</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management fees payabl</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4,40</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227,22</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income incentive fees payabl</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1,520,74</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1,849,59</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accrued capital gains incentive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1,544,56</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1,291,95</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accrued administrative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38,51</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56,00</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Increase (decrease) in accrued expenses and other liabilitie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112,15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860,40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cash provided by (used in) operating activitie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20,149,21</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14,214,30</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blCellSpacing w:w="15" w:type="dxa"/>
        </w:trPr>
        <w:tc>
          <w:tcPr>
            <w:tcW w:w="0" w:type="auto"/>
            <w:hideMark/>
          </w:tcPr>
          <w:p w:rsidR="00000000" w:rsidRDefault="003D51DE">
            <w:pPr>
              <w:pStyle w:val="a3"/>
              <w:spacing w:before="0" w:beforeAutospacing="0" w:after="0" w:afterAutospacing="0"/>
              <w:ind w:left="40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Financing activitie</w:t>
            </w:r>
            <w:r>
              <w:rPr>
                <w:b/>
                <w:bCs/>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Repayment of 2022 Convertible Note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143,720,00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Proceeds from issuance of 2025 Private Placement Note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92,000,00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Draws on Credit Facilit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214,000,00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106,000,00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Repayments of Credit Facility draw</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98,000,00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85,800,00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Dividends paid to common stockholder</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22,136,42</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14,855,18</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Repurchase of common share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3,732,56</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1,703,71</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Payments of debt issuance cost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1,152,05</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767,45</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cash provided by (used in) financing activitie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37,258,95</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2,873,63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increase (decrease) in cash and cash equivalent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17,109,74</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r>
              <w:rPr>
                <w:sz w:val="18"/>
                <w:szCs w:val="18"/>
              </w:rPr>
              <w:t>11,340,66</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Cash and cash equivalents at beginning of perio</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12,750,12</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23,332,83</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Cash and cash equivalents at end of perio</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29,859,86</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11,992,16</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Supplemental cash flow informatio</w:t>
            </w:r>
            <w:r>
              <w:rPr>
                <w:b/>
                <w:bCs/>
                <w:sz w:val="18"/>
                <w:szCs w:val="18"/>
              </w:rPr>
              <w:t>n</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Interest payment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6,678,11</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4,125,22</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Tax payment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80,46</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80,05</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Share issuance — conversion of 2022 Convertible Note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30,00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6</w:t>
      </w:r>
    </w:p>
    <w:p w:rsidR="00000000" w:rsidRDefault="003D51DE">
      <w:pPr>
        <w:rPr>
          <w:rFonts w:eastAsia="Times New Roman"/>
        </w:rPr>
      </w:pPr>
      <w:r>
        <w:rPr>
          <w:rFonts w:eastAsia="Times New Roman"/>
        </w:rPr>
        <w:pict>
          <v:rect id="_x0000_i1030"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80" w:beforeAutospacing="0" w:after="0" w:afterAutospacing="0"/>
        <w:jc w:val="center"/>
        <w:rPr>
          <w:sz w:val="20"/>
          <w:szCs w:val="20"/>
        </w:rPr>
      </w:pPr>
      <w:r>
        <w:rPr>
          <w:b/>
          <w:bCs/>
          <w:sz w:val="19"/>
          <w:szCs w:val="19"/>
        </w:rPr>
        <w:t>Consolidated Sched</w:t>
      </w:r>
      <w:r>
        <w:rPr>
          <w:b/>
          <w:bCs/>
          <w:sz w:val="19"/>
          <w:szCs w:val="19"/>
        </w:rPr>
        <w:t>u</w:t>
      </w:r>
      <w:r>
        <w:rPr>
          <w:b/>
          <w:bCs/>
          <w:sz w:val="19"/>
          <w:szCs w:val="19"/>
        </w:rPr>
        <w:t>les of Investment</w:t>
      </w:r>
      <w:r>
        <w:rPr>
          <w:b/>
          <w:bCs/>
          <w:sz w:val="19"/>
          <w:szCs w:val="19"/>
        </w:rPr>
        <w:t>s</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1"/>
        <w:gridCol w:w="93"/>
        <w:gridCol w:w="689"/>
        <w:gridCol w:w="93"/>
        <w:gridCol w:w="1000"/>
        <w:gridCol w:w="93"/>
        <w:gridCol w:w="93"/>
        <w:gridCol w:w="288"/>
        <w:gridCol w:w="169"/>
        <w:gridCol w:w="93"/>
        <w:gridCol w:w="94"/>
        <w:gridCol w:w="371"/>
        <w:gridCol w:w="169"/>
        <w:gridCol w:w="93"/>
        <w:gridCol w:w="116"/>
        <w:gridCol w:w="385"/>
        <w:gridCol w:w="169"/>
        <w:gridCol w:w="93"/>
        <w:gridCol w:w="653"/>
        <w:gridCol w:w="93"/>
        <w:gridCol w:w="125"/>
        <w:gridCol w:w="645"/>
        <w:gridCol w:w="93"/>
        <w:gridCol w:w="93"/>
        <w:gridCol w:w="125"/>
        <w:gridCol w:w="645"/>
        <w:gridCol w:w="104"/>
        <w:gridCol w:w="93"/>
        <w:gridCol w:w="125"/>
        <w:gridCol w:w="645"/>
        <w:gridCol w:w="104"/>
        <w:gridCol w:w="93"/>
        <w:gridCol w:w="386"/>
      </w:tblGrid>
      <w:tr w:rsidR="00000000">
        <w:trPr>
          <w:tblCellSpacing w:w="15" w:type="dxa"/>
        </w:trPr>
        <w:tc>
          <w:tcPr>
            <w:tcW w:w="786" w:type="pct"/>
            <w:vAlign w:val="center"/>
            <w:hideMark/>
          </w:tcPr>
          <w:p w:rsidR="00000000" w:rsidRDefault="003D51DE">
            <w:pPr>
              <w:rPr>
                <w:sz w:val="20"/>
                <w:szCs w:val="20"/>
              </w:rPr>
            </w:pPr>
          </w:p>
        </w:tc>
        <w:tc>
          <w:tcPr>
            <w:tcW w:w="48" w:type="pct"/>
            <w:vAlign w:val="center"/>
            <w:hideMark/>
          </w:tcPr>
          <w:p w:rsidR="00000000" w:rsidRDefault="003D51DE">
            <w:pPr>
              <w:rPr>
                <w:rFonts w:eastAsia="Times New Roman"/>
                <w:sz w:val="20"/>
                <w:szCs w:val="20"/>
              </w:rPr>
            </w:pPr>
          </w:p>
        </w:tc>
        <w:tc>
          <w:tcPr>
            <w:tcW w:w="639"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403"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298" w:type="pct"/>
            <w:vAlign w:val="center"/>
            <w:hideMark/>
          </w:tcPr>
          <w:p w:rsidR="00000000" w:rsidRDefault="003D51DE">
            <w:pPr>
              <w:rPr>
                <w:rFonts w:eastAsia="Times New Roman"/>
                <w:sz w:val="20"/>
                <w:szCs w:val="20"/>
              </w:rPr>
            </w:pPr>
          </w:p>
        </w:tc>
        <w:tc>
          <w:tcPr>
            <w:tcW w:w="9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183"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w:t>
            </w:r>
            <w:r>
              <w:rPr>
                <w:b/>
                <w:bCs/>
                <w:sz w:val="13"/>
                <w:szCs w:val="13"/>
                <w:u w:val="single"/>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Aerospace &amp; Defens</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6,608,99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1,706,22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813,40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9,128,61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9,158,16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Automobile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2,320,96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2,295,60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2,320,96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233,43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230,92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233,43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2,526,53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2,554,39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Building Product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2,520,51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2,479,46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2,548,23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1.</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488,34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538,07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1,026,41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1,065,22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Commercial Services &amp; Supplie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1,589,05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1,579,96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1,496,88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Delayed Draw Term Loan </w:t>
            </w:r>
            <w:r>
              <w:rPr>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349,60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347,49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329,33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Delayed Draw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484,16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481,31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456,08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1,369,62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1,335,74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1,336,47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11,60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22,85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Pueblo Mechanical and Controls,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5,43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5,37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2,615,25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2,579,73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2,479,25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2,90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23,27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6,304,31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6,046,53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Construction &amp; Engineerin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3,283,35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3,217,69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3,211,12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10,73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23,60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CSG Buyer, Inc. (Core States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214,62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203,89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202,82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3,574,70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3,488,53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3,460,31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SOFR(Q)/PRIM</w:t>
            </w:r>
            <w:r>
              <w:rPr>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4,909,25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4,797,90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4,698,80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U</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140,44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123,01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101,92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2,481,14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2,446,91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2,421,59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834,28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822,63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814,26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15,089,85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14,887,22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Consumer Financ</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Barri Financial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11,709,19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11,496,80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11,826,28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Freedom Financial Network Funding,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5,193,33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5,063,70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5,063,50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Freedom Financial Network Funding,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21,57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43,27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16,538,92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16,846,50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Containers &amp; Packagin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4,559,35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4,462,55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4,276,67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PVHC Holding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10,204,80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9,204,38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9,745,58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13,666,94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14,022,26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r>
              <w:rPr>
                <w:sz w:val="13"/>
                <w:szCs w:val="13"/>
              </w:rPr>
              <w:t>% Cash +</w:t>
            </w:r>
            <w:r>
              <w:rPr>
                <w:sz w:val="13"/>
                <w:szCs w:val="13"/>
              </w:rPr>
              <w:t xml:space="preserve"> </w:t>
            </w:r>
            <w:r>
              <w:rPr>
                <w:sz w:val="13"/>
                <w:szCs w:val="13"/>
              </w:rPr>
              <w:t>2.0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2,352,72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2,316,19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2,277,43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Elevate Brands OpCo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7,900,09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7,804,63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7,536,69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Fusion Holding Corp. (Finalsite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3,200,92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3,129,34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3,128,90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Fusion Holding Corp. (Finalsite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5,82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5,87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7</w:t>
      </w:r>
    </w:p>
    <w:p w:rsidR="00000000" w:rsidRDefault="003D51DE">
      <w:pPr>
        <w:rPr>
          <w:rFonts w:eastAsia="Times New Roman"/>
        </w:rPr>
      </w:pPr>
      <w:r>
        <w:rPr>
          <w:rFonts w:eastAsia="Times New Roman"/>
        </w:rPr>
        <w:pict>
          <v:rect id="_x0000_i1031"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40" w:afterAutospacing="0"/>
        <w:jc w:val="center"/>
        <w:rPr>
          <w:sz w:val="20"/>
          <w:szCs w:val="20"/>
        </w:rPr>
      </w:pPr>
      <w:r>
        <w:rPr>
          <w:b/>
          <w:bCs/>
          <w:sz w:val="19"/>
          <w:szCs w:val="19"/>
        </w:rPr>
        <w:t>(Unaudited</w:t>
      </w:r>
      <w:r>
        <w:rPr>
          <w:b/>
          <w:bCs/>
          <w:sz w:val="19"/>
          <w:szCs w:val="19"/>
        </w:rPr>
        <w:t>)</w:t>
      </w:r>
      <w:r>
        <w:rPr>
          <w:b/>
          <w:b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8"/>
        <w:gridCol w:w="93"/>
        <w:gridCol w:w="754"/>
        <w:gridCol w:w="93"/>
        <w:gridCol w:w="653"/>
        <w:gridCol w:w="93"/>
        <w:gridCol w:w="93"/>
        <w:gridCol w:w="288"/>
        <w:gridCol w:w="169"/>
        <w:gridCol w:w="93"/>
        <w:gridCol w:w="94"/>
        <w:gridCol w:w="372"/>
        <w:gridCol w:w="169"/>
        <w:gridCol w:w="93"/>
        <w:gridCol w:w="115"/>
        <w:gridCol w:w="386"/>
        <w:gridCol w:w="169"/>
        <w:gridCol w:w="93"/>
        <w:gridCol w:w="653"/>
        <w:gridCol w:w="93"/>
        <w:gridCol w:w="125"/>
        <w:gridCol w:w="645"/>
        <w:gridCol w:w="93"/>
        <w:gridCol w:w="93"/>
        <w:gridCol w:w="125"/>
        <w:gridCol w:w="710"/>
        <w:gridCol w:w="104"/>
        <w:gridCol w:w="93"/>
        <w:gridCol w:w="125"/>
        <w:gridCol w:w="645"/>
        <w:gridCol w:w="104"/>
        <w:gridCol w:w="93"/>
        <w:gridCol w:w="516"/>
      </w:tblGrid>
      <w:tr w:rsidR="00000000">
        <w:trPr>
          <w:tblCellSpacing w:w="15" w:type="dxa"/>
        </w:trPr>
        <w:tc>
          <w:tcPr>
            <w:tcW w:w="803"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70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6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10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89"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9/30/202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12,653,05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12,744,10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12,612,19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Sr Secured Convertible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3.5</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1,623,95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1,623,95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2,676,27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r>
              <w:rPr>
                <w:sz w:val="13"/>
                <w:szCs w:val="13"/>
              </w:rPr>
              <w:t>% Cash +</w:t>
            </w:r>
            <w:r>
              <w:rPr>
                <w:sz w:val="13"/>
                <w:szCs w:val="13"/>
              </w:rPr>
              <w:t xml:space="preserve"> </w:t>
            </w:r>
            <w:r>
              <w:rPr>
                <w:sz w:val="13"/>
                <w:szCs w:val="13"/>
              </w:rPr>
              <w:t>1.0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6,313,04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6,234,98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5,963,61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D/H/J/</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7,320,49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7,220,58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6,698,25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3,068,40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2,999,54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2,575,63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Whele LLC (Perch</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10/15/202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6,531,15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6,570,28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6,126,22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48,321,61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47,311,91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6,555,55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6,461,46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6,505,07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3,35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8/29/202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5,356,15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5,236,95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5,211,53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8/29/202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11,84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28,41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Accordion Partners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10,37</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12,63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24,900,00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Subordinated Deb</w:t>
            </w:r>
            <w:r>
              <w:rPr>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4,975,00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GC Champion Acquisition LLC (Numerix</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7,122,63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6,981,57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6,980,18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GC Champion Acquisition LLC (Numerix</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19,40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39,57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Unsecured Deb</w:t>
            </w:r>
            <w:r>
              <w:rPr>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10/31/202</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37,686,14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37,686,14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18,442,00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G/R/</w:t>
            </w:r>
            <w:r>
              <w:rPr>
                <w:sz w:val="13"/>
                <w:szCs w:val="13"/>
              </w:rPr>
              <w:t>T</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Oasis Financial,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4,925,90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Wealth Enhancement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583,51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566,50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465,24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Wealth Enhancement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1,94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6,74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2/11/202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11,300,00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11,154,72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11,107,90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102,966,34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83,397,72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Diversified Telecommunication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1,414,10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1,395,71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1,402,08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2,911,39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2,860,69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2,886,64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4,256,40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4,288,73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Electrical Equipmen</w:t>
            </w:r>
            <w:r>
              <w:rPr>
                <w:b/>
                <w:bCs/>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Advanced Lighting Technologies,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Sr Secured Note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16.0</w:t>
            </w:r>
            <w:r>
              <w:rPr>
                <w:sz w:val="13"/>
                <w:szCs w:val="13"/>
              </w:rPr>
              <w:t>0</w:t>
            </w:r>
            <w:r>
              <w:rPr>
                <w:sz w:val="13"/>
                <w:szCs w:val="13"/>
              </w:rPr>
              <w:t>% PIK +</w:t>
            </w:r>
            <w:r>
              <w:rPr>
                <w:sz w:val="13"/>
                <w:szCs w:val="13"/>
              </w:rPr>
              <w:t xml:space="preserve"> </w:t>
            </w:r>
            <w:r>
              <w:rPr>
                <w:sz w:val="13"/>
                <w:szCs w:val="13"/>
              </w:rPr>
              <w:t>6.0</w:t>
            </w:r>
            <w:r>
              <w:rPr>
                <w:sz w:val="13"/>
                <w:szCs w:val="13"/>
              </w:rPr>
              <w:t>0</w:t>
            </w:r>
            <w:r>
              <w:rPr>
                <w:sz w:val="13"/>
                <w:szCs w:val="13"/>
              </w:rPr>
              <w:t>% Cas</w:t>
            </w:r>
            <w:r>
              <w:rPr>
                <w:sz w:val="13"/>
                <w:szCs w:val="13"/>
              </w:rPr>
              <w:t>h</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2,249,97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935,92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652,49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D/I/R/</w:t>
            </w:r>
            <w:r>
              <w:rPr>
                <w:sz w:val="13"/>
                <w:szCs w:val="13"/>
              </w:rPr>
              <w:t>T</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Health Care Equipment &amp; Supplie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Zest Acquisition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14,927,16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13,800,00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Health Care Providers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INH Buyer, Inc. (IMS Health</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2,673,00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2,626,27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2,146,41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Opco Borrower, LLC (Giving Home Health Care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8/19/202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343,75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340,33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340,45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Opco Borrower, LLC (Giving Home Health Care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8/19/202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5,762,44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3,538,46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3,488,77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3,361,53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PHC Buyer, LLC (Patriot Home Care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3,817,82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3,744,57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3,730,01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PHC Buyer, LLC (Patriot Home Care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12,58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33,45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Team Services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6,554,54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6,390,79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6,095,72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22,352,79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21,277,89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Health Care Technolog</w:t>
            </w:r>
            <w:r>
              <w:rPr>
                <w:b/>
                <w:bCs/>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2,872,30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2,828,99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2,740,17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2,94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8,81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7,765,96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7,696,16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7,696,06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338,07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335,88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335,03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8,380,59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8,233,19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8,196,22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9,44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13,55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Gainwell Acquisition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2,016,73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2,007,84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1,946,15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4,473,62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4,540,50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463,76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26,027,08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25,898,43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8</w:t>
      </w:r>
    </w:p>
    <w:p w:rsidR="00000000" w:rsidRDefault="003D51DE">
      <w:pPr>
        <w:rPr>
          <w:rFonts w:eastAsia="Times New Roman"/>
        </w:rPr>
      </w:pPr>
      <w:r>
        <w:rPr>
          <w:rFonts w:eastAsia="Times New Roman"/>
        </w:rPr>
        <w:pict>
          <v:rect id="_x0000_i1032"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40" w:afterAutospacing="0"/>
        <w:jc w:val="center"/>
        <w:rPr>
          <w:sz w:val="20"/>
          <w:szCs w:val="20"/>
        </w:rPr>
      </w:pPr>
      <w:r>
        <w:rPr>
          <w:b/>
          <w:bCs/>
          <w:sz w:val="19"/>
          <w:szCs w:val="19"/>
        </w:rPr>
        <w:t>(Unaudited</w:t>
      </w:r>
      <w:r>
        <w:rPr>
          <w:b/>
          <w:bCs/>
          <w:sz w:val="19"/>
          <w:szCs w:val="19"/>
        </w:rPr>
        <w:t>)</w:t>
      </w:r>
      <w:r>
        <w:rPr>
          <w:b/>
          <w:b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9"/>
        <w:gridCol w:w="93"/>
        <w:gridCol w:w="689"/>
        <w:gridCol w:w="93"/>
        <w:gridCol w:w="653"/>
        <w:gridCol w:w="93"/>
        <w:gridCol w:w="93"/>
        <w:gridCol w:w="288"/>
        <w:gridCol w:w="169"/>
        <w:gridCol w:w="93"/>
        <w:gridCol w:w="94"/>
        <w:gridCol w:w="373"/>
        <w:gridCol w:w="169"/>
        <w:gridCol w:w="93"/>
        <w:gridCol w:w="115"/>
        <w:gridCol w:w="386"/>
        <w:gridCol w:w="169"/>
        <w:gridCol w:w="93"/>
        <w:gridCol w:w="653"/>
        <w:gridCol w:w="93"/>
        <w:gridCol w:w="125"/>
        <w:gridCol w:w="645"/>
        <w:gridCol w:w="93"/>
        <w:gridCol w:w="93"/>
        <w:gridCol w:w="125"/>
        <w:gridCol w:w="645"/>
        <w:gridCol w:w="104"/>
        <w:gridCol w:w="93"/>
        <w:gridCol w:w="125"/>
        <w:gridCol w:w="645"/>
        <w:gridCol w:w="104"/>
        <w:gridCol w:w="93"/>
        <w:gridCol w:w="386"/>
      </w:tblGrid>
      <w:tr w:rsidR="00000000">
        <w:trPr>
          <w:tblCellSpacing w:w="15" w:type="dxa"/>
        </w:trPr>
        <w:tc>
          <w:tcPr>
            <w:tcW w:w="804"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65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6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9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25"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Hotels, Restaurants &amp; Leisur</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OCM Luxembourg Baccarat Bidco S.A.R.L. (Interblock) (Slovenia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5,247,60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5,147,07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5,147,89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OCM Luxembourg Baccarat Bidco S.A.R.L. (Interblock) (Slovenia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7,85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7,97</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5,139,22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5,139,92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Insuranc</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4,121,75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4,040,34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4,022,82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10,18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24,73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10,16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12,36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1,938,58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1,911,38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1,824,20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133,33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129,92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118,58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xml:space="preserve">Peter C. Foy &amp; </w:t>
            </w:r>
            <w:r>
              <w:rPr>
                <w:sz w:val="13"/>
                <w:szCs w:val="13"/>
              </w:rPr>
              <w:t>Associates Insurance Services, LLC (PCF Insurance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854,52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842,15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832,30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xml:space="preserve">Peter C. Foy &amp; </w:t>
            </w:r>
            <w:r>
              <w:rPr>
                <w:sz w:val="13"/>
                <w:szCs w:val="13"/>
              </w:rPr>
              <w:t>Associates Insurance Services, LLC (PCF Insurance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1,645,66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1,619,04</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1,590,08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8,522,51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8,350,91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&amp; Catalog Retai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Syndigo,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12/14/202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4,673,47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4,615,20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4,065,92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Anaconda,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1,938,95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1,919,66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1,925,38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Astra Acquisition Corp. (Anthology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10/25/202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7,164,84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7,031,73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6,448,35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Gympass US,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4.0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1,902,17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1,883,56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1,892,66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InMoment,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2.0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11,434,27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11,214,19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11,209,01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Magenta Buyer, LLC (McAfee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7/27/202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6,911,38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6,410,80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6.57</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5,830,72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5,752,41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5,644,14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6.57</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1,562,50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1,552,06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1,325,91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12,069,63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11,872,53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11,804,10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14,03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20,46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Quartz Holding Company (Quick Base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5,443,81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5,485,39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Reveal Data Corporation et a</w:t>
            </w:r>
            <w:r>
              <w:rPr>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3/9/202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2,583,93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2,524,13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2,521,91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Sailpoint Technologies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8/16/202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4,111,71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4,029,96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4,029,48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Sailpoint Technologies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8/16/202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6,53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Spartan Bidco Pty Ltd (StarRez) (Australia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r>
              <w:rPr>
                <w:sz w:val="13"/>
                <w:szCs w:val="13"/>
              </w:rPr>
              <w:t>% Cash +</w:t>
            </w:r>
            <w:r>
              <w:rPr>
                <w:sz w:val="13"/>
                <w:szCs w:val="13"/>
              </w:rPr>
              <w:t xml:space="preserve"> </w:t>
            </w:r>
            <w:r>
              <w:rPr>
                <w:sz w:val="13"/>
                <w:szCs w:val="13"/>
              </w:rPr>
              <w:t>6.5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1/24/202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3,782,36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3,708,70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3,708,23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1,404,97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1,379,98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1,220,92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2,47</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44,65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227,27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223,25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197,50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65,424,37</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63,752,03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IT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Ensono,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Second Lien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5/28/202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4,957,29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4,635,00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Idera,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2,849,20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2,580,56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7,806,50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7,215,56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Leisure Product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Peloton Interactive,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2,638,17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2,545,40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2,568,92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J/</w:t>
            </w:r>
            <w:r>
              <w:rPr>
                <w:sz w:val="13"/>
                <w:szCs w:val="13"/>
              </w:rPr>
              <w:t>P</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Machiner</w:t>
            </w:r>
            <w:r>
              <w:rPr>
                <w:b/>
                <w:bCs/>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1,433,84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1,412,26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1,442,44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3,865,31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3,807,50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3,888,50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5,219,76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5,330,94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NEP II,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10/19/202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3,131,76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2,911,45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2,763,77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Streamland Media Midco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373,57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372,02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Streamland Media Midco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2,01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2,52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Terraboost Media Operating Company,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8/23/202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3,638,98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3,574,34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3,504,34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6,857,36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6,637,62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9</w:t>
      </w:r>
    </w:p>
    <w:p w:rsidR="00000000" w:rsidRDefault="003D51DE">
      <w:pPr>
        <w:rPr>
          <w:rFonts w:eastAsia="Times New Roman"/>
        </w:rPr>
      </w:pPr>
      <w:r>
        <w:rPr>
          <w:rFonts w:eastAsia="Times New Roman"/>
        </w:rPr>
        <w:pict>
          <v:rect id="_x0000_i1033"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1"/>
        <w:gridCol w:w="93"/>
        <w:gridCol w:w="689"/>
        <w:gridCol w:w="93"/>
        <w:gridCol w:w="653"/>
        <w:gridCol w:w="93"/>
        <w:gridCol w:w="93"/>
        <w:gridCol w:w="288"/>
        <w:gridCol w:w="169"/>
        <w:gridCol w:w="93"/>
        <w:gridCol w:w="94"/>
        <w:gridCol w:w="372"/>
        <w:gridCol w:w="169"/>
        <w:gridCol w:w="93"/>
        <w:gridCol w:w="115"/>
        <w:gridCol w:w="386"/>
        <w:gridCol w:w="169"/>
        <w:gridCol w:w="93"/>
        <w:gridCol w:w="653"/>
        <w:gridCol w:w="93"/>
        <w:gridCol w:w="125"/>
        <w:gridCol w:w="645"/>
        <w:gridCol w:w="93"/>
        <w:gridCol w:w="93"/>
        <w:gridCol w:w="93"/>
        <w:gridCol w:w="645"/>
        <w:gridCol w:w="104"/>
        <w:gridCol w:w="93"/>
        <w:gridCol w:w="93"/>
        <w:gridCol w:w="645"/>
        <w:gridCol w:w="104"/>
        <w:gridCol w:w="93"/>
        <w:gridCol w:w="408"/>
      </w:tblGrid>
      <w:tr w:rsidR="00000000">
        <w:trPr>
          <w:tblCellSpacing w:w="15" w:type="dxa"/>
        </w:trPr>
        <w:tc>
          <w:tcPr>
            <w:tcW w:w="800" w:type="pct"/>
            <w:vAlign w:val="center"/>
            <w:hideMark/>
          </w:tcPr>
          <w:p w:rsidR="00000000" w:rsidRDefault="003D51DE">
            <w:pPr>
              <w:rPr>
                <w:sz w:val="20"/>
                <w:szCs w:val="20"/>
              </w:rPr>
            </w:pPr>
          </w:p>
        </w:tc>
        <w:tc>
          <w:tcPr>
            <w:tcW w:w="49" w:type="pct"/>
            <w:vAlign w:val="center"/>
            <w:hideMark/>
          </w:tcPr>
          <w:p w:rsidR="00000000" w:rsidRDefault="003D51DE">
            <w:pPr>
              <w:rPr>
                <w:rFonts w:eastAsia="Times New Roman"/>
                <w:sz w:val="20"/>
                <w:szCs w:val="20"/>
              </w:rPr>
            </w:pPr>
          </w:p>
        </w:tc>
        <w:tc>
          <w:tcPr>
            <w:tcW w:w="6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30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5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300" w:type="pct"/>
            <w:vAlign w:val="center"/>
            <w:hideMark/>
          </w:tcPr>
          <w:p w:rsidR="00000000" w:rsidRDefault="003D51DE">
            <w:pPr>
              <w:rPr>
                <w:rFonts w:eastAsia="Times New Roman"/>
                <w:sz w:val="20"/>
                <w:szCs w:val="20"/>
              </w:rPr>
            </w:pPr>
          </w:p>
        </w:tc>
        <w:tc>
          <w:tcPr>
            <w:tcW w:w="10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7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180"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2,973,13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2,973,13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2,973,13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D/F/</w:t>
            </w:r>
            <w:r>
              <w:rPr>
                <w:sz w:val="13"/>
                <w:szCs w:val="13"/>
              </w:rPr>
              <w:t>N</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Paper &amp; Forest Product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Alpine Acquisition Corp II (48Forty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10,088,99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9,878,54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9,676,35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Alpine Acquisition Corp II (48Forty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469,02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451,24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441,62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10,329,79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10,117,97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Professional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DTI Holdco, Inc. (Epiq Systems,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4/26/203</w:t>
            </w:r>
            <w:r>
              <w:rPr>
                <w:sz w:val="13"/>
                <w:szCs w:val="13"/>
              </w:rPr>
              <w:t>0</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5,007,46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4,911,25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4,556,79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GI Consilio Parent,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4,958,95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4,705,00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11,060,02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10,868,41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10,866,47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51,41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ICIMS,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18,07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18,43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9,892,49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9,748,98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9,753,99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5,300,00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5,228,41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5,225,80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RigUp,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4.</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496,01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492,50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3,830,36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3,556,64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3,629,27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980,45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910,39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928,98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VT TopCo, Inc. (Veritext</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8/4/202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1,058,95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1,023,40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41,719,96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41,112,38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Real Estate Management &amp; Developmen</w:t>
            </w:r>
            <w:r>
              <w:rPr>
                <w:b/>
                <w:bCs/>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Greystone Affordable Housing Initiatives,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1,844,26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Greystone Select Company II, LLC (Passco</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4,661,33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4,573,79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4,572,76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Greystone Select Company II, LLC (Passco</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127,92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6,454,54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6,289,10</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Road &amp; Rai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Motive Technologies, Inc. (fka Keep Truckin,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14,833,18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14,910,00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Semiconductors &amp; Semiconductor Equipmen</w:t>
            </w:r>
            <w:r>
              <w:rPr>
                <w:b/>
                <w:bCs/>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Emerald Technologies (U.S.) AcquisitionCo, In</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12/29/202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1,911,13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1,875,91</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1,818,76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Emerald Technologies (U.S.) AcquisitionCo, In</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12/29/202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81,03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53,75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1,794,87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1,765,01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Aerospike,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12/29/202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2,416,86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2,397,06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2,388,10</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AlphaSense,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8,673,01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8,590,18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8,591,49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4,400,43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4,337,16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4,286,02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102,38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97,69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94,39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4,981,44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4,869,77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4,921,66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519,07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504,52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511,18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Bluefin Holding, LLC (BlackMountain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4,760,11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4,761,44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2,833,33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2,796,79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2,781,20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8,38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169,46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165,96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164,35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Elastic Path Software Inc.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1,893,75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1,878,19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1,873,30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Fusion Risk Management,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8/30/202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358,69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350,70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349,37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Fusion Risk Management,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8/30/202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93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 Orange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3.7</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1,539,38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1,524,30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1,519,68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 Orange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3.7</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13,84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19,70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2.5</w:t>
            </w:r>
            <w:r>
              <w:rPr>
                <w:sz w:val="13"/>
                <w:szCs w:val="13"/>
              </w:rPr>
              <w:t>8</w:t>
            </w:r>
            <w:r>
              <w:rPr>
                <w:sz w:val="13"/>
                <w:szCs w:val="13"/>
              </w:rPr>
              <w:t>% Cash +</w:t>
            </w:r>
            <w:r>
              <w:rPr>
                <w:sz w:val="13"/>
                <w:szCs w:val="13"/>
              </w:rPr>
              <w:t xml:space="preserve"> </w:t>
            </w:r>
            <w:r>
              <w:rPr>
                <w:sz w:val="13"/>
                <w:szCs w:val="13"/>
              </w:rPr>
              <w:t>4.3</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1,937,66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1,900,66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1,900,26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2.5</w:t>
            </w:r>
            <w:r>
              <w:rPr>
                <w:sz w:val="13"/>
                <w:szCs w:val="13"/>
              </w:rPr>
              <w:t>8</w:t>
            </w:r>
            <w:r>
              <w:rPr>
                <w:sz w:val="13"/>
                <w:szCs w:val="13"/>
              </w:rPr>
              <w:t>% Cash +</w:t>
            </w:r>
            <w:r>
              <w:rPr>
                <w:sz w:val="13"/>
                <w:szCs w:val="13"/>
              </w:rPr>
              <w:t xml:space="preserve"> </w:t>
            </w:r>
            <w:r>
              <w:rPr>
                <w:sz w:val="13"/>
                <w:szCs w:val="13"/>
              </w:rPr>
              <w:t>4.3</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14,65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29,16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N</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0</w:t>
      </w:r>
    </w:p>
    <w:p w:rsidR="00000000" w:rsidRDefault="003D51DE">
      <w:pPr>
        <w:rPr>
          <w:rFonts w:eastAsia="Times New Roman"/>
        </w:rPr>
      </w:pPr>
      <w:r>
        <w:rPr>
          <w:rFonts w:eastAsia="Times New Roman"/>
        </w:rPr>
        <w:pict>
          <v:rect id="_x0000_i1034"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40" w:afterAutospacing="0"/>
        <w:jc w:val="center"/>
        <w:rPr>
          <w:sz w:val="20"/>
          <w:szCs w:val="20"/>
        </w:rPr>
      </w:pPr>
      <w:r>
        <w:rPr>
          <w:b/>
          <w:bCs/>
          <w:sz w:val="19"/>
          <w:szCs w:val="19"/>
        </w:rPr>
        <w:t>(Unaudited</w:t>
      </w:r>
      <w:r>
        <w:rPr>
          <w:b/>
          <w:bCs/>
          <w:sz w:val="19"/>
          <w:szCs w:val="19"/>
        </w:rPr>
        <w:t>)</w:t>
      </w:r>
      <w:r>
        <w:rPr>
          <w:b/>
          <w:b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6"/>
        <w:gridCol w:w="93"/>
        <w:gridCol w:w="689"/>
        <w:gridCol w:w="93"/>
        <w:gridCol w:w="653"/>
        <w:gridCol w:w="93"/>
        <w:gridCol w:w="93"/>
        <w:gridCol w:w="288"/>
        <w:gridCol w:w="169"/>
        <w:gridCol w:w="93"/>
        <w:gridCol w:w="94"/>
        <w:gridCol w:w="372"/>
        <w:gridCol w:w="169"/>
        <w:gridCol w:w="93"/>
        <w:gridCol w:w="115"/>
        <w:gridCol w:w="386"/>
        <w:gridCol w:w="169"/>
        <w:gridCol w:w="93"/>
        <w:gridCol w:w="653"/>
        <w:gridCol w:w="93"/>
        <w:gridCol w:w="125"/>
        <w:gridCol w:w="645"/>
        <w:gridCol w:w="93"/>
        <w:gridCol w:w="93"/>
        <w:gridCol w:w="125"/>
        <w:gridCol w:w="710"/>
        <w:gridCol w:w="104"/>
        <w:gridCol w:w="93"/>
        <w:gridCol w:w="125"/>
        <w:gridCol w:w="710"/>
        <w:gridCol w:w="104"/>
        <w:gridCol w:w="93"/>
        <w:gridCol w:w="516"/>
      </w:tblGrid>
      <w:tr w:rsidR="00000000">
        <w:trPr>
          <w:tblCellSpacing w:w="15" w:type="dxa"/>
        </w:trPr>
        <w:tc>
          <w:tcPr>
            <w:tcW w:w="803"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65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10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90"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 Continue</w:t>
            </w:r>
            <w:r>
              <w:rPr>
                <w:b/>
                <w:bCs/>
                <w:sz w:val="13"/>
                <w:szCs w:val="13"/>
                <w:u w:val="single"/>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GTY Technology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6,76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1,537,51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1,510,25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1,505,38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1,97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5,57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2,78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JOBVITE, Inc. (Employ,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7,017,05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6,845,95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6,847,94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7,444,18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7,334,51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7,354,85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3,28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5,46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Kaseya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6/25/202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6,56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5,46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Nvest, Inc. (SigFig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9/15/202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2,349,46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2,314,51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2,313,51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Oversight Systems,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9/24/202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1,547,22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1,521,89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1,497,09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Eiger BidCo Ltd. (Beqom) (Switzerland</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3.0</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5,557,87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5,450,60</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5,449,50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Eiger BidCo Ltd. (Beqom) (Switzerland</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11,00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11,47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4.5</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3,770,75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3,711,72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3,729,27</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4.5</w:t>
            </w:r>
            <w:r>
              <w:rPr>
                <w:sz w:val="13"/>
                <w:szCs w:val="13"/>
              </w:rPr>
              <w:t>0</w:t>
            </w:r>
            <w:r>
              <w:rPr>
                <w:sz w:val="13"/>
                <w:szCs w:val="13"/>
              </w:rPr>
              <w:t>% Cash +</w:t>
            </w:r>
            <w:r>
              <w:rPr>
                <w:sz w:val="13"/>
                <w:szCs w:val="13"/>
              </w:rPr>
              <w:t xml:space="preserve"> </w:t>
            </w:r>
            <w:r>
              <w:rPr>
                <w:sz w:val="13"/>
                <w:szCs w:val="13"/>
              </w:rPr>
              <w:t>3.0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6,15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4,50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D/H/J/</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4,628,41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4,544,24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4,563,61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5,39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4,61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Syntellis Parent, LLC (Axiom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7,671,40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7,517,99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7,487,29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2.0</w:t>
            </w:r>
            <w:r>
              <w:rPr>
                <w:sz w:val="13"/>
                <w:szCs w:val="13"/>
              </w:rPr>
              <w:t>0</w:t>
            </w:r>
            <w:r>
              <w:rPr>
                <w:sz w:val="13"/>
                <w:szCs w:val="13"/>
              </w:rPr>
              <w:t>% Cash +</w:t>
            </w:r>
            <w:r>
              <w:rPr>
                <w:sz w:val="13"/>
                <w:szCs w:val="13"/>
              </w:rPr>
              <w:t xml:space="preserve"> </w:t>
            </w:r>
            <w:r>
              <w:rPr>
                <w:sz w:val="13"/>
                <w:szCs w:val="13"/>
              </w:rPr>
              <w:t>4.5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1,532,80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1,506,14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1,468,42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2.0</w:t>
            </w:r>
            <w:r>
              <w:rPr>
                <w:sz w:val="13"/>
                <w:szCs w:val="13"/>
              </w:rPr>
              <w:t>0</w:t>
            </w:r>
            <w:r>
              <w:rPr>
                <w:sz w:val="13"/>
                <w:szCs w:val="13"/>
              </w:rPr>
              <w:t>% Cash +</w:t>
            </w:r>
            <w:r>
              <w:rPr>
                <w:sz w:val="13"/>
                <w:szCs w:val="13"/>
              </w:rPr>
              <w:t xml:space="preserve"> </w:t>
            </w:r>
            <w:r>
              <w:rPr>
                <w:sz w:val="13"/>
                <w:szCs w:val="13"/>
              </w:rPr>
              <w:t>4.5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2,75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15,55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2,58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6,22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76,359,94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76,244,48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Specialty Retai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2/12/202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3,730,08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3,419,42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3,338,42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Sr Secured Note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2/19/202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982,81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896,00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Hanna Andersson,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7,194,03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7,080,10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7,042,95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11,482,33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11,277,38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Technology Hardware, Storage &amp; Peripheral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SumUp Holdings Luxembourg S.A.R.L.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10,842,85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10,661,34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10,495,88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Textiles, Apparel &amp; Luxury Good</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9,862,34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9,730,66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9,920,53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SOFR(Q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19,33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9,711,32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9,920,53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3,539,34</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3,477,99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3,427,50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8,28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37,28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3,469,70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3,390,22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Wireless Telecommunication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OpenMarket, Inc. (Infobip)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4,950,00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4,847,26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4,822,78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Debt Investments -</w:t>
            </w:r>
            <w:r>
              <w:rPr>
                <w:b/>
                <w:bCs/>
                <w:sz w:val="13"/>
                <w:szCs w:val="13"/>
              </w:rPr>
              <w:t xml:space="preserve"> </w:t>
            </w:r>
            <w:r>
              <w:rPr>
                <w:b/>
                <w:bCs/>
                <w:sz w:val="13"/>
                <w:szCs w:val="13"/>
              </w:rPr>
              <w:t>169.</w:t>
            </w:r>
            <w:r>
              <w:rPr>
                <w:b/>
                <w:bCs/>
                <w:sz w:val="13"/>
                <w:szCs w:val="13"/>
              </w:rPr>
              <w:t>4</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589,632,40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562,413,95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1</w:t>
      </w:r>
    </w:p>
    <w:p w:rsidR="00000000" w:rsidRDefault="003D51DE">
      <w:pPr>
        <w:rPr>
          <w:rFonts w:eastAsia="Times New Roman"/>
        </w:rPr>
      </w:pPr>
      <w:r>
        <w:rPr>
          <w:rFonts w:eastAsia="Times New Roman"/>
        </w:rPr>
        <w:pict>
          <v:rect id="_x0000_i1035"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9"/>
        <w:gridCol w:w="93"/>
        <w:gridCol w:w="903"/>
        <w:gridCol w:w="94"/>
        <w:gridCol w:w="344"/>
        <w:gridCol w:w="94"/>
        <w:gridCol w:w="154"/>
        <w:gridCol w:w="93"/>
        <w:gridCol w:w="384"/>
        <w:gridCol w:w="93"/>
        <w:gridCol w:w="96"/>
        <w:gridCol w:w="405"/>
        <w:gridCol w:w="169"/>
        <w:gridCol w:w="93"/>
        <w:gridCol w:w="660"/>
        <w:gridCol w:w="93"/>
        <w:gridCol w:w="93"/>
        <w:gridCol w:w="580"/>
        <w:gridCol w:w="93"/>
        <w:gridCol w:w="93"/>
        <w:gridCol w:w="125"/>
        <w:gridCol w:w="710"/>
        <w:gridCol w:w="93"/>
        <w:gridCol w:w="93"/>
        <w:gridCol w:w="125"/>
        <w:gridCol w:w="710"/>
        <w:gridCol w:w="93"/>
        <w:gridCol w:w="93"/>
        <w:gridCol w:w="458"/>
      </w:tblGrid>
      <w:tr w:rsidR="00000000">
        <w:trPr>
          <w:tblCellSpacing w:w="15" w:type="dxa"/>
        </w:trPr>
        <w:tc>
          <w:tcPr>
            <w:tcW w:w="850" w:type="pct"/>
            <w:vAlign w:val="center"/>
            <w:hideMark/>
          </w:tcPr>
          <w:p w:rsidR="00000000" w:rsidRDefault="003D51DE">
            <w:pPr>
              <w:rPr>
                <w:sz w:val="20"/>
                <w:szCs w:val="20"/>
              </w:rPr>
            </w:pPr>
          </w:p>
        </w:tc>
        <w:tc>
          <w:tcPr>
            <w:tcW w:w="49" w:type="pct"/>
            <w:vAlign w:val="center"/>
            <w:hideMark/>
          </w:tcPr>
          <w:p w:rsidR="00000000" w:rsidRDefault="003D51DE">
            <w:pPr>
              <w:rPr>
                <w:rFonts w:eastAsia="Times New Roman"/>
                <w:sz w:val="20"/>
                <w:szCs w:val="20"/>
              </w:rPr>
            </w:pPr>
          </w:p>
        </w:tc>
        <w:tc>
          <w:tcPr>
            <w:tcW w:w="70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323"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170"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363"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259"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292"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Expiratio</w:t>
            </w:r>
            <w:r>
              <w:rPr>
                <w:b/>
                <w:bCs/>
                <w:sz w:val="13"/>
                <w:szCs w:val="13"/>
              </w:rPr>
              <w:t>n</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Equity Securitie</w:t>
            </w:r>
            <w:r>
              <w:rPr>
                <w:b/>
                <w:bCs/>
                <w:sz w:val="13"/>
                <w:szCs w:val="13"/>
                <w:u w:val="single"/>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Marsico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91,44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1,848,07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Warrants to Purchase Membership Unit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2/7/203</w:t>
            </w:r>
            <w:r>
              <w:rPr>
                <w:sz w:val="13"/>
                <w:szCs w:val="13"/>
              </w:rPr>
              <w:t>0</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14,80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1,862,88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Chemical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A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4,195,60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B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2,936,92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C 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2,307,58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Elevate Brands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4"/>
            <w:hideMark/>
          </w:tcPr>
          <w:p w:rsidR="00000000" w:rsidRDefault="003D51DE">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3/14/203</w:t>
            </w:r>
            <w:r>
              <w:rPr>
                <w:sz w:val="13"/>
                <w:szCs w:val="13"/>
              </w:rPr>
              <w:t>2</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66,42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60,46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Elevate Brands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4"/>
            <w:hideMark/>
          </w:tcPr>
          <w:p w:rsidR="00000000" w:rsidRDefault="003D51DE">
            <w:pPr>
              <w:pStyle w:val="a3"/>
              <w:spacing w:before="0" w:beforeAutospacing="0" w:after="0" w:afterAutospacing="0"/>
              <w:rPr>
                <w:sz w:val="13"/>
                <w:szCs w:val="13"/>
              </w:rPr>
            </w:pPr>
            <w:r>
              <w:rPr>
                <w:sz w:val="13"/>
                <w:szCs w:val="13"/>
              </w:rPr>
              <w:t>Warrants to Purchase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3/14/203</w:t>
            </w:r>
            <w:r>
              <w:rPr>
                <w:sz w:val="13"/>
                <w:szCs w:val="13"/>
              </w:rPr>
              <w:t>2</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33,21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41,74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MXP Prime Platform GmbH (SellerX)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3"/>
            <w:hideMark/>
          </w:tcPr>
          <w:p w:rsidR="00000000" w:rsidRDefault="003D51DE">
            <w:pPr>
              <w:pStyle w:val="a3"/>
              <w:spacing w:before="0" w:beforeAutospacing="0" w:after="0" w:afterAutospacing="0"/>
              <w:rPr>
                <w:sz w:val="13"/>
                <w:szCs w:val="13"/>
              </w:rPr>
            </w:pPr>
            <w:r>
              <w:rPr>
                <w:sz w:val="13"/>
                <w:szCs w:val="13"/>
              </w:rPr>
              <w:t>Warrants to Purchase Preferred Series B Share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85,59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PerchHQ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4"/>
            <w:hideMark/>
          </w:tcPr>
          <w:p w:rsidR="00000000" w:rsidRDefault="003D51DE">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45,28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311,89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C/I/</w:t>
            </w:r>
            <w:r>
              <w:rPr>
                <w:sz w:val="13"/>
                <w:szCs w:val="13"/>
              </w:rPr>
              <w:t>L</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4"/>
            <w:hideMark/>
          </w:tcPr>
          <w:p w:rsidR="00000000" w:rsidRDefault="003D51DE">
            <w:pPr>
              <w:pStyle w:val="a3"/>
              <w:spacing w:before="0" w:beforeAutospacing="0" w:after="0" w:afterAutospacing="0"/>
              <w:rPr>
                <w:sz w:val="13"/>
                <w:szCs w:val="13"/>
              </w:rPr>
            </w:pPr>
            <w:r>
              <w:rPr>
                <w:sz w:val="13"/>
                <w:szCs w:val="13"/>
              </w:rPr>
              <w:t>Warrants to Purchase Preferred Series A1 Share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1,808,57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2,308,27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10,611,54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G</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34,28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36,624,68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C/G/</w:t>
            </w:r>
            <w:r>
              <w:rPr>
                <w:sz w:val="13"/>
                <w:szCs w:val="13"/>
              </w:rPr>
              <w:t>R</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3"/>
            <w:hideMark/>
          </w:tcPr>
          <w:p w:rsidR="00000000" w:rsidRDefault="003D51DE">
            <w:pPr>
              <w:pStyle w:val="a3"/>
              <w:spacing w:before="0" w:beforeAutospacing="0" w:after="0" w:afterAutospacing="0"/>
              <w:rPr>
                <w:sz w:val="13"/>
                <w:szCs w:val="13"/>
              </w:rPr>
            </w:pPr>
            <w:r>
              <w:rPr>
                <w:sz w:val="13"/>
                <w:szCs w:val="13"/>
              </w:rPr>
              <w:t>Warrants to Purchase Series 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2/11/203</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203,42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3"/>
            <w:hideMark/>
          </w:tcPr>
          <w:p w:rsidR="00000000" w:rsidRDefault="003D51DE">
            <w:pPr>
              <w:pStyle w:val="a3"/>
              <w:spacing w:before="0" w:beforeAutospacing="0" w:after="0" w:afterAutospacing="0"/>
              <w:rPr>
                <w:sz w:val="13"/>
                <w:szCs w:val="13"/>
              </w:rPr>
            </w:pPr>
            <w:r>
              <w:rPr>
                <w:sz w:val="13"/>
                <w:szCs w:val="13"/>
              </w:rPr>
              <w:t>Warrants to Purchase Series E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8/27/203</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47,236,23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209,11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Household Durable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Stitch Holdings, 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5,909,91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5,023,50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Warrants to Purchase Series C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1/30/202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100,54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225,30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MBS Parent,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627,22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M</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Kemmerer Holdings, LLC (WMLP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5"/>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753,85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1,330,06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K</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 xml:space="preserve">Oil, Gas &amp; </w:t>
            </w:r>
            <w:r>
              <w:rPr>
                <w:b/>
                <w:bCs/>
                <w:sz w:val="13"/>
                <w:szCs w:val="13"/>
              </w:rPr>
              <w:t>Consumable Fuel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TER Management Resources, LLC (fka ETX Energy Management Company, LLC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53,81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Trailblazer Energy Resources, LLC (fka ETX Energy, LLC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51,11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L</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 Orange International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4"/>
            <w:hideMark/>
          </w:tcPr>
          <w:p w:rsidR="00000000" w:rsidRDefault="003D51DE">
            <w:pPr>
              <w:pStyle w:val="a3"/>
              <w:spacing w:before="0" w:beforeAutospacing="0" w:after="0" w:afterAutospacing="0"/>
              <w:rPr>
                <w:sz w:val="13"/>
                <w:szCs w:val="13"/>
              </w:rPr>
            </w:pPr>
            <w:r>
              <w:rPr>
                <w:sz w:val="13"/>
                <w:szCs w:val="13"/>
              </w:rPr>
              <w:t>Warrants to Purchase 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5/6/203</w:t>
            </w:r>
            <w:r>
              <w:rPr>
                <w:sz w:val="13"/>
                <w:szCs w:val="13"/>
              </w:rPr>
              <w:t>2</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81,89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 xml:space="preserve">Trading Companies &amp; </w:t>
            </w:r>
            <w:r>
              <w:rPr>
                <w:b/>
                <w:bCs/>
                <w:sz w:val="13"/>
                <w:szCs w:val="13"/>
              </w:rPr>
              <w:t>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Holdco,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12.5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2,679,21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2,391,24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Equity Securities -</w:t>
            </w:r>
            <w:r>
              <w:rPr>
                <w:b/>
                <w:bCs/>
                <w:sz w:val="13"/>
                <w:szCs w:val="13"/>
              </w:rPr>
              <w:t xml:space="preserve"> </w:t>
            </w:r>
            <w:r>
              <w:rPr>
                <w:b/>
                <w:bCs/>
                <w:sz w:val="13"/>
                <w:szCs w:val="13"/>
              </w:rPr>
              <w:t>3.</w:t>
            </w:r>
            <w:r>
              <w:rPr>
                <w:b/>
                <w:bCs/>
                <w:sz w:val="13"/>
                <w:szCs w:val="13"/>
              </w:rPr>
              <w:t>7</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59,682,23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12,167,18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Investments -</w:t>
            </w:r>
            <w:r>
              <w:rPr>
                <w:b/>
                <w:bCs/>
                <w:sz w:val="13"/>
                <w:szCs w:val="13"/>
              </w:rPr>
              <w:t xml:space="preserve"> </w:t>
            </w:r>
            <w:r>
              <w:rPr>
                <w:b/>
                <w:bCs/>
                <w:sz w:val="13"/>
                <w:szCs w:val="13"/>
              </w:rPr>
              <w:t>173.</w:t>
            </w:r>
            <w:r>
              <w:rPr>
                <w:b/>
                <w:bCs/>
                <w:sz w:val="13"/>
                <w:szCs w:val="13"/>
              </w:rPr>
              <w:t>1</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649,314,63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574,581,13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Cash and Cash Equivalents -</w:t>
            </w:r>
            <w:r>
              <w:rPr>
                <w:b/>
                <w:bCs/>
                <w:sz w:val="13"/>
                <w:szCs w:val="13"/>
              </w:rPr>
              <w:t xml:space="preserve"> </w:t>
            </w:r>
            <w:r>
              <w:rPr>
                <w:b/>
                <w:bCs/>
                <w:sz w:val="13"/>
                <w:szCs w:val="13"/>
              </w:rPr>
              <w:t>9.</w:t>
            </w:r>
            <w:r>
              <w:rPr>
                <w:b/>
                <w:bCs/>
                <w:sz w:val="13"/>
                <w:szCs w:val="13"/>
              </w:rPr>
              <w:t>0</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29,859,86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Cash and Investments -</w:t>
            </w:r>
            <w:r>
              <w:rPr>
                <w:b/>
                <w:bCs/>
                <w:sz w:val="13"/>
                <w:szCs w:val="13"/>
              </w:rPr>
              <w:t xml:space="preserve"> </w:t>
            </w:r>
            <w:r>
              <w:rPr>
                <w:b/>
                <w:bCs/>
                <w:sz w:val="13"/>
                <w:szCs w:val="13"/>
              </w:rPr>
              <w:t>182.</w:t>
            </w:r>
            <w:r>
              <w:rPr>
                <w:b/>
                <w:bCs/>
                <w:sz w:val="13"/>
                <w:szCs w:val="13"/>
              </w:rPr>
              <w:t>1</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604,441,00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24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6"/>
        <w:gridCol w:w="113"/>
        <w:gridCol w:w="853"/>
        <w:gridCol w:w="113"/>
        <w:gridCol w:w="853"/>
        <w:gridCol w:w="159"/>
        <w:gridCol w:w="854"/>
        <w:gridCol w:w="114"/>
        <w:gridCol w:w="854"/>
        <w:gridCol w:w="114"/>
        <w:gridCol w:w="840"/>
        <w:gridCol w:w="105"/>
        <w:gridCol w:w="125"/>
        <w:gridCol w:w="645"/>
        <w:gridCol w:w="105"/>
        <w:gridCol w:w="105"/>
        <w:gridCol w:w="125"/>
        <w:gridCol w:w="703"/>
        <w:gridCol w:w="120"/>
      </w:tblGrid>
      <w:tr w:rsidR="00000000">
        <w:trPr>
          <w:tblCellSpacing w:w="15" w:type="dxa"/>
        </w:trPr>
        <w:tc>
          <w:tcPr>
            <w:tcW w:w="884" w:type="pct"/>
            <w:vAlign w:val="center"/>
            <w:hideMark/>
          </w:tcPr>
          <w:p w:rsidR="00000000" w:rsidRDefault="003D51DE">
            <w:pPr>
              <w:rPr>
                <w:sz w:val="20"/>
                <w:szCs w:val="20"/>
              </w:rPr>
            </w:pPr>
          </w:p>
        </w:tc>
        <w:tc>
          <w:tcPr>
            <w:tcW w:w="56" w:type="pct"/>
            <w:vAlign w:val="center"/>
            <w:hideMark/>
          </w:tcPr>
          <w:p w:rsidR="00000000" w:rsidRDefault="003D51DE">
            <w:pPr>
              <w:rPr>
                <w:rFonts w:eastAsia="Times New Roman"/>
                <w:sz w:val="20"/>
                <w:szCs w:val="20"/>
              </w:rPr>
            </w:pPr>
          </w:p>
        </w:tc>
        <w:tc>
          <w:tcPr>
            <w:tcW w:w="535"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535" w:type="pct"/>
            <w:vAlign w:val="center"/>
            <w:hideMark/>
          </w:tcPr>
          <w:p w:rsidR="00000000" w:rsidRDefault="003D51DE">
            <w:pPr>
              <w:rPr>
                <w:rFonts w:eastAsia="Times New Roman"/>
                <w:sz w:val="20"/>
                <w:szCs w:val="20"/>
              </w:rPr>
            </w:pPr>
          </w:p>
        </w:tc>
        <w:tc>
          <w:tcPr>
            <w:tcW w:w="85" w:type="pct"/>
            <w:vAlign w:val="center"/>
            <w:hideMark/>
          </w:tcPr>
          <w:p w:rsidR="00000000" w:rsidRDefault="003D51DE">
            <w:pPr>
              <w:rPr>
                <w:rFonts w:eastAsia="Times New Roman"/>
                <w:sz w:val="20"/>
                <w:szCs w:val="20"/>
              </w:rPr>
            </w:pPr>
          </w:p>
        </w:tc>
        <w:tc>
          <w:tcPr>
            <w:tcW w:w="535"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535"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52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3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16"/>
            <w:vAlign w:val="bottom"/>
            <w:hideMark/>
          </w:tcPr>
          <w:p w:rsidR="00000000" w:rsidRDefault="003D51DE">
            <w:pPr>
              <w:pStyle w:val="a3"/>
              <w:spacing w:before="0" w:beforeAutospacing="0" w:after="0" w:afterAutospacing="0"/>
              <w:jc w:val="center"/>
              <w:rPr>
                <w:sz w:val="13"/>
                <w:szCs w:val="13"/>
              </w:rPr>
            </w:pPr>
            <w:r>
              <w:rPr>
                <w:b/>
                <w:bCs/>
                <w:sz w:val="13"/>
                <w:szCs w:val="13"/>
              </w:rPr>
              <w:t>Interest Rate Swap as of September 30, 2022(V</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Company Receives Fixe</w:t>
            </w:r>
            <w:r>
              <w:rPr>
                <w:b/>
                <w:bCs/>
                <w:sz w:val="13"/>
                <w:szCs w:val="13"/>
              </w:rPr>
              <w:t>d</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Company Pays Floatin</w:t>
            </w:r>
            <w:r>
              <w:rPr>
                <w:b/>
                <w:bCs/>
                <w:sz w:val="13"/>
                <w:szCs w:val="13"/>
              </w:rPr>
              <w:t>g</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Counterpart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Maturity Dat</w:t>
            </w:r>
            <w:r>
              <w:rPr>
                <w:b/>
                <w:bCs/>
                <w:sz w:val="13"/>
                <w:szCs w:val="13"/>
              </w:rPr>
              <w:t>e</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Payment Frequenc</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Notional Amoun</w:t>
            </w:r>
            <w:r>
              <w:rPr>
                <w:b/>
                <w:bCs/>
                <w:sz w:val="13"/>
                <w:szCs w:val="13"/>
              </w:rPr>
              <w:t>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 Valu</w:t>
            </w:r>
            <w:r>
              <w:rPr>
                <w:b/>
                <w:bCs/>
                <w:sz w:val="13"/>
                <w:szCs w:val="13"/>
              </w:rPr>
              <w:t>e</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sz w:val="13"/>
                <w:szCs w:val="13"/>
              </w:rPr>
              <w:t>Interest Rate Swa</w:t>
            </w:r>
            <w:r>
              <w:rPr>
                <w:sz w:val="13"/>
                <w:szCs w:val="13"/>
              </w:rPr>
              <w:t>p</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13"/>
                <w:szCs w:val="13"/>
              </w:rPr>
              <w:t>2.63</w:t>
            </w:r>
            <w:r>
              <w:rPr>
                <w:sz w:val="13"/>
                <w:szCs w:val="13"/>
              </w:rPr>
              <w:t>3</w:t>
            </w:r>
            <w:r>
              <w:rPr>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13"/>
                <w:szCs w:val="13"/>
              </w:rPr>
              <w:t>1 Day SOF</w:t>
            </w:r>
            <w:r>
              <w:rPr>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13"/>
                <w:szCs w:val="13"/>
              </w:rPr>
              <w:t>CM</w:t>
            </w:r>
            <w:r>
              <w:rPr>
                <w:sz w:val="13"/>
                <w:szCs w:val="13"/>
              </w:rPr>
              <w:t>E</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13"/>
                <w:szCs w:val="13"/>
              </w:rPr>
              <w:t>6/9/202</w:t>
            </w:r>
            <w:r>
              <w:rPr>
                <w:sz w:val="13"/>
                <w:szCs w:val="13"/>
              </w:rPr>
              <w:t>5</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13"/>
                <w:szCs w:val="13"/>
              </w:rPr>
              <w:t>Annua</w:t>
            </w:r>
            <w:r>
              <w:rPr>
                <w:sz w:val="13"/>
                <w:szCs w:val="13"/>
              </w:rPr>
              <w:t>l</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noWrap/>
            <w:vAlign w:val="bottom"/>
            <w:hideMark/>
          </w:tcPr>
          <w:p w:rsidR="00000000" w:rsidRDefault="003D51DE">
            <w:pPr>
              <w:pStyle w:val="a3"/>
              <w:spacing w:before="0" w:beforeAutospacing="0" w:after="0" w:afterAutospacing="0"/>
              <w:rPr>
                <w:sz w:val="13"/>
                <w:szCs w:val="13"/>
              </w:rPr>
            </w:pPr>
            <w:r>
              <w:rPr>
                <w:sz w:val="13"/>
                <w:szCs w:val="13"/>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3"/>
                <w:szCs w:val="13"/>
              </w:rPr>
              <w:t>35,000,00</w:t>
            </w:r>
            <w:r>
              <w:rPr>
                <w:sz w:val="13"/>
                <w:szCs w:val="13"/>
              </w:rPr>
              <w:t>0</w:t>
            </w:r>
          </w:p>
        </w:tc>
        <w:tc>
          <w:tcPr>
            <w:tcW w:w="0" w:type="auto"/>
            <w:noWrap/>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noWrap/>
            <w:vAlign w:val="bottom"/>
            <w:hideMark/>
          </w:tcPr>
          <w:p w:rsidR="00000000" w:rsidRDefault="003D51DE">
            <w:pPr>
              <w:pStyle w:val="a3"/>
              <w:spacing w:before="0" w:beforeAutospacing="0" w:after="0" w:afterAutospacing="0"/>
              <w:rPr>
                <w:sz w:val="13"/>
                <w:szCs w:val="13"/>
              </w:rPr>
            </w:pPr>
            <w:r>
              <w:rPr>
                <w:sz w:val="13"/>
                <w:szCs w:val="13"/>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1,214,65</w:t>
            </w:r>
            <w:r>
              <w:rPr>
                <w:sz w:val="13"/>
                <w:szCs w:val="13"/>
              </w:rPr>
              <w:t>8</w:t>
            </w:r>
          </w:p>
        </w:tc>
        <w:tc>
          <w:tcPr>
            <w:tcW w:w="0" w:type="auto"/>
            <w:noWrap/>
            <w:vAlign w:val="bottom"/>
            <w:hideMark/>
          </w:tcPr>
          <w:p w:rsidR="00000000" w:rsidRDefault="003D51DE">
            <w:pPr>
              <w:pStyle w:val="a3"/>
              <w:spacing w:before="0" w:beforeAutospacing="0" w:after="0" w:afterAutospacing="0"/>
              <w:rPr>
                <w:sz w:val="13"/>
                <w:szCs w:val="13"/>
              </w:rPr>
            </w:pPr>
            <w:r>
              <w:rPr>
                <w:sz w:val="13"/>
                <w:szCs w:val="13"/>
              </w:rPr>
              <w:t>)</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2</w:t>
      </w:r>
    </w:p>
    <w:p w:rsidR="00000000" w:rsidRDefault="003D51DE">
      <w:pPr>
        <w:rPr>
          <w:rFonts w:eastAsia="Times New Roman"/>
        </w:rPr>
      </w:pPr>
      <w:r>
        <w:rPr>
          <w:rFonts w:eastAsia="Times New Roman"/>
        </w:rPr>
        <w:pict>
          <v:rect id="_x0000_i103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0" w:afterAutospacing="0"/>
        <w:jc w:val="center"/>
        <w:rPr>
          <w:sz w:val="20"/>
          <w:szCs w:val="20"/>
        </w:rPr>
      </w:pPr>
      <w:r>
        <w:rPr>
          <w:b/>
          <w:bCs/>
          <w:sz w:val="19"/>
          <w:szCs w:val="19"/>
        </w:rPr>
        <w:t>(Unaudited</w:t>
      </w:r>
      <w:r>
        <w:rPr>
          <w:b/>
          <w:bCs/>
          <w:sz w:val="19"/>
          <w:szCs w:val="19"/>
        </w:rPr>
        <w:t>)</w:t>
      </w:r>
    </w:p>
    <w:p w:rsidR="00000000" w:rsidRDefault="003D51DE">
      <w:pPr>
        <w:pStyle w:val="a3"/>
        <w:spacing w:before="240" w:beforeAutospacing="0" w:after="0" w:afterAutospacing="0"/>
        <w:jc w:val="both"/>
        <w:rPr>
          <w:sz w:val="20"/>
          <w:szCs w:val="20"/>
        </w:rPr>
      </w:pPr>
      <w:r>
        <w:rPr>
          <w:i/>
          <w:iCs/>
          <w:sz w:val="16"/>
          <w:szCs w:val="16"/>
        </w:rPr>
        <w:t>Notes to Consolidated Schedules of Investments</w:t>
      </w:r>
      <w:r>
        <w:rPr>
          <w:i/>
          <w:iCs/>
          <w:sz w:val="16"/>
          <w:szCs w:val="16"/>
        </w:rPr>
        <w:t>:</w:t>
      </w:r>
    </w:p>
    <w:p w:rsidR="00000000" w:rsidRDefault="003D51DE">
      <w:pPr>
        <w:jc w:val="both"/>
        <w:divId w:val="445657399"/>
        <w:rPr>
          <w:rFonts w:eastAsia="Times New Roman"/>
        </w:rPr>
      </w:pPr>
      <w:r>
        <w:rPr>
          <w:rFonts w:eastAsia="Times New Roman"/>
          <w:sz w:val="15"/>
          <w:szCs w:val="15"/>
        </w:rPr>
        <w:t>(A</w:t>
      </w:r>
      <w:r>
        <w:rPr>
          <w:rFonts w:eastAsia="Times New Roman"/>
          <w:sz w:val="15"/>
          <w:szCs w:val="15"/>
        </w:rPr>
        <w:t>)</w:t>
      </w:r>
    </w:p>
    <w:p w:rsidR="00000000" w:rsidRDefault="003D51DE">
      <w:pPr>
        <w:jc w:val="both"/>
        <w:divId w:val="1435401499"/>
        <w:rPr>
          <w:rFonts w:eastAsia="Times New Roman"/>
        </w:rPr>
      </w:pPr>
      <w:r>
        <w:rPr>
          <w:rFonts w:eastAsia="Times New Roman"/>
          <w:sz w:val="15"/>
          <w:szCs w:val="15"/>
        </w:rPr>
        <w:t xml:space="preserve">Represents amortized cost for fixed income </w:t>
      </w:r>
      <w:r>
        <w:rPr>
          <w:rFonts w:eastAsia="Times New Roman"/>
          <w:sz w:val="15"/>
          <w:szCs w:val="15"/>
        </w:rPr>
        <w:t>securities and cost for preferred and common stock, limited partnership/limited liability company interests and equity warrants/options.</w:t>
      </w:r>
      <w:r>
        <w:rPr>
          <w:rFonts w:eastAsia="Times New Roman"/>
          <w:sz w:val="15"/>
          <w:szCs w:val="15"/>
        </w:rPr>
        <w:t xml:space="preserve"> </w:t>
      </w:r>
    </w:p>
    <w:p w:rsidR="00000000" w:rsidRDefault="003D51DE">
      <w:pPr>
        <w:jc w:val="both"/>
        <w:divId w:val="1083187435"/>
        <w:rPr>
          <w:rFonts w:eastAsia="Times New Roman"/>
        </w:rPr>
      </w:pPr>
      <w:r>
        <w:rPr>
          <w:rFonts w:eastAsia="Times New Roman"/>
          <w:sz w:val="15"/>
          <w:szCs w:val="15"/>
        </w:rPr>
        <w:t>(B</w:t>
      </w:r>
      <w:r>
        <w:rPr>
          <w:rFonts w:eastAsia="Times New Roman"/>
          <w:sz w:val="15"/>
          <w:szCs w:val="15"/>
        </w:rPr>
        <w:t>)</w:t>
      </w:r>
    </w:p>
    <w:p w:rsidR="00000000" w:rsidRDefault="003D51DE">
      <w:pPr>
        <w:jc w:val="both"/>
        <w:divId w:val="588387381"/>
        <w:rPr>
          <w:rFonts w:eastAsia="Times New Roman"/>
        </w:rPr>
      </w:pPr>
      <w:r>
        <w:rPr>
          <w:rFonts w:eastAsia="Times New Roman"/>
          <w:sz w:val="15"/>
          <w:szCs w:val="15"/>
        </w:rPr>
        <w:t>Pursuant to Rule 2a-5 under the 1940 Act, the Company's Board of Directors designated the Advisor as the valuation designee to perform certain fair value functions, including performing fair value determinations. See Note 2 for further details.</w:t>
      </w:r>
      <w:r>
        <w:rPr>
          <w:rFonts w:eastAsia="Times New Roman"/>
          <w:sz w:val="15"/>
          <w:szCs w:val="15"/>
        </w:rPr>
        <w:t xml:space="preserve"> </w:t>
      </w:r>
    </w:p>
    <w:p w:rsidR="00000000" w:rsidRDefault="003D51DE">
      <w:pPr>
        <w:jc w:val="both"/>
        <w:divId w:val="1965189160"/>
        <w:rPr>
          <w:rFonts w:eastAsia="Times New Roman"/>
        </w:rPr>
      </w:pPr>
      <w:r>
        <w:rPr>
          <w:rFonts w:eastAsia="Times New Roman"/>
          <w:sz w:val="15"/>
          <w:szCs w:val="15"/>
        </w:rPr>
        <w:t>(C</w:t>
      </w:r>
      <w:r>
        <w:rPr>
          <w:rFonts w:eastAsia="Times New Roman"/>
          <w:sz w:val="15"/>
          <w:szCs w:val="15"/>
        </w:rPr>
        <w:t>)</w:t>
      </w:r>
    </w:p>
    <w:p w:rsidR="00000000" w:rsidRDefault="003D51DE">
      <w:pPr>
        <w:jc w:val="both"/>
        <w:divId w:val="1449545243"/>
        <w:rPr>
          <w:rFonts w:eastAsia="Times New Roman"/>
        </w:rPr>
      </w:pPr>
      <w:r>
        <w:rPr>
          <w:rFonts w:eastAsia="Times New Roman"/>
          <w:sz w:val="15"/>
          <w:szCs w:val="15"/>
        </w:rPr>
        <w:t>Non-in</w:t>
      </w:r>
      <w:r>
        <w:rPr>
          <w:rFonts w:eastAsia="Times New Roman"/>
          <w:sz w:val="15"/>
          <w:szCs w:val="15"/>
        </w:rPr>
        <w:t>come producing equity securities at</w:t>
      </w:r>
      <w:r>
        <w:rPr>
          <w:rFonts w:eastAsia="Times New Roman"/>
          <w:sz w:val="15"/>
          <w:szCs w:val="15"/>
        </w:rPr>
        <w:t xml:space="preserve"> </w:t>
      </w:r>
      <w:r>
        <w:rPr>
          <w:rFonts w:eastAsia="Times New Roman"/>
          <w:sz w:val="15"/>
          <w:szCs w:val="15"/>
        </w:rPr>
        <w:t>September 30, 202</w:t>
      </w:r>
      <w:r>
        <w:rPr>
          <w:rFonts w:eastAsia="Times New Roman"/>
          <w:sz w:val="15"/>
          <w:szCs w:val="15"/>
        </w:rPr>
        <w:t>2</w:t>
      </w:r>
      <w:r>
        <w:rPr>
          <w:rFonts w:eastAsia="Times New Roman"/>
          <w:sz w:val="15"/>
          <w:szCs w:val="15"/>
        </w:rPr>
        <w:t>.</w:t>
      </w:r>
      <w:r>
        <w:rPr>
          <w:rFonts w:eastAsia="Times New Roman"/>
          <w:sz w:val="15"/>
          <w:szCs w:val="15"/>
        </w:rPr>
        <w:t xml:space="preserve"> </w:t>
      </w:r>
    </w:p>
    <w:p w:rsidR="00000000" w:rsidRDefault="003D51DE">
      <w:pPr>
        <w:jc w:val="both"/>
        <w:divId w:val="1980958158"/>
        <w:rPr>
          <w:rFonts w:eastAsia="Times New Roman"/>
        </w:rPr>
      </w:pPr>
      <w:r>
        <w:rPr>
          <w:rFonts w:eastAsia="Times New Roman"/>
          <w:sz w:val="15"/>
          <w:szCs w:val="15"/>
        </w:rPr>
        <w:t>(D</w:t>
      </w:r>
      <w:r>
        <w:rPr>
          <w:rFonts w:eastAsia="Times New Roman"/>
          <w:sz w:val="15"/>
          <w:szCs w:val="15"/>
        </w:rPr>
        <w:t>)</w:t>
      </w:r>
    </w:p>
    <w:p w:rsidR="00000000" w:rsidRDefault="003D51DE">
      <w:pPr>
        <w:jc w:val="both"/>
        <w:divId w:val="1590918513"/>
        <w:rPr>
          <w:rFonts w:eastAsia="Times New Roman"/>
        </w:rPr>
      </w:pPr>
      <w:r>
        <w:rPr>
          <w:rFonts w:eastAsia="Times New Roman"/>
          <w:sz w:val="15"/>
          <w:szCs w:val="15"/>
        </w:rPr>
        <w:t>Interest may be paid in cash or payment-in-kind (“PIK”), or a combination thereof which is generally at the option of the borrower. PIK earned is included in the cost basis of the security. In ac</w:t>
      </w:r>
      <w:r>
        <w:rPr>
          <w:rFonts w:eastAsia="Times New Roman"/>
          <w:sz w:val="15"/>
          <w:szCs w:val="15"/>
        </w:rPr>
        <w:t>cordance with the Company’s policy, PIK is recorded on an effective interest method.</w:t>
      </w:r>
      <w:r>
        <w:rPr>
          <w:rFonts w:eastAsia="Times New Roman"/>
          <w:sz w:val="15"/>
          <w:szCs w:val="15"/>
        </w:rPr>
        <w:t xml:space="preserve"> </w:t>
      </w:r>
    </w:p>
    <w:p w:rsidR="00000000" w:rsidRDefault="003D51DE">
      <w:pPr>
        <w:jc w:val="both"/>
        <w:divId w:val="1632200294"/>
        <w:rPr>
          <w:rFonts w:eastAsia="Times New Roman"/>
        </w:rPr>
      </w:pPr>
      <w:r>
        <w:rPr>
          <w:rFonts w:eastAsia="Times New Roman"/>
          <w:sz w:val="15"/>
          <w:szCs w:val="15"/>
        </w:rPr>
        <w:t>(E</w:t>
      </w:r>
      <w:r>
        <w:rPr>
          <w:rFonts w:eastAsia="Times New Roman"/>
          <w:sz w:val="15"/>
          <w:szCs w:val="15"/>
        </w:rPr>
        <w:t>)</w:t>
      </w:r>
    </w:p>
    <w:p w:rsidR="00000000" w:rsidRDefault="003D51DE">
      <w:pPr>
        <w:jc w:val="both"/>
        <w:divId w:val="1126310253"/>
        <w:rPr>
          <w:rFonts w:eastAsia="Times New Roman"/>
        </w:rPr>
      </w:pPr>
      <w:r>
        <w:rPr>
          <w:rFonts w:eastAsia="Times New Roman"/>
          <w:sz w:val="15"/>
          <w:szCs w:val="15"/>
        </w:rPr>
        <w:t>Approximately</w:t>
      </w:r>
      <w:r>
        <w:rPr>
          <w:rFonts w:eastAsia="Times New Roman"/>
          <w:sz w:val="15"/>
          <w:szCs w:val="15"/>
        </w:rPr>
        <w:t xml:space="preserve"> </w:t>
      </w:r>
      <w:r>
        <w:rPr>
          <w:rFonts w:eastAsia="Times New Roman"/>
          <w:sz w:val="15"/>
          <w:szCs w:val="15"/>
        </w:rPr>
        <w:t>98.</w:t>
      </w:r>
      <w:r>
        <w:rPr>
          <w:rFonts w:eastAsia="Times New Roman"/>
          <w:sz w:val="15"/>
          <w:szCs w:val="15"/>
        </w:rPr>
        <w:t>9</w:t>
      </w:r>
      <w:r>
        <w:rPr>
          <w:rFonts w:eastAsia="Times New Roman"/>
          <w:sz w:val="15"/>
          <w:szCs w:val="15"/>
        </w:rPr>
        <w:t>% of the fair value of total senior secured loans in the Company’s portfolio bear interest at a floating rate that may be determined by reference to</w:t>
      </w:r>
      <w:r>
        <w:rPr>
          <w:rFonts w:eastAsia="Times New Roman"/>
          <w:sz w:val="15"/>
          <w:szCs w:val="15"/>
        </w:rPr>
        <w:t xml:space="preserve"> the London Interbank Offered Rate (“LIBOR”), “L”, Secured Overnight Financing Rate (“SOFR”), “S”, or other base rate (commonly the Federal Funds Rate or the Prime Rate), “P”, at the borrower’s option. In addition,</w:t>
      </w:r>
      <w:r>
        <w:rPr>
          <w:rFonts w:eastAsia="Times New Roman"/>
          <w:sz w:val="15"/>
          <w:szCs w:val="15"/>
        </w:rPr>
        <w:t xml:space="preserve"> </w:t>
      </w:r>
      <w:r>
        <w:rPr>
          <w:rFonts w:eastAsia="Times New Roman"/>
          <w:sz w:val="15"/>
          <w:szCs w:val="15"/>
        </w:rPr>
        <w:t>92.</w:t>
      </w:r>
      <w:r>
        <w:rPr>
          <w:rFonts w:eastAsia="Times New Roman"/>
          <w:sz w:val="15"/>
          <w:szCs w:val="15"/>
        </w:rPr>
        <w:t>3</w:t>
      </w:r>
      <w:r>
        <w:rPr>
          <w:rFonts w:eastAsia="Times New Roman"/>
          <w:sz w:val="15"/>
          <w:szCs w:val="15"/>
        </w:rPr>
        <w:t>% of the fair value of such senior se</w:t>
      </w:r>
      <w:r>
        <w:rPr>
          <w:rFonts w:eastAsia="Times New Roman"/>
          <w:sz w:val="15"/>
          <w:szCs w:val="15"/>
        </w:rPr>
        <w:t>cured loans have floors of</w:t>
      </w:r>
      <w:r>
        <w:rPr>
          <w:rFonts w:eastAsia="Times New Roman"/>
          <w:sz w:val="15"/>
          <w:szCs w:val="15"/>
        </w:rPr>
        <w:t xml:space="preserve"> </w:t>
      </w:r>
      <w:r>
        <w:rPr>
          <w:rFonts w:eastAsia="Times New Roman"/>
          <w:sz w:val="15"/>
          <w:szCs w:val="15"/>
        </w:rPr>
        <w:t>0.5</w:t>
      </w:r>
      <w:r>
        <w:rPr>
          <w:rFonts w:eastAsia="Times New Roman"/>
          <w:sz w:val="15"/>
          <w:szCs w:val="15"/>
        </w:rPr>
        <w:t>0</w:t>
      </w:r>
      <w:r>
        <w:rPr>
          <w:rFonts w:eastAsia="Times New Roman"/>
          <w:sz w:val="15"/>
          <w:szCs w:val="15"/>
        </w:rPr>
        <w:t>% to</w:t>
      </w:r>
      <w:r>
        <w:rPr>
          <w:rFonts w:eastAsia="Times New Roman"/>
          <w:sz w:val="15"/>
          <w:szCs w:val="15"/>
        </w:rPr>
        <w:t xml:space="preserve"> </w:t>
      </w:r>
      <w:r>
        <w:rPr>
          <w:rFonts w:eastAsia="Times New Roman"/>
          <w:sz w:val="15"/>
          <w:szCs w:val="15"/>
        </w:rPr>
        <w:t>1.8</w:t>
      </w:r>
      <w:r>
        <w:rPr>
          <w:rFonts w:eastAsia="Times New Roman"/>
          <w:sz w:val="15"/>
          <w:szCs w:val="15"/>
        </w:rPr>
        <w:t>0</w:t>
      </w:r>
      <w:r>
        <w:rPr>
          <w:rFonts w:eastAsia="Times New Roman"/>
          <w:sz w:val="15"/>
          <w:szCs w:val="15"/>
        </w:rPr>
        <w:t>%. The borrower under a senior secured loan generally has the option to select from interest reset periods of one, two, three or six months and may alter that selection at the end of any reset period. The stated inte</w:t>
      </w:r>
      <w:r>
        <w:rPr>
          <w:rFonts w:eastAsia="Times New Roman"/>
          <w:sz w:val="15"/>
          <w:szCs w:val="15"/>
        </w:rPr>
        <w:t>rest rate represents the weighted average interest rate at</w:t>
      </w:r>
      <w:r>
        <w:rPr>
          <w:rFonts w:eastAsia="Times New Roman"/>
          <w:sz w:val="15"/>
          <w:szCs w:val="15"/>
        </w:rPr>
        <w:t xml:space="preserve"> </w:t>
      </w:r>
      <w:r>
        <w:rPr>
          <w:rFonts w:eastAsia="Times New Roman"/>
          <w:sz w:val="15"/>
          <w:szCs w:val="15"/>
        </w:rPr>
        <w:t>September 30, 202</w:t>
      </w:r>
      <w:r>
        <w:rPr>
          <w:rFonts w:eastAsia="Times New Roman"/>
          <w:sz w:val="15"/>
          <w:szCs w:val="15"/>
        </w:rPr>
        <w:t>2</w:t>
      </w:r>
      <w:r>
        <w:rPr>
          <w:rFonts w:eastAsia="Times New Roman"/>
          <w:sz w:val="15"/>
          <w:szCs w:val="15"/>
        </w:rPr>
        <w:t xml:space="preserve"> of all contracts within the specified loan facility. LIBOR and SOFR reset monthly (M), quarterly (Q) or semiannually (S)</w:t>
      </w:r>
      <w:r>
        <w:rPr>
          <w:rFonts w:eastAsia="Times New Roman"/>
          <w:sz w:val="15"/>
          <w:szCs w:val="15"/>
        </w:rPr>
        <w:t>.</w:t>
      </w:r>
    </w:p>
    <w:p w:rsidR="00000000" w:rsidRDefault="003D51DE">
      <w:pPr>
        <w:jc w:val="both"/>
        <w:divId w:val="1076972592"/>
        <w:rPr>
          <w:rFonts w:eastAsia="Times New Roman"/>
        </w:rPr>
      </w:pPr>
      <w:r>
        <w:rPr>
          <w:rFonts w:eastAsia="Times New Roman"/>
          <w:sz w:val="15"/>
          <w:szCs w:val="15"/>
        </w:rPr>
        <w:t>(F</w:t>
      </w:r>
      <w:r>
        <w:rPr>
          <w:rFonts w:eastAsia="Times New Roman"/>
          <w:sz w:val="15"/>
          <w:szCs w:val="15"/>
        </w:rPr>
        <w:t>)</w:t>
      </w:r>
    </w:p>
    <w:p w:rsidR="00000000" w:rsidRDefault="003D51DE">
      <w:pPr>
        <w:jc w:val="both"/>
        <w:divId w:val="279149395"/>
        <w:rPr>
          <w:rFonts w:eastAsia="Times New Roman"/>
        </w:rPr>
      </w:pPr>
      <w:r>
        <w:rPr>
          <w:rFonts w:eastAsia="Times New Roman"/>
          <w:sz w:val="15"/>
          <w:szCs w:val="15"/>
        </w:rPr>
        <w:t>Transaction and other information for “non-controlle</w:t>
      </w:r>
      <w:r>
        <w:rPr>
          <w:rFonts w:eastAsia="Times New Roman"/>
          <w:sz w:val="15"/>
          <w:szCs w:val="15"/>
        </w:rPr>
        <w:t>d, affiliated” investments under the Investment Company Act of 1940 (the “1940 Act”), whereby the Company owns 5% or more (but not more than 25%) of the portfolio company’s outstanding voting securities, is presented in a separate table of the Consolidated</w:t>
      </w:r>
      <w:r>
        <w:rPr>
          <w:rFonts w:eastAsia="Times New Roman"/>
          <w:sz w:val="15"/>
          <w:szCs w:val="15"/>
        </w:rPr>
        <w:t xml:space="preserve"> Schedules of Investments</w:t>
      </w:r>
      <w:r>
        <w:rPr>
          <w:rFonts w:eastAsia="Times New Roman"/>
          <w:sz w:val="15"/>
          <w:szCs w:val="15"/>
        </w:rPr>
        <w:t>.</w:t>
      </w:r>
      <w:r>
        <w:rPr>
          <w:rFonts w:eastAsia="Times New Roman"/>
          <w:sz w:val="15"/>
          <w:szCs w:val="15"/>
        </w:rPr>
        <w:t xml:space="preserve"> </w:t>
      </w:r>
    </w:p>
    <w:p w:rsidR="00000000" w:rsidRDefault="003D51DE">
      <w:pPr>
        <w:jc w:val="both"/>
        <w:divId w:val="1193541773"/>
        <w:rPr>
          <w:rFonts w:eastAsia="Times New Roman"/>
        </w:rPr>
      </w:pPr>
      <w:r>
        <w:rPr>
          <w:rFonts w:eastAsia="Times New Roman"/>
          <w:sz w:val="15"/>
          <w:szCs w:val="15"/>
        </w:rPr>
        <w:t>(G</w:t>
      </w:r>
      <w:r>
        <w:rPr>
          <w:rFonts w:eastAsia="Times New Roman"/>
          <w:sz w:val="15"/>
          <w:szCs w:val="15"/>
        </w:rPr>
        <w:t>)</w:t>
      </w:r>
    </w:p>
    <w:p w:rsidR="00000000" w:rsidRDefault="003D51DE">
      <w:pPr>
        <w:jc w:val="both"/>
        <w:divId w:val="1606571256"/>
        <w:rPr>
          <w:rFonts w:eastAsia="Times New Roman"/>
        </w:rPr>
      </w:pPr>
      <w:r>
        <w:rPr>
          <w:rFonts w:eastAsia="Times New Roman"/>
          <w:sz w:val="15"/>
          <w:szCs w:val="15"/>
        </w:rPr>
        <w:t>Transaction and other information for “controlled” investments under the 1940 Act, whereby the Company owns more than 25% of the portfolio company’s outstanding voting securities, is presented in a separate table of the Cons</w:t>
      </w:r>
      <w:r>
        <w:rPr>
          <w:rFonts w:eastAsia="Times New Roman"/>
          <w:sz w:val="15"/>
          <w:szCs w:val="15"/>
        </w:rPr>
        <w:t>olidated Schedules of Investments</w:t>
      </w:r>
      <w:r>
        <w:rPr>
          <w:rFonts w:eastAsia="Times New Roman"/>
          <w:sz w:val="15"/>
          <w:szCs w:val="15"/>
        </w:rPr>
        <w:t>.</w:t>
      </w:r>
    </w:p>
    <w:p w:rsidR="00000000" w:rsidRDefault="003D51DE">
      <w:pPr>
        <w:jc w:val="both"/>
        <w:divId w:val="2033652764"/>
        <w:rPr>
          <w:rFonts w:eastAsia="Times New Roman"/>
        </w:rPr>
      </w:pPr>
      <w:r>
        <w:rPr>
          <w:rFonts w:eastAsia="Times New Roman"/>
          <w:sz w:val="15"/>
          <w:szCs w:val="15"/>
        </w:rPr>
        <w:t>(H</w:t>
      </w:r>
      <w:r>
        <w:rPr>
          <w:rFonts w:eastAsia="Times New Roman"/>
          <w:sz w:val="15"/>
          <w:szCs w:val="15"/>
        </w:rPr>
        <w:t>)</w:t>
      </w:r>
    </w:p>
    <w:p w:rsidR="00000000" w:rsidRDefault="003D51DE">
      <w:pPr>
        <w:jc w:val="both"/>
        <w:divId w:val="863204056"/>
        <w:rPr>
          <w:rFonts w:eastAsia="Times New Roman"/>
        </w:rPr>
      </w:pPr>
      <w:r>
        <w:rPr>
          <w:rFonts w:eastAsia="Times New Roman"/>
          <w:sz w:val="15"/>
          <w:szCs w:val="15"/>
        </w:rPr>
        <w:t>Non-U.S. company or principal place of business outside the U.S</w:t>
      </w:r>
      <w:r>
        <w:rPr>
          <w:rFonts w:eastAsia="Times New Roman"/>
          <w:sz w:val="15"/>
          <w:szCs w:val="15"/>
        </w:rPr>
        <w:t>.</w:t>
      </w:r>
      <w:r>
        <w:rPr>
          <w:rFonts w:eastAsia="Times New Roman"/>
          <w:sz w:val="15"/>
          <w:szCs w:val="15"/>
        </w:rPr>
        <w:t xml:space="preserve"> </w:t>
      </w:r>
    </w:p>
    <w:p w:rsidR="00000000" w:rsidRDefault="003D51DE">
      <w:pPr>
        <w:jc w:val="both"/>
        <w:divId w:val="391386045"/>
        <w:rPr>
          <w:rFonts w:eastAsia="Times New Roman"/>
        </w:rPr>
      </w:pPr>
      <w:r>
        <w:rPr>
          <w:rFonts w:eastAsia="Times New Roman"/>
          <w:sz w:val="15"/>
          <w:szCs w:val="15"/>
        </w:rPr>
        <w:t>(I</w:t>
      </w:r>
      <w:r>
        <w:rPr>
          <w:rFonts w:eastAsia="Times New Roman"/>
          <w:sz w:val="15"/>
          <w:szCs w:val="15"/>
        </w:rPr>
        <w:t>)</w:t>
      </w:r>
    </w:p>
    <w:p w:rsidR="00000000" w:rsidRDefault="003D51DE">
      <w:pPr>
        <w:jc w:val="both"/>
        <w:divId w:val="1934170544"/>
        <w:rPr>
          <w:rFonts w:eastAsia="Times New Roman"/>
        </w:rPr>
      </w:pPr>
      <w:r>
        <w:rPr>
          <w:rFonts w:eastAsia="Times New Roman"/>
          <w:sz w:val="15"/>
          <w:szCs w:val="15"/>
        </w:rPr>
        <w:t>Security is either exempt from registration under Rule 144A of the Securities Act of 1933 (the “Securities Act”), or sale of the security is subjec</w:t>
      </w:r>
      <w:r>
        <w:rPr>
          <w:rFonts w:eastAsia="Times New Roman"/>
          <w:sz w:val="15"/>
          <w:szCs w:val="15"/>
        </w:rPr>
        <w:t>t to certain contractual restrictions. Securities that are exempt from registration under 144A may be resold in transactions, normally to qualified institutional buyers. In aggregate, these securities represent</w:t>
      </w:r>
      <w:r>
        <w:rPr>
          <w:rFonts w:eastAsia="Times New Roman"/>
          <w:sz w:val="15"/>
          <w:szCs w:val="15"/>
        </w:rPr>
        <w:t xml:space="preserve"> </w:t>
      </w:r>
      <w:r>
        <w:rPr>
          <w:rFonts w:eastAsia="Times New Roman"/>
          <w:sz w:val="15"/>
          <w:szCs w:val="15"/>
        </w:rPr>
        <w:t>3.</w:t>
      </w:r>
      <w:r>
        <w:rPr>
          <w:rFonts w:eastAsia="Times New Roman"/>
          <w:sz w:val="15"/>
          <w:szCs w:val="15"/>
        </w:rPr>
        <w:t>3</w:t>
      </w:r>
      <w:r>
        <w:rPr>
          <w:rFonts w:eastAsia="Times New Roman"/>
          <w:sz w:val="15"/>
          <w:szCs w:val="15"/>
        </w:rPr>
        <w:t>%</w:t>
      </w:r>
      <w:r>
        <w:rPr>
          <w:rFonts w:eastAsia="Times New Roman"/>
          <w:sz w:val="15"/>
          <w:szCs w:val="15"/>
        </w:rPr>
        <w:t xml:space="preserve"> of the Company’s net assets at September</w:t>
      </w:r>
      <w:r>
        <w:rPr>
          <w:rFonts w:eastAsia="Times New Roman"/>
          <w:sz w:val="15"/>
          <w:szCs w:val="15"/>
        </w:rPr>
        <w:t xml:space="preserve"> 30, 2022. The acquisition dates for restricted securities of unaffiliated issuers were as follows as of September 30, 2022</w:t>
      </w:r>
      <w:r>
        <w:rPr>
          <w:rFonts w:eastAsia="Times New Roman"/>
          <w:sz w:val="15"/>
          <w:szCs w:val="15"/>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200"/>
        <w:gridCol w:w="103"/>
        <w:gridCol w:w="1342"/>
      </w:tblGrid>
      <w:tr w:rsidR="00000000">
        <w:trPr>
          <w:tblCellSpacing w:w="15" w:type="dxa"/>
        </w:trPr>
        <w:tc>
          <w:tcPr>
            <w:tcW w:w="3950" w:type="pct"/>
            <w:vAlign w:val="center"/>
            <w:hideMark/>
          </w:tcPr>
          <w:p w:rsidR="00000000" w:rsidRDefault="003D51DE">
            <w:pPr>
              <w:jc w:val="both"/>
              <w:rPr>
                <w:rFonts w:eastAsia="Times New Roman"/>
              </w:rPr>
            </w:pPr>
          </w:p>
        </w:tc>
        <w:tc>
          <w:tcPr>
            <w:tcW w:w="55" w:type="pct"/>
            <w:vAlign w:val="center"/>
            <w:hideMark/>
          </w:tcPr>
          <w:p w:rsidR="00000000" w:rsidRDefault="003D51DE">
            <w:pPr>
              <w:rPr>
                <w:rFonts w:eastAsia="Times New Roman"/>
                <w:sz w:val="20"/>
                <w:szCs w:val="20"/>
              </w:rPr>
            </w:pPr>
          </w:p>
        </w:tc>
        <w:tc>
          <w:tcPr>
            <w:tcW w:w="994"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Investmen</w:t>
            </w:r>
            <w:r>
              <w:rPr>
                <w:b/>
                <w:bCs/>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Initial Acquisition Dat</w:t>
            </w:r>
            <w:r>
              <w:rPr>
                <w:b/>
                <w:bCs/>
                <w:sz w:val="16"/>
                <w:szCs w:val="16"/>
              </w:rPr>
              <w:t>e</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Marsico Holdings, LLC, Limited Partnership/Limited Liability Company Interest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11/28/200</w:t>
            </w:r>
            <w:r>
              <w:rPr>
                <w:sz w:val="16"/>
                <w:szCs w:val="16"/>
              </w:rPr>
              <w:t>7</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FinancialForce.com, Warrants to Purchase Series C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1/30/201</w:t>
            </w:r>
            <w:r>
              <w:rPr>
                <w:sz w:val="16"/>
                <w:szCs w:val="16"/>
              </w:rPr>
              <w:t>9</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Pico Quantitative Trading Holdings, LLC, Warrants to Purchase Membership Unit</w:t>
            </w:r>
            <w:r>
              <w:rPr>
                <w:sz w:val="16"/>
                <w:szCs w:val="16"/>
              </w:rPr>
              <w:t>s</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2/7</w:t>
            </w:r>
            <w:r>
              <w:rPr>
                <w:sz w:val="16"/>
                <w:szCs w:val="16"/>
              </w:rPr>
              <w:t>/202</w:t>
            </w:r>
            <w:r>
              <w:rPr>
                <w:sz w:val="16"/>
                <w:szCs w:val="16"/>
              </w:rPr>
              <w:t>0</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Worldremit Group Limited (United Kingdom), Warrants to Purchase Series D Stoc</w:t>
            </w:r>
            <w:r>
              <w:rPr>
                <w:sz w:val="16"/>
                <w:szCs w:val="16"/>
              </w:rPr>
              <w:t>k</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2/11/202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Advanced Lighting Technologies, LLC, Senior Secured Note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3/16/202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Razor Group GmbH (Germany), Warrants to Purchase Preferred Series A1 Share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4/28/202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Stitch Holdings, L.P., Limited Partnership Interest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7/30/202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Worldremit Group Limited (United Kingdom), Warrants to Purchase Series E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8/27/202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MXP Prime</w:t>
            </w:r>
            <w:r>
              <w:rPr>
                <w:sz w:val="16"/>
                <w:szCs w:val="16"/>
              </w:rPr>
              <w:t xml:space="preserve"> Platform GmbH (SellerX) (Germany), Warrants to Purchase Preferred Series B Share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11/23/202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Blackbird Holdco, Inc. (Ohio Transmission Corp.),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12/14/202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Elevate Brands Holdco Inc., Warrants to Purchase 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3/14/202</w:t>
            </w:r>
            <w:r>
              <w:rPr>
                <w:sz w:val="16"/>
                <w:szCs w:val="16"/>
              </w:rPr>
              <w:t>2</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Elevate Brands Holdco Inc., Warrants to Purchase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3/14/202</w:t>
            </w:r>
            <w:r>
              <w:rPr>
                <w:sz w:val="16"/>
                <w:szCs w:val="16"/>
              </w:rPr>
              <w:t>2</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Grey Orange International Inc., Warrants to Purchase 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5/6/202</w:t>
            </w:r>
            <w:r>
              <w:rPr>
                <w:sz w:val="16"/>
                <w:szCs w:val="16"/>
              </w:rPr>
              <w:t>2</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PerchHQ LLC, Warrants to Purchase 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9/30/202</w:t>
            </w:r>
            <w:r>
              <w:rPr>
                <w:sz w:val="16"/>
                <w:szCs w:val="16"/>
              </w:rPr>
              <w:t>2</w:t>
            </w:r>
          </w:p>
        </w:tc>
      </w:tr>
    </w:tbl>
    <w:p w:rsidR="00000000" w:rsidRDefault="003D51DE">
      <w:pPr>
        <w:pStyle w:val="a3"/>
        <w:spacing w:before="0" w:beforeAutospacing="0" w:after="0" w:afterAutospacing="0"/>
        <w:ind w:hanging="581"/>
        <w:jc w:val="both"/>
        <w:rPr>
          <w:sz w:val="20"/>
          <w:szCs w:val="20"/>
        </w:rPr>
      </w:pPr>
      <w:r>
        <w:rPr>
          <w:sz w:val="20"/>
          <w:szCs w:val="20"/>
        </w:rPr>
        <w:t> </w:t>
      </w:r>
    </w:p>
    <w:p w:rsidR="00000000" w:rsidRDefault="003D51DE">
      <w:pPr>
        <w:jc w:val="both"/>
        <w:divId w:val="1814446960"/>
        <w:rPr>
          <w:rFonts w:eastAsia="Times New Roman"/>
        </w:rPr>
      </w:pPr>
      <w:r>
        <w:rPr>
          <w:rFonts w:eastAsia="Times New Roman"/>
          <w:sz w:val="15"/>
          <w:szCs w:val="15"/>
        </w:rPr>
        <w:t>(J</w:t>
      </w:r>
      <w:r>
        <w:rPr>
          <w:rFonts w:eastAsia="Times New Roman"/>
          <w:sz w:val="15"/>
          <w:szCs w:val="15"/>
        </w:rPr>
        <w:t>)</w:t>
      </w:r>
    </w:p>
    <w:p w:rsidR="00000000" w:rsidRDefault="003D51DE">
      <w:pPr>
        <w:jc w:val="both"/>
        <w:divId w:val="99569215"/>
        <w:rPr>
          <w:rFonts w:eastAsia="Times New Roman"/>
        </w:rPr>
      </w:pPr>
      <w:r>
        <w:rPr>
          <w:rFonts w:eastAsia="Times New Roman"/>
          <w:sz w:val="15"/>
          <w:szCs w:val="15"/>
        </w:rPr>
        <w:t>Investments that the Company has d</w:t>
      </w:r>
      <w:r>
        <w:rPr>
          <w:rFonts w:eastAsia="Times New Roman"/>
          <w:sz w:val="15"/>
          <w:szCs w:val="15"/>
        </w:rPr>
        <w:t>etermined are not “qualifying assets” under Section 55(a) of the 1940 Act. Under the 1940 Act, we may not acquire any non-qualifying asset unless, at the time such acquisition is made, qualifying assets represent at least 70% of our total assets. The statu</w:t>
      </w:r>
      <w:r>
        <w:rPr>
          <w:rFonts w:eastAsia="Times New Roman"/>
          <w:sz w:val="15"/>
          <w:szCs w:val="15"/>
        </w:rPr>
        <w:t>s of these assets under the 1940 Act may be subject to change. The Company monitors the status of these assets on an ongoing basis. As of</w:t>
      </w:r>
      <w:r>
        <w:rPr>
          <w:rFonts w:eastAsia="Times New Roman"/>
          <w:sz w:val="15"/>
          <w:szCs w:val="15"/>
        </w:rPr>
        <w:t xml:space="preserve"> </w:t>
      </w:r>
      <w:r>
        <w:rPr>
          <w:rFonts w:eastAsia="Times New Roman"/>
          <w:sz w:val="15"/>
          <w:szCs w:val="15"/>
        </w:rPr>
        <w:t>September 30, 202</w:t>
      </w:r>
      <w:r>
        <w:rPr>
          <w:rFonts w:eastAsia="Times New Roman"/>
          <w:sz w:val="15"/>
          <w:szCs w:val="15"/>
        </w:rPr>
        <w:t>2</w:t>
      </w:r>
      <w:r>
        <w:rPr>
          <w:rFonts w:eastAsia="Times New Roman"/>
          <w:sz w:val="15"/>
          <w:szCs w:val="15"/>
        </w:rPr>
        <w:t>, approximately</w:t>
      </w:r>
      <w:r>
        <w:rPr>
          <w:rFonts w:eastAsia="Times New Roman"/>
          <w:sz w:val="15"/>
          <w:szCs w:val="15"/>
        </w:rPr>
        <w:t xml:space="preserve"> </w:t>
      </w:r>
      <w:r>
        <w:rPr>
          <w:rFonts w:eastAsia="Times New Roman"/>
          <w:sz w:val="15"/>
          <w:szCs w:val="15"/>
        </w:rPr>
        <w:t>14.</w:t>
      </w:r>
      <w:r>
        <w:rPr>
          <w:rFonts w:eastAsia="Times New Roman"/>
          <w:sz w:val="15"/>
          <w:szCs w:val="15"/>
        </w:rPr>
        <w:t>6</w:t>
      </w:r>
      <w:r>
        <w:rPr>
          <w:rFonts w:eastAsia="Times New Roman"/>
          <w:sz w:val="15"/>
          <w:szCs w:val="15"/>
        </w:rPr>
        <w:t>% of the total assets of the Company were not qualifying assets under Section 55</w:t>
      </w:r>
      <w:r>
        <w:rPr>
          <w:rFonts w:eastAsia="Times New Roman"/>
          <w:sz w:val="15"/>
          <w:szCs w:val="15"/>
        </w:rPr>
        <w:t>(a) of the 1940 Act</w:t>
      </w:r>
      <w:r>
        <w:rPr>
          <w:rFonts w:eastAsia="Times New Roman"/>
          <w:sz w:val="15"/>
          <w:szCs w:val="15"/>
        </w:rPr>
        <w:t>.</w:t>
      </w:r>
    </w:p>
    <w:p w:rsidR="00000000" w:rsidRDefault="003D51DE">
      <w:pPr>
        <w:jc w:val="both"/>
        <w:divId w:val="53547543"/>
        <w:rPr>
          <w:rFonts w:eastAsia="Times New Roman"/>
        </w:rPr>
      </w:pPr>
      <w:r>
        <w:rPr>
          <w:rFonts w:eastAsia="Times New Roman"/>
          <w:sz w:val="15"/>
          <w:szCs w:val="15"/>
        </w:rPr>
        <w:t>(K</w:t>
      </w:r>
      <w:r>
        <w:rPr>
          <w:rFonts w:eastAsia="Times New Roman"/>
          <w:sz w:val="15"/>
          <w:szCs w:val="15"/>
        </w:rPr>
        <w:t>)</w:t>
      </w:r>
    </w:p>
    <w:p w:rsidR="00000000" w:rsidRDefault="003D51DE">
      <w:pPr>
        <w:jc w:val="both"/>
        <w:divId w:val="1130515394"/>
        <w:rPr>
          <w:rFonts w:eastAsia="Times New Roman"/>
        </w:rPr>
      </w:pPr>
      <w:r>
        <w:rPr>
          <w:rFonts w:eastAsia="Times New Roman"/>
          <w:sz w:val="15"/>
          <w:szCs w:val="15"/>
        </w:rPr>
        <w:t>The Company is the sole stockholder of BKC ASW Blocker, Inc., a consolidated subsidiary, which is the beneficiary of 5% or more (but not more than 25%) of the voting securities of Kemmerer Operations, LLC and thus non-controlled, a</w:t>
      </w:r>
      <w:r>
        <w:rPr>
          <w:rFonts w:eastAsia="Times New Roman"/>
          <w:sz w:val="15"/>
          <w:szCs w:val="15"/>
        </w:rPr>
        <w:t>ffiliated investments</w:t>
      </w:r>
      <w:r>
        <w:rPr>
          <w:rFonts w:eastAsia="Times New Roman"/>
          <w:sz w:val="15"/>
          <w:szCs w:val="15"/>
        </w:rPr>
        <w:t>.</w:t>
      </w:r>
      <w:r>
        <w:rPr>
          <w:rFonts w:eastAsia="Times New Roman"/>
          <w:sz w:val="15"/>
          <w:szCs w:val="15"/>
        </w:rPr>
        <w:t xml:space="preserve"> </w:t>
      </w:r>
    </w:p>
    <w:p w:rsidR="00000000" w:rsidRDefault="003D51DE">
      <w:pPr>
        <w:jc w:val="both"/>
        <w:divId w:val="2111050321"/>
        <w:rPr>
          <w:rFonts w:eastAsia="Times New Roman"/>
        </w:rPr>
      </w:pPr>
      <w:r>
        <w:rPr>
          <w:rFonts w:eastAsia="Times New Roman"/>
          <w:sz w:val="15"/>
          <w:szCs w:val="15"/>
        </w:rPr>
        <w:t>(L</w:t>
      </w:r>
      <w:r>
        <w:rPr>
          <w:rFonts w:eastAsia="Times New Roman"/>
          <w:sz w:val="15"/>
          <w:szCs w:val="15"/>
        </w:rPr>
        <w:t>)</w:t>
      </w:r>
    </w:p>
    <w:p w:rsidR="00000000" w:rsidRDefault="003D51DE">
      <w:pPr>
        <w:jc w:val="both"/>
        <w:divId w:val="2068648571"/>
        <w:rPr>
          <w:rFonts w:eastAsia="Times New Roman"/>
        </w:rPr>
      </w:pPr>
      <w:r>
        <w:rPr>
          <w:rFonts w:eastAsia="Times New Roman"/>
          <w:sz w:val="15"/>
          <w:szCs w:val="15"/>
        </w:rPr>
        <w:t>The Company is the sole stockholder of BKC ASW Blocker, Inc., a consolidated subsidiary, which is the beneficiary of less than 5% of the voting securities of ETX Energy, LLC and PerchHQ LLC and thus non-controlled, non-affiliate</w:t>
      </w:r>
      <w:r>
        <w:rPr>
          <w:rFonts w:eastAsia="Times New Roman"/>
          <w:sz w:val="15"/>
          <w:szCs w:val="15"/>
        </w:rPr>
        <w:t>d investments</w:t>
      </w:r>
      <w:r>
        <w:rPr>
          <w:rFonts w:eastAsia="Times New Roman"/>
          <w:sz w:val="15"/>
          <w:szCs w:val="15"/>
        </w:rPr>
        <w:t>.</w:t>
      </w:r>
      <w:r>
        <w:rPr>
          <w:rFonts w:eastAsia="Times New Roman"/>
          <w:sz w:val="15"/>
          <w:szCs w:val="15"/>
        </w:rPr>
        <w:t xml:space="preserve"> </w:t>
      </w:r>
    </w:p>
    <w:p w:rsidR="00000000" w:rsidRDefault="003D51DE">
      <w:pPr>
        <w:jc w:val="both"/>
        <w:divId w:val="1210800580"/>
        <w:rPr>
          <w:rFonts w:eastAsia="Times New Roman"/>
        </w:rPr>
      </w:pPr>
      <w:r>
        <w:rPr>
          <w:rFonts w:eastAsia="Times New Roman"/>
          <w:sz w:val="15"/>
          <w:szCs w:val="15"/>
        </w:rPr>
        <w:t>(M</w:t>
      </w:r>
      <w:r>
        <w:rPr>
          <w:rFonts w:eastAsia="Times New Roman"/>
          <w:sz w:val="15"/>
          <w:szCs w:val="15"/>
        </w:rPr>
        <w:t>)</w:t>
      </w:r>
    </w:p>
    <w:p w:rsidR="00000000" w:rsidRDefault="003D51DE">
      <w:pPr>
        <w:jc w:val="both"/>
        <w:divId w:val="861361376"/>
        <w:rPr>
          <w:rFonts w:eastAsia="Times New Roman"/>
        </w:rPr>
      </w:pPr>
      <w:r>
        <w:rPr>
          <w:rFonts w:eastAsia="Times New Roman"/>
          <w:sz w:val="15"/>
          <w:szCs w:val="15"/>
        </w:rPr>
        <w:t>The Company is the sole stockholder of BCIC-MBS, LLC, a consolidated subsidiary, which is the beneficiary of less than 5% of the voting securities of MBS Parent, LLC and thus a non-controlled, non-affiliated investment</w:t>
      </w:r>
      <w:r>
        <w:rPr>
          <w:rFonts w:eastAsia="Times New Roman"/>
          <w:sz w:val="15"/>
          <w:szCs w:val="15"/>
        </w:rPr>
        <w:t>.</w:t>
      </w:r>
    </w:p>
    <w:p w:rsidR="00000000" w:rsidRDefault="003D51DE">
      <w:pPr>
        <w:jc w:val="both"/>
        <w:divId w:val="1887372414"/>
        <w:rPr>
          <w:rFonts w:eastAsia="Times New Roman"/>
        </w:rPr>
      </w:pPr>
      <w:r>
        <w:rPr>
          <w:rFonts w:eastAsia="Times New Roman"/>
          <w:sz w:val="15"/>
          <w:szCs w:val="15"/>
        </w:rPr>
        <w:t>(N</w:t>
      </w:r>
      <w:r>
        <w:rPr>
          <w:rFonts w:eastAsia="Times New Roman"/>
          <w:sz w:val="15"/>
          <w:szCs w:val="15"/>
        </w:rPr>
        <w:t>)</w:t>
      </w:r>
    </w:p>
    <w:p w:rsidR="00000000" w:rsidRDefault="003D51DE">
      <w:pPr>
        <w:jc w:val="both"/>
        <w:divId w:val="1712148962"/>
        <w:rPr>
          <w:rFonts w:eastAsia="Times New Roman"/>
        </w:rPr>
      </w:pPr>
      <w:r>
        <w:rPr>
          <w:rFonts w:eastAsia="Times New Roman"/>
          <w:sz w:val="15"/>
          <w:szCs w:val="15"/>
        </w:rPr>
        <w:t>Position or associated portfolio</w:t>
      </w:r>
      <w:r>
        <w:rPr>
          <w:rFonts w:eastAsia="Times New Roman"/>
          <w:sz w:val="15"/>
          <w:szCs w:val="15"/>
        </w:rPr>
        <w:t xml:space="preserve"> company thereof has an unfunded commitment as of</w:t>
      </w:r>
      <w:r>
        <w:rPr>
          <w:rFonts w:eastAsia="Times New Roman"/>
          <w:sz w:val="15"/>
          <w:szCs w:val="15"/>
        </w:rPr>
        <w:t xml:space="preserve"> </w:t>
      </w:r>
      <w:r>
        <w:rPr>
          <w:rFonts w:eastAsia="Times New Roman"/>
          <w:sz w:val="15"/>
          <w:szCs w:val="15"/>
        </w:rPr>
        <w:t>September 30, 202</w:t>
      </w:r>
      <w:r>
        <w:rPr>
          <w:rFonts w:eastAsia="Times New Roman"/>
          <w:sz w:val="15"/>
          <w:szCs w:val="15"/>
        </w:rPr>
        <w:t>2</w:t>
      </w:r>
      <w:r>
        <w:rPr>
          <w:rFonts w:eastAsia="Times New Roman"/>
          <w:sz w:val="15"/>
          <w:szCs w:val="15"/>
        </w:rPr>
        <w:t xml:space="preserve"> (see Note 9). Note that there may be additional unfunded positions which do not have a funded component at period end, and therefore are not displayed herein. Any negative balances repres</w:t>
      </w:r>
      <w:r>
        <w:rPr>
          <w:rFonts w:eastAsia="Times New Roman"/>
          <w:sz w:val="15"/>
          <w:szCs w:val="15"/>
        </w:rPr>
        <w:t>ent unfunded commitments that were acquired and/or valued at a discount</w:t>
      </w:r>
      <w:r>
        <w:rPr>
          <w:rFonts w:eastAsia="Times New Roman"/>
          <w:sz w:val="15"/>
          <w:szCs w:val="15"/>
        </w:rPr>
        <w:t>.</w:t>
      </w:r>
      <w:r>
        <w:rPr>
          <w:rFonts w:eastAsia="Times New Roman"/>
          <w:sz w:val="15"/>
          <w:szCs w:val="15"/>
        </w:rPr>
        <w:t xml:space="preserve"> </w:t>
      </w:r>
    </w:p>
    <w:p w:rsidR="00000000" w:rsidRDefault="003D51DE">
      <w:pPr>
        <w:jc w:val="both"/>
        <w:divId w:val="97722149"/>
        <w:rPr>
          <w:rFonts w:eastAsia="Times New Roman"/>
        </w:rPr>
      </w:pPr>
      <w:r>
        <w:rPr>
          <w:rFonts w:eastAsia="Times New Roman"/>
          <w:sz w:val="15"/>
          <w:szCs w:val="15"/>
        </w:rPr>
        <w:t>(O</w:t>
      </w:r>
      <w:r>
        <w:rPr>
          <w:rFonts w:eastAsia="Times New Roman"/>
          <w:sz w:val="15"/>
          <w:szCs w:val="15"/>
        </w:rPr>
        <w:t>)</w:t>
      </w:r>
    </w:p>
    <w:p w:rsidR="00000000" w:rsidRDefault="003D51DE">
      <w:pPr>
        <w:jc w:val="both"/>
        <w:divId w:val="1705592046"/>
        <w:rPr>
          <w:rFonts w:eastAsia="Times New Roman"/>
        </w:rPr>
      </w:pPr>
      <w:r>
        <w:rPr>
          <w:rFonts w:eastAsia="Times New Roman"/>
          <w:sz w:val="15"/>
          <w:szCs w:val="15"/>
        </w:rPr>
        <w:t>Unless otherwise indicated, all investments are considered Level 3 in accordance with ASC Topic 820 (see Note 2)</w:t>
      </w:r>
      <w:r>
        <w:rPr>
          <w:rFonts w:eastAsia="Times New Roman"/>
          <w:sz w:val="15"/>
          <w:szCs w:val="15"/>
        </w:rPr>
        <w:t>.</w:t>
      </w:r>
      <w:r>
        <w:rPr>
          <w:rFonts w:eastAsia="Times New Roman"/>
          <w:sz w:val="15"/>
          <w:szCs w:val="15"/>
        </w:rPr>
        <w:t xml:space="preserve"> </w:t>
      </w:r>
    </w:p>
    <w:p w:rsidR="00000000" w:rsidRDefault="003D51DE">
      <w:pPr>
        <w:jc w:val="both"/>
        <w:divId w:val="13969027"/>
        <w:rPr>
          <w:rFonts w:eastAsia="Times New Roman"/>
        </w:rPr>
      </w:pPr>
      <w:r>
        <w:rPr>
          <w:rFonts w:eastAsia="Times New Roman"/>
          <w:sz w:val="15"/>
          <w:szCs w:val="15"/>
        </w:rPr>
        <w:t>(P</w:t>
      </w:r>
      <w:r>
        <w:rPr>
          <w:rFonts w:eastAsia="Times New Roman"/>
          <w:sz w:val="15"/>
          <w:szCs w:val="15"/>
        </w:rPr>
        <w:t>)</w:t>
      </w:r>
    </w:p>
    <w:p w:rsidR="00000000" w:rsidRDefault="003D51DE">
      <w:pPr>
        <w:jc w:val="both"/>
        <w:divId w:val="1516263323"/>
        <w:rPr>
          <w:rFonts w:eastAsia="Times New Roman"/>
        </w:rPr>
      </w:pPr>
      <w:r>
        <w:rPr>
          <w:rFonts w:eastAsia="Times New Roman"/>
          <w:sz w:val="15"/>
          <w:szCs w:val="15"/>
        </w:rPr>
        <w:t>Investments are considered other than Level 3 in accordance</w:t>
      </w:r>
      <w:r>
        <w:rPr>
          <w:rFonts w:eastAsia="Times New Roman"/>
          <w:sz w:val="15"/>
          <w:szCs w:val="15"/>
        </w:rPr>
        <w:t xml:space="preserve"> with ASC Topic 820 (see Note 2)</w:t>
      </w:r>
      <w:r>
        <w:rPr>
          <w:rFonts w:eastAsia="Times New Roman"/>
          <w:sz w:val="15"/>
          <w:szCs w:val="15"/>
        </w:rPr>
        <w:t>.</w:t>
      </w:r>
    </w:p>
    <w:p w:rsidR="00000000" w:rsidRDefault="003D51DE">
      <w:pPr>
        <w:jc w:val="both"/>
        <w:divId w:val="1884169165"/>
        <w:rPr>
          <w:rFonts w:eastAsia="Times New Roman"/>
        </w:rPr>
      </w:pPr>
      <w:r>
        <w:rPr>
          <w:rFonts w:eastAsia="Times New Roman"/>
          <w:sz w:val="15"/>
          <w:szCs w:val="15"/>
        </w:rPr>
        <w:t>(Q</w:t>
      </w:r>
      <w:r>
        <w:rPr>
          <w:rFonts w:eastAsia="Times New Roman"/>
          <w:sz w:val="15"/>
          <w:szCs w:val="15"/>
        </w:rPr>
        <w:t>)</w:t>
      </w:r>
    </w:p>
    <w:p w:rsidR="00000000" w:rsidRDefault="003D51DE">
      <w:pPr>
        <w:jc w:val="both"/>
        <w:divId w:val="1938055374"/>
        <w:rPr>
          <w:rFonts w:eastAsia="Times New Roman"/>
        </w:rPr>
      </w:pPr>
      <w:r>
        <w:rPr>
          <w:rFonts w:eastAsia="Times New Roman"/>
          <w:sz w:val="15"/>
          <w:szCs w:val="15"/>
        </w:rPr>
        <w:t>As of September 30, 2022, the Company generally uses Global Industry Classification Standard (“GICS”) codes to identify the industry groupings. This information is unaudited</w:t>
      </w:r>
      <w:r>
        <w:rPr>
          <w:rFonts w:eastAsia="Times New Roman"/>
          <w:sz w:val="15"/>
          <w:szCs w:val="15"/>
        </w:rPr>
        <w:t>.</w:t>
      </w:r>
      <w:r>
        <w:rPr>
          <w:rFonts w:eastAsia="Times New Roman"/>
          <w:sz w:val="15"/>
          <w:szCs w:val="15"/>
        </w:rPr>
        <w:t xml:space="preserve"> </w:t>
      </w:r>
    </w:p>
    <w:p w:rsidR="00000000" w:rsidRDefault="003D51DE">
      <w:pPr>
        <w:jc w:val="both"/>
        <w:divId w:val="1661885710"/>
        <w:rPr>
          <w:rFonts w:eastAsia="Times New Roman"/>
        </w:rPr>
      </w:pPr>
      <w:r>
        <w:rPr>
          <w:rFonts w:eastAsia="Times New Roman"/>
          <w:sz w:val="15"/>
          <w:szCs w:val="15"/>
        </w:rPr>
        <w:t>(R</w:t>
      </w:r>
      <w:r>
        <w:rPr>
          <w:rFonts w:eastAsia="Times New Roman"/>
          <w:sz w:val="15"/>
          <w:szCs w:val="15"/>
        </w:rPr>
        <w:t>)</w:t>
      </w:r>
    </w:p>
    <w:p w:rsidR="00000000" w:rsidRDefault="003D51DE">
      <w:pPr>
        <w:jc w:val="both"/>
        <w:divId w:val="213545741"/>
        <w:rPr>
          <w:rFonts w:eastAsia="Times New Roman"/>
        </w:rPr>
      </w:pPr>
      <w:r>
        <w:rPr>
          <w:rFonts w:eastAsia="Times New Roman"/>
          <w:sz w:val="15"/>
          <w:szCs w:val="15"/>
        </w:rPr>
        <w:t>The investment is on non-accrual statu</w:t>
      </w:r>
      <w:r>
        <w:rPr>
          <w:rFonts w:eastAsia="Times New Roman"/>
          <w:sz w:val="15"/>
          <w:szCs w:val="15"/>
        </w:rPr>
        <w:t>s as of</w:t>
      </w:r>
      <w:r>
        <w:rPr>
          <w:rFonts w:eastAsia="Times New Roman"/>
          <w:sz w:val="15"/>
          <w:szCs w:val="15"/>
        </w:rPr>
        <w:t xml:space="preserve"> </w:t>
      </w:r>
      <w:r>
        <w:rPr>
          <w:rFonts w:eastAsia="Times New Roman"/>
          <w:sz w:val="15"/>
          <w:szCs w:val="15"/>
        </w:rPr>
        <w:t>September 30, 2022 and therefore non-income producing. At September 30, 2022, the aggregate fair value and amortized cost of the Company’s debt and preferred stock investments on non-accrual status represents</w:t>
      </w:r>
      <w:r>
        <w:rPr>
          <w:rFonts w:eastAsia="Times New Roman"/>
          <w:sz w:val="15"/>
          <w:szCs w:val="15"/>
        </w:rPr>
        <w:t xml:space="preserve"> </w:t>
      </w:r>
      <w:r>
        <w:rPr>
          <w:rFonts w:eastAsia="Times New Roman"/>
          <w:sz w:val="15"/>
          <w:szCs w:val="15"/>
        </w:rPr>
        <w:t>3.</w:t>
      </w:r>
      <w:r>
        <w:rPr>
          <w:rFonts w:eastAsia="Times New Roman"/>
          <w:sz w:val="15"/>
          <w:szCs w:val="15"/>
        </w:rPr>
        <w:t>4</w:t>
      </w:r>
      <w:r>
        <w:rPr>
          <w:rFonts w:eastAsia="Times New Roman"/>
          <w:sz w:val="15"/>
          <w:szCs w:val="15"/>
        </w:rPr>
        <w:t>%</w:t>
      </w:r>
      <w:r>
        <w:rPr>
          <w:rFonts w:eastAsia="Times New Roman"/>
          <w:sz w:val="15"/>
          <w:szCs w:val="15"/>
        </w:rPr>
        <w:t xml:space="preserve"> and</w:t>
      </w:r>
      <w:r>
        <w:rPr>
          <w:rFonts w:eastAsia="Times New Roman"/>
          <w:sz w:val="15"/>
          <w:szCs w:val="15"/>
        </w:rPr>
        <w:t xml:space="preserve"> </w:t>
      </w:r>
      <w:r>
        <w:rPr>
          <w:rFonts w:eastAsia="Times New Roman"/>
          <w:sz w:val="15"/>
          <w:szCs w:val="15"/>
        </w:rPr>
        <w:t>11.</w:t>
      </w:r>
      <w:r>
        <w:rPr>
          <w:rFonts w:eastAsia="Times New Roman"/>
          <w:sz w:val="15"/>
          <w:szCs w:val="15"/>
        </w:rPr>
        <w:t>9</w:t>
      </w:r>
      <w:r>
        <w:rPr>
          <w:rFonts w:eastAsia="Times New Roman"/>
          <w:sz w:val="15"/>
          <w:szCs w:val="15"/>
        </w:rPr>
        <w:t>%</w:t>
      </w:r>
      <w:r>
        <w:rPr>
          <w:rFonts w:eastAsia="Times New Roman"/>
          <w:sz w:val="15"/>
          <w:szCs w:val="15"/>
        </w:rPr>
        <w:t xml:space="preserve"> of the Company's debt an</w:t>
      </w:r>
      <w:r>
        <w:rPr>
          <w:rFonts w:eastAsia="Times New Roman"/>
          <w:sz w:val="15"/>
          <w:szCs w:val="15"/>
        </w:rPr>
        <w:t>d preferred stock investments at fair value and amortized cost, respectively</w:t>
      </w:r>
      <w:r>
        <w:rPr>
          <w:rFonts w:eastAsia="Times New Roman"/>
          <w:sz w:val="15"/>
          <w:szCs w:val="15"/>
        </w:rPr>
        <w:t>.</w:t>
      </w:r>
    </w:p>
    <w:p w:rsidR="00000000" w:rsidRDefault="003D51DE">
      <w:pPr>
        <w:jc w:val="both"/>
        <w:divId w:val="743335154"/>
        <w:rPr>
          <w:rFonts w:eastAsia="Times New Roman"/>
        </w:rPr>
      </w:pPr>
      <w:r>
        <w:rPr>
          <w:rFonts w:eastAsia="Times New Roman"/>
          <w:sz w:val="15"/>
          <w:szCs w:val="15"/>
        </w:rPr>
        <w:t>(S</w:t>
      </w:r>
      <w:r>
        <w:rPr>
          <w:rFonts w:eastAsia="Times New Roman"/>
          <w:sz w:val="15"/>
          <w:szCs w:val="15"/>
        </w:rPr>
        <w:t>)</w:t>
      </w:r>
    </w:p>
    <w:p w:rsidR="00000000" w:rsidRDefault="003D51DE">
      <w:pPr>
        <w:jc w:val="both"/>
        <w:divId w:val="195504382"/>
        <w:rPr>
          <w:rFonts w:eastAsia="Times New Roman"/>
        </w:rPr>
      </w:pPr>
      <w:r>
        <w:rPr>
          <w:rFonts w:eastAsia="Times New Roman"/>
          <w:sz w:val="15"/>
          <w:szCs w:val="15"/>
        </w:rPr>
        <w:t>This investment will have a first lien security interest after the senior tranches are repaid</w:t>
      </w:r>
      <w:r>
        <w:rPr>
          <w:rFonts w:eastAsia="Times New Roman"/>
          <w:sz w:val="15"/>
          <w:szCs w:val="15"/>
        </w:rPr>
        <w:t>.</w:t>
      </w:r>
    </w:p>
    <w:p w:rsidR="00000000" w:rsidRDefault="003D51DE">
      <w:pPr>
        <w:jc w:val="both"/>
        <w:divId w:val="1161039878"/>
        <w:rPr>
          <w:rFonts w:eastAsia="Times New Roman"/>
        </w:rPr>
      </w:pPr>
      <w:r>
        <w:rPr>
          <w:rFonts w:eastAsia="Times New Roman"/>
          <w:sz w:val="15"/>
          <w:szCs w:val="15"/>
        </w:rPr>
        <w:t>(T</w:t>
      </w:r>
      <w:r>
        <w:rPr>
          <w:rFonts w:eastAsia="Times New Roman"/>
          <w:sz w:val="15"/>
          <w:szCs w:val="15"/>
        </w:rPr>
        <w:t>)</w:t>
      </w:r>
    </w:p>
    <w:p w:rsidR="00000000" w:rsidRDefault="003D51DE">
      <w:pPr>
        <w:jc w:val="both"/>
        <w:divId w:val="868881972"/>
        <w:rPr>
          <w:rFonts w:eastAsia="Times New Roman"/>
        </w:rPr>
      </w:pPr>
      <w:r>
        <w:rPr>
          <w:rFonts w:eastAsia="Times New Roman"/>
          <w:sz w:val="15"/>
          <w:szCs w:val="15"/>
        </w:rPr>
        <w:t>Total coupon includes default interest of</w:t>
      </w:r>
      <w:r>
        <w:rPr>
          <w:rFonts w:eastAsia="Times New Roman"/>
          <w:sz w:val="15"/>
          <w:szCs w:val="15"/>
        </w:rPr>
        <w:t xml:space="preserve"> </w:t>
      </w:r>
      <w:r>
        <w:rPr>
          <w:rFonts w:eastAsia="Times New Roman"/>
          <w:sz w:val="15"/>
          <w:szCs w:val="15"/>
        </w:rPr>
        <w:t>2.0</w:t>
      </w:r>
      <w:r>
        <w:rPr>
          <w:rFonts w:eastAsia="Times New Roman"/>
          <w:sz w:val="15"/>
          <w:szCs w:val="15"/>
        </w:rPr>
        <w:t>0</w:t>
      </w:r>
      <w:r>
        <w:rPr>
          <w:rFonts w:eastAsia="Times New Roman"/>
          <w:sz w:val="15"/>
          <w:szCs w:val="15"/>
        </w:rPr>
        <w:t>%</w:t>
      </w:r>
      <w:r>
        <w:rPr>
          <w:rFonts w:eastAsia="Times New Roman"/>
          <w:sz w:val="15"/>
          <w:szCs w:val="15"/>
        </w:rPr>
        <w:t>.</w:t>
      </w:r>
      <w:r>
        <w:rPr>
          <w:rFonts w:eastAsia="Times New Roman"/>
          <w:sz w:val="15"/>
          <w:szCs w:val="15"/>
        </w:rPr>
        <w:t xml:space="preserve"> </w:t>
      </w:r>
    </w:p>
    <w:p w:rsidR="00000000" w:rsidRDefault="003D51DE">
      <w:pPr>
        <w:jc w:val="both"/>
        <w:divId w:val="130056113"/>
        <w:rPr>
          <w:rFonts w:eastAsia="Times New Roman"/>
        </w:rPr>
      </w:pPr>
      <w:r>
        <w:rPr>
          <w:rFonts w:eastAsia="Times New Roman"/>
          <w:sz w:val="15"/>
          <w:szCs w:val="15"/>
        </w:rPr>
        <w:t>(U</w:t>
      </w:r>
      <w:r>
        <w:rPr>
          <w:rFonts w:eastAsia="Times New Roman"/>
          <w:sz w:val="15"/>
          <w:szCs w:val="15"/>
        </w:rPr>
        <w:t>)</w:t>
      </w:r>
    </w:p>
    <w:p w:rsidR="00000000" w:rsidRDefault="003D51DE">
      <w:pPr>
        <w:jc w:val="both"/>
        <w:divId w:val="1341272278"/>
        <w:rPr>
          <w:rFonts w:eastAsia="Times New Roman"/>
        </w:rPr>
      </w:pPr>
      <w:r>
        <w:rPr>
          <w:rFonts w:eastAsia="Times New Roman"/>
          <w:sz w:val="15"/>
          <w:szCs w:val="15"/>
        </w:rPr>
        <w:t xml:space="preserve">Portions of the loan </w:t>
      </w:r>
      <w:r>
        <w:rPr>
          <w:rFonts w:eastAsia="Times New Roman"/>
          <w:sz w:val="15"/>
          <w:szCs w:val="15"/>
        </w:rPr>
        <w:t>bear interest at SOFR and at the Prime rate. The total coupon represents the weighted average interest rate at September 30, 2022 of all contracts within the loan facility</w:t>
      </w:r>
      <w:r>
        <w:rPr>
          <w:rFonts w:eastAsia="Times New Roman"/>
          <w:sz w:val="15"/>
          <w:szCs w:val="15"/>
        </w:rPr>
        <w:t>.</w:t>
      </w:r>
      <w:r>
        <w:rPr>
          <w:rFonts w:eastAsia="Times New Roman"/>
          <w:sz w:val="15"/>
          <w:szCs w:val="15"/>
        </w:rPr>
        <w:t xml:space="preserve"> </w:t>
      </w:r>
    </w:p>
    <w:p w:rsidR="00000000" w:rsidRDefault="003D51DE">
      <w:pPr>
        <w:jc w:val="both"/>
        <w:divId w:val="977875224"/>
        <w:rPr>
          <w:rFonts w:eastAsia="Times New Roman"/>
        </w:rPr>
      </w:pPr>
      <w:r>
        <w:rPr>
          <w:rFonts w:eastAsia="Times New Roman"/>
          <w:sz w:val="15"/>
          <w:szCs w:val="15"/>
        </w:rPr>
        <w:t>(V</w:t>
      </w:r>
      <w:r>
        <w:rPr>
          <w:rFonts w:eastAsia="Times New Roman"/>
          <w:sz w:val="15"/>
          <w:szCs w:val="15"/>
        </w:rPr>
        <w:t>)</w:t>
      </w:r>
    </w:p>
    <w:p w:rsidR="00000000" w:rsidRDefault="003D51DE">
      <w:pPr>
        <w:jc w:val="both"/>
        <w:divId w:val="1648440772"/>
        <w:rPr>
          <w:rFonts w:eastAsia="Times New Roman"/>
        </w:rPr>
      </w:pPr>
      <w:r>
        <w:rPr>
          <w:rFonts w:eastAsia="Times New Roman"/>
          <w:sz w:val="15"/>
          <w:szCs w:val="15"/>
        </w:rPr>
        <w:t>Refer to Notes 2 and 4 for additional information on the Company’s Interest Ra</w:t>
      </w:r>
      <w:r>
        <w:rPr>
          <w:rFonts w:eastAsia="Times New Roman"/>
          <w:sz w:val="15"/>
          <w:szCs w:val="15"/>
        </w:rPr>
        <w:t>te Swap</w:t>
      </w:r>
      <w:r>
        <w:rPr>
          <w:rFonts w:eastAsia="Times New Roman"/>
          <w:sz w:val="15"/>
          <w:szCs w:val="15"/>
        </w:rPr>
        <w:t>.</w:t>
      </w:r>
      <w:r>
        <w:rPr>
          <w:rFonts w:eastAsia="Times New Roman"/>
          <w:sz w:val="15"/>
          <w:szCs w:val="15"/>
        </w:rPr>
        <w:t xml:space="preserve"> </w:t>
      </w:r>
    </w:p>
    <w:p w:rsidR="00000000" w:rsidRDefault="003D51DE">
      <w:pPr>
        <w:pStyle w:val="a3"/>
        <w:spacing w:before="0" w:beforeAutospacing="0" w:after="0" w:afterAutospacing="0"/>
        <w:ind w:hanging="581"/>
        <w:jc w:val="both"/>
        <w:rPr>
          <w:sz w:val="20"/>
          <w:szCs w:val="20"/>
        </w:rPr>
      </w:pPr>
      <w:r>
        <w:rPr>
          <w:sz w:val="20"/>
          <w:szCs w:val="20"/>
        </w:rPr>
        <w:t> </w:t>
      </w:r>
    </w:p>
    <w:p w:rsidR="00000000" w:rsidRDefault="003D51DE">
      <w:pPr>
        <w:pStyle w:val="a3"/>
        <w:spacing w:before="0" w:beforeAutospacing="0" w:after="0" w:afterAutospacing="0"/>
        <w:ind w:hanging="581"/>
        <w:jc w:val="both"/>
        <w:rPr>
          <w:sz w:val="20"/>
          <w:szCs w:val="20"/>
        </w:rPr>
      </w:pPr>
      <w:r>
        <w:rPr>
          <w:sz w:val="20"/>
          <w:szCs w:val="20"/>
        </w:rPr>
        <w:t> </w:t>
      </w:r>
    </w:p>
    <w:p w:rsidR="00000000" w:rsidRDefault="003D51DE">
      <w:pPr>
        <w:pStyle w:val="a3"/>
        <w:spacing w:before="0" w:beforeAutospacing="0" w:after="0" w:afterAutospacing="0"/>
        <w:ind w:hanging="581"/>
        <w:jc w:val="both"/>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3</w:t>
      </w:r>
    </w:p>
    <w:p w:rsidR="00000000" w:rsidRDefault="003D51DE">
      <w:pPr>
        <w:rPr>
          <w:rFonts w:eastAsia="Times New Roman"/>
        </w:rPr>
      </w:pPr>
      <w:r>
        <w:rPr>
          <w:rFonts w:eastAsia="Times New Roman"/>
        </w:rPr>
        <w:pict>
          <v:rect id="_x0000_i1037"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September 30, 202</w:t>
      </w:r>
      <w:r>
        <w:rPr>
          <w:b/>
          <w:bCs/>
          <w:sz w:val="19"/>
          <w:szCs w:val="19"/>
        </w:rPr>
        <w:t>2</w:t>
      </w:r>
      <w:r>
        <w:rPr>
          <w:b/>
          <w:bCs/>
          <w:sz w:val="19"/>
          <w:szCs w:val="19"/>
        </w:rPr>
        <w:t xml:space="preserve"> </w:t>
      </w:r>
    </w:p>
    <w:p w:rsidR="00000000" w:rsidRDefault="003D51DE">
      <w:pPr>
        <w:pStyle w:val="a3"/>
        <w:spacing w:before="0" w:beforeAutospacing="0" w:after="120" w:afterAutospacing="0"/>
        <w:jc w:val="center"/>
        <w:rPr>
          <w:sz w:val="20"/>
          <w:szCs w:val="20"/>
        </w:rPr>
      </w:pPr>
      <w:r>
        <w:rPr>
          <w:b/>
          <w:bCs/>
          <w:sz w:val="19"/>
          <w:szCs w:val="19"/>
        </w:rPr>
        <w:t>(Unaudited</w:t>
      </w:r>
      <w:r>
        <w:rPr>
          <w:b/>
          <w:bCs/>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1"/>
        <w:gridCol w:w="110"/>
        <w:gridCol w:w="141"/>
        <w:gridCol w:w="646"/>
        <w:gridCol w:w="100"/>
        <w:gridCol w:w="110"/>
        <w:gridCol w:w="140"/>
        <w:gridCol w:w="700"/>
        <w:gridCol w:w="100"/>
        <w:gridCol w:w="110"/>
        <w:gridCol w:w="141"/>
        <w:gridCol w:w="502"/>
        <w:gridCol w:w="100"/>
        <w:gridCol w:w="110"/>
        <w:gridCol w:w="141"/>
        <w:gridCol w:w="915"/>
        <w:gridCol w:w="114"/>
        <w:gridCol w:w="110"/>
        <w:gridCol w:w="141"/>
        <w:gridCol w:w="897"/>
        <w:gridCol w:w="100"/>
        <w:gridCol w:w="110"/>
        <w:gridCol w:w="155"/>
        <w:gridCol w:w="861"/>
        <w:gridCol w:w="114"/>
        <w:gridCol w:w="110"/>
        <w:gridCol w:w="140"/>
        <w:gridCol w:w="700"/>
        <w:gridCol w:w="115"/>
      </w:tblGrid>
      <w:tr w:rsidR="00000000">
        <w:trPr>
          <w:tblCellSpacing w:w="15" w:type="dxa"/>
        </w:trPr>
        <w:tc>
          <w:tcPr>
            <w:tcW w:w="1201"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1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3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Non-Controlled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Dividends and interest incom</w:t>
            </w:r>
            <w:r>
              <w:rPr>
                <w:b/>
                <w:bCs/>
                <w:sz w:val="16"/>
                <w:szCs w:val="16"/>
              </w:rPr>
              <w:t>e</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realized gain (loss</w:t>
            </w:r>
            <w:r>
              <w:rPr>
                <w:b/>
                <w:bCs/>
                <w:sz w:val="16"/>
                <w:szCs w:val="16"/>
              </w:rPr>
              <w: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AGY Equity, LLC</w:t>
            </w: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A Preferred Stoc</w:t>
            </w:r>
            <w:r>
              <w:rPr>
                <w:sz w:val="16"/>
                <w:szCs w:val="16"/>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251,73</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251,73</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B Preferred Stoc</w:t>
            </w:r>
            <w:r>
              <w:rPr>
                <w:sz w:val="16"/>
                <w:szCs w:val="16"/>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C Common Stoc</w:t>
            </w:r>
            <w:r>
              <w:rPr>
                <w:sz w:val="16"/>
                <w:szCs w:val="16"/>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Kemmerer Operations, LLC (WMLP)</w:t>
            </w: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Senior Secured Loan, First Lie</w:t>
            </w:r>
            <w:r>
              <w:rPr>
                <w:sz w:val="16"/>
                <w:szCs w:val="16"/>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346,20</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3,091,61</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346,25</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464,73</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2,973,13</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Delayed Draw Term Loan, First Lie</w:t>
            </w:r>
            <w:r>
              <w:rPr>
                <w:sz w:val="16"/>
                <w:szCs w:val="16"/>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1,17</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42,55</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1,18</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43,73</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Kemmerer Holdings, LLC (WMLP)</w:t>
            </w: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746,07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583,99</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1,330,06</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347,37</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4,131,97</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332,25</w:t>
            </w:r>
            <w:r>
              <w:rPr>
                <w:sz w:val="16"/>
                <w:szCs w:val="16"/>
              </w:rPr>
              <w:t>6</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347,44</w:t>
            </w:r>
            <w:r>
              <w:rPr>
                <w:sz w:val="16"/>
                <w:szCs w:val="16"/>
              </w:rPr>
              <w:t>4</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r>
              <w:rPr>
                <w:sz w:val="16"/>
                <w:szCs w:val="16"/>
              </w:rPr>
              <w:t>508,47</w:t>
            </w:r>
            <w:r>
              <w:rPr>
                <w:sz w:val="16"/>
                <w:szCs w:val="16"/>
              </w:rPr>
              <w:t>3</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4,303,20</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bl>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pStyle w:val="a3"/>
        <w:spacing w:before="40" w:beforeAutospacing="0" w:after="0" w:afterAutospacing="0" w:line="180" w:lineRule="atLeast"/>
        <w:ind w:hanging="581"/>
        <w:jc w:val="both"/>
        <w:rPr>
          <w:sz w:val="20"/>
          <w:szCs w:val="20"/>
        </w:rPr>
      </w:pPr>
      <w:r>
        <w:rPr>
          <w:sz w:val="10"/>
          <w:szCs w:val="10"/>
          <w:vertAlign w:val="superscript"/>
        </w:rPr>
        <w:t>(1</w:t>
      </w:r>
      <w:r>
        <w:rPr>
          <w:sz w:val="10"/>
          <w:szCs w:val="10"/>
          <w:vertAlign w:val="superscript"/>
        </w:rPr>
        <w:t>)</w:t>
      </w:r>
      <w:r>
        <w:rPr>
          <w:sz w:val="15"/>
          <w:szCs w:val="15"/>
        </w:rPr>
        <w:t xml:space="preserve"> </w:t>
      </w:r>
      <w:r>
        <w:rPr>
          <w:sz w:val="15"/>
          <w:szCs w:val="15"/>
        </w:rPr>
        <w:t>The issuers of the securities listed on this schedule are considered non-controlled, affiliated investments under the 1940 Act due to the ownership by the Company of 5% to 25% of the issuers’ voting securities</w:t>
      </w:r>
      <w:r>
        <w:rPr>
          <w:sz w:val="15"/>
          <w:szCs w:val="15"/>
        </w:rPr>
        <w:t>.</w:t>
      </w:r>
    </w:p>
    <w:p w:rsidR="00000000" w:rsidRDefault="003D51DE">
      <w:pPr>
        <w:pStyle w:val="a3"/>
        <w:spacing w:before="40" w:beforeAutospacing="0" w:after="0" w:afterAutospacing="0" w:line="180" w:lineRule="atLeast"/>
        <w:ind w:hanging="581"/>
        <w:jc w:val="both"/>
        <w:rPr>
          <w:sz w:val="20"/>
          <w:szCs w:val="20"/>
        </w:rPr>
      </w:pPr>
      <w:r>
        <w:rPr>
          <w:sz w:val="10"/>
          <w:szCs w:val="10"/>
          <w:vertAlign w:val="superscript"/>
        </w:rPr>
        <w:t>(2</w:t>
      </w:r>
      <w:r>
        <w:rPr>
          <w:sz w:val="10"/>
          <w:szCs w:val="10"/>
          <w:vertAlign w:val="superscript"/>
        </w:rPr>
        <w:t>)</w:t>
      </w:r>
      <w:r>
        <w:rPr>
          <w:sz w:val="15"/>
          <w:szCs w:val="15"/>
        </w:rPr>
        <w:t xml:space="preserve"> </w:t>
      </w:r>
      <w:r>
        <w:rPr>
          <w:sz w:val="15"/>
          <w:szCs w:val="15"/>
        </w:rPr>
        <w:t>Amounts reported above are for the nine m</w:t>
      </w:r>
      <w:r>
        <w:rPr>
          <w:sz w:val="15"/>
          <w:szCs w:val="15"/>
        </w:rPr>
        <w:t>onths ended September 30, 2022. Dividends and interest income also includes fee income as applicable</w:t>
      </w:r>
      <w:r>
        <w:rPr>
          <w:sz w:val="15"/>
          <w:szCs w:val="15"/>
        </w:rPr>
        <w:t>.</w:t>
      </w:r>
    </w:p>
    <w:p w:rsidR="00000000" w:rsidRDefault="003D51DE">
      <w:pPr>
        <w:pStyle w:val="a3"/>
        <w:spacing w:before="40" w:beforeAutospacing="0" w:after="0" w:afterAutospacing="0" w:line="180" w:lineRule="atLeast"/>
        <w:ind w:hanging="581"/>
        <w:jc w:val="both"/>
        <w:rPr>
          <w:sz w:val="20"/>
          <w:szCs w:val="20"/>
        </w:rPr>
      </w:pPr>
      <w:r>
        <w:rPr>
          <w:sz w:val="10"/>
          <w:szCs w:val="10"/>
          <w:vertAlign w:val="superscript"/>
        </w:rPr>
        <w:t>(3</w:t>
      </w:r>
      <w:r>
        <w:rPr>
          <w:sz w:val="10"/>
          <w:szCs w:val="10"/>
          <w:vertAlign w:val="superscript"/>
        </w:rPr>
        <w:t>)</w:t>
      </w:r>
      <w:r>
        <w:rPr>
          <w:sz w:val="15"/>
          <w:szCs w:val="15"/>
        </w:rPr>
        <w:t xml:space="preserve"> </w:t>
      </w:r>
      <w:r>
        <w:rPr>
          <w:sz w:val="15"/>
          <w:szCs w:val="15"/>
        </w:rPr>
        <w:t>Acquisitions include new purchases, PIK income and amortization of original issue and market discounts, and the movement of an existing portfolio comp</w:t>
      </w:r>
      <w:r>
        <w:rPr>
          <w:sz w:val="15"/>
          <w:szCs w:val="15"/>
        </w:rPr>
        <w:t>any into this category from a different category for the nine months ended September 30, 2022</w:t>
      </w:r>
      <w:r>
        <w:rPr>
          <w:sz w:val="15"/>
          <w:szCs w:val="15"/>
        </w:rPr>
        <w:t>.</w:t>
      </w:r>
    </w:p>
    <w:p w:rsidR="00000000" w:rsidRDefault="003D51DE">
      <w:pPr>
        <w:pStyle w:val="a3"/>
        <w:spacing w:before="0" w:beforeAutospacing="0" w:after="0" w:afterAutospacing="0" w:line="180" w:lineRule="atLeast"/>
        <w:ind w:hanging="581"/>
        <w:jc w:val="both"/>
        <w:rPr>
          <w:sz w:val="20"/>
          <w:szCs w:val="20"/>
        </w:rPr>
      </w:pPr>
      <w:r>
        <w:rPr>
          <w:sz w:val="10"/>
          <w:szCs w:val="10"/>
          <w:vertAlign w:val="superscript"/>
        </w:rPr>
        <w:t>(4</w:t>
      </w:r>
      <w:r>
        <w:rPr>
          <w:sz w:val="10"/>
          <w:szCs w:val="10"/>
          <w:vertAlign w:val="superscript"/>
        </w:rPr>
        <w:t>)</w:t>
      </w:r>
      <w:r>
        <w:rPr>
          <w:sz w:val="15"/>
          <w:szCs w:val="15"/>
        </w:rPr>
        <w:t xml:space="preserve"> </w:t>
      </w:r>
      <w:r>
        <w:rPr>
          <w:sz w:val="15"/>
          <w:szCs w:val="15"/>
        </w:rPr>
        <w:t>Dispositions include decreases in the cost basis of investments, net of realized gain or loss, resulting from principal collections related to investment rep</w:t>
      </w:r>
      <w:r>
        <w:rPr>
          <w:sz w:val="15"/>
          <w:szCs w:val="15"/>
        </w:rPr>
        <w:t>ayments or sales, the exchange of one or more existing securities for one or more new securities and the movement of an existing portfolio company out of this category into a different category for the nine months ended September 30, 2022</w:t>
      </w:r>
      <w:r>
        <w:rPr>
          <w:sz w:val="15"/>
          <w:szCs w:val="15"/>
        </w:rPr>
        <w:t>.</w:t>
      </w:r>
      <w:r>
        <w:rPr>
          <w:sz w:val="15"/>
          <w:szCs w:val="15"/>
        </w:rPr>
        <w:t xml:space="preserve"> </w:t>
      </w:r>
    </w:p>
    <w:p w:rsidR="00000000" w:rsidRDefault="003D51DE">
      <w:pPr>
        <w:pStyle w:val="a3"/>
        <w:spacing w:before="180" w:beforeAutospacing="0" w:after="0" w:afterAutospacing="0"/>
        <w:ind w:hanging="735"/>
        <w:jc w:val="both"/>
        <w:rPr>
          <w:sz w:val="20"/>
          <w:szCs w:val="20"/>
        </w:rPr>
      </w:pPr>
      <w:r>
        <w:rPr>
          <w:sz w:val="19"/>
          <w:szCs w:val="19"/>
        </w:rPr>
        <w:t>The aggregate f</w:t>
      </w:r>
      <w:r>
        <w:rPr>
          <w:sz w:val="19"/>
          <w:szCs w:val="19"/>
        </w:rPr>
        <w:t>air value of non-controlled, affiliated investments at September 30, 2022 represents</w:t>
      </w:r>
      <w:r>
        <w:rPr>
          <w:sz w:val="19"/>
          <w:szCs w:val="19"/>
        </w:rPr>
        <w:t xml:space="preserve"> </w:t>
      </w:r>
      <w:r>
        <w:rPr>
          <w:sz w:val="19"/>
          <w:szCs w:val="19"/>
        </w:rPr>
        <w:t>1.</w:t>
      </w:r>
      <w:r>
        <w:rPr>
          <w:sz w:val="19"/>
          <w:szCs w:val="19"/>
        </w:rPr>
        <w:t>3</w:t>
      </w:r>
      <w:r>
        <w:rPr>
          <w:sz w:val="19"/>
          <w:szCs w:val="19"/>
        </w:rPr>
        <w:t>%</w:t>
      </w:r>
      <w:r>
        <w:rPr>
          <w:sz w:val="19"/>
          <w:szCs w:val="19"/>
        </w:rPr>
        <w:t xml:space="preserve"> of the Company’s net assets</w:t>
      </w:r>
      <w:r>
        <w:rPr>
          <w:sz w:val="19"/>
          <w:szCs w:val="19"/>
        </w:rPr>
        <w:t>.</w:t>
      </w:r>
      <w:r>
        <w:rPr>
          <w:sz w:val="19"/>
          <w:szCs w:val="19"/>
        </w:rPr>
        <w:t xml:space="preserve"> </w:t>
      </w:r>
    </w:p>
    <w:p w:rsidR="00000000" w:rsidRDefault="003D51DE">
      <w:pPr>
        <w:pStyle w:val="a3"/>
        <w:spacing w:before="180" w:beforeAutospacing="0" w:after="0" w:afterAutospacing="0"/>
        <w:ind w:hanging="735"/>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0"/>
        <w:gridCol w:w="110"/>
        <w:gridCol w:w="141"/>
        <w:gridCol w:w="651"/>
        <w:gridCol w:w="100"/>
        <w:gridCol w:w="110"/>
        <w:gridCol w:w="140"/>
        <w:gridCol w:w="780"/>
        <w:gridCol w:w="100"/>
        <w:gridCol w:w="110"/>
        <w:gridCol w:w="141"/>
        <w:gridCol w:w="499"/>
        <w:gridCol w:w="100"/>
        <w:gridCol w:w="110"/>
        <w:gridCol w:w="141"/>
        <w:gridCol w:w="913"/>
        <w:gridCol w:w="100"/>
        <w:gridCol w:w="110"/>
        <w:gridCol w:w="141"/>
        <w:gridCol w:w="910"/>
        <w:gridCol w:w="100"/>
        <w:gridCol w:w="110"/>
        <w:gridCol w:w="145"/>
        <w:gridCol w:w="871"/>
        <w:gridCol w:w="114"/>
        <w:gridCol w:w="110"/>
        <w:gridCol w:w="140"/>
        <w:gridCol w:w="780"/>
        <w:gridCol w:w="115"/>
      </w:tblGrid>
      <w:tr w:rsidR="00000000">
        <w:trPr>
          <w:tblCellSpacing w:w="15" w:type="dxa"/>
        </w:trPr>
        <w:tc>
          <w:tcPr>
            <w:tcW w:w="1139" w:type="pct"/>
            <w:vAlign w:val="center"/>
            <w:hideMark/>
          </w:tcPr>
          <w:p w:rsidR="00000000" w:rsidRDefault="003D51DE">
            <w:pPr>
              <w:rPr>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7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2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7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Dividends and interest incom</w:t>
            </w:r>
            <w:r>
              <w:rPr>
                <w:b/>
                <w:bCs/>
                <w:sz w:val="16"/>
                <w:szCs w:val="16"/>
              </w:rPr>
              <w:t>e</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realized gain (loss</w:t>
            </w:r>
            <w:r>
              <w:rPr>
                <w:b/>
                <w:bCs/>
                <w:sz w:val="16"/>
                <w:szCs w:val="16"/>
              </w:rPr>
              <w: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Gordon Brothers Finance Company</w:t>
            </w: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Unsecured Deb</w:t>
            </w:r>
            <w:r>
              <w:rPr>
                <w:sz w:val="16"/>
                <w:szCs w:val="16"/>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690,31</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4,175,38</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18,442,00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Preferred Stoc</w:t>
            </w:r>
            <w:r>
              <w:rPr>
                <w:sz w:val="16"/>
                <w:szCs w:val="16"/>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Common Stoc</w:t>
            </w:r>
            <w:r>
              <w:rPr>
                <w:sz w:val="16"/>
                <w:szCs w:val="16"/>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690,31</w:t>
            </w:r>
            <w:r>
              <w:rPr>
                <w:sz w:val="16"/>
                <w:szCs w:val="16"/>
              </w:rPr>
              <w:t>4</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w:t>
            </w:r>
            <w:r>
              <w:rPr>
                <w:sz w:val="16"/>
                <w:szCs w:val="16"/>
              </w:rPr>
              <w:t>4,175,38</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20"/>
                <w:szCs w:val="20"/>
              </w:rPr>
            </w:pPr>
            <w:r>
              <w:rPr>
                <w:sz w:val="16"/>
                <w:szCs w:val="16"/>
              </w:rPr>
              <w:t>18,442,00</w:t>
            </w:r>
            <w:r>
              <w:rPr>
                <w:sz w:val="16"/>
                <w:szCs w:val="16"/>
              </w:rPr>
              <w:t>0</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bl>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pStyle w:val="a3"/>
        <w:spacing w:before="40" w:beforeAutospacing="0" w:after="0" w:afterAutospacing="0"/>
        <w:ind w:hanging="581"/>
        <w:jc w:val="both"/>
        <w:rPr>
          <w:sz w:val="20"/>
          <w:szCs w:val="20"/>
        </w:rPr>
      </w:pPr>
      <w:r>
        <w:rPr>
          <w:sz w:val="10"/>
          <w:szCs w:val="10"/>
          <w:vertAlign w:val="superscript"/>
        </w:rPr>
        <w:t>(1</w:t>
      </w:r>
      <w:r>
        <w:rPr>
          <w:sz w:val="10"/>
          <w:szCs w:val="10"/>
          <w:vertAlign w:val="superscript"/>
        </w:rPr>
        <w:t>)</w:t>
      </w:r>
      <w:r>
        <w:rPr>
          <w:sz w:val="15"/>
          <w:szCs w:val="15"/>
        </w:rPr>
        <w:t xml:space="preserve"> </w:t>
      </w:r>
      <w:r>
        <w:rPr>
          <w:sz w:val="15"/>
          <w:szCs w:val="15"/>
        </w:rPr>
        <w:t>The issuers of securities listed on this schedule are considered controlled affiliates under the 1940 Act due to the ownership by the Company of more than 25% of the issuers’ voting securities</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(2</w:t>
      </w:r>
      <w:r>
        <w:rPr>
          <w:sz w:val="10"/>
          <w:szCs w:val="10"/>
          <w:vertAlign w:val="superscript"/>
        </w:rPr>
        <w:t>)</w:t>
      </w:r>
      <w:r>
        <w:rPr>
          <w:sz w:val="15"/>
          <w:szCs w:val="15"/>
        </w:rPr>
        <w:t xml:space="preserve"> </w:t>
      </w:r>
      <w:r>
        <w:rPr>
          <w:sz w:val="15"/>
          <w:szCs w:val="15"/>
        </w:rPr>
        <w:t>Amounts reported above are for the nine months ended September 30, 2022. Dividends and interest income also includes fee income as applicable</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(3</w:t>
      </w:r>
      <w:r>
        <w:rPr>
          <w:sz w:val="10"/>
          <w:szCs w:val="10"/>
          <w:vertAlign w:val="superscript"/>
        </w:rPr>
        <w:t>)</w:t>
      </w:r>
      <w:r>
        <w:rPr>
          <w:sz w:val="15"/>
          <w:szCs w:val="15"/>
        </w:rPr>
        <w:t xml:space="preserve"> </w:t>
      </w:r>
      <w:r>
        <w:rPr>
          <w:sz w:val="15"/>
          <w:szCs w:val="15"/>
        </w:rPr>
        <w:t>Acquisitions include increases in the cost basis of investments resulting from new portfolio investments, PIK</w:t>
      </w:r>
      <w:r>
        <w:rPr>
          <w:sz w:val="15"/>
          <w:szCs w:val="15"/>
        </w:rPr>
        <w:t xml:space="preserve"> interest or dividends, the amortization of unearned income, the exchange of one or more existing securities for one or more new securities and the movement of an existing portfolio company into this category from a different category for the nine months e</w:t>
      </w:r>
      <w:r>
        <w:rPr>
          <w:sz w:val="15"/>
          <w:szCs w:val="15"/>
        </w:rPr>
        <w:t>nded September 30, 2022</w:t>
      </w:r>
      <w:r>
        <w:rPr>
          <w:sz w:val="15"/>
          <w:szCs w:val="15"/>
        </w:rPr>
        <w:t>.</w:t>
      </w:r>
      <w:r>
        <w:rPr>
          <w:sz w:val="15"/>
          <w:szCs w:val="15"/>
        </w:rPr>
        <w:t xml:space="preserve"> </w:t>
      </w:r>
    </w:p>
    <w:p w:rsidR="00000000" w:rsidRDefault="003D51DE">
      <w:pPr>
        <w:pStyle w:val="a3"/>
        <w:spacing w:before="0" w:beforeAutospacing="0" w:after="0" w:afterAutospacing="0"/>
        <w:ind w:hanging="581"/>
        <w:jc w:val="both"/>
        <w:rPr>
          <w:sz w:val="20"/>
          <w:szCs w:val="20"/>
        </w:rPr>
      </w:pPr>
      <w:r>
        <w:rPr>
          <w:sz w:val="10"/>
          <w:szCs w:val="10"/>
          <w:vertAlign w:val="superscript"/>
        </w:rPr>
        <w:t>(4</w:t>
      </w:r>
      <w:r>
        <w:rPr>
          <w:sz w:val="10"/>
          <w:szCs w:val="10"/>
          <w:vertAlign w:val="superscript"/>
        </w:rPr>
        <w:t>)</w:t>
      </w:r>
      <w:r>
        <w:rPr>
          <w:sz w:val="15"/>
          <w:szCs w:val="15"/>
        </w:rPr>
        <w:t xml:space="preserve"> </w:t>
      </w:r>
      <w:r>
        <w:rPr>
          <w:sz w:val="15"/>
          <w:szCs w:val="15"/>
        </w:rPr>
        <w:t>Dispositions include decreases in the cost basis of investments, net of realized gain or loss, resulting from principal collections related to investment repayments or sales, the exchange of one or more existing securities for</w:t>
      </w:r>
      <w:r>
        <w:rPr>
          <w:sz w:val="15"/>
          <w:szCs w:val="15"/>
        </w:rPr>
        <w:t xml:space="preserve"> one or more new securities and the movement of an existing portfolio company out of this category into a different category for the nine months ended September 30, 2022</w:t>
      </w:r>
      <w:r>
        <w:rPr>
          <w:sz w:val="15"/>
          <w:szCs w:val="15"/>
        </w:rPr>
        <w:t>.</w:t>
      </w:r>
      <w:r>
        <w:rPr>
          <w:sz w:val="15"/>
          <w:szCs w:val="15"/>
        </w:rPr>
        <w:t xml:space="preserve"> </w:t>
      </w:r>
    </w:p>
    <w:p w:rsidR="00000000" w:rsidRDefault="003D51DE">
      <w:pPr>
        <w:pStyle w:val="a3"/>
        <w:spacing w:before="180" w:beforeAutospacing="0" w:after="0" w:afterAutospacing="0"/>
        <w:ind w:hanging="735"/>
        <w:jc w:val="both"/>
        <w:rPr>
          <w:sz w:val="20"/>
          <w:szCs w:val="20"/>
        </w:rPr>
      </w:pPr>
      <w:r>
        <w:rPr>
          <w:sz w:val="19"/>
          <w:szCs w:val="19"/>
        </w:rPr>
        <w:t>The aggregate fair value of controlled investments at September 30, 2022 represents</w:t>
      </w:r>
      <w:r>
        <w:rPr>
          <w:sz w:val="19"/>
          <w:szCs w:val="19"/>
        </w:rPr>
        <w:t xml:space="preserve"> </w:t>
      </w:r>
      <w:r>
        <w:rPr>
          <w:sz w:val="19"/>
          <w:szCs w:val="19"/>
        </w:rPr>
        <w:t>5.</w:t>
      </w:r>
      <w:r>
        <w:rPr>
          <w:sz w:val="19"/>
          <w:szCs w:val="19"/>
        </w:rPr>
        <w:t>6</w:t>
      </w:r>
      <w:r>
        <w:rPr>
          <w:sz w:val="19"/>
          <w:szCs w:val="19"/>
        </w:rPr>
        <w:t>%</w:t>
      </w:r>
      <w:r>
        <w:rPr>
          <w:sz w:val="19"/>
          <w:szCs w:val="19"/>
        </w:rPr>
        <w:t xml:space="preserve"> of the Company’s net assets</w:t>
      </w:r>
      <w:r>
        <w:rPr>
          <w:sz w:val="19"/>
          <w:szCs w:val="19"/>
        </w:rPr>
        <w:t>.</w:t>
      </w:r>
      <w:r>
        <w:rPr>
          <w:sz w:val="19"/>
          <w:szCs w:val="19"/>
        </w:rPr>
        <w:t xml:space="preserve"> </w:t>
      </w:r>
    </w:p>
    <w:p w:rsidR="00000000" w:rsidRDefault="003D51DE">
      <w:pPr>
        <w:pStyle w:val="a3"/>
        <w:spacing w:before="180" w:beforeAutospacing="0" w:after="0" w:afterAutospacing="0"/>
        <w:ind w:hanging="735"/>
        <w:jc w:val="both"/>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4</w:t>
      </w:r>
    </w:p>
    <w:p w:rsidR="00000000" w:rsidRDefault="003D51DE">
      <w:pPr>
        <w:rPr>
          <w:rFonts w:eastAsia="Times New Roman"/>
        </w:rPr>
      </w:pPr>
      <w:r>
        <w:rPr>
          <w:rFonts w:eastAsia="Times New Roman"/>
        </w:rPr>
        <w:pict>
          <v:rect id="_x0000_i1038"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1"/>
        <w:gridCol w:w="93"/>
        <w:gridCol w:w="689"/>
        <w:gridCol w:w="93"/>
        <w:gridCol w:w="653"/>
        <w:gridCol w:w="93"/>
        <w:gridCol w:w="93"/>
        <w:gridCol w:w="288"/>
        <w:gridCol w:w="169"/>
        <w:gridCol w:w="93"/>
        <w:gridCol w:w="94"/>
        <w:gridCol w:w="372"/>
        <w:gridCol w:w="169"/>
        <w:gridCol w:w="93"/>
        <w:gridCol w:w="115"/>
        <w:gridCol w:w="386"/>
        <w:gridCol w:w="169"/>
        <w:gridCol w:w="93"/>
        <w:gridCol w:w="653"/>
        <w:gridCol w:w="93"/>
        <w:gridCol w:w="125"/>
        <w:gridCol w:w="645"/>
        <w:gridCol w:w="93"/>
        <w:gridCol w:w="93"/>
        <w:gridCol w:w="125"/>
        <w:gridCol w:w="645"/>
        <w:gridCol w:w="104"/>
        <w:gridCol w:w="93"/>
        <w:gridCol w:w="125"/>
        <w:gridCol w:w="645"/>
        <w:gridCol w:w="104"/>
        <w:gridCol w:w="93"/>
        <w:gridCol w:w="495"/>
      </w:tblGrid>
      <w:tr w:rsidR="00000000">
        <w:trPr>
          <w:tblCellSpacing w:w="15" w:type="dxa"/>
        </w:trPr>
        <w:tc>
          <w:tcPr>
            <w:tcW w:w="802"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70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6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1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34"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w:t>
            </w:r>
            <w:r>
              <w:rPr>
                <w:b/>
                <w:bCs/>
                <w:sz w:val="13"/>
                <w:szCs w:val="13"/>
                <w:u w:val="single"/>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Aerospace &amp; Defens</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6,597,64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6,632,65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1,704,02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1,709,18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Unanet,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812,04</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816,32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9,113,71</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9,158,16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Automobile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2,801,15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2,763,85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2,863,06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ALCV Purchaser, Inc. (AutoLenders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3,00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2,760,85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2,863,06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Building Product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2,196,48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2,155,55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2,200,87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Porcelain Acquisition Corporation (Paramount</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16,83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2,138,71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2,202,76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1.</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485,09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560,22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532,26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571,99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1,017,35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1,076,99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Commercial Services &amp; Supplie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1,601,30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1,590,43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1,585,29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Delayed Draw Term Loan </w:t>
            </w:r>
            <w:r>
              <w:rPr>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352,28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349,72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348,76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Kellermeyer Bergensons Services,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Delayed Draw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319,88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318,12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315,00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2,615,25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2,577,52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2,596,94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Thermostat Purchaser III, Inc. (Reedy Industries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3,21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3,13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4,832,58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4,842,87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Construction &amp; Engineerin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3,189,33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3,110,74</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3,106,41</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8/10/202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23,48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50,69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Homerenew Buyer, Inc. (Project Dream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20,52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21,72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PHRG Intermediate, LLC (Power Home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2,437,50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2,462,50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2,458,48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2,492,58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Sunland Asphalt &amp; Construction,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840,65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826,13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836,56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8,788,86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8,825,63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Consumer Financ</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Barri Financial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12,356,95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12,098,32</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12,480,52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Containers &amp; Packagin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2,229,21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2,179,06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2,179,06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BW Holding, Inc. (Brook &amp; Whittle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8,70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8,70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PVHC Holding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10,284,52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8,924,44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9,256,07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11,094,79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11,426,42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2,370,59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2,327,38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2,294,73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Colony Display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38,12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2,328,56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2,256,61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9/30/202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11,763,15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11,862,85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11,735,91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Sr Secured Convertible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3.5</w:t>
            </w:r>
            <w:r>
              <w:rPr>
                <w:sz w:val="13"/>
                <w:szCs w:val="13"/>
              </w:rPr>
              <w:t>0</w:t>
            </w:r>
            <w:r>
              <w:rPr>
                <w:sz w:val="13"/>
                <w:szCs w:val="13"/>
              </w:rPr>
              <w:t>% Cash +</w:t>
            </w:r>
            <w:r>
              <w:rPr>
                <w:sz w:val="13"/>
                <w:szCs w:val="13"/>
              </w:rPr>
              <w:t xml:space="preserve"> </w:t>
            </w:r>
            <w:r>
              <w:rPr>
                <w:sz w:val="13"/>
                <w:szCs w:val="13"/>
              </w:rPr>
              <w:t>3.5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1,582,05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1,582,05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2,433,19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5,537,89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5,484,99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5,511,31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45,72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46,34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7,376,37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7,261,96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7,302,61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Thras.io,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12/18/202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3,091,83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3,012,79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3,033,62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Whele LLC (Perch</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Incremental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10/15/202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6,842,40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6,895,07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6,862,93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36,054,00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36,833,25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5</w:t>
      </w:r>
    </w:p>
    <w:p w:rsidR="00000000" w:rsidRDefault="003D51DE">
      <w:pPr>
        <w:rPr>
          <w:rFonts w:eastAsia="Times New Roman"/>
        </w:rPr>
      </w:pPr>
      <w:r>
        <w:rPr>
          <w:rFonts w:eastAsia="Times New Roman"/>
        </w:rPr>
        <w:pict>
          <v:rect id="_x0000_i1039"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3D51DE">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3"/>
        <w:gridCol w:w="93"/>
        <w:gridCol w:w="754"/>
        <w:gridCol w:w="93"/>
        <w:gridCol w:w="653"/>
        <w:gridCol w:w="93"/>
        <w:gridCol w:w="93"/>
        <w:gridCol w:w="288"/>
        <w:gridCol w:w="169"/>
        <w:gridCol w:w="93"/>
        <w:gridCol w:w="94"/>
        <w:gridCol w:w="372"/>
        <w:gridCol w:w="169"/>
        <w:gridCol w:w="93"/>
        <w:gridCol w:w="102"/>
        <w:gridCol w:w="399"/>
        <w:gridCol w:w="169"/>
        <w:gridCol w:w="93"/>
        <w:gridCol w:w="653"/>
        <w:gridCol w:w="93"/>
        <w:gridCol w:w="125"/>
        <w:gridCol w:w="645"/>
        <w:gridCol w:w="93"/>
        <w:gridCol w:w="93"/>
        <w:gridCol w:w="125"/>
        <w:gridCol w:w="645"/>
        <w:gridCol w:w="104"/>
        <w:gridCol w:w="93"/>
        <w:gridCol w:w="125"/>
        <w:gridCol w:w="645"/>
        <w:gridCol w:w="104"/>
        <w:gridCol w:w="93"/>
        <w:gridCol w:w="502"/>
      </w:tblGrid>
      <w:tr w:rsidR="00000000">
        <w:trPr>
          <w:tblCellSpacing w:w="15" w:type="dxa"/>
        </w:trPr>
        <w:tc>
          <w:tcPr>
            <w:tcW w:w="802"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70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6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31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7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190"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6,605,46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6,493,41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6,569,13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2-10 Holdco,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4,07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1,32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25,175,00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56,45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Callodine Commercial Finance,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Subordinated Deb</w:t>
            </w:r>
            <w:r>
              <w:rPr>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T</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Unsecured Deb</w:t>
            </w:r>
            <w:r>
              <w:rPr>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10/31/202</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41,861,53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41,861,53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21,927,07</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G/R/</w:t>
            </w:r>
            <w:r>
              <w:rPr>
                <w:sz w:val="13"/>
                <w:szCs w:val="13"/>
              </w:rPr>
              <w:t>U</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Oasis Financial,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4,914,14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4,935,00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2/11/202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11,300,00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11,111,24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11,028,80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94,376,25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74,690,13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Telecommunication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1,414,10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1,394,24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1,413,68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MetroNet Systems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2,911,39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2,856,89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2,910,51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4,251,14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4,324,19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Electrical Equipmen</w:t>
            </w:r>
            <w:r>
              <w:rPr>
                <w:b/>
                <w:bCs/>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Advanced Lighting Technologies,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Sr Secured Note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16.0</w:t>
            </w:r>
            <w:r>
              <w:rPr>
                <w:sz w:val="13"/>
                <w:szCs w:val="13"/>
              </w:rPr>
              <w:t>0</w:t>
            </w:r>
            <w:r>
              <w:rPr>
                <w:sz w:val="13"/>
                <w:szCs w:val="13"/>
              </w:rPr>
              <w:t>% PIK +</w:t>
            </w:r>
            <w:r>
              <w:rPr>
                <w:sz w:val="13"/>
                <w:szCs w:val="13"/>
              </w:rPr>
              <w:t xml:space="preserve"> </w:t>
            </w:r>
            <w:r>
              <w:rPr>
                <w:sz w:val="13"/>
                <w:szCs w:val="13"/>
              </w:rPr>
              <w:t>6.0</w:t>
            </w:r>
            <w:r>
              <w:rPr>
                <w:sz w:val="13"/>
                <w:szCs w:val="13"/>
              </w:rPr>
              <w:t>0</w:t>
            </w:r>
            <w:r>
              <w:rPr>
                <w:sz w:val="13"/>
                <w:szCs w:val="13"/>
              </w:rPr>
              <w:t>% Cas</w:t>
            </w:r>
            <w:r>
              <w:rPr>
                <w:sz w:val="13"/>
                <w:szCs w:val="13"/>
              </w:rPr>
              <w:t>h</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1,976,48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935,92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652,23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D/I/R/</w:t>
            </w:r>
            <w:r>
              <w:rPr>
                <w:sz w:val="13"/>
                <w:szCs w:val="13"/>
              </w:rPr>
              <w:t>U</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Health Care Equipment &amp; Supplie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Zest Acquisition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14,913,63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14,925,00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Health Care Providers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INH Buyer, Inc. (IMS Health</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2,693,25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2,642,02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2,531,65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Outcomes Group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10/26/202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5,760,37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5,769,23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Team Services Group,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11/13/202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6,554,54</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6,376,64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6,521,77</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Tempus, LLC (Epic Staffing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4,050,00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3,977,12</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4,090,50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Tempus, LLC (Epic Staffing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1,528,37</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1,495,59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1,569,22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20,251,76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20,482,38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Health Care Technolog</w:t>
            </w:r>
            <w:r>
              <w:rPr>
                <w:b/>
                <w:bCs/>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2,875,89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2,826,56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2,824,13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Appriss Health, LLC (PatientPing</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3,42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3,45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8,070,50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7,963,78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8,151,21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CareATC,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3/14/202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3,14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6,794,31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6,666,86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6,794,31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ESO Solutions,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10,98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Gainwell Acquisition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2,016,73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2,007,08</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2,055,05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4,462,69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4,545,00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Sandata Technologies,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7/23/202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3,96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23,905,48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24,366,26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Insuranc</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AmeriLife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9,035,06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8,886,83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9,035,06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1,953,38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1,921,25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1,918,22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IT Parent, LLC (Insurance Technologies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62,65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62,16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10,870,74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11,015,45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&amp; Catalog Retai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Syndigo,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12/14/202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4,673,47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4,609,83</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4,661,78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Astra Acquisition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10/25/202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7,166,56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7,023,23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7,041,15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14,872,70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15,135,00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Magenta Buyer, LLC (McAfee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7/27/202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6,902,75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6,936,58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MetricStream,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11,002,28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10,842,18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10,683,21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MetricStream,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Incremental Term Loan </w:t>
            </w:r>
            <w:r>
              <w:rPr>
                <w:sz w:val="13"/>
                <w:szCs w:val="13"/>
              </w:rPr>
              <w:t>(</w:t>
            </w:r>
            <w:r>
              <w:rPr>
                <w:sz w:val="13"/>
                <w:szCs w:val="13"/>
              </w:rPr>
              <w:t>3.2</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1,466,97</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1,437,64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1,437,63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Persado,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4.2</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1,562,50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1,552,23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1,546,87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12,069,63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11,847,61</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12,045,49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6</w:t>
      </w:r>
    </w:p>
    <w:p w:rsidR="00000000" w:rsidRDefault="003D51DE">
      <w:pPr>
        <w:rPr>
          <w:rFonts w:eastAsia="Times New Roman"/>
        </w:rPr>
      </w:pPr>
      <w:r>
        <w:rPr>
          <w:rFonts w:eastAsia="Times New Roman"/>
        </w:rPr>
        <w:pict>
          <v:rect id="_x0000_i1040"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1"/>
        <w:gridCol w:w="93"/>
        <w:gridCol w:w="689"/>
        <w:gridCol w:w="93"/>
        <w:gridCol w:w="653"/>
        <w:gridCol w:w="93"/>
        <w:gridCol w:w="93"/>
        <w:gridCol w:w="288"/>
        <w:gridCol w:w="169"/>
        <w:gridCol w:w="93"/>
        <w:gridCol w:w="94"/>
        <w:gridCol w:w="371"/>
        <w:gridCol w:w="169"/>
        <w:gridCol w:w="93"/>
        <w:gridCol w:w="102"/>
        <w:gridCol w:w="399"/>
        <w:gridCol w:w="169"/>
        <w:gridCol w:w="93"/>
        <w:gridCol w:w="653"/>
        <w:gridCol w:w="93"/>
        <w:gridCol w:w="125"/>
        <w:gridCol w:w="645"/>
        <w:gridCol w:w="93"/>
        <w:gridCol w:w="93"/>
        <w:gridCol w:w="125"/>
        <w:gridCol w:w="645"/>
        <w:gridCol w:w="104"/>
        <w:gridCol w:w="93"/>
        <w:gridCol w:w="125"/>
        <w:gridCol w:w="645"/>
        <w:gridCol w:w="104"/>
        <w:gridCol w:w="93"/>
        <w:gridCol w:w="386"/>
      </w:tblGrid>
      <w:tr w:rsidR="00000000">
        <w:trPr>
          <w:tblCellSpacing w:w="15" w:type="dxa"/>
        </w:trPr>
        <w:tc>
          <w:tcPr>
            <w:tcW w:w="798" w:type="pct"/>
            <w:vAlign w:val="center"/>
            <w:hideMark/>
          </w:tcPr>
          <w:p w:rsidR="00000000" w:rsidRDefault="003D51DE">
            <w:pPr>
              <w:rPr>
                <w:sz w:val="20"/>
                <w:szCs w:val="20"/>
              </w:rPr>
            </w:pPr>
          </w:p>
        </w:tc>
        <w:tc>
          <w:tcPr>
            <w:tcW w:w="49" w:type="pct"/>
            <w:vAlign w:val="center"/>
            <w:hideMark/>
          </w:tcPr>
          <w:p w:rsidR="00000000" w:rsidRDefault="003D51DE">
            <w:pPr>
              <w:rPr>
                <w:rFonts w:eastAsia="Times New Roman"/>
                <w:sz w:val="20"/>
                <w:szCs w:val="20"/>
              </w:rPr>
            </w:pPr>
          </w:p>
        </w:tc>
        <w:tc>
          <w:tcPr>
            <w:tcW w:w="698"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299"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5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323"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189"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Pluralsight,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16,34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1,86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Quartz Holding Company (Quick Base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5,433,49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5,512,95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1,431,81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1,403,42</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1,403,18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3,31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6,81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Suited Connector,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68,18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63,69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63,63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61,359,33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61,797,04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IT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Ensono,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Second Lien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5/28/202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4,952,04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Idera,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2,846,95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2,867,29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Puppet,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Term Loan </w:t>
            </w:r>
            <w:r>
              <w:rPr>
                <w:sz w:val="13"/>
                <w:szCs w:val="13"/>
              </w:rPr>
              <w:t>(</w:t>
            </w:r>
            <w:r>
              <w:rPr>
                <w:sz w:val="13"/>
                <w:szCs w:val="13"/>
              </w:rPr>
              <w:t>3.</w:t>
            </w:r>
            <w:r>
              <w:rPr>
                <w:sz w:val="13"/>
                <w:szCs w:val="13"/>
              </w:rPr>
              <w:t>0</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6/19/202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985,60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983,00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8,784,60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8,950,29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Machiner</w:t>
            </w:r>
            <w:r>
              <w:rPr>
                <w:b/>
                <w:bCs/>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1,444,79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1,418,82</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1,473,69</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Sonny's Enterprises,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3,894,75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3,827,54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3,972,64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5,246,36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5,446,34</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MBS Opco,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12/29/202</w:t>
            </w:r>
            <w:r>
              <w:rPr>
                <w:sz w:val="13"/>
                <w:szCs w:val="13"/>
              </w:rPr>
              <w:t>2</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14,400,00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NEP II,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10/19/202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3,131,76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2,880,85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3,060,51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17,280,85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17,460,51</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3,091,61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3,091,61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3,091,61</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F</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Kemmerer Operations, LLC (WMLP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6/21/202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D/F/</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3,134,16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3,134,16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Professional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Dude Solutions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9,251,73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9,123,04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9,270,23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Dude Solutions Holdings,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6/13/202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15,98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GI Consilio Parent,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5/14/202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4,953,06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5,050,00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9,892,49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9,718,43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9,991,41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JobandTalent USA, Inc.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5,300,00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5,209,44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5,353,00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RigUp,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20"/>
                <w:szCs w:val="20"/>
              </w:rPr>
            </w:pPr>
            <w:r>
              <w:rPr>
                <w:sz w:val="13"/>
                <w:szCs w:val="13"/>
              </w:rPr>
              <w:t xml:space="preserve">First Lien Delayed Draw Term Loan </w:t>
            </w:r>
            <w:r>
              <w:rPr>
                <w:sz w:val="13"/>
                <w:szCs w:val="13"/>
              </w:rPr>
              <w:t>(</w:t>
            </w:r>
            <w:r>
              <w:rPr>
                <w:sz w:val="13"/>
                <w:szCs w:val="13"/>
              </w:rPr>
              <w:t>3.</w:t>
            </w:r>
            <w:r>
              <w:rPr>
                <w:sz w:val="13"/>
                <w:szCs w:val="13"/>
              </w:rPr>
              <w:t>5</w:t>
            </w:r>
            <w:r>
              <w:rPr>
                <w:sz w:val="13"/>
                <w:szCs w:val="13"/>
              </w:rPr>
              <w:t>% Exit Fee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494,06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499,50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3,860,37</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3,483,84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3,532,24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TLE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6/28/202</w:t>
            </w:r>
            <w:r>
              <w:rPr>
                <w:sz w:val="13"/>
                <w:szCs w:val="13"/>
              </w:rPr>
              <w:t>4</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988,02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891,65</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904,04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VT TopCo, Inc. (Veritext</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1,057,87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1,064,65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34,915,44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35,665,09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Real Estate Management &amp; Developmen</w:t>
            </w:r>
            <w:r>
              <w:rPr>
                <w:b/>
                <w:bCs/>
                <w:sz w:val="13"/>
                <w:szCs w:val="13"/>
              </w:rPr>
              <w:t>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Greystone Affordable Housing Initiatives,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3/2/202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J</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Road &amp; Rai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Keep Truckin,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13,000,00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12,830,35</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 George Warehousing &amp; Trucking Co. of California,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Last Out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37,544,92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37,544,92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37,263,33</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 George Warehousing &amp; Trucking Co. of California,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Last Out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7,696,24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7,696,24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7,638,52</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58,071,52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57,901,86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Softwar</w:t>
            </w:r>
            <w:r>
              <w:rPr>
                <w:b/>
                <w:bCs/>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Aerospike,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12/29/202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2,416,86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2,392,76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2,392,69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3,876,08</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3,804,90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3,829,57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3.2</w:t>
            </w:r>
            <w:r>
              <w:rPr>
                <w:sz w:val="13"/>
                <w:szCs w:val="13"/>
              </w:rPr>
              <w:t>5</w:t>
            </w:r>
            <w:r>
              <w:rPr>
                <w:sz w:val="13"/>
                <w:szCs w:val="13"/>
              </w:rPr>
              <w:t>% Cash +</w:t>
            </w:r>
            <w:r>
              <w:rPr>
                <w:sz w:val="13"/>
                <w:szCs w:val="13"/>
              </w:rPr>
              <w:t xml:space="preserve"> </w:t>
            </w:r>
            <w:r>
              <w:rPr>
                <w:sz w:val="13"/>
                <w:szCs w:val="13"/>
              </w:rPr>
              <w:t>3.7</w:t>
            </w:r>
            <w:r>
              <w:rPr>
                <w:sz w:val="13"/>
                <w:szCs w:val="13"/>
              </w:rPr>
              <w:t>5</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409,52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406,40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404,61</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Aras Corporatio</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4/13/202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5,41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3,68</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5,038,40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4,903,90</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5,083,75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Backoffice Associates Holdings, LLC (Syniti</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PRIM</w:t>
            </w:r>
            <w:r>
              <w:rPr>
                <w:sz w:val="13"/>
                <w:szCs w:val="13"/>
              </w:rPr>
              <w:t>E</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4/30/202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164,26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147,10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164,26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Bluefin Holding, LLC (BlackMountain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7.9</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4,753,82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4,809,53</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2,833,33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2,792,69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2,809,81</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1,86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2,30</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CyberGrants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3,95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2,30</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1,506,66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1,476,67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1,476,53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2,63</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5,33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7</w:t>
      </w:r>
    </w:p>
    <w:p w:rsidR="00000000" w:rsidRDefault="003D51DE">
      <w:pPr>
        <w:rPr>
          <w:rFonts w:eastAsia="Times New Roman"/>
        </w:rPr>
      </w:pPr>
      <w:r>
        <w:rPr>
          <w:rFonts w:eastAsia="Times New Roman"/>
        </w:rPr>
        <w:pict>
          <v:rect id="_x0000_i1041"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6"/>
        <w:gridCol w:w="93"/>
        <w:gridCol w:w="689"/>
        <w:gridCol w:w="93"/>
        <w:gridCol w:w="653"/>
        <w:gridCol w:w="93"/>
        <w:gridCol w:w="93"/>
        <w:gridCol w:w="288"/>
        <w:gridCol w:w="169"/>
        <w:gridCol w:w="93"/>
        <w:gridCol w:w="94"/>
        <w:gridCol w:w="370"/>
        <w:gridCol w:w="169"/>
        <w:gridCol w:w="93"/>
        <w:gridCol w:w="102"/>
        <w:gridCol w:w="399"/>
        <w:gridCol w:w="169"/>
        <w:gridCol w:w="93"/>
        <w:gridCol w:w="653"/>
        <w:gridCol w:w="93"/>
        <w:gridCol w:w="125"/>
        <w:gridCol w:w="645"/>
        <w:gridCol w:w="93"/>
        <w:gridCol w:w="93"/>
        <w:gridCol w:w="125"/>
        <w:gridCol w:w="710"/>
        <w:gridCol w:w="104"/>
        <w:gridCol w:w="93"/>
        <w:gridCol w:w="125"/>
        <w:gridCol w:w="710"/>
        <w:gridCol w:w="104"/>
        <w:gridCol w:w="93"/>
        <w:gridCol w:w="495"/>
      </w:tblGrid>
      <w:tr w:rsidR="00000000">
        <w:trPr>
          <w:tblCellSpacing w:w="15" w:type="dxa"/>
        </w:trPr>
        <w:tc>
          <w:tcPr>
            <w:tcW w:w="797" w:type="pct"/>
            <w:vAlign w:val="center"/>
            <w:hideMark/>
          </w:tcPr>
          <w:p w:rsidR="00000000" w:rsidRDefault="003D51DE">
            <w:pPr>
              <w:rPr>
                <w:sz w:val="20"/>
                <w:szCs w:val="20"/>
              </w:rPr>
            </w:pPr>
          </w:p>
        </w:tc>
        <w:tc>
          <w:tcPr>
            <w:tcW w:w="49" w:type="pct"/>
            <w:vAlign w:val="center"/>
            <w:hideMark/>
          </w:tcPr>
          <w:p w:rsidR="00000000" w:rsidRDefault="003D51DE">
            <w:pPr>
              <w:rPr>
                <w:rFonts w:eastAsia="Times New Roman"/>
                <w:sz w:val="20"/>
                <w:szCs w:val="20"/>
              </w:rPr>
            </w:pPr>
          </w:p>
        </w:tc>
        <w:tc>
          <w:tcPr>
            <w:tcW w:w="698"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299"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5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315"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9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 w:type="pct"/>
            <w:vAlign w:val="center"/>
            <w:hideMark/>
          </w:tcPr>
          <w:p w:rsidR="00000000" w:rsidRDefault="003D51DE">
            <w:pPr>
              <w:rPr>
                <w:rFonts w:eastAsia="Times New Roman"/>
                <w:sz w:val="20"/>
                <w:szCs w:val="20"/>
              </w:rPr>
            </w:pPr>
          </w:p>
        </w:tc>
        <w:tc>
          <w:tcPr>
            <w:tcW w:w="200"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Ref(E</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Floo</w:t>
            </w:r>
            <w:r>
              <w:rPr>
                <w:b/>
                <w:bCs/>
                <w:sz w:val="13"/>
                <w:szCs w:val="13"/>
              </w:rPr>
              <w:t>r</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Sprea</w:t>
            </w:r>
            <w:r>
              <w:rPr>
                <w:b/>
                <w:bCs/>
                <w:sz w:val="13"/>
                <w:szCs w:val="13"/>
              </w:rPr>
              <w:t>d</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Maturit</w:t>
            </w:r>
            <w:r>
              <w:rPr>
                <w:b/>
                <w:bCs/>
                <w:sz w:val="13"/>
                <w:szCs w:val="13"/>
              </w:rPr>
              <w:t>y</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Principa</w:t>
            </w:r>
            <w:r>
              <w:rPr>
                <w:b/>
                <w:bCs/>
                <w:sz w:val="13"/>
                <w:szCs w:val="13"/>
              </w:rPr>
              <w:t>l</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Debt Investments (continued</w:t>
            </w:r>
            <w:r>
              <w:rPr>
                <w:b/>
                <w:bCs/>
                <w:sz w:val="13"/>
                <w:szCs w:val="13"/>
                <w:u w:val="single"/>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Integrate.com, Inc. (Infinity Data,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12/17/202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2,64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Oversight Systems,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9/24/202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1,558,94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1,529,06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1,515,44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1.0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5,447,06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5,385,18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5,474,29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r>
              <w:rPr>
                <w:sz w:val="13"/>
                <w:szCs w:val="13"/>
              </w:rPr>
              <w:t>% Cash +</w:t>
            </w:r>
            <w:r>
              <w:rPr>
                <w:sz w:val="13"/>
                <w:szCs w:val="13"/>
              </w:rPr>
              <w:t xml:space="preserve"> </w:t>
            </w:r>
            <w:r>
              <w:rPr>
                <w:sz w:val="13"/>
                <w:szCs w:val="13"/>
              </w:rPr>
              <w:t>1.0</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892,15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880,56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898,13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Rhode Holdings, Inc. (Kaseya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3,89</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3,686,25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3,618,96</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3,700,99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Raptor Acquisition, Inc. (Loopio)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7,17</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Vulcan Acquisition, Inc. (Tasktop)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3,016,30</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2,961,73</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3,046,46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SEP Vulcan Acquisition, Inc. (Tasktop) (Canada</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3/16/202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7,48</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4,663,72</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4,569,23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4,682,37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Superman Holdings, LLC (Foundation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8/31/202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6,42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Syntellis Performance Solutions, Inc. (Axiom Software</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847,51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826,01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864,46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1,481,48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1,452,01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1,451,85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3,66</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7,40</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Zilliant Incorporate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12/21/202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2,94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2,96</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41,852,95</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42,578,15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Specialty Retai</w:t>
            </w:r>
            <w:r>
              <w:rPr>
                <w:b/>
                <w:bCs/>
                <w:sz w:val="13"/>
                <w:szCs w:val="13"/>
              </w:rPr>
              <w:t>l</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xml:space="preserve">First Lien Term Loan </w:t>
            </w:r>
            <w:r>
              <w:rPr>
                <w:sz w:val="13"/>
                <w:szCs w:val="13"/>
              </w:rPr>
              <w:t>B</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5.6</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2/12/202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171,34</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164,62</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160,78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Calceus Acquisition, Inc. (Cole Haan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Sr Secured Note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Fixe</w:t>
            </w:r>
            <w:r>
              <w:rPr>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2/19/202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1,000,00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978,41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989,56</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Hanna Andersson,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7,332,37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7,195,04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7,303,04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8,338,09</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8,453,39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Technology Hardware, Storage &amp; Peripheral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SumUp Holdings Luxembourg S.A.R.L.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5,403,09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5,296,17</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5,186,24</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H/J/</w:t>
            </w:r>
            <w:r>
              <w:rPr>
                <w:sz w:val="13"/>
                <w:szCs w:val="13"/>
              </w:rPr>
              <w:t>S</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Textiles, Apparel &amp; Luxury Good</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6,666,66</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6,571,04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6,671,33</w:t>
            </w:r>
            <w:r>
              <w:rPr>
                <w:sz w:val="13"/>
                <w:szCs w:val="13"/>
              </w:rPr>
              <w:t>3</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James Perse Enterprises,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Revolve</w:t>
            </w:r>
            <w:r>
              <w:rPr>
                <w:sz w:val="13"/>
                <w:szCs w:val="13"/>
              </w:rPr>
              <w:t>r</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LIBOR(S</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65</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WH Buyer, LLC (Anne Klein</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FILO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8.3</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12/31/202</w:t>
            </w:r>
            <w:r>
              <w:rPr>
                <w:sz w:val="13"/>
                <w:szCs w:val="13"/>
              </w:rPr>
              <w:t>5</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16,426,96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16,314,15</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16,591,23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22,885,84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23,262,56</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Tobacco Relate</w:t>
            </w:r>
            <w:r>
              <w:rPr>
                <w:b/>
                <w:bCs/>
                <w:sz w:val="13"/>
                <w:szCs w:val="13"/>
              </w:rPr>
              <w:t>d</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Juul Labs,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8/2/202</w:t>
            </w:r>
            <w:r>
              <w:rPr>
                <w:sz w:val="13"/>
                <w:szCs w:val="13"/>
              </w:rPr>
              <w:t>3</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13,051,49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12,994,61</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12,999,29</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3,539,34</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3,469,16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3,468,56</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Purchaser,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Second Lien Delayed Draw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4/8/202</w:t>
            </w:r>
            <w:r>
              <w:rPr>
                <w:sz w:val="13"/>
                <w:szCs w:val="13"/>
              </w:rPr>
              <w:t>7</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11,58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r>
              <w:rPr>
                <w:sz w:val="13"/>
                <w:szCs w:val="13"/>
              </w:rPr>
              <w:t>23,59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N/</w:t>
            </w:r>
            <w:r>
              <w:rPr>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3,457,57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3,444,96</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13"/>
                <w:szCs w:val="13"/>
              </w:rPr>
            </w:pPr>
            <w:r>
              <w:rPr>
                <w:b/>
                <w:bCs/>
                <w:sz w:val="13"/>
                <w:szCs w:val="13"/>
              </w:rPr>
              <w:t>Wireless Telecommunication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OpenMarket, Inc. (Infobip)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First Lien Term Loa</w:t>
            </w:r>
            <w:r>
              <w:rPr>
                <w:sz w:val="13"/>
                <w:szCs w:val="13"/>
              </w:rPr>
              <w:t>n</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LIBOR(Q</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0.7</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6.2</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9/17/202</w:t>
            </w:r>
            <w:r>
              <w:rPr>
                <w:sz w:val="13"/>
                <w:szCs w:val="13"/>
              </w:rPr>
              <w:t>6</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4,987,50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4,868,61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4,844,35</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H/</w:t>
            </w:r>
            <w:r>
              <w:rPr>
                <w:sz w:val="13"/>
                <w:szCs w:val="13"/>
              </w:rPr>
              <w:t>J</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Debt Investments -</w:t>
            </w:r>
            <w:r>
              <w:rPr>
                <w:b/>
                <w:bCs/>
                <w:sz w:val="13"/>
                <w:szCs w:val="13"/>
              </w:rPr>
              <w:t xml:space="preserve"> </w:t>
            </w:r>
            <w:r>
              <w:rPr>
                <w:b/>
                <w:bCs/>
                <w:sz w:val="13"/>
                <w:szCs w:val="13"/>
              </w:rPr>
              <w:t>154.</w:t>
            </w:r>
            <w:r>
              <w:rPr>
                <w:b/>
                <w:bCs/>
                <w:sz w:val="13"/>
                <w:szCs w:val="13"/>
              </w:rPr>
              <w:t>5</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554,695,40</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540,074,73</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8</w:t>
      </w:r>
    </w:p>
    <w:p w:rsidR="00000000" w:rsidRDefault="003D51DE">
      <w:pPr>
        <w:rPr>
          <w:rFonts w:eastAsia="Times New Roman"/>
        </w:rPr>
      </w:pPr>
      <w:r>
        <w:rPr>
          <w:rFonts w:eastAsia="Times New Roman"/>
        </w:rPr>
        <w:pict>
          <v:rect id="_x0000_i1042"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4"/>
        <w:gridCol w:w="93"/>
        <w:gridCol w:w="1091"/>
        <w:gridCol w:w="93"/>
        <w:gridCol w:w="237"/>
        <w:gridCol w:w="93"/>
        <w:gridCol w:w="152"/>
        <w:gridCol w:w="93"/>
        <w:gridCol w:w="334"/>
        <w:gridCol w:w="93"/>
        <w:gridCol w:w="94"/>
        <w:gridCol w:w="415"/>
        <w:gridCol w:w="169"/>
        <w:gridCol w:w="93"/>
        <w:gridCol w:w="660"/>
        <w:gridCol w:w="93"/>
        <w:gridCol w:w="93"/>
        <w:gridCol w:w="580"/>
        <w:gridCol w:w="93"/>
        <w:gridCol w:w="93"/>
        <w:gridCol w:w="125"/>
        <w:gridCol w:w="710"/>
        <w:gridCol w:w="93"/>
        <w:gridCol w:w="93"/>
        <w:gridCol w:w="125"/>
        <w:gridCol w:w="710"/>
        <w:gridCol w:w="93"/>
        <w:gridCol w:w="93"/>
        <w:gridCol w:w="458"/>
      </w:tblGrid>
      <w:tr w:rsidR="00000000">
        <w:trPr>
          <w:tblCellSpacing w:w="15" w:type="dxa"/>
        </w:trPr>
        <w:tc>
          <w:tcPr>
            <w:tcW w:w="802"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827"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236"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179"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3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29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0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8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7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7" w:type="pct"/>
            <w:vAlign w:val="center"/>
            <w:hideMark/>
          </w:tcPr>
          <w:p w:rsidR="00000000" w:rsidRDefault="003D51DE">
            <w:pPr>
              <w:rPr>
                <w:rFonts w:eastAsia="Times New Roman"/>
                <w:sz w:val="20"/>
                <w:szCs w:val="20"/>
              </w:rPr>
            </w:pPr>
          </w:p>
        </w:tc>
        <w:tc>
          <w:tcPr>
            <w:tcW w:w="202" w:type="pct"/>
            <w:vAlign w:val="center"/>
            <w:hideMark/>
          </w:tcPr>
          <w:p w:rsidR="00000000" w:rsidRDefault="003D51DE">
            <w:pPr>
              <w:rPr>
                <w:rFonts w:eastAsia="Times New Roman"/>
                <w:sz w:val="20"/>
                <w:szCs w:val="20"/>
              </w:rPr>
            </w:pPr>
          </w:p>
        </w:tc>
      </w:tr>
      <w:tr w:rsidR="00000000">
        <w:trPr>
          <w:trHeight w:val="120"/>
          <w:tblCellSpacing w:w="15" w:type="dxa"/>
        </w:trPr>
        <w:tc>
          <w:tcPr>
            <w:tcW w:w="0" w:type="auto"/>
            <w:vAlign w:val="bottom"/>
            <w:hideMark/>
          </w:tcPr>
          <w:p w:rsidR="00000000" w:rsidRDefault="003D51DE">
            <w:pPr>
              <w:pStyle w:val="a3"/>
              <w:spacing w:before="0" w:beforeAutospacing="0" w:after="0" w:afterAutospacing="0"/>
              <w:rPr>
                <w:sz w:val="13"/>
                <w:szCs w:val="13"/>
              </w:rPr>
            </w:pPr>
            <w:r>
              <w:rPr>
                <w:b/>
                <w:bCs/>
                <w:sz w:val="13"/>
                <w:szCs w:val="13"/>
              </w:rPr>
              <w:t>Issuer(O/Q</w:t>
            </w:r>
            <w:r>
              <w:rPr>
                <w:b/>
                <w:bCs/>
                <w:sz w:val="13"/>
                <w:szCs w:val="13"/>
              </w:rPr>
              <w: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Instrumen</w:t>
            </w:r>
            <w:r>
              <w:rPr>
                <w:b/>
                <w:bCs/>
                <w:sz w:val="13"/>
                <w:szCs w:val="13"/>
              </w:rPr>
              <w:t>t</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Total Coupo</w:t>
            </w:r>
            <w:r>
              <w:rPr>
                <w:b/>
                <w:bCs/>
                <w:sz w:val="13"/>
                <w:szCs w:val="13"/>
              </w:rPr>
              <w:t>n</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Expiratio</w:t>
            </w:r>
            <w:r>
              <w:rPr>
                <w:b/>
                <w:bCs/>
                <w:sz w:val="13"/>
                <w:szCs w:val="13"/>
              </w:rPr>
              <w:t>n</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Cost(A</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3D51DE">
            <w:pPr>
              <w:pStyle w:val="a3"/>
              <w:spacing w:before="0" w:beforeAutospacing="0" w:after="0" w:afterAutospacing="0"/>
              <w:jc w:val="center"/>
              <w:rPr>
                <w:sz w:val="13"/>
                <w:szCs w:val="13"/>
              </w:rPr>
            </w:pPr>
            <w:r>
              <w:rPr>
                <w:b/>
                <w:bCs/>
                <w:sz w:val="13"/>
                <w:szCs w:val="13"/>
              </w:rPr>
              <w:t>Fair</w:t>
            </w:r>
            <w:r>
              <w:rPr>
                <w:b/>
                <w:bCs/>
                <w:sz w:val="13"/>
                <w:szCs w:val="13"/>
              </w:rPr>
              <w:br/>
              <w:t>Value(B</w:t>
            </w:r>
            <w:r>
              <w:rPr>
                <w:b/>
                <w:bCs/>
                <w:sz w:val="13"/>
                <w:szCs w:val="13"/>
              </w:rPr>
              <w:t>)</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3D51DE">
            <w:pPr>
              <w:pStyle w:val="a3"/>
              <w:spacing w:before="0" w:beforeAutospacing="0" w:after="0" w:afterAutospacing="0"/>
              <w:jc w:val="center"/>
              <w:rPr>
                <w:sz w:val="13"/>
                <w:szCs w:val="13"/>
              </w:rPr>
            </w:pPr>
            <w:r>
              <w:rPr>
                <w:b/>
                <w:bCs/>
                <w:sz w:val="13"/>
                <w:szCs w:val="13"/>
              </w:rPr>
              <w:t>Note</w:t>
            </w:r>
            <w:r>
              <w:rPr>
                <w:b/>
                <w:bCs/>
                <w:sz w:val="13"/>
                <w:szCs w:val="13"/>
              </w:rPr>
              <w:t>s</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u w:val="single"/>
              </w:rPr>
              <w:t>Equity Securitie</w:t>
            </w:r>
            <w:r>
              <w:rPr>
                <w:b/>
                <w:bCs/>
                <w:sz w:val="13"/>
                <w:szCs w:val="13"/>
                <w:u w:val="single"/>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Capital Market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Marsico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91,44</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1,848,07</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Pico Quantitative Trading Holdings,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5"/>
            <w:hideMark/>
          </w:tcPr>
          <w:p w:rsidR="00000000" w:rsidRDefault="003D51DE">
            <w:pPr>
              <w:pStyle w:val="a3"/>
              <w:spacing w:before="0" w:beforeAutospacing="0" w:after="0" w:afterAutospacing="0"/>
              <w:rPr>
                <w:sz w:val="13"/>
                <w:szCs w:val="13"/>
              </w:rPr>
            </w:pPr>
            <w:r>
              <w:rPr>
                <w:sz w:val="13"/>
                <w:szCs w:val="13"/>
              </w:rPr>
              <w:t>Warrants to Purchase Membership Unit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2/7/203</w:t>
            </w:r>
            <w:r>
              <w:rPr>
                <w:sz w:val="13"/>
                <w:szCs w:val="13"/>
              </w:rPr>
              <w:t>0</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14,80</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58,35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1,862,88</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58,35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Chemical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A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4,195,60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251,73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B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2,936,92</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AGY Equity,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Class C 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2,307,58</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I</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1,139,59</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251,73</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Consumer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Razor Group GmbH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Warrants to Purchase Preferred Series A1 Share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4/28/202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1,693,79</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SellerX Germany GmbH &amp; Co. Kg (Germany</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Warrants to Purchase Preferred Series B Share</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11/23/202</w:t>
            </w:r>
            <w:r>
              <w:rPr>
                <w:sz w:val="13"/>
                <w:szCs w:val="13"/>
              </w:rPr>
              <w:t>8</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126,69</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1,820,49</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Diversified Financial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Common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10,61</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10,611,54</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G</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Gordon Brothers Finance Compan</w:t>
            </w:r>
            <w:r>
              <w:rPr>
                <w:sz w:val="13"/>
                <w:szCs w:val="13"/>
              </w:rPr>
              <w:t>y</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34,28</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36,624,68</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C/G/</w:t>
            </w:r>
            <w:r>
              <w:rPr>
                <w:sz w:val="13"/>
                <w:szCs w:val="13"/>
              </w:rPr>
              <w:t>R</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5"/>
            <w:hideMark/>
          </w:tcPr>
          <w:p w:rsidR="00000000" w:rsidRDefault="003D51DE">
            <w:pPr>
              <w:pStyle w:val="a3"/>
              <w:spacing w:before="0" w:beforeAutospacing="0" w:after="0" w:afterAutospacing="0"/>
              <w:rPr>
                <w:sz w:val="13"/>
                <w:szCs w:val="13"/>
              </w:rPr>
            </w:pPr>
            <w:r>
              <w:rPr>
                <w:sz w:val="13"/>
                <w:szCs w:val="13"/>
              </w:rPr>
              <w:t>Warrants to Purchase Series 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2/11/203</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7,66</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188,40</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Worldremit Group Limited (United Kingdom</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5"/>
            <w:hideMark/>
          </w:tcPr>
          <w:p w:rsidR="00000000" w:rsidRDefault="003D51DE">
            <w:pPr>
              <w:pStyle w:val="a3"/>
              <w:spacing w:before="0" w:beforeAutospacing="0" w:after="0" w:afterAutospacing="0"/>
              <w:rPr>
                <w:sz w:val="13"/>
                <w:szCs w:val="13"/>
              </w:rPr>
            </w:pPr>
            <w:r>
              <w:rPr>
                <w:sz w:val="13"/>
                <w:szCs w:val="13"/>
              </w:rPr>
              <w:t>Warrants to Purchase Series E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8/27/203</w:t>
            </w:r>
            <w:r>
              <w:rPr>
                <w:sz w:val="13"/>
                <w:szCs w:val="13"/>
              </w:rPr>
              <w:t>1</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C/H/I/</w:t>
            </w:r>
            <w:r>
              <w:rPr>
                <w:sz w:val="13"/>
                <w:szCs w:val="13"/>
              </w:rPr>
              <w:t>J</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47,236,23</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193,85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Household Durable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Stitch Holdings, 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5,909,91</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5,910,00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Internet Software &amp; Service</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FinancialForce.com, Inc</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6"/>
            <w:hideMark/>
          </w:tcPr>
          <w:p w:rsidR="00000000" w:rsidRDefault="003D51DE">
            <w:pPr>
              <w:pStyle w:val="a3"/>
              <w:spacing w:before="0" w:beforeAutospacing="0" w:after="0" w:afterAutospacing="0"/>
              <w:rPr>
                <w:sz w:val="13"/>
                <w:szCs w:val="13"/>
              </w:rPr>
            </w:pPr>
            <w:r>
              <w:rPr>
                <w:sz w:val="13"/>
                <w:szCs w:val="13"/>
              </w:rPr>
              <w:t>Warrants to Purchase Series C 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1/30/202</w:t>
            </w:r>
            <w:r>
              <w:rPr>
                <w:sz w:val="13"/>
                <w:szCs w:val="13"/>
              </w:rPr>
              <w:t>9</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450,00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100,54</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260,55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Medi</w:t>
            </w:r>
            <w:r>
              <w:rPr>
                <w:b/>
                <w:bCs/>
                <w:sz w:val="13"/>
                <w:szCs w:val="13"/>
              </w:rPr>
              <w:t>a</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MBS Parent,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54</w:t>
            </w:r>
            <w:r>
              <w:rPr>
                <w:sz w:val="13"/>
                <w:szCs w:val="13"/>
              </w:rPr>
              <w:t>6</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500,00</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819,50</w:t>
            </w:r>
            <w:r>
              <w:rPr>
                <w:sz w:val="13"/>
                <w:szCs w:val="13"/>
              </w:rPr>
              <w:t>2</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M</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Metals &amp; Minin</w:t>
            </w:r>
            <w:r>
              <w:rPr>
                <w:b/>
                <w:bCs/>
                <w:sz w:val="13"/>
                <w:szCs w:val="13"/>
              </w:rPr>
              <w:t>g</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Kemmerer Holdings, LLC (WMLP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753,85</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746,07</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C/F/</w:t>
            </w:r>
            <w:r>
              <w:rPr>
                <w:sz w:val="13"/>
                <w:szCs w:val="13"/>
              </w:rPr>
              <w:t>K</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Oil, Gas &amp; Consumable Fuel</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ETX Energy Management Company,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53,81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ETX Energy, LL</w:t>
            </w:r>
            <w:r>
              <w:rPr>
                <w:sz w:val="13"/>
                <w:szCs w:val="13"/>
              </w:rPr>
              <w:t>C</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7"/>
            <w:hideMark/>
          </w:tcPr>
          <w:p w:rsidR="00000000" w:rsidRDefault="003D51DE">
            <w:pPr>
              <w:pStyle w:val="a3"/>
              <w:spacing w:before="0" w:beforeAutospacing="0" w:after="0" w:afterAutospacing="0"/>
              <w:rPr>
                <w:sz w:val="13"/>
                <w:szCs w:val="13"/>
              </w:rPr>
            </w:pPr>
            <w:r>
              <w:rPr>
                <w:sz w:val="13"/>
                <w:szCs w:val="13"/>
              </w:rPr>
              <w:t>Limited Partnership/Limited Liability Company Interest</w:t>
            </w:r>
            <w:r>
              <w:rPr>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51,11</w:t>
            </w:r>
            <w:r>
              <w:rPr>
                <w:sz w:val="13"/>
                <w:szCs w:val="13"/>
              </w:rPr>
              <w:t>9</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C/</w:t>
            </w:r>
            <w:r>
              <w:rPr>
                <w:sz w:val="13"/>
                <w:szCs w:val="13"/>
              </w:rPr>
              <w:t>L</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b/>
                <w:bCs/>
                <w:sz w:val="13"/>
                <w:szCs w:val="13"/>
              </w:rPr>
              <w:t>Trading Companies &amp; Distributor</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Blackbird Holdco, Inc. (Ohio Transmission Corp.</w:t>
            </w:r>
            <w:r>
              <w:rPr>
                <w:sz w:val="13"/>
                <w:szCs w:val="13"/>
              </w:rPr>
              <w:t>)</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Preferred Stoc</w:t>
            </w:r>
            <w:r>
              <w:rPr>
                <w:sz w:val="13"/>
                <w:szCs w:val="13"/>
              </w:rPr>
              <w:t>k</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20"/>
                <w:szCs w:val="20"/>
              </w:rPr>
            </w:pPr>
            <w:r>
              <w:rPr>
                <w:sz w:val="13"/>
                <w:szCs w:val="13"/>
              </w:rPr>
              <w:t>12.5</w:t>
            </w:r>
            <w:r>
              <w:rPr>
                <w:sz w:val="13"/>
                <w:szCs w:val="13"/>
              </w:rPr>
              <w:t>0</w:t>
            </w:r>
            <w:r>
              <w:rPr>
                <w:sz w:val="13"/>
                <w:szCs w:val="13"/>
              </w:rPr>
              <w:t>% PI</w:t>
            </w:r>
            <w:r>
              <w:rPr>
                <w:sz w:val="13"/>
                <w:szCs w:val="13"/>
              </w:rPr>
              <w:t>K</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2,47</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2,428,24</w:t>
            </w:r>
            <w:r>
              <w:rPr>
                <w:sz w:val="13"/>
                <w:szCs w:val="13"/>
              </w:rPr>
              <w:t>0</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2,428,68</w:t>
            </w:r>
            <w:r>
              <w:rPr>
                <w:sz w:val="13"/>
                <w:szCs w:val="13"/>
              </w:rPr>
              <w:t>8</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D/</w:t>
            </w:r>
            <w:r>
              <w:rPr>
                <w:sz w:val="13"/>
                <w:szCs w:val="13"/>
              </w:rPr>
              <w:t>I</w:t>
            </w:r>
          </w:p>
        </w:tc>
      </w:tr>
      <w:tr w:rsidR="00000000">
        <w:trPr>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Equity Securities -</w:t>
            </w:r>
            <w:r>
              <w:rPr>
                <w:b/>
                <w:bCs/>
                <w:sz w:val="13"/>
                <w:szCs w:val="13"/>
              </w:rPr>
              <w:t xml:space="preserve"> </w:t>
            </w:r>
            <w:r>
              <w:rPr>
                <w:b/>
                <w:bCs/>
                <w:sz w:val="13"/>
                <w:szCs w:val="13"/>
              </w:rPr>
              <w:t>3.</w:t>
            </w:r>
            <w:r>
              <w:rPr>
                <w:b/>
                <w:bCs/>
                <w:sz w:val="13"/>
                <w:szCs w:val="13"/>
              </w:rPr>
              <w:t>6</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59,931,25</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20"/>
                <w:szCs w:val="20"/>
              </w:rPr>
            </w:pPr>
            <w:r>
              <w:rPr>
                <w:sz w:val="13"/>
                <w:szCs w:val="13"/>
              </w:rPr>
              <w:t>12,489,25</w:t>
            </w:r>
            <w:r>
              <w:rPr>
                <w:sz w:val="13"/>
                <w:szCs w:val="13"/>
              </w:rPr>
              <w:t>7</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Investments -</w:t>
            </w:r>
            <w:r>
              <w:rPr>
                <w:b/>
                <w:bCs/>
                <w:sz w:val="13"/>
                <w:szCs w:val="13"/>
              </w:rPr>
              <w:t xml:space="preserve"> </w:t>
            </w:r>
            <w:r>
              <w:rPr>
                <w:b/>
                <w:bCs/>
                <w:sz w:val="13"/>
                <w:szCs w:val="13"/>
              </w:rPr>
              <w:t>158.</w:t>
            </w:r>
            <w:r>
              <w:rPr>
                <w:b/>
                <w:bCs/>
                <w:sz w:val="13"/>
                <w:szCs w:val="13"/>
              </w:rPr>
              <w:t>1</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614,626,65</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552,563,99</w:t>
            </w:r>
            <w:r>
              <w:rPr>
                <w:sz w:val="13"/>
                <w:szCs w:val="13"/>
              </w:rPr>
              <w:t>4</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Cash and Cash Equivalents -</w:t>
            </w:r>
            <w:r>
              <w:rPr>
                <w:b/>
                <w:bCs/>
                <w:sz w:val="13"/>
                <w:szCs w:val="13"/>
              </w:rPr>
              <w:t xml:space="preserve"> </w:t>
            </w:r>
            <w:r>
              <w:rPr>
                <w:b/>
                <w:bCs/>
                <w:sz w:val="13"/>
                <w:szCs w:val="13"/>
              </w:rPr>
              <w:t>3.</w:t>
            </w:r>
            <w:r>
              <w:rPr>
                <w:b/>
                <w:bCs/>
                <w:sz w:val="13"/>
                <w:szCs w:val="13"/>
              </w:rPr>
              <w:t>6</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12,750,12</w:t>
            </w:r>
            <w:r>
              <w:rPr>
                <w:sz w:val="13"/>
                <w:szCs w:val="13"/>
              </w:rPr>
              <w:t>1</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gridSpan w:val="3"/>
            <w:hideMark/>
          </w:tcPr>
          <w:p w:rsidR="00000000" w:rsidRDefault="003D51DE">
            <w:pPr>
              <w:pStyle w:val="a3"/>
              <w:spacing w:before="0" w:beforeAutospacing="0" w:after="0" w:afterAutospacing="0"/>
              <w:rPr>
                <w:sz w:val="20"/>
                <w:szCs w:val="20"/>
              </w:rPr>
            </w:pPr>
            <w:r>
              <w:rPr>
                <w:b/>
                <w:bCs/>
                <w:sz w:val="13"/>
                <w:szCs w:val="13"/>
              </w:rPr>
              <w:t>Total Cash and Investments -</w:t>
            </w:r>
            <w:r>
              <w:rPr>
                <w:b/>
                <w:bCs/>
                <w:sz w:val="13"/>
                <w:szCs w:val="13"/>
              </w:rPr>
              <w:t xml:space="preserve"> </w:t>
            </w:r>
            <w:r>
              <w:rPr>
                <w:b/>
                <w:bCs/>
                <w:sz w:val="13"/>
                <w:szCs w:val="13"/>
              </w:rPr>
              <w:t>161.</w:t>
            </w:r>
            <w:r>
              <w:rPr>
                <w:b/>
                <w:bCs/>
                <w:sz w:val="13"/>
                <w:szCs w:val="13"/>
              </w:rPr>
              <w:t>7</w:t>
            </w:r>
            <w:r>
              <w:rPr>
                <w:b/>
                <w:bCs/>
                <w:sz w:val="13"/>
                <w:szCs w:val="13"/>
              </w:rPr>
              <w:t>% of Net Asset</w:t>
            </w:r>
            <w:r>
              <w:rPr>
                <w:b/>
                <w:bCs/>
                <w:sz w:val="13"/>
                <w:szCs w:val="13"/>
              </w:rPr>
              <w:t>s</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gridSpan w:val="2"/>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hideMark/>
          </w:tcPr>
          <w:p w:rsidR="00000000" w:rsidRDefault="003D51DE">
            <w:pPr>
              <w:pStyle w:val="a3"/>
              <w:spacing w:before="0" w:beforeAutospacing="0" w:after="0" w:afterAutospacing="0"/>
              <w:jc w:val="right"/>
              <w:rPr>
                <w:sz w:val="13"/>
                <w:szCs w:val="13"/>
              </w:rPr>
            </w:pPr>
            <w:r>
              <w:rPr>
                <w:sz w:val="13"/>
                <w:szCs w:val="13"/>
              </w:rPr>
              <w:t> </w:t>
            </w:r>
          </w:p>
        </w:tc>
        <w:tc>
          <w:tcPr>
            <w:tcW w:w="0" w:type="auto"/>
            <w:noWrap/>
            <w:hideMark/>
          </w:tcPr>
          <w:p w:rsidR="00000000" w:rsidRDefault="003D51DE">
            <w:pPr>
              <w:pStyle w:val="a3"/>
              <w:spacing w:before="0" w:beforeAutospacing="0" w:after="0" w:afterAutospacing="0"/>
              <w:rPr>
                <w:sz w:val="13"/>
                <w:szCs w:val="13"/>
              </w:rPr>
            </w:pPr>
            <w:r>
              <w:rPr>
                <w:sz w:val="13"/>
                <w:szCs w:val="13"/>
              </w:rPr>
              <w:t>$</w:t>
            </w:r>
          </w:p>
        </w:tc>
        <w:tc>
          <w:tcPr>
            <w:tcW w:w="0" w:type="auto"/>
            <w:hideMark/>
          </w:tcPr>
          <w:p w:rsidR="00000000" w:rsidRDefault="003D51DE">
            <w:pPr>
              <w:pStyle w:val="a3"/>
              <w:spacing w:before="0" w:beforeAutospacing="0" w:after="0" w:afterAutospacing="0"/>
              <w:jc w:val="right"/>
              <w:rPr>
                <w:sz w:val="20"/>
                <w:szCs w:val="20"/>
              </w:rPr>
            </w:pPr>
            <w:r>
              <w:rPr>
                <w:sz w:val="13"/>
                <w:szCs w:val="13"/>
              </w:rPr>
              <w:t>565,314,11</w:t>
            </w:r>
            <w:r>
              <w:rPr>
                <w:sz w:val="13"/>
                <w:szCs w:val="13"/>
              </w:rPr>
              <w:t>5</w:t>
            </w:r>
          </w:p>
        </w:tc>
        <w:tc>
          <w:tcPr>
            <w:tcW w:w="0" w:type="auto"/>
            <w:noWrap/>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c>
          <w:tcPr>
            <w:tcW w:w="0" w:type="auto"/>
            <w:hideMark/>
          </w:tcPr>
          <w:p w:rsidR="00000000" w:rsidRDefault="003D51DE">
            <w:pPr>
              <w:pStyle w:val="a3"/>
              <w:spacing w:before="0" w:beforeAutospacing="0" w:after="0" w:afterAutospacing="0"/>
              <w:rPr>
                <w:sz w:val="13"/>
                <w:szCs w:val="13"/>
              </w:rPr>
            </w:pPr>
            <w:r>
              <w:rPr>
                <w:sz w:val="13"/>
                <w:szCs w:val="13"/>
              </w:rPr>
              <w:t> </w:t>
            </w:r>
          </w:p>
        </w:tc>
      </w:tr>
    </w:tbl>
    <w:p w:rsidR="00000000" w:rsidRDefault="003D51DE">
      <w:pPr>
        <w:pStyle w:val="a3"/>
        <w:spacing w:before="120" w:beforeAutospacing="0" w:after="40" w:afterAutospacing="0"/>
        <w:jc w:val="both"/>
        <w:rPr>
          <w:sz w:val="20"/>
          <w:szCs w:val="20"/>
        </w:rPr>
      </w:pPr>
      <w:r>
        <w:rPr>
          <w:i/>
          <w:iCs/>
          <w:sz w:val="16"/>
          <w:szCs w:val="16"/>
        </w:rPr>
        <w:t>Notes to Consolidated Schedules of Investments</w:t>
      </w:r>
      <w:r>
        <w:rPr>
          <w:i/>
          <w:iCs/>
          <w:sz w:val="16"/>
          <w:szCs w:val="16"/>
        </w:rPr>
        <w:t>:</w:t>
      </w:r>
    </w:p>
    <w:p w:rsidR="00000000" w:rsidRDefault="003D51DE">
      <w:pPr>
        <w:jc w:val="both"/>
        <w:rPr>
          <w:rFonts w:eastAsia="Times New Roman"/>
        </w:rPr>
      </w:pPr>
      <w:r>
        <w:rPr>
          <w:rFonts w:eastAsia="Times New Roman"/>
          <w:caps/>
          <w:sz w:val="15"/>
          <w:szCs w:val="15"/>
        </w:rPr>
        <w:t>(a</w:t>
      </w:r>
      <w:r>
        <w:rPr>
          <w:rFonts w:eastAsia="Times New Roman"/>
          <w:caps/>
          <w:sz w:val="15"/>
          <w:szCs w:val="15"/>
        </w:rPr>
        <w:t>)</w:t>
      </w:r>
    </w:p>
    <w:p w:rsidR="00000000" w:rsidRDefault="003D51DE">
      <w:pPr>
        <w:jc w:val="both"/>
        <w:divId w:val="467552685"/>
        <w:rPr>
          <w:rFonts w:eastAsia="Times New Roman"/>
        </w:rPr>
      </w:pPr>
      <w:r>
        <w:rPr>
          <w:rFonts w:eastAsia="Times New Roman"/>
          <w:sz w:val="15"/>
          <w:szCs w:val="15"/>
        </w:rPr>
        <w:t>Represents amortized cost for fixed income securities and cost for preferred and common stock, limited partnership/limited liability company interests and equity warrants/options</w:t>
      </w:r>
      <w:r>
        <w:rPr>
          <w:rFonts w:eastAsia="Times New Roman"/>
          <w:sz w:val="15"/>
          <w:szCs w:val="15"/>
        </w:rPr>
        <w:t>.</w:t>
      </w:r>
      <w:r>
        <w:rPr>
          <w:rFonts w:eastAsia="Times New Roman"/>
          <w:sz w:val="15"/>
          <w:szCs w:val="15"/>
        </w:rPr>
        <w:t xml:space="preserve"> </w:t>
      </w:r>
    </w:p>
    <w:p w:rsidR="00000000" w:rsidRDefault="003D51DE">
      <w:pPr>
        <w:jc w:val="both"/>
        <w:rPr>
          <w:rFonts w:eastAsia="Times New Roman"/>
        </w:rPr>
      </w:pPr>
      <w:r>
        <w:rPr>
          <w:rFonts w:eastAsia="Times New Roman"/>
          <w:caps/>
          <w:sz w:val="15"/>
          <w:szCs w:val="15"/>
        </w:rPr>
        <w:t>(b</w:t>
      </w:r>
      <w:r>
        <w:rPr>
          <w:rFonts w:eastAsia="Times New Roman"/>
          <w:caps/>
          <w:sz w:val="15"/>
          <w:szCs w:val="15"/>
        </w:rPr>
        <w:t>)</w:t>
      </w:r>
    </w:p>
    <w:p w:rsidR="00000000" w:rsidRDefault="003D51DE">
      <w:pPr>
        <w:jc w:val="both"/>
        <w:divId w:val="2109231923"/>
        <w:rPr>
          <w:rFonts w:eastAsia="Times New Roman"/>
        </w:rPr>
      </w:pPr>
      <w:r>
        <w:rPr>
          <w:rFonts w:eastAsia="Times New Roman"/>
          <w:sz w:val="15"/>
          <w:szCs w:val="15"/>
        </w:rPr>
        <w:t>Fair value is determined by or under the direction of the Company’s Board of Directors. See Note 2 for further details</w:t>
      </w:r>
      <w:r>
        <w:rPr>
          <w:rFonts w:eastAsia="Times New Roman"/>
          <w:sz w:val="15"/>
          <w:szCs w:val="15"/>
        </w:rPr>
        <w:t>.</w:t>
      </w:r>
      <w:r>
        <w:rPr>
          <w:rFonts w:eastAsia="Times New Roman"/>
          <w:sz w:val="15"/>
          <w:szCs w:val="15"/>
        </w:rPr>
        <w:t xml:space="preserve"> </w:t>
      </w:r>
    </w:p>
    <w:p w:rsidR="00000000" w:rsidRDefault="003D51DE">
      <w:pPr>
        <w:jc w:val="both"/>
        <w:rPr>
          <w:rFonts w:eastAsia="Times New Roman"/>
        </w:rPr>
      </w:pPr>
      <w:r>
        <w:rPr>
          <w:rFonts w:eastAsia="Times New Roman"/>
          <w:caps/>
          <w:sz w:val="15"/>
          <w:szCs w:val="15"/>
        </w:rPr>
        <w:t>(c</w:t>
      </w:r>
      <w:r>
        <w:rPr>
          <w:rFonts w:eastAsia="Times New Roman"/>
          <w:caps/>
          <w:sz w:val="15"/>
          <w:szCs w:val="15"/>
        </w:rPr>
        <w:t>)</w:t>
      </w:r>
    </w:p>
    <w:p w:rsidR="00000000" w:rsidRDefault="003D51DE">
      <w:pPr>
        <w:jc w:val="both"/>
        <w:divId w:val="1555266634"/>
        <w:rPr>
          <w:rFonts w:eastAsia="Times New Roman"/>
        </w:rPr>
      </w:pPr>
      <w:r>
        <w:rPr>
          <w:rFonts w:eastAsia="Times New Roman"/>
          <w:sz w:val="15"/>
          <w:szCs w:val="15"/>
        </w:rPr>
        <w:t>Non-income producing equity securities at December 31, 2021</w:t>
      </w:r>
      <w:r>
        <w:rPr>
          <w:rFonts w:eastAsia="Times New Roman"/>
          <w:sz w:val="15"/>
          <w:szCs w:val="15"/>
        </w:rPr>
        <w:t>.</w:t>
      </w:r>
      <w:r>
        <w:rPr>
          <w:rFonts w:eastAsia="Times New Roman"/>
          <w:sz w:val="15"/>
          <w:szCs w:val="15"/>
        </w:rPr>
        <w:t xml:space="preserve"> </w:t>
      </w:r>
    </w:p>
    <w:p w:rsidR="00000000" w:rsidRDefault="003D51DE">
      <w:pPr>
        <w:jc w:val="both"/>
        <w:rPr>
          <w:rFonts w:eastAsia="Times New Roman"/>
        </w:rPr>
      </w:pPr>
      <w:r>
        <w:rPr>
          <w:rFonts w:eastAsia="Times New Roman"/>
          <w:caps/>
          <w:sz w:val="15"/>
          <w:szCs w:val="15"/>
        </w:rPr>
        <w:t>(d</w:t>
      </w:r>
      <w:r>
        <w:rPr>
          <w:rFonts w:eastAsia="Times New Roman"/>
          <w:caps/>
          <w:sz w:val="15"/>
          <w:szCs w:val="15"/>
        </w:rPr>
        <w:t>)</w:t>
      </w:r>
    </w:p>
    <w:p w:rsidR="00000000" w:rsidRDefault="003D51DE">
      <w:pPr>
        <w:jc w:val="both"/>
        <w:divId w:val="1274442853"/>
        <w:rPr>
          <w:rFonts w:eastAsia="Times New Roman"/>
        </w:rPr>
      </w:pPr>
      <w:r>
        <w:rPr>
          <w:rFonts w:eastAsia="Times New Roman"/>
          <w:sz w:val="15"/>
          <w:szCs w:val="15"/>
        </w:rPr>
        <w:t>Interest may be paid in cash or PIK, or a combination thereof whi</w:t>
      </w:r>
      <w:r>
        <w:rPr>
          <w:rFonts w:eastAsia="Times New Roman"/>
          <w:sz w:val="15"/>
          <w:szCs w:val="15"/>
        </w:rPr>
        <w:t>ch is generally at the option of the borrower. PIK earned is included in the cost basis of the security. In accordance with the Company’s policy, PIK is recorded on an effective yield basis</w:t>
      </w:r>
      <w:r>
        <w:rPr>
          <w:rFonts w:eastAsia="Times New Roman"/>
          <w:sz w:val="15"/>
          <w:szCs w:val="15"/>
        </w:rPr>
        <w:t>.</w:t>
      </w:r>
      <w:r>
        <w:rPr>
          <w:rFonts w:eastAsia="Times New Roman"/>
          <w:sz w:val="15"/>
          <w:szCs w:val="15"/>
        </w:rPr>
        <w:t xml:space="preserve"> </w:t>
      </w:r>
    </w:p>
    <w:p w:rsidR="00000000" w:rsidRDefault="003D51DE">
      <w:pPr>
        <w:jc w:val="both"/>
        <w:rPr>
          <w:rFonts w:eastAsia="Times New Roman"/>
        </w:rPr>
      </w:pPr>
      <w:r>
        <w:rPr>
          <w:rFonts w:eastAsia="Times New Roman"/>
          <w:caps/>
          <w:sz w:val="15"/>
          <w:szCs w:val="15"/>
        </w:rPr>
        <w:t>(e</w:t>
      </w:r>
      <w:r>
        <w:rPr>
          <w:rFonts w:eastAsia="Times New Roman"/>
          <w:caps/>
          <w:sz w:val="15"/>
          <w:szCs w:val="15"/>
        </w:rPr>
        <w:t>)</w:t>
      </w:r>
    </w:p>
    <w:p w:rsidR="00000000" w:rsidRDefault="003D51DE">
      <w:pPr>
        <w:jc w:val="both"/>
        <w:divId w:val="20404464"/>
        <w:rPr>
          <w:rFonts w:eastAsia="Times New Roman"/>
        </w:rPr>
      </w:pPr>
      <w:r>
        <w:rPr>
          <w:rFonts w:eastAsia="Times New Roman"/>
          <w:sz w:val="15"/>
          <w:szCs w:val="15"/>
        </w:rPr>
        <w:t>Approximately</w:t>
      </w:r>
      <w:r>
        <w:rPr>
          <w:rFonts w:eastAsia="Times New Roman"/>
          <w:sz w:val="15"/>
          <w:szCs w:val="15"/>
        </w:rPr>
        <w:t xml:space="preserve"> </w:t>
      </w:r>
      <w:r>
        <w:rPr>
          <w:rFonts w:eastAsia="Times New Roman"/>
          <w:sz w:val="15"/>
          <w:szCs w:val="15"/>
        </w:rPr>
        <w:t>98.</w:t>
      </w:r>
      <w:r>
        <w:rPr>
          <w:rFonts w:eastAsia="Times New Roman"/>
          <w:sz w:val="15"/>
          <w:szCs w:val="15"/>
        </w:rPr>
        <w:t>9</w:t>
      </w:r>
      <w:r>
        <w:rPr>
          <w:rFonts w:eastAsia="Times New Roman"/>
          <w:sz w:val="15"/>
          <w:szCs w:val="15"/>
        </w:rPr>
        <w:t>% of the fair value of total senior secure</w:t>
      </w:r>
      <w:r>
        <w:rPr>
          <w:rFonts w:eastAsia="Times New Roman"/>
          <w:sz w:val="15"/>
          <w:szCs w:val="15"/>
        </w:rPr>
        <w:t>d loans in the Company’s portfolio bear interest at a floating rate that may be determined by reference to the London Interbank Offered Rate (LIBOR), “L”, or other base rate (commonly the Federal Funds Rate or the Prime Rate), “P”, at the borrower’s option</w:t>
      </w:r>
      <w:r>
        <w:rPr>
          <w:rFonts w:eastAsia="Times New Roman"/>
          <w:sz w:val="15"/>
          <w:szCs w:val="15"/>
        </w:rPr>
        <w:t>. In addition,</w:t>
      </w:r>
      <w:r>
        <w:rPr>
          <w:rFonts w:eastAsia="Times New Roman"/>
          <w:sz w:val="15"/>
          <w:szCs w:val="15"/>
        </w:rPr>
        <w:t xml:space="preserve"> </w:t>
      </w:r>
      <w:r>
        <w:rPr>
          <w:rFonts w:eastAsia="Times New Roman"/>
          <w:sz w:val="15"/>
          <w:szCs w:val="15"/>
        </w:rPr>
        <w:t>92.</w:t>
      </w:r>
      <w:r>
        <w:rPr>
          <w:rFonts w:eastAsia="Times New Roman"/>
          <w:sz w:val="15"/>
          <w:szCs w:val="15"/>
        </w:rPr>
        <w:t>5</w:t>
      </w:r>
      <w:r>
        <w:rPr>
          <w:rFonts w:eastAsia="Times New Roman"/>
          <w:sz w:val="15"/>
          <w:szCs w:val="15"/>
        </w:rPr>
        <w:t>% of the fair value of such senior secured loans have floors of</w:t>
      </w:r>
      <w:r>
        <w:rPr>
          <w:rFonts w:eastAsia="Times New Roman"/>
          <w:sz w:val="15"/>
          <w:szCs w:val="15"/>
        </w:rPr>
        <w:t xml:space="preserve"> </w:t>
      </w:r>
      <w:r>
        <w:rPr>
          <w:rFonts w:eastAsia="Times New Roman"/>
          <w:sz w:val="15"/>
          <w:szCs w:val="15"/>
        </w:rPr>
        <w:t>0.2</w:t>
      </w:r>
      <w:r>
        <w:rPr>
          <w:rFonts w:eastAsia="Times New Roman"/>
          <w:sz w:val="15"/>
          <w:szCs w:val="15"/>
        </w:rPr>
        <w:t>5</w:t>
      </w:r>
      <w:r>
        <w:rPr>
          <w:rFonts w:eastAsia="Times New Roman"/>
          <w:sz w:val="15"/>
          <w:szCs w:val="15"/>
        </w:rPr>
        <w:t>% to</w:t>
      </w:r>
      <w:r>
        <w:rPr>
          <w:rFonts w:eastAsia="Times New Roman"/>
          <w:sz w:val="15"/>
          <w:szCs w:val="15"/>
        </w:rPr>
        <w:t xml:space="preserve"> </w:t>
      </w:r>
      <w:r>
        <w:rPr>
          <w:rFonts w:eastAsia="Times New Roman"/>
          <w:sz w:val="15"/>
          <w:szCs w:val="15"/>
        </w:rPr>
        <w:t>2.7</w:t>
      </w:r>
      <w:r>
        <w:rPr>
          <w:rFonts w:eastAsia="Times New Roman"/>
          <w:sz w:val="15"/>
          <w:szCs w:val="15"/>
        </w:rPr>
        <w:t>5</w:t>
      </w:r>
      <w:r>
        <w:rPr>
          <w:rFonts w:eastAsia="Times New Roman"/>
          <w:sz w:val="15"/>
          <w:szCs w:val="15"/>
        </w:rPr>
        <w:t>%. The borrower under a senior secured loan generally has the option to select from interest reset periods of one, two, three or six months and may alter that s</w:t>
      </w:r>
      <w:r>
        <w:rPr>
          <w:rFonts w:eastAsia="Times New Roman"/>
          <w:sz w:val="15"/>
          <w:szCs w:val="15"/>
        </w:rPr>
        <w:t>election at the end of any reset period. The stated interest rate represents the weighted average interest rate at December 31, 2021 of all contracts within the specified loan facility</w:t>
      </w:r>
      <w:r>
        <w:rPr>
          <w:rFonts w:eastAsia="Times New Roman"/>
          <w:sz w:val="15"/>
          <w:szCs w:val="15"/>
        </w:rPr>
        <w:t>.</w:t>
      </w:r>
    </w:p>
    <w:p w:rsidR="00000000" w:rsidRDefault="003D51DE">
      <w:pPr>
        <w:jc w:val="both"/>
        <w:rPr>
          <w:rFonts w:eastAsia="Times New Roman"/>
        </w:rPr>
      </w:pPr>
      <w:r>
        <w:rPr>
          <w:rFonts w:eastAsia="Times New Roman"/>
          <w:caps/>
          <w:sz w:val="15"/>
          <w:szCs w:val="15"/>
        </w:rPr>
        <w:t>(f</w:t>
      </w:r>
      <w:r>
        <w:rPr>
          <w:rFonts w:eastAsia="Times New Roman"/>
          <w:caps/>
          <w:sz w:val="15"/>
          <w:szCs w:val="15"/>
        </w:rPr>
        <w:t>)</w:t>
      </w:r>
    </w:p>
    <w:p w:rsidR="00000000" w:rsidRDefault="003D51DE">
      <w:pPr>
        <w:jc w:val="both"/>
        <w:divId w:val="58329753"/>
        <w:rPr>
          <w:rFonts w:eastAsia="Times New Roman"/>
        </w:rPr>
      </w:pPr>
      <w:r>
        <w:rPr>
          <w:rFonts w:eastAsia="Times New Roman"/>
          <w:sz w:val="15"/>
          <w:szCs w:val="15"/>
        </w:rPr>
        <w:t>Transaction and other information for “non-controlled, affiliated”</w:t>
      </w:r>
      <w:r>
        <w:rPr>
          <w:rFonts w:eastAsia="Times New Roman"/>
          <w:sz w:val="15"/>
          <w:szCs w:val="15"/>
        </w:rPr>
        <w:t xml:space="preserve"> investments under the 1940 Act, whereby the Company owns 5% or more (but not more than 25%) of the portfolio company’s outstanding voting securities, is presented in a separate table in Consolidated Schedules of Investments</w:t>
      </w:r>
      <w:r>
        <w:rPr>
          <w:rFonts w:eastAsia="Times New Roman"/>
          <w:sz w:val="15"/>
          <w:szCs w:val="15"/>
        </w:rPr>
        <w:t>.</w:t>
      </w:r>
      <w:r>
        <w:rPr>
          <w:rFonts w:eastAsia="Times New Roman"/>
          <w:sz w:val="15"/>
          <w:szCs w:val="15"/>
        </w:rPr>
        <w:t xml:space="preserve"> </w:t>
      </w:r>
    </w:p>
    <w:p w:rsidR="00000000" w:rsidRDefault="003D51DE">
      <w:pPr>
        <w:jc w:val="both"/>
        <w:rPr>
          <w:rFonts w:eastAsia="Times New Roman"/>
        </w:rPr>
      </w:pPr>
      <w:r>
        <w:rPr>
          <w:rFonts w:eastAsia="Times New Roman"/>
          <w:caps/>
          <w:sz w:val="15"/>
          <w:szCs w:val="15"/>
        </w:rPr>
        <w:t>(g</w:t>
      </w:r>
      <w:r>
        <w:rPr>
          <w:rFonts w:eastAsia="Times New Roman"/>
          <w:caps/>
          <w:sz w:val="15"/>
          <w:szCs w:val="15"/>
        </w:rPr>
        <w:t>)</w:t>
      </w:r>
    </w:p>
    <w:p w:rsidR="00000000" w:rsidRDefault="003D51DE">
      <w:pPr>
        <w:jc w:val="both"/>
        <w:divId w:val="232935116"/>
        <w:rPr>
          <w:rFonts w:eastAsia="Times New Roman"/>
        </w:rPr>
      </w:pPr>
      <w:r>
        <w:rPr>
          <w:rFonts w:eastAsia="Times New Roman"/>
          <w:sz w:val="15"/>
          <w:szCs w:val="15"/>
        </w:rPr>
        <w:t>Transaction and other inf</w:t>
      </w:r>
      <w:r>
        <w:rPr>
          <w:rFonts w:eastAsia="Times New Roman"/>
          <w:sz w:val="15"/>
          <w:szCs w:val="15"/>
        </w:rPr>
        <w:t>ormation for “controlled” investments under the 1940 Act, whereby the Company owns more than 25% of the portfolio company’s outstanding voting securities, is presented in a separate table in Consolidated Schedules of Investments</w:t>
      </w:r>
      <w:r>
        <w:rPr>
          <w:rFonts w:eastAsia="Times New Roman"/>
          <w:sz w:val="15"/>
          <w:szCs w:val="15"/>
        </w:rPr>
        <w:t>.</w:t>
      </w:r>
    </w:p>
    <w:p w:rsidR="00000000" w:rsidRDefault="003D51DE">
      <w:pPr>
        <w:jc w:val="both"/>
        <w:rPr>
          <w:rFonts w:eastAsia="Times New Roman"/>
        </w:rPr>
      </w:pPr>
      <w:r>
        <w:rPr>
          <w:rFonts w:eastAsia="Times New Roman"/>
          <w:caps/>
          <w:sz w:val="15"/>
          <w:szCs w:val="15"/>
        </w:rPr>
        <w:t>(h</w:t>
      </w:r>
      <w:r>
        <w:rPr>
          <w:rFonts w:eastAsia="Times New Roman"/>
          <w:caps/>
          <w:sz w:val="15"/>
          <w:szCs w:val="15"/>
        </w:rPr>
        <w:t>)</w:t>
      </w:r>
    </w:p>
    <w:p w:rsidR="00000000" w:rsidRDefault="003D51DE">
      <w:pPr>
        <w:jc w:val="both"/>
        <w:divId w:val="310212224"/>
        <w:rPr>
          <w:rFonts w:eastAsia="Times New Roman"/>
        </w:rPr>
      </w:pPr>
      <w:r>
        <w:rPr>
          <w:rFonts w:eastAsia="Times New Roman"/>
          <w:sz w:val="15"/>
          <w:szCs w:val="15"/>
        </w:rPr>
        <w:t>Non-U.S. company or pr</w:t>
      </w:r>
      <w:r>
        <w:rPr>
          <w:rFonts w:eastAsia="Times New Roman"/>
          <w:sz w:val="15"/>
          <w:szCs w:val="15"/>
        </w:rPr>
        <w:t>incipal place of business outside the U.</w:t>
      </w:r>
      <w:r>
        <w:rPr>
          <w:rFonts w:eastAsia="Times New Roman"/>
          <w:sz w:val="15"/>
          <w:szCs w:val="15"/>
        </w:rPr>
        <w:t>S</w:t>
      </w:r>
      <w:r>
        <w:rPr>
          <w:rFonts w:eastAsia="Times New Roman"/>
          <w:sz w:val="15"/>
          <w:szCs w:val="15"/>
        </w:rPr>
        <w:t>.</w:t>
      </w:r>
      <w:r>
        <w:rPr>
          <w:rFonts w:eastAsia="Times New Roman"/>
          <w:sz w:val="15"/>
          <w:szCs w:val="15"/>
        </w:rPr>
        <w:t xml:space="preserve">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1</w:t>
      </w:r>
      <w:r>
        <w:rPr>
          <w:sz w:val="19"/>
          <w:szCs w:val="19"/>
        </w:rPr>
        <w:t>9</w:t>
      </w:r>
    </w:p>
    <w:p w:rsidR="00000000" w:rsidRDefault="003D51DE">
      <w:pPr>
        <w:rPr>
          <w:rFonts w:eastAsia="Times New Roman"/>
        </w:rPr>
      </w:pPr>
      <w:r>
        <w:rPr>
          <w:rFonts w:eastAsia="Times New Roman"/>
        </w:rPr>
        <w:pict>
          <v:rect id="_x0000_i1043"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w:t>
      </w:r>
      <w:r>
        <w:rPr>
          <w:b/>
          <w:bCs/>
          <w:sz w:val="19"/>
          <w:szCs w:val="19"/>
        </w:rPr>
        <w:t>ntinued</w:t>
      </w:r>
      <w:r>
        <w:rPr>
          <w:b/>
          <w:bCs/>
          <w:sz w:val="19"/>
          <w:szCs w:val="19"/>
        </w:rPr>
        <w:t>)</w:t>
      </w:r>
    </w:p>
    <w:p w:rsidR="00000000" w:rsidRDefault="003D51DE">
      <w:pPr>
        <w:pStyle w:val="a3"/>
        <w:spacing w:before="0" w:beforeAutospacing="0" w:after="0" w:afterAutospacing="0"/>
        <w:ind w:hanging="581"/>
        <w:jc w:val="center"/>
        <w:rPr>
          <w:sz w:val="20"/>
          <w:szCs w:val="20"/>
        </w:rPr>
      </w:pPr>
      <w:r>
        <w:rPr>
          <w:b/>
          <w:bCs/>
          <w:sz w:val="19"/>
          <w:szCs w:val="19"/>
        </w:rPr>
        <w:t>December 31, 202</w:t>
      </w:r>
      <w:r>
        <w:rPr>
          <w:b/>
          <w:bCs/>
          <w:sz w:val="19"/>
          <w:szCs w:val="19"/>
        </w:rPr>
        <w:t>1</w:t>
      </w:r>
    </w:p>
    <w:p w:rsidR="00000000" w:rsidRDefault="003D51DE">
      <w:pPr>
        <w:jc w:val="both"/>
        <w:rPr>
          <w:rFonts w:eastAsia="Times New Roman"/>
        </w:rPr>
      </w:pPr>
      <w:r>
        <w:rPr>
          <w:rFonts w:eastAsia="Times New Roman"/>
          <w:caps/>
          <w:sz w:val="15"/>
          <w:szCs w:val="15"/>
        </w:rPr>
        <w:t>(i</w:t>
      </w:r>
      <w:r>
        <w:rPr>
          <w:rFonts w:eastAsia="Times New Roman"/>
          <w:caps/>
          <w:sz w:val="15"/>
          <w:szCs w:val="15"/>
        </w:rPr>
        <w:t>)</w:t>
      </w:r>
    </w:p>
    <w:p w:rsidR="00000000" w:rsidRDefault="003D51DE">
      <w:pPr>
        <w:jc w:val="both"/>
        <w:divId w:val="866679382"/>
        <w:rPr>
          <w:rFonts w:eastAsia="Times New Roman"/>
        </w:rPr>
      </w:pPr>
      <w:r>
        <w:rPr>
          <w:rFonts w:eastAsia="Times New Roman"/>
          <w:sz w:val="15"/>
          <w:szCs w:val="15"/>
        </w:rPr>
        <w:t>Securities are either exempt from registration under Rule 144A of the Securities Act, or sale of the security is subject to certain contractual restrictions. Securities that are exempt from registration under 144A may be resold in transactions, normally to</w:t>
      </w:r>
      <w:r>
        <w:rPr>
          <w:rFonts w:eastAsia="Times New Roman"/>
          <w:sz w:val="15"/>
          <w:szCs w:val="15"/>
        </w:rPr>
        <w:t xml:space="preserve"> qualified institutional buyers. In aggregate, these securities represented</w:t>
      </w:r>
      <w:r>
        <w:rPr>
          <w:rFonts w:eastAsia="Times New Roman"/>
          <w:sz w:val="15"/>
          <w:szCs w:val="15"/>
        </w:rPr>
        <w:t xml:space="preserve"> </w:t>
      </w:r>
      <w:r>
        <w:rPr>
          <w:rFonts w:eastAsia="Times New Roman"/>
          <w:sz w:val="15"/>
          <w:szCs w:val="15"/>
        </w:rPr>
        <w:t>3.</w:t>
      </w:r>
      <w:r>
        <w:rPr>
          <w:rFonts w:eastAsia="Times New Roman"/>
          <w:sz w:val="15"/>
          <w:szCs w:val="15"/>
        </w:rPr>
        <w:t>3</w:t>
      </w:r>
      <w:r>
        <w:rPr>
          <w:rFonts w:eastAsia="Times New Roman"/>
          <w:sz w:val="15"/>
          <w:szCs w:val="15"/>
        </w:rPr>
        <w:t>% of the Company’s net assets as of December 31, 2021. The acquisition dates for restricted securities of unaffiliated issuers were as follows as of December 31, 2021</w:t>
      </w:r>
      <w:r>
        <w:rPr>
          <w:rFonts w:eastAsia="Times New Roman"/>
          <w:sz w:val="15"/>
          <w:szCs w:val="15"/>
        </w:rPr>
        <w:t>:</w:t>
      </w:r>
    </w:p>
    <w:p w:rsidR="00000000" w:rsidRDefault="003D51DE">
      <w:pPr>
        <w:pStyle w:val="a3"/>
        <w:spacing w:before="0" w:beforeAutospacing="0" w:after="0" w:afterAutospacing="0"/>
        <w:ind w:hanging="581"/>
        <w:jc w:val="both"/>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203"/>
        <w:gridCol w:w="103"/>
        <w:gridCol w:w="1339"/>
      </w:tblGrid>
      <w:tr w:rsidR="00000000">
        <w:trPr>
          <w:tblCellSpacing w:w="15" w:type="dxa"/>
        </w:trPr>
        <w:tc>
          <w:tcPr>
            <w:tcW w:w="3952" w:type="pct"/>
            <w:vAlign w:val="center"/>
            <w:hideMark/>
          </w:tcPr>
          <w:p w:rsidR="00000000" w:rsidRDefault="003D51DE">
            <w:pPr>
              <w:rPr>
                <w:sz w:val="20"/>
                <w:szCs w:val="20"/>
              </w:rPr>
            </w:pPr>
          </w:p>
        </w:tc>
        <w:tc>
          <w:tcPr>
            <w:tcW w:w="54" w:type="pct"/>
            <w:vAlign w:val="center"/>
            <w:hideMark/>
          </w:tcPr>
          <w:p w:rsidR="00000000" w:rsidRDefault="003D51DE">
            <w:pPr>
              <w:rPr>
                <w:rFonts w:eastAsia="Times New Roman"/>
                <w:sz w:val="20"/>
                <w:szCs w:val="20"/>
              </w:rPr>
            </w:pPr>
          </w:p>
        </w:tc>
        <w:tc>
          <w:tcPr>
            <w:tcW w:w="992"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Inv</w:t>
            </w:r>
            <w:r>
              <w:rPr>
                <w:b/>
                <w:bCs/>
                <w:sz w:val="16"/>
                <w:szCs w:val="16"/>
              </w:rPr>
              <w:t>estmen</w:t>
            </w:r>
            <w:r>
              <w:rPr>
                <w:b/>
                <w:bCs/>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Initial Acquisition Dat</w:t>
            </w:r>
            <w:r>
              <w:rPr>
                <w:b/>
                <w:bCs/>
                <w:sz w:val="16"/>
                <w:szCs w:val="16"/>
              </w:rPr>
              <w:t>e</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Marsico Holdings, LLC, Limited Partnership/Limited Liability Company Interest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11/28/200</w:t>
            </w:r>
            <w:r>
              <w:rPr>
                <w:sz w:val="16"/>
                <w:szCs w:val="16"/>
              </w:rPr>
              <w:t>7</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FinancialForce.com, Warrants to Purchase Series C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1/30/201</w:t>
            </w:r>
            <w:r>
              <w:rPr>
                <w:sz w:val="16"/>
                <w:szCs w:val="16"/>
              </w:rPr>
              <w:t>9</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Pico Quantitative Trading Holdings, LLC, Warrants to Purchase Membership Unit</w:t>
            </w:r>
            <w:r>
              <w:rPr>
                <w:sz w:val="16"/>
                <w:szCs w:val="16"/>
              </w:rPr>
              <w:t>s</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2/7/202</w:t>
            </w:r>
            <w:r>
              <w:rPr>
                <w:sz w:val="16"/>
                <w:szCs w:val="16"/>
              </w:rPr>
              <w:t>0</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Worldremit Group Limited (United Kingdom), Warrants to Purchase Series D Stoc</w:t>
            </w:r>
            <w:r>
              <w:rPr>
                <w:sz w:val="16"/>
                <w:szCs w:val="16"/>
              </w:rPr>
              <w:t>k</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2/11/</w:t>
            </w:r>
            <w:r>
              <w:rPr>
                <w:sz w:val="16"/>
                <w:szCs w:val="16"/>
              </w:rPr>
              <w:t>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Advanced Lighting Technologies, LLC, Senior Secured Note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3/16/202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Razor Group GmbH (Germany), Warrants to Purchase Preferred Series A1 Share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4/28/202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Stitch Holdings, L.P., Limited Partnership Interest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7/30/202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Worldremit Group Limited (United Kingdom), Warrants to Purchase Series E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8/27/202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xml:space="preserve">SellerX Germany GmbH &amp; </w:t>
            </w:r>
            <w:r>
              <w:rPr>
                <w:sz w:val="16"/>
                <w:szCs w:val="16"/>
              </w:rPr>
              <w:t>Co. Kg (Germany), Warrants to Purchase Preferred Series B Share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11/23/202</w:t>
            </w:r>
            <w:r>
              <w:rPr>
                <w:sz w:val="16"/>
                <w:szCs w:val="16"/>
              </w:rPr>
              <w:t>1</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Blackbird Holdco, Inc. (Ohio Transmission Corp.),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12/14/202</w:t>
            </w:r>
            <w:r>
              <w:rPr>
                <w:sz w:val="16"/>
                <w:szCs w:val="16"/>
              </w:rPr>
              <w:t>1</w:t>
            </w:r>
          </w:p>
        </w:tc>
      </w:tr>
    </w:tbl>
    <w:p w:rsidR="00000000" w:rsidRDefault="003D51DE">
      <w:pPr>
        <w:pStyle w:val="a3"/>
        <w:spacing w:before="40" w:beforeAutospacing="0" w:after="0" w:afterAutospacing="0"/>
        <w:ind w:hanging="581"/>
        <w:jc w:val="both"/>
        <w:rPr>
          <w:sz w:val="20"/>
          <w:szCs w:val="20"/>
        </w:rPr>
      </w:pPr>
      <w:r>
        <w:rPr>
          <w:sz w:val="20"/>
          <w:szCs w:val="20"/>
        </w:rPr>
        <w:t> </w:t>
      </w:r>
    </w:p>
    <w:p w:rsidR="00000000" w:rsidRDefault="003D51DE">
      <w:pPr>
        <w:jc w:val="both"/>
        <w:divId w:val="1175531671"/>
        <w:rPr>
          <w:rFonts w:eastAsia="Times New Roman"/>
        </w:rPr>
      </w:pPr>
      <w:r>
        <w:rPr>
          <w:rFonts w:eastAsia="Times New Roman"/>
          <w:caps/>
          <w:sz w:val="15"/>
          <w:szCs w:val="15"/>
        </w:rPr>
        <w:t>(j</w:t>
      </w:r>
      <w:r>
        <w:rPr>
          <w:rFonts w:eastAsia="Times New Roman"/>
          <w:caps/>
          <w:sz w:val="15"/>
          <w:szCs w:val="15"/>
        </w:rPr>
        <w:t>)</w:t>
      </w:r>
    </w:p>
    <w:p w:rsidR="00000000" w:rsidRDefault="003D51DE">
      <w:pPr>
        <w:jc w:val="both"/>
        <w:divId w:val="1907179032"/>
        <w:rPr>
          <w:rFonts w:eastAsia="Times New Roman"/>
        </w:rPr>
      </w:pPr>
      <w:r>
        <w:rPr>
          <w:rFonts w:eastAsia="Times New Roman"/>
          <w:sz w:val="15"/>
          <w:szCs w:val="15"/>
        </w:rPr>
        <w:t>Investments that the Company has determined are not “qualifying assets” under Section 55(a)</w:t>
      </w:r>
      <w:r>
        <w:rPr>
          <w:rFonts w:eastAsia="Times New Roman"/>
          <w:sz w:val="15"/>
          <w:szCs w:val="15"/>
        </w:rPr>
        <w:t xml:space="preserve"> of the 1940 Act. Under the 1940 Act, we may not acquire any non-qualifying asset unless, at the time such acquisition is made, qualifying assets represent at least 70% of our total assets. The status of these assets under the 1940 Act may be subject to ch</w:t>
      </w:r>
      <w:r>
        <w:rPr>
          <w:rFonts w:eastAsia="Times New Roman"/>
          <w:sz w:val="15"/>
          <w:szCs w:val="15"/>
        </w:rPr>
        <w:t>ange. The Company monitors the status of these assets on an ongoing basis. As of December 31, 2021, approximately</w:t>
      </w:r>
      <w:r>
        <w:rPr>
          <w:rFonts w:eastAsia="Times New Roman"/>
          <w:sz w:val="15"/>
          <w:szCs w:val="15"/>
        </w:rPr>
        <w:t xml:space="preserve"> </w:t>
      </w:r>
      <w:r>
        <w:rPr>
          <w:rFonts w:eastAsia="Times New Roman"/>
          <w:sz w:val="15"/>
          <w:szCs w:val="15"/>
        </w:rPr>
        <w:t>11.</w:t>
      </w:r>
      <w:r>
        <w:rPr>
          <w:rFonts w:eastAsia="Times New Roman"/>
          <w:sz w:val="15"/>
          <w:szCs w:val="15"/>
        </w:rPr>
        <w:t>7</w:t>
      </w:r>
      <w:r>
        <w:rPr>
          <w:rFonts w:eastAsia="Times New Roman"/>
          <w:sz w:val="15"/>
          <w:szCs w:val="15"/>
        </w:rPr>
        <w:t>% of the total assets of the Company were not qualifying assets under Section 55(a) of the 1940 Act</w:t>
      </w:r>
      <w:r>
        <w:rPr>
          <w:rFonts w:eastAsia="Times New Roman"/>
          <w:sz w:val="15"/>
          <w:szCs w:val="15"/>
        </w:rPr>
        <w:t>.</w:t>
      </w:r>
    </w:p>
    <w:p w:rsidR="00000000" w:rsidRDefault="003D51DE">
      <w:pPr>
        <w:jc w:val="both"/>
        <w:divId w:val="563375789"/>
        <w:rPr>
          <w:rFonts w:eastAsia="Times New Roman"/>
        </w:rPr>
      </w:pPr>
      <w:r>
        <w:rPr>
          <w:rFonts w:eastAsia="Times New Roman"/>
          <w:caps/>
          <w:sz w:val="15"/>
          <w:szCs w:val="15"/>
        </w:rPr>
        <w:t>(k</w:t>
      </w:r>
      <w:r>
        <w:rPr>
          <w:rFonts w:eastAsia="Times New Roman"/>
          <w:caps/>
          <w:sz w:val="15"/>
          <w:szCs w:val="15"/>
        </w:rPr>
        <w:t>)</w:t>
      </w:r>
    </w:p>
    <w:p w:rsidR="00000000" w:rsidRDefault="003D51DE">
      <w:pPr>
        <w:jc w:val="both"/>
        <w:divId w:val="381683893"/>
        <w:rPr>
          <w:rFonts w:eastAsia="Times New Roman"/>
        </w:rPr>
      </w:pPr>
      <w:r>
        <w:rPr>
          <w:rFonts w:eastAsia="Times New Roman"/>
          <w:sz w:val="15"/>
          <w:szCs w:val="15"/>
        </w:rPr>
        <w:t>The Company is the sole stockhold</w:t>
      </w:r>
      <w:r>
        <w:rPr>
          <w:rFonts w:eastAsia="Times New Roman"/>
          <w:sz w:val="15"/>
          <w:szCs w:val="15"/>
        </w:rPr>
        <w:t>er of BKC ASW Blocker, Inc., a consolidated subsidiary, which is the beneficiary of 5% or more (but not more than 25%) of the voting securities of Kemmerer Operations, LLC and thus non-controlled, affiliated investments</w:t>
      </w:r>
      <w:r>
        <w:rPr>
          <w:rFonts w:eastAsia="Times New Roman"/>
          <w:sz w:val="15"/>
          <w:szCs w:val="15"/>
        </w:rPr>
        <w:t>.</w:t>
      </w:r>
      <w:r>
        <w:rPr>
          <w:rFonts w:eastAsia="Times New Roman"/>
          <w:sz w:val="15"/>
          <w:szCs w:val="15"/>
        </w:rPr>
        <w:t xml:space="preserve"> </w:t>
      </w:r>
    </w:p>
    <w:p w:rsidR="00000000" w:rsidRDefault="003D51DE">
      <w:pPr>
        <w:jc w:val="both"/>
        <w:divId w:val="411046014"/>
        <w:rPr>
          <w:rFonts w:eastAsia="Times New Roman"/>
        </w:rPr>
      </w:pPr>
      <w:r>
        <w:rPr>
          <w:rFonts w:eastAsia="Times New Roman"/>
          <w:caps/>
          <w:sz w:val="15"/>
          <w:szCs w:val="15"/>
        </w:rPr>
        <w:t>(l</w:t>
      </w:r>
      <w:r>
        <w:rPr>
          <w:rFonts w:eastAsia="Times New Roman"/>
          <w:caps/>
          <w:sz w:val="15"/>
          <w:szCs w:val="15"/>
        </w:rPr>
        <w:t>)</w:t>
      </w:r>
    </w:p>
    <w:p w:rsidR="00000000" w:rsidRDefault="003D51DE">
      <w:pPr>
        <w:jc w:val="both"/>
        <w:divId w:val="439035684"/>
        <w:rPr>
          <w:rFonts w:eastAsia="Times New Roman"/>
        </w:rPr>
      </w:pPr>
      <w:r>
        <w:rPr>
          <w:rFonts w:eastAsia="Times New Roman"/>
          <w:sz w:val="15"/>
          <w:szCs w:val="15"/>
        </w:rPr>
        <w:t>The Company is the sole stockh</w:t>
      </w:r>
      <w:r>
        <w:rPr>
          <w:rFonts w:eastAsia="Times New Roman"/>
          <w:sz w:val="15"/>
          <w:szCs w:val="15"/>
        </w:rPr>
        <w:t>older of BKC ASW Blocker, Inc., a consolidated subsidiary, which is the beneficiary of less than 5% of the voting securities of ETX Energy, LLC, and thus non-controlled, non-affiliated investments.</w:t>
      </w:r>
      <w:r>
        <w:rPr>
          <w:rFonts w:eastAsia="Times New Roman"/>
          <w:sz w:val="15"/>
          <w:szCs w:val="15"/>
        </w:rPr>
        <w:t xml:space="preserve"> </w:t>
      </w:r>
    </w:p>
    <w:p w:rsidR="00000000" w:rsidRDefault="003D51DE">
      <w:pPr>
        <w:jc w:val="both"/>
        <w:divId w:val="2015260315"/>
        <w:rPr>
          <w:rFonts w:eastAsia="Times New Roman"/>
        </w:rPr>
      </w:pPr>
      <w:r>
        <w:rPr>
          <w:rFonts w:eastAsia="Times New Roman"/>
          <w:caps/>
          <w:sz w:val="15"/>
          <w:szCs w:val="15"/>
        </w:rPr>
        <w:t>(m</w:t>
      </w:r>
      <w:r>
        <w:rPr>
          <w:rFonts w:eastAsia="Times New Roman"/>
          <w:caps/>
          <w:sz w:val="15"/>
          <w:szCs w:val="15"/>
        </w:rPr>
        <w:t>)</w:t>
      </w:r>
    </w:p>
    <w:p w:rsidR="00000000" w:rsidRDefault="003D51DE">
      <w:pPr>
        <w:jc w:val="both"/>
        <w:divId w:val="1345017695"/>
        <w:rPr>
          <w:rFonts w:eastAsia="Times New Roman"/>
        </w:rPr>
      </w:pPr>
      <w:r>
        <w:rPr>
          <w:rFonts w:eastAsia="Times New Roman"/>
          <w:sz w:val="15"/>
          <w:szCs w:val="15"/>
        </w:rPr>
        <w:t>The Company is the sole stockholder of BCIC-MBS, LLC, a consolidated subsidiary, which is the beneficiary of less than 5% of the voting securities of MBS Parent, LLC and thus a non-controlled, non-affiliated investment</w:t>
      </w:r>
      <w:r>
        <w:rPr>
          <w:rFonts w:eastAsia="Times New Roman"/>
          <w:sz w:val="15"/>
          <w:szCs w:val="15"/>
        </w:rPr>
        <w:t>.</w:t>
      </w:r>
    </w:p>
    <w:p w:rsidR="00000000" w:rsidRDefault="003D51DE">
      <w:pPr>
        <w:jc w:val="both"/>
        <w:divId w:val="1789396367"/>
        <w:rPr>
          <w:rFonts w:eastAsia="Times New Roman"/>
        </w:rPr>
      </w:pPr>
      <w:r>
        <w:rPr>
          <w:rFonts w:eastAsia="Times New Roman"/>
          <w:caps/>
          <w:sz w:val="15"/>
          <w:szCs w:val="15"/>
        </w:rPr>
        <w:t>(n</w:t>
      </w:r>
      <w:r>
        <w:rPr>
          <w:rFonts w:eastAsia="Times New Roman"/>
          <w:caps/>
          <w:sz w:val="15"/>
          <w:szCs w:val="15"/>
        </w:rPr>
        <w:t>)</w:t>
      </w:r>
    </w:p>
    <w:p w:rsidR="00000000" w:rsidRDefault="003D51DE">
      <w:pPr>
        <w:jc w:val="both"/>
        <w:divId w:val="1195772785"/>
        <w:rPr>
          <w:rFonts w:eastAsia="Times New Roman"/>
        </w:rPr>
      </w:pPr>
      <w:r>
        <w:rPr>
          <w:rFonts w:eastAsia="Times New Roman"/>
          <w:sz w:val="15"/>
          <w:szCs w:val="15"/>
        </w:rPr>
        <w:t>Negative balances represent unfu</w:t>
      </w:r>
      <w:r>
        <w:rPr>
          <w:rFonts w:eastAsia="Times New Roman"/>
          <w:sz w:val="15"/>
          <w:szCs w:val="15"/>
        </w:rPr>
        <w:t>nded commitments that were acquired and/or valued at a discount.</w:t>
      </w:r>
      <w:r>
        <w:rPr>
          <w:rFonts w:eastAsia="Times New Roman"/>
          <w:sz w:val="15"/>
          <w:szCs w:val="15"/>
        </w:rPr>
        <w:t xml:space="preserve"> </w:t>
      </w:r>
    </w:p>
    <w:p w:rsidR="00000000" w:rsidRDefault="003D51DE">
      <w:pPr>
        <w:jc w:val="both"/>
        <w:divId w:val="1289748842"/>
        <w:rPr>
          <w:rFonts w:eastAsia="Times New Roman"/>
        </w:rPr>
      </w:pPr>
      <w:r>
        <w:rPr>
          <w:rFonts w:eastAsia="Times New Roman"/>
          <w:caps/>
          <w:sz w:val="15"/>
          <w:szCs w:val="15"/>
        </w:rPr>
        <w:t>(o</w:t>
      </w:r>
      <w:r>
        <w:rPr>
          <w:rFonts w:eastAsia="Times New Roman"/>
          <w:caps/>
          <w:sz w:val="15"/>
          <w:szCs w:val="15"/>
        </w:rPr>
        <w:t>)</w:t>
      </w:r>
    </w:p>
    <w:p w:rsidR="00000000" w:rsidRDefault="003D51DE">
      <w:pPr>
        <w:jc w:val="both"/>
        <w:divId w:val="1168517642"/>
        <w:rPr>
          <w:rFonts w:eastAsia="Times New Roman"/>
        </w:rPr>
      </w:pPr>
      <w:r>
        <w:rPr>
          <w:rFonts w:eastAsia="Times New Roman"/>
          <w:sz w:val="15"/>
          <w:szCs w:val="15"/>
        </w:rPr>
        <w:t>Unless otherwise indicated, all investments are considered Level 3 in accordance with ASC Topic 820 (see Note 2)</w:t>
      </w:r>
      <w:r>
        <w:rPr>
          <w:rFonts w:eastAsia="Times New Roman"/>
          <w:sz w:val="15"/>
          <w:szCs w:val="15"/>
        </w:rPr>
        <w:t>.</w:t>
      </w:r>
      <w:r>
        <w:rPr>
          <w:rFonts w:eastAsia="Times New Roman"/>
          <w:sz w:val="15"/>
          <w:szCs w:val="15"/>
        </w:rPr>
        <w:t xml:space="preserve"> </w:t>
      </w:r>
    </w:p>
    <w:p w:rsidR="00000000" w:rsidRDefault="003D51DE">
      <w:pPr>
        <w:jc w:val="both"/>
        <w:divId w:val="1663115974"/>
        <w:rPr>
          <w:rFonts w:eastAsia="Times New Roman"/>
        </w:rPr>
      </w:pPr>
      <w:r>
        <w:rPr>
          <w:rFonts w:eastAsia="Times New Roman"/>
          <w:caps/>
          <w:sz w:val="15"/>
          <w:szCs w:val="15"/>
        </w:rPr>
        <w:t>(p</w:t>
      </w:r>
      <w:r>
        <w:rPr>
          <w:rFonts w:eastAsia="Times New Roman"/>
          <w:caps/>
          <w:sz w:val="15"/>
          <w:szCs w:val="15"/>
        </w:rPr>
        <w:t>)</w:t>
      </w:r>
    </w:p>
    <w:p w:rsidR="00000000" w:rsidRDefault="003D51DE">
      <w:pPr>
        <w:jc w:val="both"/>
        <w:divId w:val="1375736619"/>
        <w:rPr>
          <w:rFonts w:eastAsia="Times New Roman"/>
        </w:rPr>
      </w:pPr>
      <w:r>
        <w:rPr>
          <w:rFonts w:eastAsia="Times New Roman"/>
          <w:sz w:val="15"/>
          <w:szCs w:val="15"/>
        </w:rPr>
        <w:t>Investments are considered other than Level 3 in accordance with AS</w:t>
      </w:r>
      <w:r>
        <w:rPr>
          <w:rFonts w:eastAsia="Times New Roman"/>
          <w:sz w:val="15"/>
          <w:szCs w:val="15"/>
        </w:rPr>
        <w:t>C Topic 820 (see Note 2)</w:t>
      </w:r>
      <w:r>
        <w:rPr>
          <w:rFonts w:eastAsia="Times New Roman"/>
          <w:sz w:val="15"/>
          <w:szCs w:val="15"/>
        </w:rPr>
        <w:t>.</w:t>
      </w:r>
    </w:p>
    <w:p w:rsidR="00000000" w:rsidRDefault="003D51DE">
      <w:pPr>
        <w:jc w:val="both"/>
        <w:divId w:val="440955601"/>
        <w:rPr>
          <w:rFonts w:eastAsia="Times New Roman"/>
        </w:rPr>
      </w:pPr>
      <w:r>
        <w:rPr>
          <w:rFonts w:eastAsia="Times New Roman"/>
          <w:caps/>
          <w:sz w:val="15"/>
          <w:szCs w:val="15"/>
        </w:rPr>
        <w:t>(q</w:t>
      </w:r>
      <w:r>
        <w:rPr>
          <w:rFonts w:eastAsia="Times New Roman"/>
          <w:caps/>
          <w:sz w:val="15"/>
          <w:szCs w:val="15"/>
        </w:rPr>
        <w:t>)</w:t>
      </w:r>
    </w:p>
    <w:p w:rsidR="00000000" w:rsidRDefault="003D51DE">
      <w:pPr>
        <w:jc w:val="both"/>
        <w:divId w:val="437676297"/>
        <w:rPr>
          <w:rFonts w:eastAsia="Times New Roman"/>
        </w:rPr>
      </w:pPr>
      <w:r>
        <w:rPr>
          <w:rFonts w:eastAsia="Times New Roman"/>
          <w:sz w:val="15"/>
          <w:szCs w:val="15"/>
        </w:rPr>
        <w:t>As of December 31, 2021, the Company generally uses GICS codes to identify the industry groupings. This information is unaudited</w:t>
      </w:r>
      <w:r>
        <w:rPr>
          <w:rFonts w:eastAsia="Times New Roman"/>
          <w:sz w:val="15"/>
          <w:szCs w:val="15"/>
        </w:rPr>
        <w:t>.</w:t>
      </w:r>
    </w:p>
    <w:p w:rsidR="00000000" w:rsidRDefault="003D51DE">
      <w:pPr>
        <w:jc w:val="both"/>
        <w:divId w:val="2055109507"/>
        <w:rPr>
          <w:rFonts w:eastAsia="Times New Roman"/>
        </w:rPr>
      </w:pPr>
      <w:r>
        <w:rPr>
          <w:rFonts w:eastAsia="Times New Roman"/>
          <w:caps/>
          <w:sz w:val="15"/>
          <w:szCs w:val="15"/>
        </w:rPr>
        <w:t>(r</w:t>
      </w:r>
      <w:r>
        <w:rPr>
          <w:rFonts w:eastAsia="Times New Roman"/>
          <w:caps/>
          <w:sz w:val="15"/>
          <w:szCs w:val="15"/>
        </w:rPr>
        <w:t>)</w:t>
      </w:r>
    </w:p>
    <w:p w:rsidR="00000000" w:rsidRDefault="003D51DE">
      <w:pPr>
        <w:jc w:val="both"/>
        <w:divId w:val="1636713266"/>
        <w:rPr>
          <w:rFonts w:eastAsia="Times New Roman"/>
        </w:rPr>
      </w:pPr>
      <w:r>
        <w:rPr>
          <w:rFonts w:eastAsia="Times New Roman"/>
          <w:sz w:val="15"/>
          <w:szCs w:val="15"/>
        </w:rPr>
        <w:t>The investment is on non-accrual status as of December 31, 2021 and therefore non-income pro</w:t>
      </w:r>
      <w:r>
        <w:rPr>
          <w:rFonts w:eastAsia="Times New Roman"/>
          <w:sz w:val="15"/>
          <w:szCs w:val="15"/>
        </w:rPr>
        <w:t>ducing. At December 31, 2021, the aggregate fair value and amortized cost of the Company’s debt and preferred stock investments on non-accrual status represents</w:t>
      </w:r>
      <w:r>
        <w:rPr>
          <w:rFonts w:eastAsia="Times New Roman"/>
          <w:sz w:val="15"/>
          <w:szCs w:val="15"/>
        </w:rPr>
        <w:t xml:space="preserve"> </w:t>
      </w:r>
      <w:r>
        <w:rPr>
          <w:rFonts w:eastAsia="Times New Roman"/>
          <w:sz w:val="15"/>
          <w:szCs w:val="15"/>
        </w:rPr>
        <w:t>4.</w:t>
      </w:r>
      <w:r>
        <w:rPr>
          <w:rFonts w:eastAsia="Times New Roman"/>
          <w:sz w:val="15"/>
          <w:szCs w:val="15"/>
        </w:rPr>
        <w:t>2</w:t>
      </w:r>
      <w:r>
        <w:rPr>
          <w:rFonts w:eastAsia="Times New Roman"/>
          <w:sz w:val="15"/>
          <w:szCs w:val="15"/>
        </w:rPr>
        <w:t>% and</w:t>
      </w:r>
      <w:r>
        <w:rPr>
          <w:rFonts w:eastAsia="Times New Roman"/>
          <w:sz w:val="15"/>
          <w:szCs w:val="15"/>
        </w:rPr>
        <w:t xml:space="preserve"> </w:t>
      </w:r>
      <w:r>
        <w:rPr>
          <w:rFonts w:eastAsia="Times New Roman"/>
          <w:sz w:val="15"/>
          <w:szCs w:val="15"/>
        </w:rPr>
        <w:t>13.</w:t>
      </w:r>
      <w:r>
        <w:rPr>
          <w:rFonts w:eastAsia="Times New Roman"/>
          <w:sz w:val="15"/>
          <w:szCs w:val="15"/>
        </w:rPr>
        <w:t>4</w:t>
      </w:r>
      <w:r>
        <w:rPr>
          <w:rFonts w:eastAsia="Times New Roman"/>
          <w:sz w:val="15"/>
          <w:szCs w:val="15"/>
        </w:rPr>
        <w:t>%, respectively</w:t>
      </w:r>
      <w:r>
        <w:rPr>
          <w:rFonts w:eastAsia="Times New Roman"/>
          <w:sz w:val="15"/>
          <w:szCs w:val="15"/>
        </w:rPr>
        <w:t>.</w:t>
      </w:r>
    </w:p>
    <w:p w:rsidR="00000000" w:rsidRDefault="003D51DE">
      <w:pPr>
        <w:jc w:val="both"/>
        <w:divId w:val="517157890"/>
        <w:rPr>
          <w:rFonts w:eastAsia="Times New Roman"/>
        </w:rPr>
      </w:pPr>
      <w:r>
        <w:rPr>
          <w:rFonts w:eastAsia="Times New Roman"/>
          <w:caps/>
          <w:sz w:val="15"/>
          <w:szCs w:val="15"/>
        </w:rPr>
        <w:t>(s</w:t>
      </w:r>
      <w:r>
        <w:rPr>
          <w:rFonts w:eastAsia="Times New Roman"/>
          <w:caps/>
          <w:sz w:val="15"/>
          <w:szCs w:val="15"/>
        </w:rPr>
        <w:t>)</w:t>
      </w:r>
    </w:p>
    <w:p w:rsidR="00000000" w:rsidRDefault="003D51DE">
      <w:pPr>
        <w:jc w:val="both"/>
        <w:divId w:val="227107728"/>
        <w:rPr>
          <w:rFonts w:eastAsia="Times New Roman"/>
        </w:rPr>
      </w:pPr>
      <w:r>
        <w:rPr>
          <w:rFonts w:eastAsia="Times New Roman"/>
          <w:sz w:val="15"/>
          <w:szCs w:val="15"/>
        </w:rPr>
        <w:t>Position or associated portfolio company thereof has an unfun</w:t>
      </w:r>
      <w:r>
        <w:rPr>
          <w:rFonts w:eastAsia="Times New Roman"/>
          <w:sz w:val="15"/>
          <w:szCs w:val="15"/>
        </w:rPr>
        <w:t>ded commitment as of December 31, 2021 (see Note 9). Note that there may be additional unfunded positions which do not have a funded component at period end, and therefore are not displayed herein</w:t>
      </w:r>
      <w:r>
        <w:rPr>
          <w:rFonts w:eastAsia="Times New Roman"/>
          <w:sz w:val="15"/>
          <w:szCs w:val="15"/>
        </w:rPr>
        <w:t>.</w:t>
      </w:r>
    </w:p>
    <w:p w:rsidR="00000000" w:rsidRDefault="003D51DE">
      <w:pPr>
        <w:jc w:val="both"/>
        <w:divId w:val="1985548808"/>
        <w:rPr>
          <w:rFonts w:eastAsia="Times New Roman"/>
        </w:rPr>
      </w:pPr>
      <w:r>
        <w:rPr>
          <w:rFonts w:eastAsia="Times New Roman"/>
          <w:caps/>
          <w:sz w:val="15"/>
          <w:szCs w:val="15"/>
        </w:rPr>
        <w:t>(t</w:t>
      </w:r>
      <w:r>
        <w:rPr>
          <w:rFonts w:eastAsia="Times New Roman"/>
          <w:caps/>
          <w:sz w:val="15"/>
          <w:szCs w:val="15"/>
        </w:rPr>
        <w:t>)</w:t>
      </w:r>
    </w:p>
    <w:p w:rsidR="00000000" w:rsidRDefault="003D51DE">
      <w:pPr>
        <w:jc w:val="both"/>
        <w:divId w:val="1268272457"/>
        <w:rPr>
          <w:rFonts w:eastAsia="Times New Roman"/>
        </w:rPr>
      </w:pPr>
      <w:r>
        <w:rPr>
          <w:rFonts w:eastAsia="Times New Roman"/>
          <w:sz w:val="15"/>
          <w:szCs w:val="15"/>
        </w:rPr>
        <w:t>This investment will have a first lien security intere</w:t>
      </w:r>
      <w:r>
        <w:rPr>
          <w:rFonts w:eastAsia="Times New Roman"/>
          <w:sz w:val="15"/>
          <w:szCs w:val="15"/>
        </w:rPr>
        <w:t>st after the senior tranches are repaid</w:t>
      </w:r>
      <w:r>
        <w:rPr>
          <w:rFonts w:eastAsia="Times New Roman"/>
          <w:sz w:val="15"/>
          <w:szCs w:val="15"/>
        </w:rPr>
        <w:t>.</w:t>
      </w:r>
      <w:r>
        <w:rPr>
          <w:rFonts w:eastAsia="Times New Roman"/>
          <w:sz w:val="15"/>
          <w:szCs w:val="15"/>
        </w:rPr>
        <w:t xml:space="preserve"> </w:t>
      </w:r>
    </w:p>
    <w:p w:rsidR="00000000" w:rsidRDefault="003D51DE">
      <w:pPr>
        <w:jc w:val="both"/>
        <w:divId w:val="1947342280"/>
        <w:rPr>
          <w:rFonts w:eastAsia="Times New Roman"/>
        </w:rPr>
      </w:pPr>
      <w:r>
        <w:rPr>
          <w:rFonts w:eastAsia="Times New Roman"/>
          <w:caps/>
          <w:sz w:val="15"/>
          <w:szCs w:val="15"/>
        </w:rPr>
        <w:t>(u</w:t>
      </w:r>
      <w:r>
        <w:rPr>
          <w:rFonts w:eastAsia="Times New Roman"/>
          <w:caps/>
          <w:sz w:val="15"/>
          <w:szCs w:val="15"/>
        </w:rPr>
        <w:t>)</w:t>
      </w:r>
    </w:p>
    <w:p w:rsidR="00000000" w:rsidRDefault="003D51DE">
      <w:pPr>
        <w:jc w:val="both"/>
        <w:divId w:val="1210651582"/>
        <w:rPr>
          <w:rFonts w:eastAsia="Times New Roman"/>
        </w:rPr>
      </w:pPr>
      <w:r>
        <w:rPr>
          <w:rFonts w:eastAsia="Times New Roman"/>
          <w:sz w:val="15"/>
          <w:szCs w:val="15"/>
        </w:rPr>
        <w:t>Total coupon includes default interest</w:t>
      </w:r>
      <w:r>
        <w:rPr>
          <w:rFonts w:eastAsia="Times New Roman"/>
          <w:sz w:val="15"/>
          <w:szCs w:val="15"/>
        </w:rPr>
        <w:t>.</w:t>
      </w:r>
    </w:p>
    <w:p w:rsidR="00000000" w:rsidRDefault="003D51DE">
      <w:pPr>
        <w:pStyle w:val="a3"/>
        <w:spacing w:before="0" w:beforeAutospacing="0" w:after="0" w:afterAutospacing="0"/>
        <w:ind w:hanging="581"/>
        <w:jc w:val="both"/>
        <w:rPr>
          <w:sz w:val="20"/>
          <w:szCs w:val="20"/>
        </w:rPr>
      </w:pPr>
      <w:r>
        <w:rPr>
          <w:sz w:val="20"/>
          <w:szCs w:val="20"/>
        </w:rPr>
        <w:t> </w:t>
      </w:r>
    </w:p>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spacing w:before="0" w:beforeAutospacing="0" w:after="0" w:afterAutospacing="0"/>
        <w:ind w:hanging="581"/>
        <w:jc w:val="both"/>
        <w:rPr>
          <w:sz w:val="20"/>
          <w:szCs w:val="20"/>
        </w:rPr>
      </w:pPr>
      <w:r>
        <w:rPr>
          <w:sz w:val="15"/>
          <w:szCs w:val="15"/>
        </w:rPr>
        <w:t>LIBOR resets monthly (M), quarterly (Q) or semiannually (S)</w:t>
      </w:r>
      <w:r>
        <w:rPr>
          <w:sz w:val="15"/>
          <w:szCs w:val="15"/>
        </w:rPr>
        <w:t>.</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2</w:t>
      </w:r>
      <w:r>
        <w:rPr>
          <w:sz w:val="19"/>
          <w:szCs w:val="19"/>
        </w:rPr>
        <w:t>0</w:t>
      </w:r>
    </w:p>
    <w:p w:rsidR="00000000" w:rsidRDefault="003D51DE">
      <w:pPr>
        <w:rPr>
          <w:rFonts w:eastAsia="Times New Roman"/>
        </w:rPr>
      </w:pPr>
      <w:r>
        <w:rPr>
          <w:rFonts w:eastAsia="Times New Roman"/>
        </w:rPr>
        <w:pict>
          <v:rect id="_x0000_i1044"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r>
        <w:rPr>
          <w:b/>
          <w:bCs/>
          <w:sz w:val="19"/>
          <w:szCs w:val="19"/>
        </w:rPr>
        <w:t xml:space="preserve"> </w:t>
      </w:r>
    </w:p>
    <w:p w:rsidR="00000000" w:rsidRDefault="003D51DE">
      <w:pPr>
        <w:pStyle w:val="a3"/>
        <w:spacing w:before="6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3D51DE">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7"/>
        <w:gridCol w:w="100"/>
        <w:gridCol w:w="141"/>
        <w:gridCol w:w="629"/>
        <w:gridCol w:w="100"/>
        <w:gridCol w:w="100"/>
        <w:gridCol w:w="140"/>
        <w:gridCol w:w="780"/>
        <w:gridCol w:w="100"/>
        <w:gridCol w:w="100"/>
        <w:gridCol w:w="140"/>
        <w:gridCol w:w="754"/>
        <w:gridCol w:w="114"/>
        <w:gridCol w:w="100"/>
        <w:gridCol w:w="141"/>
        <w:gridCol w:w="785"/>
        <w:gridCol w:w="114"/>
        <w:gridCol w:w="100"/>
        <w:gridCol w:w="141"/>
        <w:gridCol w:w="906"/>
        <w:gridCol w:w="100"/>
        <w:gridCol w:w="105"/>
        <w:gridCol w:w="141"/>
        <w:gridCol w:w="883"/>
        <w:gridCol w:w="114"/>
        <w:gridCol w:w="100"/>
        <w:gridCol w:w="140"/>
        <w:gridCol w:w="700"/>
        <w:gridCol w:w="100"/>
        <w:gridCol w:w="145"/>
      </w:tblGrid>
      <w:tr w:rsidR="00000000">
        <w:trPr>
          <w:tblCellSpacing w:w="15" w:type="dxa"/>
        </w:trPr>
        <w:tc>
          <w:tcPr>
            <w:tcW w:w="1205"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5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1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8"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Non-Controlled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Dividends or interes</w:t>
            </w:r>
            <w:r>
              <w:rPr>
                <w:b/>
                <w:bCs/>
                <w:sz w:val="16"/>
                <w:szCs w:val="16"/>
              </w:rPr>
              <w:t>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0</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realized gain (loss</w:t>
            </w:r>
            <w:r>
              <w:rPr>
                <w:b/>
                <w:bCs/>
                <w:sz w:val="16"/>
                <w:szCs w:val="16"/>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Advanced Lighting Technologies, LLC.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Senior Secured Note, Second Lie</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1,999,67</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2,181,30</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181,62</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Senior Secured Loan, First Lie</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13,18</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3,223,66</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3,017,33</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1,774,75</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1,981,08</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Warrant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Advantage Insurance Inc.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5,720,01</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2,972,57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2,972,57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5,720,01</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 xml:space="preserve">Preferred Stock Series </w:t>
            </w:r>
            <w:r>
              <w:rPr>
                <w:sz w:val="16"/>
                <w:szCs w:val="16"/>
              </w:rPr>
              <w:t>B</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71,50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3,575,00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3,575,00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AGY Equity, LLC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A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1,557,20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1,305,46</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251,73</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B 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Class C 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Kemmerer Operations, LLC (WMLP)</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Delayed Draw Term Loan, First Lie</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51,62</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284,34</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214,86</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51,81</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508,47</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42,55</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Senior Secured Loan, First Lie</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428,85</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2,314,09</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348,84</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428,67</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3,091,61</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Kemmerer Holdings, LLC (WMLP)</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746,07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746,07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565,16</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13,099,31</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7,989,59</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6,932,95</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4,055,49</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11,966,19</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4,131,97</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bl>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pStyle w:val="a3"/>
        <w:spacing w:before="40" w:beforeAutospacing="0" w:after="0" w:afterAutospacing="0"/>
        <w:ind w:hanging="581"/>
        <w:jc w:val="both"/>
        <w:rPr>
          <w:sz w:val="20"/>
          <w:szCs w:val="20"/>
        </w:rPr>
      </w:pPr>
      <w:r>
        <w:rPr>
          <w:sz w:val="10"/>
          <w:szCs w:val="10"/>
          <w:vertAlign w:val="superscript"/>
        </w:rPr>
        <w:t>(1</w:t>
      </w:r>
      <w:r>
        <w:rPr>
          <w:sz w:val="10"/>
          <w:szCs w:val="10"/>
          <w:vertAlign w:val="superscript"/>
        </w:rPr>
        <w:t>)</w:t>
      </w:r>
      <w:r>
        <w:rPr>
          <w:sz w:val="15"/>
          <w:szCs w:val="15"/>
        </w:rPr>
        <w:t xml:space="preserve"> </w:t>
      </w:r>
      <w:r>
        <w:rPr>
          <w:sz w:val="15"/>
          <w:szCs w:val="15"/>
        </w:rPr>
        <w:t>The issuers of the securities listed on this schedule are considered non-controlled, affiliated investments under the 1940 Act due to the ownership by the Company of 5% to 25% of the issuers’ voting securities</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(2)</w:t>
      </w:r>
      <w:r>
        <w:rPr>
          <w:sz w:val="10"/>
          <w:szCs w:val="10"/>
          <w:vertAlign w:val="superscript"/>
        </w:rPr>
        <w:t xml:space="preserve"> </w:t>
      </w:r>
      <w:r>
        <w:rPr>
          <w:sz w:val="15"/>
          <w:szCs w:val="15"/>
        </w:rPr>
        <w:t>Also includes fee income as applicable</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(3)</w:t>
      </w:r>
      <w:r>
        <w:rPr>
          <w:sz w:val="10"/>
          <w:szCs w:val="10"/>
          <w:vertAlign w:val="superscript"/>
        </w:rPr>
        <w:t xml:space="preserve"> </w:t>
      </w:r>
      <w:r>
        <w:rPr>
          <w:sz w:val="15"/>
          <w:szCs w:val="15"/>
        </w:rPr>
        <w:t>Acquisitions include new purchases, PIK income and amortization of original issue and market discounts, and the movement of an existing portfolio company into this category from a different category</w:t>
      </w:r>
      <w:r>
        <w:rPr>
          <w:sz w:val="15"/>
          <w:szCs w:val="15"/>
        </w:rPr>
        <w:t>.</w:t>
      </w:r>
      <w:r>
        <w:rPr>
          <w:sz w:val="15"/>
          <w:szCs w:val="15"/>
        </w:rPr>
        <w:t xml:space="preserve"> </w:t>
      </w:r>
    </w:p>
    <w:p w:rsidR="00000000" w:rsidRDefault="003D51DE">
      <w:pPr>
        <w:pStyle w:val="a3"/>
        <w:spacing w:before="0" w:beforeAutospacing="0" w:after="0" w:afterAutospacing="0"/>
        <w:ind w:hanging="581"/>
        <w:jc w:val="both"/>
        <w:rPr>
          <w:sz w:val="20"/>
          <w:szCs w:val="20"/>
        </w:rPr>
      </w:pPr>
      <w:r>
        <w:rPr>
          <w:sz w:val="10"/>
          <w:szCs w:val="10"/>
          <w:vertAlign w:val="superscript"/>
        </w:rPr>
        <w:t>(4)</w:t>
      </w:r>
      <w:r>
        <w:rPr>
          <w:sz w:val="10"/>
          <w:szCs w:val="10"/>
          <w:vertAlign w:val="superscript"/>
        </w:rPr>
        <w:t xml:space="preserve"> </w:t>
      </w:r>
      <w:r>
        <w:rPr>
          <w:sz w:val="15"/>
          <w:szCs w:val="15"/>
        </w:rPr>
        <w:t>Disposi</w:t>
      </w:r>
      <w:r>
        <w:rPr>
          <w:sz w:val="15"/>
          <w:szCs w:val="15"/>
        </w:rPr>
        <w:t>tions include decreases in the cost basis of investments, net of realized gain or loss, resulting from principal collections related to investment repayments or sales, the exchange of one or more existing securities for one or more new securities and the m</w:t>
      </w:r>
      <w:r>
        <w:rPr>
          <w:sz w:val="15"/>
          <w:szCs w:val="15"/>
        </w:rPr>
        <w:t>ovement of an existing portfolio company out of this category into a different category</w:t>
      </w:r>
      <w:r>
        <w:rPr>
          <w:sz w:val="15"/>
          <w:szCs w:val="15"/>
        </w:rPr>
        <w:t>.</w:t>
      </w:r>
    </w:p>
    <w:p w:rsidR="00000000" w:rsidRDefault="003D51DE">
      <w:pPr>
        <w:pStyle w:val="a3"/>
        <w:spacing w:before="0" w:beforeAutospacing="0" w:after="0" w:afterAutospacing="0"/>
        <w:ind w:hanging="581"/>
        <w:jc w:val="both"/>
        <w:rPr>
          <w:sz w:val="20"/>
          <w:szCs w:val="20"/>
        </w:rPr>
      </w:pPr>
      <w:r>
        <w:rPr>
          <w:sz w:val="15"/>
          <w:szCs w:val="15"/>
        </w:rPr>
        <w:t>† Investment no longer held as of December 31, 2021</w:t>
      </w:r>
      <w:r>
        <w:rPr>
          <w:sz w:val="15"/>
          <w:szCs w:val="15"/>
        </w:rPr>
        <w:t>.</w:t>
      </w:r>
    </w:p>
    <w:p w:rsidR="00000000" w:rsidRDefault="003D51DE">
      <w:pPr>
        <w:pStyle w:val="a3"/>
        <w:spacing w:before="180" w:beforeAutospacing="0" w:after="0" w:afterAutospacing="0"/>
        <w:ind w:hanging="735"/>
        <w:jc w:val="both"/>
        <w:rPr>
          <w:sz w:val="20"/>
          <w:szCs w:val="20"/>
        </w:rPr>
      </w:pPr>
      <w:r>
        <w:rPr>
          <w:sz w:val="19"/>
          <w:szCs w:val="19"/>
        </w:rPr>
        <w:t>The aggregate fair value of non-controlled, affiliated investments at December 31, 2021 represents</w:t>
      </w:r>
      <w:r>
        <w:rPr>
          <w:sz w:val="19"/>
          <w:szCs w:val="19"/>
        </w:rPr>
        <w:t xml:space="preserve"> </w:t>
      </w:r>
      <w:r>
        <w:rPr>
          <w:sz w:val="19"/>
          <w:szCs w:val="19"/>
        </w:rPr>
        <w:t>1.</w:t>
      </w:r>
      <w:r>
        <w:rPr>
          <w:sz w:val="19"/>
          <w:szCs w:val="19"/>
        </w:rPr>
        <w:t>2</w:t>
      </w:r>
      <w:r>
        <w:rPr>
          <w:sz w:val="19"/>
          <w:szCs w:val="19"/>
        </w:rPr>
        <w:t>% of the Com</w:t>
      </w:r>
      <w:r>
        <w:rPr>
          <w:sz w:val="19"/>
          <w:szCs w:val="19"/>
        </w:rPr>
        <w:t>pany’s net assets</w:t>
      </w:r>
      <w:r>
        <w:rPr>
          <w:sz w:val="19"/>
          <w:szCs w:val="19"/>
        </w:rPr>
        <w:t>.</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2</w:t>
      </w:r>
      <w:r>
        <w:rPr>
          <w:sz w:val="19"/>
          <w:szCs w:val="19"/>
        </w:rPr>
        <w:t>1</w:t>
      </w:r>
    </w:p>
    <w:p w:rsidR="00000000" w:rsidRDefault="003D51DE">
      <w:pPr>
        <w:rPr>
          <w:rFonts w:eastAsia="Times New Roman"/>
        </w:rPr>
      </w:pPr>
      <w:r>
        <w:rPr>
          <w:rFonts w:eastAsia="Times New Roman"/>
        </w:rPr>
        <w:pict>
          <v:rect id="_x0000_i1045"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Consolidated Schedules of Investments—(Continued</w:t>
      </w:r>
      <w:r>
        <w:rPr>
          <w:b/>
          <w:bCs/>
          <w:sz w:val="19"/>
          <w:szCs w:val="19"/>
        </w:rPr>
        <w:t>)</w:t>
      </w:r>
    </w:p>
    <w:p w:rsidR="00000000" w:rsidRDefault="003D51DE">
      <w:pPr>
        <w:pStyle w:val="a3"/>
        <w:spacing w:before="0" w:beforeAutospacing="0" w:after="0" w:afterAutospacing="0"/>
        <w:jc w:val="center"/>
        <w:rPr>
          <w:sz w:val="20"/>
          <w:szCs w:val="20"/>
        </w:rPr>
      </w:pPr>
      <w:r>
        <w:rPr>
          <w:b/>
          <w:bCs/>
          <w:sz w:val="19"/>
          <w:szCs w:val="19"/>
        </w:rPr>
        <w:t>December 31, 202</w:t>
      </w:r>
      <w:r>
        <w:rPr>
          <w:b/>
          <w:bCs/>
          <w:sz w:val="19"/>
          <w:szCs w:val="19"/>
        </w:rPr>
        <w:t>1</w:t>
      </w:r>
    </w:p>
    <w:p w:rsidR="00000000" w:rsidRDefault="003D51DE">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9"/>
        <w:gridCol w:w="100"/>
        <w:gridCol w:w="140"/>
        <w:gridCol w:w="700"/>
        <w:gridCol w:w="100"/>
        <w:gridCol w:w="100"/>
        <w:gridCol w:w="140"/>
        <w:gridCol w:w="860"/>
        <w:gridCol w:w="100"/>
        <w:gridCol w:w="100"/>
        <w:gridCol w:w="140"/>
        <w:gridCol w:w="834"/>
        <w:gridCol w:w="114"/>
        <w:gridCol w:w="100"/>
        <w:gridCol w:w="141"/>
        <w:gridCol w:w="901"/>
        <w:gridCol w:w="100"/>
        <w:gridCol w:w="100"/>
        <w:gridCol w:w="141"/>
        <w:gridCol w:w="913"/>
        <w:gridCol w:w="100"/>
        <w:gridCol w:w="100"/>
        <w:gridCol w:w="149"/>
        <w:gridCol w:w="867"/>
        <w:gridCol w:w="114"/>
        <w:gridCol w:w="100"/>
        <w:gridCol w:w="140"/>
        <w:gridCol w:w="780"/>
        <w:gridCol w:w="100"/>
        <w:gridCol w:w="145"/>
      </w:tblGrid>
      <w:tr w:rsidR="00000000">
        <w:trPr>
          <w:tblCellSpacing w:w="15" w:type="dxa"/>
        </w:trPr>
        <w:tc>
          <w:tcPr>
            <w:tcW w:w="1194" w:type="pct"/>
            <w:vAlign w:val="center"/>
            <w:hideMark/>
          </w:tcPr>
          <w:p w:rsidR="00000000" w:rsidRDefault="003D51DE">
            <w:pPr>
              <w:rPr>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3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4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7"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Controlled Affiliate Securit</w:t>
            </w:r>
            <w:r>
              <w:rPr>
                <w:b/>
                <w:bCs/>
                <w:sz w:val="16"/>
                <w:szCs w:val="16"/>
              </w:rPr>
              <w:t>y</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Dividends or interes</w:t>
            </w:r>
            <w:r>
              <w:rPr>
                <w:b/>
                <w:bCs/>
                <w:sz w:val="16"/>
                <w:szCs w:val="16"/>
              </w:rPr>
              <w:t>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0</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realized gain (loss</w:t>
            </w:r>
            <w:r>
              <w:rPr>
                <w:b/>
                <w:bCs/>
                <w:sz w:val="16"/>
                <w:szCs w:val="16"/>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 increase or decrease in unrealized appreciation or depreciatio</w:t>
            </w:r>
            <w:r>
              <w:rPr>
                <w:b/>
                <w:bCs/>
                <w:sz w:val="16"/>
                <w:szCs w:val="16"/>
              </w:rPr>
              <w:t>n</w:t>
            </w:r>
            <w:r>
              <w:rPr>
                <w:b/>
                <w:bCs/>
                <w:sz w:val="11"/>
                <w:szCs w:val="11"/>
              </w:rPr>
              <w:t>(5</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Acquisition</w:t>
            </w:r>
            <w:r>
              <w:rPr>
                <w:b/>
                <w:bCs/>
                <w:sz w:val="16"/>
                <w:szCs w:val="16"/>
              </w:rPr>
              <w:t>s</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Disposition</w:t>
            </w:r>
            <w:r>
              <w:rPr>
                <w:b/>
                <w:bCs/>
                <w:sz w:val="16"/>
                <w:szCs w:val="16"/>
              </w:rPr>
              <w:t>s</w:t>
            </w:r>
            <w:r>
              <w:rPr>
                <w:b/>
                <w:bCs/>
                <w:sz w:val="11"/>
                <w:szCs w:val="11"/>
              </w:rPr>
              <w:t>(4</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Value at</w:t>
            </w:r>
            <w:r>
              <w:rPr>
                <w:b/>
                <w:bCs/>
                <w:sz w:val="16"/>
                <w:szCs w:val="16"/>
              </w:rPr>
              <w:b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BCIC Senior Loan Partners, LLC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1,647,66</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36,150,25</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21,980,38</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25,758,05</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39,927,92</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First Boston Construction Holdings, LLC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Subordinated Deb</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163,12</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32,625,00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32,625,00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Limited Liability Co. Interes</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4,557,03</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2,290,14</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3,599,21</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5,866,10</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Gordon Brothers Finance Company</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Unsecured Deb</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22,850,00</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504,32</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1,427,25</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Red Apple Stores Inc.</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Senior Secured Loan, Second Lie</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555,44</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14,785,93</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1,474,03</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2,016,26</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15,328,16</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Preferred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6,751,45</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6,751,45</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4"/>
                <w:szCs w:val="14"/>
              </w:rPr>
            </w:pPr>
            <w:r>
              <w:rPr>
                <w:sz w:val="14"/>
                <w:szCs w:val="14"/>
              </w:rPr>
              <w:t>†</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Total</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2,366,23</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110,968,22</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32,496,01</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38,629,30</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95,174,44</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21,927,07</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r>
    </w:tbl>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pStyle w:val="a3"/>
        <w:spacing w:before="40" w:beforeAutospacing="0" w:after="0" w:afterAutospacing="0"/>
        <w:ind w:hanging="581"/>
        <w:jc w:val="both"/>
        <w:rPr>
          <w:sz w:val="20"/>
          <w:szCs w:val="20"/>
        </w:rPr>
      </w:pPr>
      <w:r>
        <w:rPr>
          <w:sz w:val="10"/>
          <w:szCs w:val="10"/>
          <w:vertAlign w:val="superscript"/>
        </w:rPr>
        <w:t>(1)</w:t>
      </w:r>
      <w:r>
        <w:rPr>
          <w:sz w:val="10"/>
          <w:szCs w:val="10"/>
          <w:vertAlign w:val="superscript"/>
        </w:rPr>
        <w:t xml:space="preserve"> </w:t>
      </w:r>
      <w:r>
        <w:rPr>
          <w:sz w:val="15"/>
          <w:szCs w:val="15"/>
        </w:rPr>
        <w:t>The issuers of the securities listed on this schedule are considered controlled affiliates under the 1940 Act due to the ownership by the Company of more than 25% of the issuers’ voting securities</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(2)</w:t>
      </w:r>
      <w:r>
        <w:rPr>
          <w:sz w:val="10"/>
          <w:szCs w:val="10"/>
          <w:vertAlign w:val="superscript"/>
        </w:rPr>
        <w:t xml:space="preserve"> </w:t>
      </w:r>
      <w:r>
        <w:rPr>
          <w:sz w:val="15"/>
          <w:szCs w:val="15"/>
        </w:rPr>
        <w:t>Also includes fee income as applicable</w:t>
      </w:r>
      <w:r>
        <w:rPr>
          <w:sz w:val="15"/>
          <w:szCs w:val="15"/>
        </w:rPr>
        <w:t>.</w:t>
      </w:r>
    </w:p>
    <w:p w:rsidR="00000000" w:rsidRDefault="003D51DE">
      <w:pPr>
        <w:pStyle w:val="a3"/>
        <w:spacing w:before="40" w:beforeAutospacing="0" w:after="0" w:afterAutospacing="0"/>
        <w:ind w:hanging="581"/>
        <w:jc w:val="both"/>
        <w:rPr>
          <w:sz w:val="20"/>
          <w:szCs w:val="20"/>
        </w:rPr>
      </w:pPr>
      <w:r>
        <w:rPr>
          <w:sz w:val="10"/>
          <w:szCs w:val="10"/>
          <w:vertAlign w:val="superscript"/>
        </w:rPr>
        <w:t>(3)</w:t>
      </w:r>
      <w:r>
        <w:rPr>
          <w:sz w:val="10"/>
          <w:szCs w:val="10"/>
          <w:vertAlign w:val="superscript"/>
        </w:rPr>
        <w:t xml:space="preserve"> </w:t>
      </w:r>
      <w:r>
        <w:rPr>
          <w:sz w:val="15"/>
          <w:szCs w:val="15"/>
        </w:rPr>
        <w:t>Acquisitio</w:t>
      </w:r>
      <w:r>
        <w:rPr>
          <w:sz w:val="15"/>
          <w:szCs w:val="15"/>
        </w:rPr>
        <w:t xml:space="preserve">ns include increases in the cost basis of investments resulting from new portfolio investments, PIK interest or dividends, the amortization of unearned income, the exchange of one or more existing securities for one or more new securities and the movement </w:t>
      </w:r>
      <w:r>
        <w:rPr>
          <w:sz w:val="15"/>
          <w:szCs w:val="15"/>
        </w:rPr>
        <w:t>of an existing portfolio company into this category from a different category</w:t>
      </w:r>
      <w:r>
        <w:rPr>
          <w:sz w:val="15"/>
          <w:szCs w:val="15"/>
        </w:rPr>
        <w:t>.</w:t>
      </w:r>
      <w:r>
        <w:rPr>
          <w:sz w:val="15"/>
          <w:szCs w:val="15"/>
        </w:rPr>
        <w:t xml:space="preserve"> </w:t>
      </w:r>
    </w:p>
    <w:p w:rsidR="00000000" w:rsidRDefault="003D51DE">
      <w:pPr>
        <w:pStyle w:val="a3"/>
        <w:spacing w:before="0" w:beforeAutospacing="0" w:after="0" w:afterAutospacing="0"/>
        <w:ind w:hanging="581"/>
        <w:jc w:val="both"/>
        <w:rPr>
          <w:sz w:val="20"/>
          <w:szCs w:val="20"/>
        </w:rPr>
      </w:pPr>
      <w:r>
        <w:rPr>
          <w:sz w:val="10"/>
          <w:szCs w:val="10"/>
          <w:vertAlign w:val="superscript"/>
        </w:rPr>
        <w:t>(4)</w:t>
      </w:r>
      <w:r>
        <w:rPr>
          <w:sz w:val="10"/>
          <w:szCs w:val="10"/>
          <w:vertAlign w:val="superscript"/>
        </w:rPr>
        <w:t xml:space="preserve"> </w:t>
      </w:r>
      <w:r>
        <w:rPr>
          <w:sz w:val="15"/>
          <w:szCs w:val="15"/>
        </w:rPr>
        <w:t>Dispositions include decreases in the cost basis of investments, net of realized gain or loss, resulting from principal collections related to investment repayments or sale</w:t>
      </w:r>
      <w:r>
        <w:rPr>
          <w:sz w:val="15"/>
          <w:szCs w:val="15"/>
        </w:rPr>
        <w:t>s, the exchange of one or more existing securities for one or more new securities and the movement of an existing portfolio company out of this category into a different category</w:t>
      </w:r>
      <w:r>
        <w:rPr>
          <w:sz w:val="15"/>
          <w:szCs w:val="15"/>
        </w:rPr>
        <w:t>.</w:t>
      </w:r>
      <w:r>
        <w:rPr>
          <w:sz w:val="15"/>
          <w:szCs w:val="15"/>
        </w:rPr>
        <w:t xml:space="preserve"> </w:t>
      </w:r>
    </w:p>
    <w:p w:rsidR="00000000" w:rsidRDefault="003D51DE">
      <w:pPr>
        <w:pStyle w:val="a3"/>
        <w:spacing w:before="0" w:beforeAutospacing="0" w:after="0" w:afterAutospacing="0"/>
        <w:ind w:hanging="581"/>
        <w:jc w:val="both"/>
        <w:rPr>
          <w:sz w:val="20"/>
          <w:szCs w:val="20"/>
        </w:rPr>
      </w:pPr>
      <w:r>
        <w:rPr>
          <w:sz w:val="10"/>
          <w:szCs w:val="10"/>
          <w:vertAlign w:val="superscript"/>
        </w:rPr>
        <w:t>(5)</w:t>
      </w:r>
      <w:r>
        <w:rPr>
          <w:sz w:val="10"/>
          <w:szCs w:val="10"/>
          <w:vertAlign w:val="superscript"/>
        </w:rPr>
        <w:t xml:space="preserve"> </w:t>
      </w:r>
      <w:r>
        <w:rPr>
          <w:sz w:val="15"/>
          <w:szCs w:val="15"/>
        </w:rPr>
        <w:t>Net unrealized gain (loss) before taxes includes the net change in unre</w:t>
      </w:r>
      <w:r>
        <w:rPr>
          <w:sz w:val="15"/>
          <w:szCs w:val="15"/>
        </w:rPr>
        <w:t>alized appreciation (depreciation) on controlled investments and net change in unrealized appreciation (depreciation) on foreign currency translation associated with the controlled investments. For the year ended December 31, 2021, the net change in unreal</w:t>
      </w:r>
      <w:r>
        <w:rPr>
          <w:sz w:val="15"/>
          <w:szCs w:val="15"/>
        </w:rPr>
        <w:t xml:space="preserve">ized appreciation (depreciation) and foreign currency translation associated with the Red Apple Stores Inc.’s common stock was </w:t>
      </w:r>
      <w:r>
        <w:rPr>
          <w:sz w:val="15"/>
          <w:szCs w:val="15"/>
        </w:rPr>
        <w:t>$</w:t>
      </w:r>
      <w:r>
        <w:rPr>
          <w:sz w:val="15"/>
          <w:szCs w:val="15"/>
        </w:rPr>
        <w:t>285,36</w:t>
      </w:r>
      <w:r>
        <w:rPr>
          <w:sz w:val="15"/>
          <w:szCs w:val="15"/>
        </w:rPr>
        <w:t>0</w:t>
      </w:r>
      <w:r>
        <w:rPr>
          <w:sz w:val="15"/>
          <w:szCs w:val="15"/>
        </w:rPr>
        <w:t xml:space="preserve"> and $</w:t>
      </w:r>
      <w:r>
        <w:rPr>
          <w:sz w:val="15"/>
          <w:szCs w:val="15"/>
        </w:rPr>
        <w:t>(</w:t>
      </w:r>
      <w:r>
        <w:rPr>
          <w:sz w:val="15"/>
          <w:szCs w:val="15"/>
        </w:rPr>
        <w:t>285,36</w:t>
      </w:r>
      <w:r>
        <w:rPr>
          <w:sz w:val="15"/>
          <w:szCs w:val="15"/>
        </w:rPr>
        <w:t>0</w:t>
      </w:r>
      <w:r>
        <w:rPr>
          <w:sz w:val="15"/>
          <w:szCs w:val="15"/>
        </w:rPr>
        <w:t>), respectively</w:t>
      </w:r>
      <w:r>
        <w:rPr>
          <w:sz w:val="15"/>
          <w:szCs w:val="15"/>
        </w:rPr>
        <w:t>.</w:t>
      </w:r>
    </w:p>
    <w:p w:rsidR="00000000" w:rsidRDefault="003D51DE">
      <w:pPr>
        <w:pStyle w:val="a3"/>
        <w:spacing w:before="0" w:beforeAutospacing="0" w:after="0" w:afterAutospacing="0"/>
        <w:ind w:hanging="581"/>
        <w:jc w:val="both"/>
        <w:rPr>
          <w:sz w:val="20"/>
          <w:szCs w:val="20"/>
        </w:rPr>
      </w:pPr>
      <w:r>
        <w:rPr>
          <w:sz w:val="12"/>
          <w:szCs w:val="12"/>
          <w:vertAlign w:val="superscript"/>
        </w:rPr>
        <w:t>†</w:t>
      </w:r>
      <w:r>
        <w:rPr>
          <w:sz w:val="15"/>
          <w:szCs w:val="15"/>
        </w:rPr>
        <w:t xml:space="preserve"> </w:t>
      </w:r>
      <w:r>
        <w:rPr>
          <w:sz w:val="15"/>
          <w:szCs w:val="15"/>
        </w:rPr>
        <w:t>Investment no longer held as of December 31, 2021</w:t>
      </w:r>
      <w:r>
        <w:rPr>
          <w:sz w:val="15"/>
          <w:szCs w:val="15"/>
        </w:rPr>
        <w:t>.</w:t>
      </w:r>
      <w:r>
        <w:rPr>
          <w:sz w:val="15"/>
          <w:szCs w:val="15"/>
        </w:rPr>
        <w:t xml:space="preserve"> </w:t>
      </w:r>
    </w:p>
    <w:p w:rsidR="00000000" w:rsidRDefault="003D51DE">
      <w:pPr>
        <w:pStyle w:val="a3"/>
        <w:spacing w:before="180" w:beforeAutospacing="0" w:after="0" w:afterAutospacing="0"/>
        <w:ind w:hanging="735"/>
        <w:jc w:val="both"/>
        <w:rPr>
          <w:sz w:val="20"/>
          <w:szCs w:val="20"/>
        </w:rPr>
      </w:pPr>
      <w:r>
        <w:rPr>
          <w:sz w:val="19"/>
          <w:szCs w:val="19"/>
        </w:rPr>
        <w:t>The aggregate fair value of controll</w:t>
      </w:r>
      <w:r>
        <w:rPr>
          <w:sz w:val="19"/>
          <w:szCs w:val="19"/>
        </w:rPr>
        <w:t>ed investments at December 31, 2021 represents</w:t>
      </w:r>
      <w:r>
        <w:rPr>
          <w:sz w:val="19"/>
          <w:szCs w:val="19"/>
        </w:rPr>
        <w:t xml:space="preserve"> </w:t>
      </w:r>
      <w:r>
        <w:rPr>
          <w:sz w:val="19"/>
          <w:szCs w:val="19"/>
        </w:rPr>
        <w:t>6.</w:t>
      </w:r>
      <w:r>
        <w:rPr>
          <w:sz w:val="19"/>
          <w:szCs w:val="19"/>
        </w:rPr>
        <w:t>3</w:t>
      </w:r>
      <w:r>
        <w:rPr>
          <w:sz w:val="19"/>
          <w:szCs w:val="19"/>
        </w:rPr>
        <w:t>% of the Company’s net assets</w:t>
      </w:r>
      <w:r>
        <w:rPr>
          <w:sz w:val="19"/>
          <w:szCs w:val="19"/>
        </w:rPr>
        <w:t>.</w:t>
      </w:r>
      <w:r>
        <w:rPr>
          <w:sz w:val="19"/>
          <w:szCs w:val="19"/>
        </w:rPr>
        <w:t xml:space="preserve"> </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20" w:beforeAutospacing="0" w:after="0" w:afterAutospacing="0"/>
        <w:jc w:val="center"/>
        <w:rPr>
          <w:sz w:val="20"/>
          <w:szCs w:val="20"/>
        </w:rPr>
      </w:pPr>
      <w:r>
        <w:rPr>
          <w:sz w:val="19"/>
          <w:szCs w:val="19"/>
        </w:rPr>
        <w:t>The accompanying notes are an integral part of these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19"/>
          <w:szCs w:val="19"/>
        </w:rPr>
        <w:t>2</w:t>
      </w:r>
      <w:r>
        <w:rPr>
          <w:sz w:val="19"/>
          <w:szCs w:val="19"/>
        </w:rPr>
        <w:t>2</w:t>
      </w:r>
    </w:p>
    <w:p w:rsidR="00000000" w:rsidRDefault="003D51DE">
      <w:pPr>
        <w:rPr>
          <w:rFonts w:eastAsia="Times New Roman"/>
        </w:rPr>
      </w:pPr>
      <w:r>
        <w:rPr>
          <w:rFonts w:eastAsia="Times New Roman"/>
        </w:rPr>
        <w:pict>
          <v:rect id="_x0000_i104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BlackRock Capital Investment Corporatio</w:t>
      </w:r>
      <w:r>
        <w:rPr>
          <w:b/>
          <w:bCs/>
          <w:sz w:val="19"/>
          <w:szCs w:val="19"/>
        </w:rPr>
        <w:t>n</w:t>
      </w:r>
    </w:p>
    <w:p w:rsidR="00000000" w:rsidRDefault="003D51DE">
      <w:pPr>
        <w:pStyle w:val="a3"/>
        <w:spacing w:before="120" w:beforeAutospacing="0" w:after="0" w:afterAutospacing="0"/>
        <w:jc w:val="center"/>
        <w:rPr>
          <w:sz w:val="20"/>
          <w:szCs w:val="20"/>
        </w:rPr>
      </w:pPr>
      <w:r>
        <w:rPr>
          <w:b/>
          <w:bCs/>
          <w:sz w:val="19"/>
          <w:szCs w:val="19"/>
        </w:rPr>
        <w:t>Notes to Consolidated Finan</w:t>
      </w:r>
      <w:r>
        <w:rPr>
          <w:b/>
          <w:bCs/>
          <w:sz w:val="19"/>
          <w:szCs w:val="19"/>
        </w:rPr>
        <w:t>c</w:t>
      </w:r>
      <w:r>
        <w:rPr>
          <w:b/>
          <w:bCs/>
          <w:sz w:val="19"/>
          <w:szCs w:val="19"/>
        </w:rPr>
        <w:t>ial Statement</w:t>
      </w:r>
      <w:r>
        <w:rPr>
          <w:b/>
          <w:bCs/>
          <w:sz w:val="19"/>
          <w:szCs w:val="19"/>
        </w:rPr>
        <w:t>s</w:t>
      </w:r>
      <w:r>
        <w:rPr>
          <w:b/>
          <w:bCs/>
          <w:sz w:val="19"/>
          <w:szCs w:val="19"/>
        </w:rPr>
        <w:t xml:space="preserve"> </w:t>
      </w:r>
    </w:p>
    <w:p w:rsidR="00000000" w:rsidRDefault="003D51DE">
      <w:pPr>
        <w:pStyle w:val="a3"/>
        <w:spacing w:before="120" w:beforeAutospacing="0" w:after="0" w:afterAutospacing="0"/>
        <w:jc w:val="center"/>
        <w:rPr>
          <w:sz w:val="20"/>
          <w:szCs w:val="20"/>
        </w:rPr>
      </w:pPr>
      <w:r>
        <w:rPr>
          <w:b/>
          <w:bCs/>
          <w:sz w:val="19"/>
          <w:szCs w:val="19"/>
        </w:rPr>
        <w:t>(Unaudited</w:t>
      </w:r>
      <w:r>
        <w:rPr>
          <w:b/>
          <w:bCs/>
          <w:sz w:val="19"/>
          <w:szCs w:val="19"/>
        </w:rPr>
        <w:t>)</w:t>
      </w:r>
      <w:r>
        <w:rPr>
          <w:b/>
          <w:bCs/>
          <w:sz w:val="19"/>
          <w:szCs w:val="19"/>
        </w:rPr>
        <w:t xml:space="preserve"> </w:t>
      </w:r>
    </w:p>
    <w:p w:rsidR="00000000" w:rsidRDefault="003D51DE">
      <w:pPr>
        <w:pStyle w:val="a3"/>
        <w:spacing w:before="240" w:beforeAutospacing="0" w:after="0" w:afterAutospacing="0"/>
        <w:jc w:val="both"/>
        <w:divId w:val="975570670"/>
        <w:rPr>
          <w:sz w:val="20"/>
          <w:szCs w:val="20"/>
        </w:rPr>
      </w:pPr>
      <w:r>
        <w:rPr>
          <w:b/>
          <w:bCs/>
          <w:sz w:val="19"/>
          <w:szCs w:val="19"/>
        </w:rPr>
        <w:t>1. Organizatio</w:t>
      </w:r>
      <w:r>
        <w:rPr>
          <w:b/>
          <w:bCs/>
          <w:sz w:val="19"/>
          <w:szCs w:val="19"/>
        </w:rPr>
        <w:t>n</w:t>
      </w:r>
      <w:r>
        <w:rPr>
          <w:b/>
          <w:bCs/>
          <w:sz w:val="19"/>
          <w:szCs w:val="19"/>
        </w:rPr>
        <w:t xml:space="preserve"> </w:t>
      </w:r>
    </w:p>
    <w:p w:rsidR="00000000" w:rsidRDefault="003D51DE">
      <w:pPr>
        <w:pStyle w:val="a3"/>
        <w:spacing w:before="240" w:beforeAutospacing="0" w:after="0" w:afterAutospacing="0"/>
        <w:ind w:firstLine="694"/>
        <w:jc w:val="both"/>
        <w:divId w:val="975570670"/>
        <w:rPr>
          <w:sz w:val="20"/>
          <w:szCs w:val="20"/>
        </w:rPr>
      </w:pPr>
      <w:r>
        <w:rPr>
          <w:sz w:val="19"/>
          <w:szCs w:val="19"/>
        </w:rPr>
        <w:t xml:space="preserve">BlackRock Capital Investment Corporation (together with its subsidiaries, the “Company”) was organized as a Delaware corporation on April 13, 2005 and was initially funded on July 25, 2005. The Company has elected to be regulated as a business development </w:t>
      </w:r>
      <w:r>
        <w:rPr>
          <w:sz w:val="19"/>
          <w:szCs w:val="19"/>
        </w:rPr>
        <w:t>company (“BDC”) under the Investment Company Act of 1940 (the “1940 Act”). In addition, for tax purposes the Company has qualified and has elected to be treated as a regulated investment company (“RIC”) under the Internal Revenue Code of 1986 (the “Code”)</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975570670"/>
        <w:rPr>
          <w:sz w:val="20"/>
          <w:szCs w:val="20"/>
        </w:rPr>
      </w:pPr>
      <w:r>
        <w:rPr>
          <w:sz w:val="19"/>
          <w:szCs w:val="19"/>
        </w:rPr>
        <w:t>The Company’s investment objective is to generate both current income and capital appreciation through debt and equity investments. We invest primarily in middle-market companies in the form of senior debt securities and loans, and our investment portfol</w:t>
      </w:r>
      <w:r>
        <w:rPr>
          <w:sz w:val="19"/>
          <w:szCs w:val="19"/>
        </w:rPr>
        <w:t>io may include junior secured and unsecured debt securities and loans, each of which may include an equity component</w:t>
      </w:r>
      <w:r>
        <w:rPr>
          <w:sz w:val="19"/>
          <w:szCs w:val="19"/>
        </w:rPr>
        <w:t>.</w:t>
      </w:r>
    </w:p>
    <w:p w:rsidR="00000000" w:rsidRDefault="003D51DE">
      <w:pPr>
        <w:pStyle w:val="a3"/>
        <w:spacing w:before="240" w:beforeAutospacing="0" w:after="0" w:afterAutospacing="0"/>
        <w:jc w:val="both"/>
        <w:divId w:val="126973713"/>
        <w:rPr>
          <w:sz w:val="20"/>
          <w:szCs w:val="20"/>
        </w:rPr>
      </w:pPr>
      <w:r>
        <w:rPr>
          <w:b/>
          <w:bCs/>
          <w:sz w:val="19"/>
          <w:szCs w:val="19"/>
        </w:rPr>
        <w:t>2. Summary of Significant Accounting Policie</w:t>
      </w:r>
      <w:r>
        <w:rPr>
          <w:b/>
          <w:bCs/>
          <w:sz w:val="19"/>
          <w:szCs w:val="19"/>
        </w:rPr>
        <w:t>s</w:t>
      </w:r>
      <w:r>
        <w:rPr>
          <w:b/>
          <w:bCs/>
          <w:sz w:val="19"/>
          <w:szCs w:val="19"/>
        </w:rPr>
        <w:t xml:space="preserve"> </w:t>
      </w:r>
    </w:p>
    <w:p w:rsidR="00000000" w:rsidRDefault="003D51DE">
      <w:pPr>
        <w:pStyle w:val="a3"/>
        <w:spacing w:before="240" w:beforeAutospacing="0" w:after="0" w:afterAutospacing="0"/>
        <w:ind w:left="595"/>
        <w:jc w:val="both"/>
        <w:divId w:val="1731221099"/>
        <w:rPr>
          <w:sz w:val="20"/>
          <w:szCs w:val="20"/>
        </w:rPr>
      </w:pPr>
      <w:r>
        <w:rPr>
          <w:b/>
          <w:bCs/>
          <w:i/>
          <w:iCs/>
          <w:sz w:val="19"/>
          <w:szCs w:val="19"/>
        </w:rPr>
        <w:t>Basis of Presentatio</w:t>
      </w:r>
      <w:r>
        <w:rPr>
          <w:b/>
          <w:bCs/>
          <w:i/>
          <w:iCs/>
          <w:sz w:val="19"/>
          <w:szCs w:val="19"/>
        </w:rPr>
        <w:t>n</w:t>
      </w:r>
    </w:p>
    <w:p w:rsidR="00000000" w:rsidRDefault="003D51DE">
      <w:pPr>
        <w:pStyle w:val="a3"/>
        <w:spacing w:before="240" w:beforeAutospacing="0" w:after="0" w:afterAutospacing="0"/>
        <w:ind w:firstLine="694"/>
        <w:jc w:val="both"/>
        <w:divId w:val="1731221099"/>
        <w:rPr>
          <w:sz w:val="20"/>
          <w:szCs w:val="20"/>
        </w:rPr>
      </w:pPr>
      <w:r>
        <w:rPr>
          <w:sz w:val="19"/>
          <w:szCs w:val="19"/>
        </w:rPr>
        <w:t>The accompanying consolidated financial statements are prepared in ac</w:t>
      </w:r>
      <w:r>
        <w:rPr>
          <w:sz w:val="19"/>
          <w:szCs w:val="19"/>
        </w:rPr>
        <w:t xml:space="preserve">cordance with United States (“U.S.”) generally accepted accounting principles (“GAAP”). The Company is an investment company following the accounting and reporting guidance in Financial Accounting Standards Board (“FASB”) Accounting Standards Codification </w:t>
      </w:r>
      <w:r>
        <w:rPr>
          <w:sz w:val="19"/>
          <w:szCs w:val="19"/>
        </w:rPr>
        <w:t>(“ASC”) 946,</w:t>
      </w:r>
      <w:r>
        <w:rPr>
          <w:sz w:val="19"/>
          <w:szCs w:val="19"/>
        </w:rPr>
        <w:t xml:space="preserve"> </w:t>
      </w:r>
      <w:r>
        <w:rPr>
          <w:i/>
          <w:iCs/>
          <w:sz w:val="19"/>
          <w:szCs w:val="19"/>
        </w:rPr>
        <w:t>Financial Services-Investment Compan</w:t>
      </w:r>
      <w:r>
        <w:rPr>
          <w:i/>
          <w:iCs/>
          <w:sz w:val="19"/>
          <w:szCs w:val="19"/>
        </w:rPr>
        <w:t>y</w:t>
      </w:r>
      <w:r>
        <w:rPr>
          <w:sz w:val="19"/>
          <w:szCs w:val="19"/>
        </w:rPr>
        <w:t xml:space="preserve"> (“ASC 946”)</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731221099"/>
        <w:rPr>
          <w:sz w:val="20"/>
          <w:szCs w:val="20"/>
        </w:rPr>
      </w:pPr>
      <w:r>
        <w:rPr>
          <w:sz w:val="19"/>
          <w:szCs w:val="19"/>
        </w:rPr>
        <w:t>The accompanying consolidated financial statements include the accounts of the Company and its subsidiaries, which were established to hold certain investments of the Company. The Company own</w:t>
      </w:r>
      <w:r>
        <w:rPr>
          <w:sz w:val="19"/>
          <w:szCs w:val="19"/>
        </w:rPr>
        <w:t>s</w:t>
      </w:r>
      <w:r>
        <w:rPr>
          <w:sz w:val="19"/>
          <w:szCs w:val="19"/>
        </w:rPr>
        <w:t xml:space="preserve"> </w:t>
      </w:r>
      <w:r>
        <w:rPr>
          <w:sz w:val="19"/>
          <w:szCs w:val="19"/>
        </w:rPr>
        <w:t>10</w:t>
      </w:r>
      <w:r>
        <w:rPr>
          <w:sz w:val="19"/>
          <w:szCs w:val="19"/>
        </w:rPr>
        <w:t>0</w:t>
      </w:r>
      <w:r>
        <w:rPr>
          <w:sz w:val="19"/>
          <w:szCs w:val="19"/>
        </w:rPr>
        <w:t>% of each subsidiary and, as such, the subsidiaries are consolidated into the Company’s consolidated financial statements. The subsidiaries hold investments which are treated as pass through entities for tax purposes. By investing through these</w:t>
      </w:r>
      <w:r>
        <w:rPr>
          <w:sz w:val="19"/>
          <w:szCs w:val="19"/>
        </w:rPr>
        <w:t xml:space="preserve"> </w:t>
      </w:r>
      <w:r>
        <w:rPr>
          <w:sz w:val="19"/>
          <w:szCs w:val="19"/>
        </w:rPr>
        <w:t>10</w:t>
      </w:r>
      <w:r>
        <w:rPr>
          <w:sz w:val="19"/>
          <w:szCs w:val="19"/>
        </w:rPr>
        <w:t>0</w:t>
      </w:r>
      <w:r>
        <w:rPr>
          <w:sz w:val="19"/>
          <w:szCs w:val="19"/>
        </w:rPr>
        <w:t>% o</w:t>
      </w:r>
      <w:r>
        <w:rPr>
          <w:sz w:val="19"/>
          <w:szCs w:val="19"/>
        </w:rPr>
        <w:t>wned subsidiaries, the Company is able to benefit from corporate tax treatment for these entities and thereby create a tax structure that is more advantageous with respect to the RIC status of the Company. Intercompany balances and transactions are elimina</w:t>
      </w:r>
      <w:r>
        <w:rPr>
          <w:sz w:val="19"/>
          <w:szCs w:val="19"/>
        </w:rPr>
        <w:t>ted in consolidation</w:t>
      </w:r>
      <w:r>
        <w:rPr>
          <w:sz w:val="19"/>
          <w:szCs w:val="19"/>
        </w:rPr>
        <w:t>.</w:t>
      </w:r>
    </w:p>
    <w:p w:rsidR="00000000" w:rsidRDefault="003D51DE">
      <w:pPr>
        <w:pStyle w:val="a3"/>
        <w:spacing w:before="180" w:beforeAutospacing="0" w:after="0" w:afterAutospacing="0"/>
        <w:ind w:firstLine="694"/>
        <w:jc w:val="both"/>
        <w:divId w:val="1731221099"/>
        <w:rPr>
          <w:sz w:val="20"/>
          <w:szCs w:val="20"/>
        </w:rPr>
      </w:pPr>
      <w:r>
        <w:rPr>
          <w:sz w:val="19"/>
          <w:szCs w:val="19"/>
        </w:rPr>
        <w:t>Certain prior period information has been reclassified to conform to the current period presentation. The reclassification has no effect on the Company’s consolidated financial position or the consolidated results of operations as pre</w:t>
      </w:r>
      <w:r>
        <w:rPr>
          <w:sz w:val="19"/>
          <w:szCs w:val="19"/>
        </w:rPr>
        <w:t>viously reported</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731221099"/>
        <w:rPr>
          <w:sz w:val="20"/>
          <w:szCs w:val="20"/>
        </w:rPr>
      </w:pPr>
      <w:r>
        <w:rPr>
          <w:sz w:val="19"/>
          <w:szCs w:val="19"/>
        </w:rPr>
        <w:t>Expenses are recorded on an accrual basis</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1955868339"/>
        <w:rPr>
          <w:sz w:val="20"/>
          <w:szCs w:val="20"/>
        </w:rPr>
      </w:pPr>
      <w:r>
        <w:rPr>
          <w:b/>
          <w:bCs/>
          <w:i/>
          <w:iCs/>
          <w:sz w:val="19"/>
          <w:szCs w:val="19"/>
        </w:rPr>
        <w:t>Unaudited Interim Consolidated Financial Statement</w:t>
      </w:r>
      <w:r>
        <w:rPr>
          <w:b/>
          <w:bCs/>
          <w:i/>
          <w:iCs/>
          <w:sz w:val="19"/>
          <w:szCs w:val="19"/>
        </w:rPr>
        <w:t>s</w:t>
      </w:r>
    </w:p>
    <w:p w:rsidR="00000000" w:rsidRDefault="003D51DE">
      <w:pPr>
        <w:pStyle w:val="a3"/>
        <w:spacing w:before="240" w:beforeAutospacing="0" w:after="0" w:afterAutospacing="0"/>
        <w:ind w:firstLine="694"/>
        <w:jc w:val="both"/>
        <w:divId w:val="1955868339"/>
        <w:rPr>
          <w:sz w:val="20"/>
          <w:szCs w:val="20"/>
        </w:rPr>
      </w:pPr>
      <w:r>
        <w:rPr>
          <w:sz w:val="19"/>
          <w:szCs w:val="19"/>
        </w:rPr>
        <w:t>Certain financial information that is normally included in annual financial statements, including certain financial statement footnotes, prep</w:t>
      </w:r>
      <w:r>
        <w:rPr>
          <w:sz w:val="19"/>
          <w:szCs w:val="19"/>
        </w:rPr>
        <w:t>ared in accordance with GAAP, is not required for interim reporting purposes and has been condensed or omitted herein. These consolidated financial statements should be read in conjunction with the Company’s consolidated financial statements and notes rela</w:t>
      </w:r>
      <w:r>
        <w:rPr>
          <w:sz w:val="19"/>
          <w:szCs w:val="19"/>
        </w:rPr>
        <w:t>ted thereto included in the Company’s Annual Report on Form 10-K for the year ended December 31, 2021, which was filed with the Securities and Exchange Commission (“SEC”) on March 2, 2022</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955868339"/>
        <w:rPr>
          <w:sz w:val="20"/>
          <w:szCs w:val="20"/>
        </w:rPr>
      </w:pPr>
      <w:r>
        <w:rPr>
          <w:sz w:val="19"/>
          <w:szCs w:val="19"/>
        </w:rPr>
        <w:t>The interim financial information at September 30, 2022 and for th</w:t>
      </w:r>
      <w:r>
        <w:rPr>
          <w:sz w:val="19"/>
          <w:szCs w:val="19"/>
        </w:rPr>
        <w:t>e three and nine months ended September 30, 2022 and 202</w:t>
      </w:r>
      <w:r>
        <w:rPr>
          <w:sz w:val="19"/>
          <w:szCs w:val="19"/>
        </w:rPr>
        <w:t>1</w:t>
      </w:r>
      <w:r>
        <w:rPr>
          <w:sz w:val="19"/>
          <w:szCs w:val="19"/>
        </w:rPr>
        <w:t xml:space="preserve"> is unaudited. However, in the opinion of management, the interim information includes all normal recurring adjustments necessary for the fair presentation of the Company’s results for the periods pr</w:t>
      </w:r>
      <w:r>
        <w:rPr>
          <w:sz w:val="19"/>
          <w:szCs w:val="19"/>
        </w:rPr>
        <w:t>esented. The results of operations for interim periods are not necessarily indicative of results to be expected for the full year</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473447642"/>
        <w:rPr>
          <w:sz w:val="20"/>
          <w:szCs w:val="20"/>
        </w:rPr>
      </w:pPr>
      <w:r>
        <w:rPr>
          <w:b/>
          <w:bCs/>
          <w:i/>
          <w:iCs/>
          <w:sz w:val="19"/>
          <w:szCs w:val="19"/>
        </w:rPr>
        <w:t>Use of Estimate</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473447642"/>
        <w:rPr>
          <w:sz w:val="20"/>
          <w:szCs w:val="20"/>
        </w:rPr>
      </w:pPr>
      <w:r>
        <w:rPr>
          <w:sz w:val="19"/>
          <w:szCs w:val="19"/>
        </w:rPr>
        <w:t>The preparation of the consolidated financial statements in conformity with GAAP requires management to ma</w:t>
      </w:r>
      <w:r>
        <w:rPr>
          <w:sz w:val="19"/>
          <w:szCs w:val="19"/>
        </w:rPr>
        <w:t>ke estimates and assumptions that affect the reported amounts of assets and liabilities and disclosure of contingent assets and liabilities at the date of the consolidated financial statements, as well as the reported amounts of revenues and expenses durin</w:t>
      </w:r>
      <w:r>
        <w:rPr>
          <w:sz w:val="19"/>
          <w:szCs w:val="19"/>
        </w:rPr>
        <w:t>g the reporting periods presented. Although management believes these estimates and assumptions to be reasonable, actual results could differ from those estimates and such differences could be material</w:t>
      </w:r>
      <w:r>
        <w:rPr>
          <w:sz w:val="19"/>
          <w:szCs w:val="19"/>
        </w:rPr>
        <w:t>.</w:t>
      </w:r>
      <w:r>
        <w:rPr>
          <w:sz w:val="19"/>
          <w:szCs w:val="19"/>
        </w:rPr>
        <w:t xml:space="preserve"> </w:t>
      </w:r>
    </w:p>
    <w:p w:rsidR="00000000" w:rsidRDefault="003D51DE">
      <w:pPr>
        <w:pStyle w:val="a3"/>
        <w:spacing w:before="240" w:beforeAutospacing="0" w:after="0" w:afterAutospacing="0"/>
        <w:ind w:left="595"/>
        <w:jc w:val="both"/>
        <w:divId w:val="813638296"/>
        <w:rPr>
          <w:sz w:val="20"/>
          <w:szCs w:val="20"/>
        </w:rPr>
      </w:pPr>
      <w:r>
        <w:rPr>
          <w:b/>
          <w:bCs/>
          <w:i/>
          <w:iCs/>
          <w:sz w:val="19"/>
          <w:szCs w:val="19"/>
        </w:rPr>
        <w:t>Investment Valuatio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divId w:val="813638296"/>
        <w:rPr>
          <w:sz w:val="20"/>
          <w:szCs w:val="20"/>
        </w:rPr>
      </w:pPr>
      <w:r>
        <w:rPr>
          <w:sz w:val="19"/>
          <w:szCs w:val="19"/>
        </w:rPr>
        <w:t>Pursuant to Rule 2a-5 (the "Ru</w:t>
      </w:r>
      <w:r>
        <w:rPr>
          <w:sz w:val="19"/>
          <w:szCs w:val="19"/>
        </w:rPr>
        <w:t>le") under the 1940 Act, the Company’s Board of Directors (the "Board") has designated BlackRock Capital Investment Advisors, LLC (“BCIA” or the “Advisor”) as the Company’s valuation designee (the “Valuation Designee”) to perform certain fair value functio</w:t>
      </w:r>
      <w:r>
        <w:rPr>
          <w:sz w:val="19"/>
          <w:szCs w:val="19"/>
        </w:rPr>
        <w:t>ns, including performing fair value determinations, and has reviewed and approved amended policies and procedures adopted by BCIA to seek to ensure compliance with the requirements of the Rule as part of such designation. The Valuation Designee will provid</w:t>
      </w:r>
      <w:r>
        <w:rPr>
          <w:sz w:val="19"/>
          <w:szCs w:val="19"/>
        </w:rPr>
        <w:t>e quarterly valuation reporting and notifications on any material valuation matters to the Board as required under the Rule</w:t>
      </w:r>
      <w:r>
        <w:rPr>
          <w:sz w:val="19"/>
          <w:szCs w:val="19"/>
        </w:rPr>
        <w:t>.</w:t>
      </w:r>
    </w:p>
    <w:p w:rsidR="00000000" w:rsidRDefault="003D51DE">
      <w:pPr>
        <w:pStyle w:val="a3"/>
        <w:spacing w:before="0" w:beforeAutospacing="0" w:after="0" w:afterAutospacing="0"/>
        <w:jc w:val="center"/>
        <w:divId w:val="813638296"/>
        <w:rPr>
          <w:sz w:val="20"/>
          <w:szCs w:val="20"/>
        </w:rPr>
      </w:pPr>
      <w:r>
        <w:rPr>
          <w:sz w:val="20"/>
          <w:szCs w:val="20"/>
        </w:rPr>
        <w:t> </w:t>
      </w:r>
    </w:p>
    <w:p w:rsidR="00000000" w:rsidRDefault="003D51DE">
      <w:pPr>
        <w:pStyle w:val="a3"/>
        <w:spacing w:before="0" w:beforeAutospacing="0" w:after="0" w:afterAutospacing="0"/>
        <w:jc w:val="center"/>
        <w:divId w:val="813638296"/>
        <w:rPr>
          <w:sz w:val="20"/>
          <w:szCs w:val="20"/>
        </w:rPr>
      </w:pPr>
      <w:r>
        <w:rPr>
          <w:sz w:val="19"/>
          <w:szCs w:val="19"/>
        </w:rPr>
        <w:t>2</w:t>
      </w:r>
      <w:r>
        <w:rPr>
          <w:sz w:val="19"/>
          <w:szCs w:val="19"/>
        </w:rPr>
        <w:t>3</w:t>
      </w:r>
    </w:p>
    <w:p w:rsidR="00000000" w:rsidRDefault="003D51DE">
      <w:pPr>
        <w:divId w:val="813638296"/>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3D51DE">
      <w:pPr>
        <w:pStyle w:val="a3"/>
        <w:spacing w:before="0" w:beforeAutospacing="0" w:after="0" w:afterAutospacing="0"/>
        <w:divId w:val="813638296"/>
        <w:rPr>
          <w:sz w:val="20"/>
          <w:szCs w:val="20"/>
        </w:rPr>
      </w:pPr>
      <w:r>
        <w:rPr>
          <w:sz w:val="20"/>
          <w:szCs w:val="20"/>
        </w:rPr>
        <w:t> </w:t>
      </w:r>
    </w:p>
    <w:p w:rsidR="00000000" w:rsidRDefault="003D51DE">
      <w:pPr>
        <w:pStyle w:val="a3"/>
        <w:spacing w:before="180" w:beforeAutospacing="0" w:after="0" w:afterAutospacing="0"/>
        <w:ind w:firstLine="702"/>
        <w:jc w:val="both"/>
        <w:divId w:val="813638296"/>
        <w:rPr>
          <w:sz w:val="20"/>
          <w:szCs w:val="20"/>
        </w:rPr>
      </w:pPr>
      <w:r>
        <w:rPr>
          <w:sz w:val="19"/>
          <w:szCs w:val="19"/>
        </w:rPr>
        <w:t>Investments are recorded at fair value in accordance with GAAP, based upon the principle</w:t>
      </w:r>
      <w:r>
        <w:rPr>
          <w:sz w:val="19"/>
          <w:szCs w:val="19"/>
        </w:rPr>
        <w:t>s and methods of valuation set forth in the Valuation Designee's policies and procedures adopted for the Company by the Board and the Valuation Designee. Securities traded on a recognized securities exchange are valued using the close price on the exchange</w:t>
      </w:r>
      <w:r>
        <w:rPr>
          <w:sz w:val="19"/>
          <w:szCs w:val="19"/>
        </w:rPr>
        <w:t xml:space="preserve"> on valuation date. Investments for which market prices from an exchange are not readily available are valued using the last available bid price or quote provided by an independent pricing service or one or more broker-dealers or market makers, unless they</w:t>
      </w:r>
      <w:r>
        <w:rPr>
          <w:sz w:val="19"/>
          <w:szCs w:val="19"/>
        </w:rPr>
        <w:t xml:space="preserve"> are deemed not to represent fair value. Debt and equity securities for which market quotations are not readily available or for which market quotations are deemed not to represent fair value are valued at fair value as determined in good faith by or under</w:t>
      </w:r>
      <w:r>
        <w:rPr>
          <w:sz w:val="19"/>
          <w:szCs w:val="19"/>
        </w:rPr>
        <w:t xml:space="preserve"> the direction of the Company’s Valuation Designee</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813638296"/>
        <w:rPr>
          <w:sz w:val="20"/>
          <w:szCs w:val="20"/>
        </w:rPr>
      </w:pPr>
      <w:r>
        <w:rPr>
          <w:sz w:val="19"/>
          <w:szCs w:val="19"/>
        </w:rPr>
        <w:t>Because the Company expects that there will not be a readily available market for all of the investments in its portfolio, the Company expects to value a significant portion of its portfolio investments at fair value as determined in good faith by or under</w:t>
      </w:r>
      <w:r>
        <w:rPr>
          <w:sz w:val="19"/>
          <w:szCs w:val="19"/>
        </w:rPr>
        <w:t xml:space="preserve"> the direction of the Valuation Designee using a consistently applied valuation process in accordance with documented valuation policies and procedures reviewed and approved by a committee established by the Valuation Designee (the "Valuation Committee"). </w:t>
      </w:r>
      <w:r>
        <w:rPr>
          <w:sz w:val="19"/>
          <w:szCs w:val="19"/>
        </w:rPr>
        <w:t xml:space="preserve">Due to the inherent uncertainty and subjectivity of determining the fair value of investments that do not have a readily available market value, the fair value of the Company’s investments may differ significantly from the values that would have been used </w:t>
      </w:r>
      <w:r>
        <w:rPr>
          <w:sz w:val="19"/>
          <w:szCs w:val="19"/>
        </w:rPr>
        <w:t>had a readily available market value existed for such investments and may differ materially from the values that the Company may ultimately realize, as these amounts depend on future circumstances and cannot reasonably be determined until the individual in</w:t>
      </w:r>
      <w:r>
        <w:rPr>
          <w:sz w:val="19"/>
          <w:szCs w:val="19"/>
        </w:rPr>
        <w:t>vestments are actually liquidated</w:t>
      </w:r>
      <w:r>
        <w:rPr>
          <w:sz w:val="19"/>
          <w:szCs w:val="19"/>
        </w:rPr>
        <w:t>.</w:t>
      </w:r>
      <w:r>
        <w:rPr>
          <w:rFonts w:ascii="Calibri" w:hAnsi="Calibri" w:cs="Calibri"/>
          <w:sz w:val="19"/>
          <w:szCs w:val="19"/>
        </w:rPr>
        <w:t xml:space="preserve"> </w:t>
      </w:r>
      <w:r>
        <w:rPr>
          <w:sz w:val="19"/>
          <w:szCs w:val="19"/>
        </w:rPr>
        <w:t>Such circumstances may include macroeconomic, cyclical, geopolitical and other events and conditions such as the COVID-19 pandemic, rising interest rates and risks related to inflation and credit risk (see Item 1A. Ris</w:t>
      </w:r>
      <w:r>
        <w:rPr>
          <w:sz w:val="19"/>
          <w:szCs w:val="19"/>
        </w:rPr>
        <w:t>k</w:t>
      </w:r>
      <w:r>
        <w:rPr>
          <w:i/>
          <w:iCs/>
          <w:sz w:val="19"/>
          <w:szCs w:val="19"/>
        </w:rPr>
        <w:t xml:space="preserve"> </w:t>
      </w:r>
      <w:r>
        <w:rPr>
          <w:sz w:val="19"/>
          <w:szCs w:val="19"/>
        </w:rPr>
        <w:t>F</w:t>
      </w:r>
      <w:r>
        <w:rPr>
          <w:sz w:val="19"/>
          <w:szCs w:val="19"/>
        </w:rPr>
        <w:t>actors), that may significantly impact the profitability or viability of businesses in which the Company is invested, and therefore may significantly impact the return on and realizability of the Company’s investments</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813638296"/>
        <w:rPr>
          <w:sz w:val="20"/>
          <w:szCs w:val="20"/>
        </w:rPr>
      </w:pPr>
      <w:r>
        <w:rPr>
          <w:sz w:val="19"/>
          <w:szCs w:val="19"/>
        </w:rPr>
        <w:t>In addition, changes in the market e</w:t>
      </w:r>
      <w:r>
        <w:rPr>
          <w:sz w:val="19"/>
          <w:szCs w:val="19"/>
        </w:rPr>
        <w:t>nvironment and other events may have differing impacts on the market quotations used to value some of the Company’s investments than on the fair values of the Company’s investments for which market quotations are not readily available. Market quotations ma</w:t>
      </w:r>
      <w:r>
        <w:rPr>
          <w:sz w:val="19"/>
          <w:szCs w:val="19"/>
        </w:rPr>
        <w:t>y be deemed not to represent fair value in certain circumstances where the Valuation Designee believes that facts and circumstances applicable to an issuer, a seller, a purchaser or the market for a particular security cause current market quotations to no</w:t>
      </w:r>
      <w:r>
        <w:rPr>
          <w:sz w:val="19"/>
          <w:szCs w:val="19"/>
        </w:rPr>
        <w:t>t reflect the fair value of the security. Examples of these events could include cases where a security trades infrequently causing a quoted purchase or sale price to become stale, where there is a “forced” sale by a distressed seller, where market quotati</w:t>
      </w:r>
      <w:r>
        <w:rPr>
          <w:sz w:val="19"/>
          <w:szCs w:val="19"/>
        </w:rPr>
        <w:t>ons vary substantially among market makers, or where there is a wide bid-ask spread or significant increase in the bid-ask spread</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813638296"/>
        <w:rPr>
          <w:sz w:val="20"/>
          <w:szCs w:val="20"/>
        </w:rPr>
      </w:pPr>
      <w:r>
        <w:rPr>
          <w:sz w:val="19"/>
          <w:szCs w:val="19"/>
        </w:rPr>
        <w:t>With respect to the Company’s investments for which market quotations are not readily available or for which market quotatio</w:t>
      </w:r>
      <w:r>
        <w:rPr>
          <w:sz w:val="19"/>
          <w:szCs w:val="19"/>
        </w:rPr>
        <w:t>ns are deemed not to represent fair value, the Valuation Designee has approved a multi-step valuation process applied each quarter, as described below</w:t>
      </w:r>
      <w:r>
        <w:rPr>
          <w:sz w:val="19"/>
          <w:szCs w:val="19"/>
        </w:rPr>
        <w:t>:</w:t>
      </w:r>
      <w:r>
        <w:rPr>
          <w:sz w:val="19"/>
          <w:szCs w:val="19"/>
        </w:rPr>
        <w:t xml:space="preserve"> </w:t>
      </w:r>
    </w:p>
    <w:p w:rsidR="00000000" w:rsidRDefault="003D51DE">
      <w:pPr>
        <w:jc w:val="both"/>
        <w:divId w:val="1255936594"/>
        <w:rPr>
          <w:rFonts w:eastAsia="Times New Roman"/>
          <w:sz w:val="20"/>
          <w:szCs w:val="20"/>
        </w:rPr>
      </w:pPr>
      <w:r>
        <w:rPr>
          <w:rFonts w:eastAsia="Times New Roman"/>
          <w:sz w:val="19"/>
          <w:szCs w:val="19"/>
        </w:rPr>
        <w:t>(i</w:t>
      </w:r>
      <w:r>
        <w:rPr>
          <w:rFonts w:eastAsia="Times New Roman"/>
          <w:sz w:val="19"/>
          <w:szCs w:val="19"/>
        </w:rPr>
        <w:t>)</w:t>
      </w:r>
    </w:p>
    <w:p w:rsidR="00000000" w:rsidRDefault="003D51DE">
      <w:pPr>
        <w:jc w:val="both"/>
        <w:divId w:val="3675516"/>
        <w:rPr>
          <w:rFonts w:eastAsia="Times New Roman"/>
          <w:sz w:val="20"/>
          <w:szCs w:val="20"/>
        </w:rPr>
      </w:pPr>
      <w:r>
        <w:rPr>
          <w:rFonts w:eastAsia="Times New Roman"/>
          <w:sz w:val="19"/>
          <w:szCs w:val="19"/>
        </w:rPr>
        <w:t>The quarterly valuation process begins with each portfolio company or investment being initially ev</w:t>
      </w:r>
      <w:r>
        <w:rPr>
          <w:rFonts w:eastAsia="Times New Roman"/>
          <w:sz w:val="19"/>
          <w:szCs w:val="19"/>
        </w:rPr>
        <w:t>aluated and rated by the investment professionals of the Valuation Designee responsible for the portfolio investment;</w:t>
      </w:r>
      <w:r>
        <w:rPr>
          <w:rFonts w:eastAsia="Times New Roman"/>
          <w:sz w:val="19"/>
          <w:szCs w:val="19"/>
        </w:rPr>
        <w:t xml:space="preserve"> </w:t>
      </w:r>
    </w:p>
    <w:p w:rsidR="00000000" w:rsidRDefault="003D51DE">
      <w:pPr>
        <w:jc w:val="both"/>
        <w:divId w:val="209223285"/>
        <w:rPr>
          <w:rFonts w:eastAsia="Times New Roman"/>
          <w:sz w:val="20"/>
          <w:szCs w:val="20"/>
        </w:rPr>
      </w:pPr>
      <w:r>
        <w:rPr>
          <w:rFonts w:eastAsia="Times New Roman"/>
          <w:sz w:val="19"/>
          <w:szCs w:val="19"/>
        </w:rPr>
        <w:t>(ii</w:t>
      </w:r>
      <w:r>
        <w:rPr>
          <w:rFonts w:eastAsia="Times New Roman"/>
          <w:sz w:val="19"/>
          <w:szCs w:val="19"/>
        </w:rPr>
        <w:t>)</w:t>
      </w:r>
    </w:p>
    <w:p w:rsidR="00000000" w:rsidRDefault="003D51DE">
      <w:pPr>
        <w:jc w:val="both"/>
        <w:divId w:val="1385369221"/>
        <w:rPr>
          <w:rFonts w:eastAsia="Times New Roman"/>
          <w:sz w:val="20"/>
          <w:szCs w:val="20"/>
        </w:rPr>
      </w:pPr>
      <w:r>
        <w:rPr>
          <w:rFonts w:eastAsia="Times New Roman"/>
          <w:sz w:val="19"/>
          <w:szCs w:val="19"/>
        </w:rPr>
        <w:t xml:space="preserve">The investment professionals provide recent portfolio company financial statements and other reporting materials to independent valuation firms engaged by the Valuation Designee and approved by the Valuation Committee (with the exception of statements and </w:t>
      </w:r>
      <w:r>
        <w:rPr>
          <w:rFonts w:eastAsia="Times New Roman"/>
          <w:sz w:val="19"/>
          <w:szCs w:val="19"/>
        </w:rPr>
        <w:t>materials related to investments priced directly by the Valuation Designee as described in (iv) below), such firms conduct independent appraisals each quarter and their preliminary valuation conclusions are documented and discussed with senior management o</w:t>
      </w:r>
      <w:r>
        <w:rPr>
          <w:rFonts w:eastAsia="Times New Roman"/>
          <w:sz w:val="19"/>
          <w:szCs w:val="19"/>
        </w:rPr>
        <w:t>f the Advisor;</w:t>
      </w:r>
      <w:r>
        <w:rPr>
          <w:rFonts w:eastAsia="Times New Roman"/>
          <w:sz w:val="19"/>
          <w:szCs w:val="19"/>
        </w:rPr>
        <w:t xml:space="preserve"> </w:t>
      </w:r>
    </w:p>
    <w:p w:rsidR="00000000" w:rsidRDefault="003D51DE">
      <w:pPr>
        <w:jc w:val="both"/>
        <w:divId w:val="1447963102"/>
        <w:rPr>
          <w:rFonts w:eastAsia="Times New Roman"/>
          <w:sz w:val="20"/>
          <w:szCs w:val="20"/>
        </w:rPr>
      </w:pPr>
      <w:r>
        <w:rPr>
          <w:rFonts w:eastAsia="Times New Roman"/>
          <w:sz w:val="19"/>
          <w:szCs w:val="19"/>
        </w:rPr>
        <w:t>(iii</w:t>
      </w:r>
      <w:r>
        <w:rPr>
          <w:rFonts w:eastAsia="Times New Roman"/>
          <w:sz w:val="19"/>
          <w:szCs w:val="19"/>
        </w:rPr>
        <w:t>)</w:t>
      </w:r>
    </w:p>
    <w:p w:rsidR="00000000" w:rsidRDefault="003D51DE">
      <w:pPr>
        <w:jc w:val="both"/>
        <w:divId w:val="1977878040"/>
        <w:rPr>
          <w:rFonts w:eastAsia="Times New Roman"/>
          <w:sz w:val="20"/>
          <w:szCs w:val="20"/>
        </w:rPr>
      </w:pPr>
      <w:r>
        <w:rPr>
          <w:rFonts w:eastAsia="Times New Roman"/>
          <w:sz w:val="19"/>
          <w:szCs w:val="19"/>
        </w:rPr>
        <w:t>The Valuation Committee reviews the preliminary valuations prepared by the independent valuation firm and the Valuation Designee, as applicable;</w:t>
      </w:r>
      <w:r>
        <w:rPr>
          <w:rFonts w:eastAsia="Times New Roman"/>
          <w:sz w:val="19"/>
          <w:szCs w:val="19"/>
        </w:rPr>
        <w:t xml:space="preserve"> </w:t>
      </w:r>
    </w:p>
    <w:p w:rsidR="00000000" w:rsidRDefault="003D51DE">
      <w:pPr>
        <w:jc w:val="both"/>
        <w:divId w:val="1433357508"/>
        <w:rPr>
          <w:rFonts w:eastAsia="Times New Roman"/>
          <w:sz w:val="20"/>
          <w:szCs w:val="20"/>
        </w:rPr>
      </w:pPr>
      <w:r>
        <w:rPr>
          <w:rFonts w:eastAsia="Times New Roman"/>
          <w:sz w:val="19"/>
          <w:szCs w:val="19"/>
        </w:rPr>
        <w:t>(iv</w:t>
      </w:r>
      <w:r>
        <w:rPr>
          <w:rFonts w:eastAsia="Times New Roman"/>
          <w:sz w:val="19"/>
          <w:szCs w:val="19"/>
        </w:rPr>
        <w:t>)</w:t>
      </w:r>
    </w:p>
    <w:p w:rsidR="00000000" w:rsidRDefault="003D51DE">
      <w:pPr>
        <w:jc w:val="both"/>
        <w:divId w:val="1118985134"/>
        <w:rPr>
          <w:rFonts w:eastAsia="Times New Roman"/>
          <w:sz w:val="20"/>
          <w:szCs w:val="20"/>
        </w:rPr>
      </w:pPr>
      <w:r>
        <w:rPr>
          <w:rFonts w:eastAsia="Times New Roman"/>
          <w:sz w:val="19"/>
          <w:szCs w:val="19"/>
        </w:rPr>
        <w:t>The fair value of certain investments, comprising in the aggregate, less than</w:t>
      </w:r>
      <w:r>
        <w:rPr>
          <w:rFonts w:eastAsia="Times New Roman"/>
          <w:sz w:val="19"/>
          <w:szCs w:val="19"/>
        </w:rPr>
        <w:t xml:space="preserve"> </w:t>
      </w:r>
      <w:r>
        <w:rPr>
          <w:rFonts w:eastAsia="Times New Roman"/>
          <w:sz w:val="19"/>
          <w:szCs w:val="19"/>
        </w:rPr>
        <w:t>5</w:t>
      </w:r>
      <w:r>
        <w:rPr>
          <w:rFonts w:eastAsia="Times New Roman"/>
          <w:sz w:val="19"/>
          <w:szCs w:val="19"/>
        </w:rPr>
        <w:t>% of</w:t>
      </w:r>
      <w:r>
        <w:rPr>
          <w:rFonts w:eastAsia="Times New Roman"/>
          <w:sz w:val="19"/>
          <w:szCs w:val="19"/>
        </w:rPr>
        <w:t xml:space="preserve"> the Company’s net asset value and no more than</w:t>
      </w:r>
      <w:r>
        <w:rPr>
          <w:rFonts w:eastAsia="Times New Roman"/>
          <w:sz w:val="19"/>
          <w:szCs w:val="19"/>
        </w:rPr>
        <w:t xml:space="preserve"> </w:t>
      </w:r>
      <w:r>
        <w:rPr>
          <w:rFonts w:eastAsia="Times New Roman"/>
          <w:sz w:val="19"/>
          <w:szCs w:val="19"/>
        </w:rPr>
        <w:t>1</w:t>
      </w:r>
      <w:r>
        <w:rPr>
          <w:rFonts w:eastAsia="Times New Roman"/>
          <w:sz w:val="19"/>
          <w:szCs w:val="19"/>
        </w:rPr>
        <w:t>5</w:t>
      </w:r>
      <w:r>
        <w:rPr>
          <w:rFonts w:eastAsia="Times New Roman"/>
          <w:sz w:val="19"/>
          <w:szCs w:val="19"/>
        </w:rPr>
        <w:t xml:space="preserve">% of total positions held, respectively, may be determined by the Valuation Designee in good faith without the engagement of an independent valuation firm in accordance with the Company’s valuation policy; </w:t>
      </w:r>
      <w:r>
        <w:rPr>
          <w:rFonts w:eastAsia="Times New Roman"/>
          <w:sz w:val="19"/>
          <w:szCs w:val="19"/>
        </w:rPr>
        <w:t>provided that if only the threshold with respect to the number of all positions valued at zero or immaterial amounts is exceeded, the Valuation Designee may request the Valuation Committee's approval to not request a fair valuation from an independent valu</w:t>
      </w:r>
      <w:r>
        <w:rPr>
          <w:rFonts w:eastAsia="Times New Roman"/>
          <w:sz w:val="19"/>
          <w:szCs w:val="19"/>
        </w:rPr>
        <w:t>ation firm for all such positions; and</w:t>
      </w:r>
      <w:r>
        <w:rPr>
          <w:rFonts w:eastAsia="Times New Roman"/>
          <w:sz w:val="19"/>
          <w:szCs w:val="19"/>
        </w:rPr>
        <w:t xml:space="preserve"> </w:t>
      </w:r>
    </w:p>
    <w:p w:rsidR="00000000" w:rsidRDefault="003D51DE">
      <w:pPr>
        <w:jc w:val="both"/>
        <w:divId w:val="1069496376"/>
        <w:rPr>
          <w:rFonts w:eastAsia="Times New Roman"/>
          <w:sz w:val="20"/>
          <w:szCs w:val="20"/>
        </w:rPr>
      </w:pPr>
      <w:r>
        <w:rPr>
          <w:rFonts w:eastAsia="Times New Roman"/>
          <w:sz w:val="19"/>
          <w:szCs w:val="19"/>
        </w:rPr>
        <w:t>(v</w:t>
      </w:r>
      <w:r>
        <w:rPr>
          <w:rFonts w:eastAsia="Times New Roman"/>
          <w:sz w:val="19"/>
          <w:szCs w:val="19"/>
        </w:rPr>
        <w:t>)</w:t>
      </w:r>
    </w:p>
    <w:p w:rsidR="00000000" w:rsidRDefault="003D51DE">
      <w:pPr>
        <w:jc w:val="both"/>
        <w:divId w:val="738018347"/>
        <w:rPr>
          <w:rFonts w:eastAsia="Times New Roman"/>
          <w:sz w:val="20"/>
          <w:szCs w:val="20"/>
        </w:rPr>
      </w:pPr>
      <w:r>
        <w:rPr>
          <w:rFonts w:eastAsia="Times New Roman"/>
          <w:sz w:val="19"/>
          <w:szCs w:val="19"/>
        </w:rPr>
        <w:t>The Valuation Designee discuss valuations and determines the fair value of each investment in the portfolio in good faith based on the input of the Valuation Committee and the respective independent valuation fir</w:t>
      </w:r>
      <w:r>
        <w:rPr>
          <w:rFonts w:eastAsia="Times New Roman"/>
          <w:sz w:val="19"/>
          <w:szCs w:val="19"/>
        </w:rPr>
        <w:t>ms.</w:t>
      </w:r>
      <w:r>
        <w:rPr>
          <w:rFonts w:eastAsia="Times New Roman"/>
          <w:sz w:val="19"/>
          <w:szCs w:val="19"/>
        </w:rPr>
        <w:t xml:space="preserve"> </w:t>
      </w:r>
    </w:p>
    <w:p w:rsidR="00000000" w:rsidRDefault="003D51DE">
      <w:pPr>
        <w:pStyle w:val="a3"/>
        <w:spacing w:before="180" w:beforeAutospacing="0" w:after="0" w:afterAutospacing="0"/>
        <w:ind w:firstLine="694"/>
        <w:jc w:val="both"/>
        <w:divId w:val="813638296"/>
        <w:rPr>
          <w:sz w:val="20"/>
          <w:szCs w:val="20"/>
        </w:rPr>
      </w:pPr>
      <w:r>
        <w:rPr>
          <w:sz w:val="19"/>
          <w:szCs w:val="19"/>
        </w:rPr>
        <w:t>Those investments for which market quotations are not readily available or for which market quotations are deemed not to represent fair value are valued generally utilizing a market approach, an income approach, or both approaches, as appropriate. The</w:t>
      </w:r>
      <w:r>
        <w:rPr>
          <w:sz w:val="19"/>
          <w:szCs w:val="19"/>
        </w:rPr>
        <w:t xml:space="preserve"> market approach uses prices and other relevant information generated by market transactions involving identical or comparable assets or liabilities (including a business). The income approach uses valuation techniques to convert future amounts (for exampl</w:t>
      </w:r>
      <w:r>
        <w:rPr>
          <w:sz w:val="19"/>
          <w:szCs w:val="19"/>
        </w:rPr>
        <w:t>e, cash flows or earnings) to a single present amount (discounted). The measurement is based on the value indicated by current market expectations about those future amounts. In following these approaches, the types of factors that the Company may take int</w:t>
      </w:r>
      <w:r>
        <w:rPr>
          <w:sz w:val="19"/>
          <w:szCs w:val="19"/>
        </w:rPr>
        <w:t>o account in determining the fair value of its investments include, as relevant and among other factors: available current market data, including relevant and applicable market trading and transaction comparables, applicable market yields and multiples, se</w:t>
      </w:r>
      <w:r>
        <w:rPr>
          <w:sz w:val="19"/>
          <w:szCs w:val="19"/>
        </w:rPr>
        <w:t>curity covenants, call protection provisions, information rights, the nature and realizable value of any collateral, the portfolio company’s ability to make payments, (e.g. non-performance risk), its earnings and discounted cash flows, the markets in which</w:t>
      </w:r>
      <w:r>
        <w:rPr>
          <w:sz w:val="19"/>
          <w:szCs w:val="19"/>
        </w:rPr>
        <w:t xml:space="preserve"> the portfolio company does business, comparisons of financial ratios of peer companies that are public, M&amp;A comparables, the Company’s principal market (as the reporting entity), any bid for a Company asset (irrespective of the perceived validity of such </w:t>
      </w:r>
      <w:r>
        <w:rPr>
          <w:sz w:val="19"/>
          <w:szCs w:val="19"/>
        </w:rPr>
        <w:t>bid), and enterprise values. For positions acquired during the current quarter, the Valuation Designee generally believes that cost will approximate fai</w:t>
      </w:r>
      <w:r>
        <w:rPr>
          <w:sz w:val="19"/>
          <w:szCs w:val="19"/>
        </w:rPr>
        <w:t>r</w:t>
      </w:r>
      <w:r>
        <w:rPr>
          <w:sz w:val="19"/>
          <w:szCs w:val="19"/>
        </w:rPr>
        <w:t xml:space="preserve"> </w:t>
      </w:r>
    </w:p>
    <w:p w:rsidR="00000000" w:rsidRDefault="003D51DE">
      <w:pPr>
        <w:pStyle w:val="a3"/>
        <w:spacing w:before="0" w:beforeAutospacing="0" w:after="0" w:afterAutospacing="0"/>
        <w:jc w:val="center"/>
        <w:divId w:val="813638296"/>
        <w:rPr>
          <w:sz w:val="20"/>
          <w:szCs w:val="20"/>
        </w:rPr>
      </w:pPr>
      <w:r>
        <w:rPr>
          <w:sz w:val="20"/>
          <w:szCs w:val="20"/>
        </w:rPr>
        <w:t> </w:t>
      </w:r>
    </w:p>
    <w:p w:rsidR="00000000" w:rsidRDefault="003D51DE">
      <w:pPr>
        <w:pStyle w:val="a3"/>
        <w:spacing w:before="0" w:beforeAutospacing="0" w:after="0" w:afterAutospacing="0"/>
        <w:jc w:val="center"/>
        <w:divId w:val="813638296"/>
        <w:rPr>
          <w:sz w:val="20"/>
          <w:szCs w:val="20"/>
        </w:rPr>
      </w:pPr>
      <w:r>
        <w:rPr>
          <w:sz w:val="19"/>
          <w:szCs w:val="19"/>
        </w:rPr>
        <w:t>2</w:t>
      </w:r>
      <w:r>
        <w:rPr>
          <w:sz w:val="19"/>
          <w:szCs w:val="19"/>
        </w:rPr>
        <w:t>4</w:t>
      </w:r>
    </w:p>
    <w:p w:rsidR="00000000" w:rsidRDefault="003D51DE">
      <w:pPr>
        <w:divId w:val="813638296"/>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3D51DE">
      <w:pPr>
        <w:pStyle w:val="a3"/>
        <w:spacing w:before="0" w:beforeAutospacing="0" w:after="0" w:afterAutospacing="0"/>
        <w:divId w:val="813638296"/>
        <w:rPr>
          <w:sz w:val="20"/>
          <w:szCs w:val="20"/>
        </w:rPr>
      </w:pPr>
      <w:r>
        <w:rPr>
          <w:sz w:val="20"/>
          <w:szCs w:val="20"/>
        </w:rPr>
        <w:t> </w:t>
      </w:r>
    </w:p>
    <w:p w:rsidR="00000000" w:rsidRDefault="003D51DE">
      <w:pPr>
        <w:pStyle w:val="a3"/>
        <w:spacing w:before="180" w:beforeAutospacing="0" w:after="0" w:afterAutospacing="0"/>
        <w:jc w:val="both"/>
        <w:divId w:val="813638296"/>
        <w:rPr>
          <w:sz w:val="20"/>
          <w:szCs w:val="20"/>
        </w:rPr>
      </w:pPr>
      <w:r>
        <w:rPr>
          <w:sz w:val="19"/>
          <w:szCs w:val="19"/>
        </w:rPr>
        <w:t>value. As such, an independent valuation, in certain cases</w:t>
      </w:r>
      <w:r>
        <w:rPr>
          <w:sz w:val="19"/>
          <w:szCs w:val="19"/>
        </w:rPr>
        <w:t>, will not be obtained until the quarter-end after the quarter the investment is acquired in</w:t>
      </w:r>
      <w:r>
        <w:rPr>
          <w:sz w:val="19"/>
          <w:szCs w:val="19"/>
        </w:rPr>
        <w:t>.</w:t>
      </w:r>
    </w:p>
    <w:p w:rsidR="00000000" w:rsidRDefault="003D51DE">
      <w:pPr>
        <w:pStyle w:val="a3"/>
        <w:spacing w:before="180" w:beforeAutospacing="0" w:after="0" w:afterAutospacing="0"/>
        <w:ind w:firstLine="694"/>
        <w:jc w:val="both"/>
        <w:divId w:val="813638296"/>
        <w:rPr>
          <w:sz w:val="20"/>
          <w:szCs w:val="20"/>
        </w:rPr>
      </w:pPr>
      <w:r>
        <w:rPr>
          <w:sz w:val="19"/>
          <w:szCs w:val="19"/>
        </w:rPr>
        <w:t>ASC 820-10,</w:t>
      </w:r>
      <w:r>
        <w:rPr>
          <w:sz w:val="19"/>
          <w:szCs w:val="19"/>
        </w:rPr>
        <w:t xml:space="preserve"> </w:t>
      </w:r>
      <w:r>
        <w:rPr>
          <w:i/>
          <w:iCs/>
          <w:sz w:val="19"/>
          <w:szCs w:val="19"/>
        </w:rPr>
        <w:t>Fair Value Measurements and Disclosure</w:t>
      </w:r>
      <w:r>
        <w:rPr>
          <w:i/>
          <w:iCs/>
          <w:sz w:val="19"/>
          <w:szCs w:val="19"/>
        </w:rPr>
        <w:t>s</w:t>
      </w:r>
      <w:r>
        <w:rPr>
          <w:sz w:val="19"/>
          <w:szCs w:val="19"/>
        </w:rPr>
        <w:t xml:space="preserve"> (“ASC 820-10”), issued by the FASB, defines fair value, establishes a framework for measuring fair value and r</w:t>
      </w:r>
      <w:r>
        <w:rPr>
          <w:sz w:val="19"/>
          <w:szCs w:val="19"/>
        </w:rPr>
        <w:t>equires disclosures about fair value measurements. ASC 820-10 defines fair value as the price that the Company would receive upon selling an investment or pay to transfer a liability in an orderly transaction to a market participant in the principal or mos</w:t>
      </w:r>
      <w:r>
        <w:rPr>
          <w:sz w:val="19"/>
          <w:szCs w:val="19"/>
        </w:rPr>
        <w:t>t advantageous market for the investment. ASC 820-10 emphasizes that valuation techniques maximize the use of observable market inputs and minimize the use of unobservable inputs. Inputs refer broadly to the assumptions that market participants would use i</w:t>
      </w:r>
      <w:r>
        <w:rPr>
          <w:sz w:val="19"/>
          <w:szCs w:val="19"/>
        </w:rPr>
        <w:t xml:space="preserve">n pricing an asset or liability, including assumptions about risk. Inputs may be observable or unobservable. Observable inputs are inputs that reflect the assumptions market participants would use in pricing an asset or liability developed based on market </w:t>
      </w:r>
      <w:r>
        <w:rPr>
          <w:sz w:val="19"/>
          <w:szCs w:val="19"/>
        </w:rPr>
        <w:t>data obtained from sources independent of the Company. Unobservable inputs are inputs that reflect the Company’s assumptions about the assumptions market participants would use in pricing an asset or liability developed based on the best information availa</w:t>
      </w:r>
      <w:r>
        <w:rPr>
          <w:sz w:val="19"/>
          <w:szCs w:val="19"/>
        </w:rPr>
        <w:t>ble in the circumstances</w:t>
      </w:r>
      <w:r>
        <w:rPr>
          <w:sz w:val="19"/>
          <w:szCs w:val="19"/>
        </w:rPr>
        <w:t>.</w:t>
      </w:r>
      <w:r>
        <w:rPr>
          <w:sz w:val="19"/>
          <w:szCs w:val="19"/>
        </w:rPr>
        <w:t xml:space="preserve"> </w:t>
      </w:r>
    </w:p>
    <w:p w:rsidR="00000000" w:rsidRDefault="003D51DE">
      <w:pPr>
        <w:pStyle w:val="a3"/>
        <w:spacing w:before="120" w:beforeAutospacing="0" w:after="0" w:afterAutospacing="0"/>
        <w:ind w:left="595" w:firstLine="735"/>
        <w:jc w:val="both"/>
        <w:divId w:val="813638296"/>
        <w:rPr>
          <w:sz w:val="20"/>
          <w:szCs w:val="20"/>
        </w:rPr>
      </w:pPr>
      <w:r>
        <w:rPr>
          <w:sz w:val="19"/>
          <w:szCs w:val="19"/>
        </w:rPr>
        <w:t>Level 1 – Valuations based on unadjusted quoted prices in active markets for identical assets or liabilities that the Company has the ability to access</w:t>
      </w:r>
      <w:r>
        <w:rPr>
          <w:sz w:val="19"/>
          <w:szCs w:val="19"/>
        </w:rPr>
        <w:t>.</w:t>
      </w:r>
      <w:r>
        <w:rPr>
          <w:sz w:val="19"/>
          <w:szCs w:val="19"/>
        </w:rPr>
        <w:t xml:space="preserve"> </w:t>
      </w:r>
    </w:p>
    <w:p w:rsidR="00000000" w:rsidRDefault="003D51DE">
      <w:pPr>
        <w:pStyle w:val="a3"/>
        <w:spacing w:before="120" w:beforeAutospacing="0" w:after="0" w:afterAutospacing="0"/>
        <w:ind w:left="595" w:firstLine="735"/>
        <w:jc w:val="both"/>
        <w:divId w:val="813638296"/>
        <w:rPr>
          <w:sz w:val="20"/>
          <w:szCs w:val="20"/>
        </w:rPr>
      </w:pPr>
      <w:r>
        <w:rPr>
          <w:sz w:val="19"/>
          <w:szCs w:val="19"/>
        </w:rPr>
        <w:t xml:space="preserve">Level 2 – </w:t>
      </w:r>
      <w:r>
        <w:rPr>
          <w:sz w:val="19"/>
          <w:szCs w:val="19"/>
        </w:rPr>
        <w:t>Valuations based on unadjusted quoted prices in markets that are not active or for which most significant inputs are observable, either directly or indirectly</w:t>
      </w:r>
      <w:r>
        <w:rPr>
          <w:sz w:val="19"/>
          <w:szCs w:val="19"/>
        </w:rPr>
        <w:t>.</w:t>
      </w:r>
      <w:r>
        <w:rPr>
          <w:sz w:val="19"/>
          <w:szCs w:val="19"/>
        </w:rPr>
        <w:t xml:space="preserve"> </w:t>
      </w:r>
    </w:p>
    <w:p w:rsidR="00000000" w:rsidRDefault="003D51DE">
      <w:pPr>
        <w:pStyle w:val="a3"/>
        <w:spacing w:before="120" w:beforeAutospacing="0" w:after="0" w:afterAutospacing="0"/>
        <w:ind w:left="595" w:firstLine="735"/>
        <w:jc w:val="both"/>
        <w:divId w:val="813638296"/>
        <w:rPr>
          <w:sz w:val="20"/>
          <w:szCs w:val="20"/>
        </w:rPr>
      </w:pPr>
      <w:r>
        <w:rPr>
          <w:sz w:val="19"/>
          <w:szCs w:val="19"/>
        </w:rPr>
        <w:t xml:space="preserve">Level 3 – Valuations based on inputs that are unobservable and significant to the overall fair </w:t>
      </w:r>
      <w:r>
        <w:rPr>
          <w:sz w:val="19"/>
          <w:szCs w:val="19"/>
        </w:rPr>
        <w:t>value measurement. The inputs into the determination of fair value may require significant management judgment or estimation</w:t>
      </w:r>
      <w:r>
        <w:rPr>
          <w:sz w:val="19"/>
          <w:szCs w:val="19"/>
        </w:rPr>
        <w:t>.</w:t>
      </w:r>
    </w:p>
    <w:p w:rsidR="00000000" w:rsidRDefault="003D51DE">
      <w:pPr>
        <w:pStyle w:val="a3"/>
        <w:spacing w:before="0" w:beforeAutospacing="0" w:after="0" w:afterAutospacing="0"/>
        <w:ind w:left="595" w:firstLine="735"/>
        <w:jc w:val="both"/>
        <w:divId w:val="813638296"/>
        <w:rPr>
          <w:sz w:val="20"/>
          <w:szCs w:val="20"/>
        </w:rPr>
      </w:pPr>
      <w:r>
        <w:rPr>
          <w:sz w:val="20"/>
          <w:szCs w:val="20"/>
        </w:rPr>
        <w:t> </w:t>
      </w:r>
    </w:p>
    <w:p w:rsidR="00000000" w:rsidRDefault="003D51DE">
      <w:pPr>
        <w:pStyle w:val="a3"/>
        <w:spacing w:before="0" w:beforeAutospacing="0" w:after="0" w:afterAutospacing="0"/>
        <w:ind w:firstLine="702"/>
        <w:jc w:val="both"/>
        <w:divId w:val="813638296"/>
        <w:rPr>
          <w:sz w:val="20"/>
          <w:szCs w:val="20"/>
        </w:rPr>
      </w:pPr>
      <w:r>
        <w:rPr>
          <w:sz w:val="19"/>
          <w:szCs w:val="19"/>
        </w:rPr>
        <w:t xml:space="preserve">Transfers between levels, if any, represent the value as of the beginning of the period of any investment where a change in the </w:t>
      </w:r>
      <w:r>
        <w:rPr>
          <w:sz w:val="19"/>
          <w:szCs w:val="19"/>
        </w:rPr>
        <w:t>pricing level occurred from the beginning to the end of the period</w:t>
      </w:r>
      <w:r>
        <w:rPr>
          <w:sz w:val="19"/>
          <w:szCs w:val="19"/>
        </w:rPr>
        <w:t>.</w:t>
      </w:r>
    </w:p>
    <w:p w:rsidR="00000000" w:rsidRDefault="003D51DE">
      <w:pPr>
        <w:pStyle w:val="a3"/>
        <w:spacing w:before="180" w:beforeAutospacing="0" w:after="60" w:afterAutospacing="0"/>
        <w:ind w:firstLine="702"/>
        <w:jc w:val="both"/>
        <w:divId w:val="916208057"/>
        <w:rPr>
          <w:sz w:val="20"/>
          <w:szCs w:val="20"/>
        </w:rPr>
      </w:pPr>
      <w:r>
        <w:rPr>
          <w:sz w:val="19"/>
          <w:szCs w:val="19"/>
        </w:rPr>
        <w:t>At</w:t>
      </w:r>
      <w:r>
        <w:rPr>
          <w:sz w:val="19"/>
          <w:szCs w:val="19"/>
        </w:rPr>
        <w:t xml:space="preserve"> </w:t>
      </w:r>
      <w:r>
        <w:rPr>
          <w:sz w:val="19"/>
          <w:szCs w:val="19"/>
        </w:rPr>
        <w:t>September 30, 2022, the Company’s investments were categorized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110"/>
        <w:gridCol w:w="2123"/>
        <w:gridCol w:w="110"/>
        <w:gridCol w:w="160"/>
        <w:gridCol w:w="1060"/>
        <w:gridCol w:w="110"/>
        <w:gridCol w:w="110"/>
        <w:gridCol w:w="160"/>
        <w:gridCol w:w="960"/>
        <w:gridCol w:w="110"/>
        <w:gridCol w:w="110"/>
        <w:gridCol w:w="160"/>
        <w:gridCol w:w="960"/>
        <w:gridCol w:w="110"/>
        <w:gridCol w:w="110"/>
        <w:gridCol w:w="160"/>
        <w:gridCol w:w="1060"/>
        <w:gridCol w:w="125"/>
      </w:tblGrid>
      <w:tr w:rsidR="00000000">
        <w:trPr>
          <w:divId w:val="916208057"/>
          <w:tblCellSpacing w:w="15" w:type="dxa"/>
        </w:trPr>
        <w:tc>
          <w:tcPr>
            <w:tcW w:w="48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184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1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1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1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6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916208057"/>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Basis for Determining 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r>
            <w:r>
              <w:rPr>
                <w:b/>
                <w:bCs/>
                <w:sz w:val="16"/>
                <w:szCs w:val="16"/>
              </w:rPr>
              <w:t>Corporate Deb</w:t>
            </w:r>
            <w:r>
              <w:rPr>
                <w:b/>
                <w:bCs/>
                <w:sz w:val="16"/>
                <w:szCs w:val="16"/>
              </w:rPr>
              <w:t>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916208057"/>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1</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Quoted prices in active markets for identical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916208057"/>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Other direct and indirect observable market input</w:t>
            </w:r>
            <w:r>
              <w:rPr>
                <w:sz w:val="20"/>
                <w:szCs w:val="20"/>
              </w:rPr>
              <w:t>s</w:t>
            </w:r>
            <w:r>
              <w:rPr>
                <w:sz w:val="13"/>
                <w:szCs w:val="13"/>
              </w:rPr>
              <w:t>(3</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31,799,59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31,799,59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916208057"/>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Valuation sources that employ significant unobservable input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505,648,86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24,965,49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12,167,18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542,781,54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916208057"/>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Tota</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537,448,45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24,965,49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12,167,18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574,581,13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916208057"/>
        <w:rPr>
          <w:sz w:val="20"/>
          <w:szCs w:val="20"/>
        </w:rPr>
      </w:pPr>
      <w:r>
        <w:rPr>
          <w:sz w:val="20"/>
          <w:szCs w:val="20"/>
        </w:rPr>
        <w:t> </w:t>
      </w:r>
    </w:p>
    <w:p w:rsidR="00000000" w:rsidRDefault="003D51DE">
      <w:pPr>
        <w:jc w:val="both"/>
        <w:divId w:val="242954194"/>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940726812"/>
        <w:rPr>
          <w:rFonts w:eastAsia="Times New Roman"/>
          <w:sz w:val="20"/>
          <w:szCs w:val="20"/>
        </w:rPr>
      </w:pPr>
      <w:r>
        <w:rPr>
          <w:rFonts w:eastAsia="Times New Roman"/>
          <w:sz w:val="15"/>
          <w:szCs w:val="15"/>
        </w:rPr>
        <w:t>Includes senior secured loans</w:t>
      </w:r>
      <w:r>
        <w:rPr>
          <w:rFonts w:eastAsia="Times New Roman"/>
          <w:sz w:val="15"/>
          <w:szCs w:val="15"/>
        </w:rPr>
        <w:t>.</w:t>
      </w:r>
    </w:p>
    <w:p w:rsidR="00000000" w:rsidRDefault="003D51DE">
      <w:pPr>
        <w:jc w:val="both"/>
        <w:divId w:val="26607774"/>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821118177"/>
        <w:rPr>
          <w:rFonts w:eastAsia="Times New Roman"/>
          <w:sz w:val="20"/>
          <w:szCs w:val="20"/>
        </w:rPr>
      </w:pPr>
      <w:r>
        <w:rPr>
          <w:rFonts w:eastAsia="Times New Roman"/>
          <w:sz w:val="15"/>
          <w:szCs w:val="15"/>
        </w:rPr>
        <w:t>Includes senior secured notes, unsecured debt and subordinated debt</w:t>
      </w:r>
      <w:r>
        <w:rPr>
          <w:rFonts w:eastAsia="Times New Roman"/>
          <w:sz w:val="15"/>
          <w:szCs w:val="15"/>
        </w:rPr>
        <w:t>.</w:t>
      </w:r>
    </w:p>
    <w:p w:rsidR="00000000" w:rsidRDefault="003D51DE">
      <w:pPr>
        <w:jc w:val="both"/>
        <w:divId w:val="1275138377"/>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3D51DE">
      <w:pPr>
        <w:jc w:val="both"/>
        <w:divId w:val="977613739"/>
        <w:rPr>
          <w:rFonts w:eastAsia="Times New Roman"/>
          <w:sz w:val="20"/>
          <w:szCs w:val="20"/>
        </w:rPr>
      </w:pPr>
      <w:r>
        <w:rPr>
          <w:rFonts w:eastAsia="Times New Roman"/>
          <w:sz w:val="15"/>
          <w:szCs w:val="15"/>
        </w:rPr>
        <w:t>For example, quoted prices in inactive markets or quotes for comparable investments</w:t>
      </w:r>
      <w:r>
        <w:rPr>
          <w:rFonts w:eastAsia="Times New Roman"/>
          <w:sz w:val="15"/>
          <w:szCs w:val="15"/>
        </w:rPr>
        <w:t>.</w:t>
      </w:r>
    </w:p>
    <w:p w:rsidR="00000000" w:rsidRDefault="003D51DE">
      <w:pPr>
        <w:pStyle w:val="a3"/>
        <w:spacing w:before="180" w:beforeAutospacing="0" w:after="160" w:afterAutospacing="0"/>
        <w:ind w:firstLine="702"/>
        <w:jc w:val="both"/>
        <w:divId w:val="557672169"/>
        <w:rPr>
          <w:sz w:val="20"/>
          <w:szCs w:val="20"/>
        </w:rPr>
      </w:pPr>
      <w:r>
        <w:rPr>
          <w:sz w:val="19"/>
          <w:szCs w:val="19"/>
        </w:rPr>
        <w:t>Unobservable inputs used in the fair value measurement of Level</w:t>
      </w:r>
      <w:r>
        <w:rPr>
          <w:sz w:val="19"/>
          <w:szCs w:val="19"/>
        </w:rPr>
        <w:t xml:space="preserve"> 3 investments as of</w:t>
      </w:r>
      <w:r>
        <w:rPr>
          <w:sz w:val="19"/>
          <w:szCs w:val="19"/>
        </w:rPr>
        <w:t xml:space="preserve"> </w:t>
      </w:r>
      <w:r>
        <w:rPr>
          <w:sz w:val="19"/>
          <w:szCs w:val="19"/>
        </w:rPr>
        <w:t>September 30, 2022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3"/>
        <w:gridCol w:w="105"/>
        <w:gridCol w:w="150"/>
        <w:gridCol w:w="960"/>
        <w:gridCol w:w="105"/>
        <w:gridCol w:w="105"/>
        <w:gridCol w:w="1793"/>
        <w:gridCol w:w="105"/>
        <w:gridCol w:w="1815"/>
        <w:gridCol w:w="105"/>
        <w:gridCol w:w="1830"/>
      </w:tblGrid>
      <w:tr w:rsidR="00000000">
        <w:trPr>
          <w:divId w:val="557672169"/>
          <w:tblCellSpacing w:w="15" w:type="dxa"/>
        </w:trPr>
        <w:tc>
          <w:tcPr>
            <w:tcW w:w="757"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2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3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3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38" w:type="pct"/>
            <w:vAlign w:val="center"/>
            <w:hideMark/>
          </w:tcPr>
          <w:p w:rsidR="00000000" w:rsidRDefault="003D51DE">
            <w:pPr>
              <w:rPr>
                <w:rFonts w:eastAsia="Times New Roman"/>
                <w:sz w:val="20"/>
                <w:szCs w:val="20"/>
              </w:rPr>
            </w:pPr>
          </w:p>
        </w:tc>
      </w:tr>
      <w:tr w:rsidR="00000000">
        <w:trPr>
          <w:divId w:val="557672169"/>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Asset Typ</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Valuation Techniqu</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Unobservable Inpu</w:t>
            </w:r>
            <w:r>
              <w:rPr>
                <w:b/>
                <w:bCs/>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Weighted Average Rang</w:t>
            </w:r>
            <w:r>
              <w:rPr>
                <w:b/>
                <w:bCs/>
                <w:sz w:val="16"/>
                <w:szCs w:val="16"/>
              </w:rPr>
              <w:t>e</w:t>
            </w:r>
            <w:r>
              <w:rPr>
                <w:b/>
                <w:bCs/>
                <w:sz w:val="11"/>
                <w:szCs w:val="11"/>
              </w:rPr>
              <w:t>(1</w:t>
            </w:r>
            <w:r>
              <w:rPr>
                <w:b/>
                <w:bCs/>
                <w:sz w:val="11"/>
                <w:szCs w:val="11"/>
              </w:rPr>
              <w:t>)</w:t>
            </w:r>
            <w:r>
              <w:rPr>
                <w:b/>
                <w:bCs/>
                <w:sz w:val="16"/>
                <w:szCs w:val="16"/>
              </w:rPr>
              <w:t> (Concluded Value</w:t>
            </w:r>
            <w:r>
              <w:rPr>
                <w:b/>
                <w:bCs/>
                <w:sz w:val="16"/>
                <w:szCs w:val="16"/>
              </w:rPr>
              <w:t>)</w:t>
            </w:r>
            <w:r>
              <w:rPr>
                <w:b/>
                <w:bCs/>
                <w:sz w:val="11"/>
                <w:szCs w:val="11"/>
              </w:rPr>
              <w:t>(2</w:t>
            </w:r>
            <w:r>
              <w:rPr>
                <w:b/>
                <w:bCs/>
                <w:sz w:val="11"/>
                <w:szCs w:val="11"/>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Bank Deb</w:t>
            </w:r>
            <w:r>
              <w:rPr>
                <w:sz w:val="18"/>
                <w:szCs w:val="18"/>
              </w:rPr>
              <w:t>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438,131,35</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12.</w:t>
            </w:r>
            <w:r>
              <w:rPr>
                <w:sz w:val="18"/>
                <w:szCs w:val="18"/>
              </w:rPr>
              <w:t>5</w:t>
            </w:r>
            <w:r>
              <w:rPr>
                <w:sz w:val="18"/>
                <w:szCs w:val="18"/>
              </w:rPr>
              <w:t>% -</w:t>
            </w:r>
            <w:r>
              <w:rPr>
                <w:sz w:val="18"/>
                <w:szCs w:val="18"/>
              </w:rPr>
              <w:t xml:space="preserve"> </w:t>
            </w:r>
            <w:r>
              <w:rPr>
                <w:sz w:val="18"/>
                <w:szCs w:val="18"/>
              </w:rPr>
              <w:t>12.</w:t>
            </w:r>
            <w:r>
              <w:rPr>
                <w:sz w:val="18"/>
                <w:szCs w:val="18"/>
              </w:rPr>
              <w:t>9</w:t>
            </w:r>
            <w:r>
              <w:rPr>
                <w:sz w:val="18"/>
                <w:szCs w:val="18"/>
              </w:rPr>
              <w:t xml:space="preserve">% </w:t>
            </w:r>
            <w:r>
              <w:rPr>
                <w:sz w:val="18"/>
                <w:szCs w:val="18"/>
              </w:rPr>
              <w:t>(</w:t>
            </w:r>
            <w:r>
              <w:rPr>
                <w:sz w:val="18"/>
                <w:szCs w:val="18"/>
              </w:rPr>
              <w:t>12.</w:t>
            </w:r>
            <w:r>
              <w:rPr>
                <w:sz w:val="18"/>
                <w:szCs w:val="18"/>
              </w:rPr>
              <w:t>7</w:t>
            </w:r>
            <w:r>
              <w:rPr>
                <w:sz w:val="18"/>
                <w:szCs w:val="18"/>
              </w:rPr>
              <w:t>%</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64,841,23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Indicative bid/ask quote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2,676,27</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Revenue multipl</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3.</w:t>
            </w:r>
            <w:r>
              <w:rPr>
                <w:sz w:val="18"/>
                <w:szCs w:val="18"/>
              </w:rPr>
              <w:t>5</w:t>
            </w:r>
            <w:r>
              <w:rPr>
                <w:sz w:val="18"/>
                <w:szCs w:val="18"/>
              </w:rPr>
              <w:t>x -</w:t>
            </w:r>
            <w:r>
              <w:rPr>
                <w:sz w:val="18"/>
                <w:szCs w:val="18"/>
              </w:rPr>
              <w:t xml:space="preserve"> </w:t>
            </w:r>
            <w:r>
              <w:rPr>
                <w:sz w:val="18"/>
                <w:szCs w:val="18"/>
              </w:rPr>
              <w:t>4.</w:t>
            </w:r>
            <w:r>
              <w:rPr>
                <w:sz w:val="18"/>
                <w:szCs w:val="18"/>
              </w:rPr>
              <w:t>0</w:t>
            </w:r>
            <w:r>
              <w:rPr>
                <w:sz w:val="18"/>
                <w:szCs w:val="18"/>
              </w:rPr>
              <w:t xml:space="preserve">x </w:t>
            </w:r>
            <w:r>
              <w:rPr>
                <w:sz w:val="18"/>
                <w:szCs w:val="18"/>
              </w:rPr>
              <w:t>(</w:t>
            </w:r>
            <w:r>
              <w:rPr>
                <w:sz w:val="18"/>
                <w:szCs w:val="18"/>
              </w:rPr>
              <w:t>3.</w:t>
            </w:r>
            <w:r>
              <w:rPr>
                <w:sz w:val="18"/>
                <w:szCs w:val="18"/>
              </w:rPr>
              <w:t>8</w:t>
            </w:r>
            <w:r>
              <w:rPr>
                <w:sz w:val="18"/>
                <w:szCs w:val="18"/>
              </w:rPr>
              <w:t>x</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60.</w:t>
            </w:r>
            <w:r>
              <w:rPr>
                <w:sz w:val="18"/>
                <w:szCs w:val="18"/>
              </w:rPr>
              <w:t>0</w:t>
            </w:r>
            <w:r>
              <w:rPr>
                <w:sz w:val="18"/>
                <w:szCs w:val="18"/>
              </w:rPr>
              <w:t>% -</w:t>
            </w:r>
            <w:r>
              <w:rPr>
                <w:sz w:val="18"/>
                <w:szCs w:val="18"/>
              </w:rPr>
              <w:t xml:space="preserve"> </w:t>
            </w:r>
            <w:r>
              <w:rPr>
                <w:sz w:val="18"/>
                <w:szCs w:val="18"/>
              </w:rPr>
              <w:t>70.</w:t>
            </w:r>
            <w:r>
              <w:rPr>
                <w:sz w:val="18"/>
                <w:szCs w:val="18"/>
              </w:rPr>
              <w:t>0</w:t>
            </w:r>
            <w:r>
              <w:rPr>
                <w:sz w:val="18"/>
                <w:szCs w:val="18"/>
              </w:rPr>
              <w:t xml:space="preserve">% </w:t>
            </w:r>
            <w:r>
              <w:rPr>
                <w:sz w:val="18"/>
                <w:szCs w:val="18"/>
              </w:rPr>
              <w:t>(</w:t>
            </w:r>
            <w:r>
              <w:rPr>
                <w:sz w:val="18"/>
                <w:szCs w:val="18"/>
              </w:rPr>
              <w:t>65.</w:t>
            </w:r>
            <w:r>
              <w:rPr>
                <w:sz w:val="18"/>
                <w:szCs w:val="18"/>
              </w:rPr>
              <w:t>0</w:t>
            </w:r>
            <w:r>
              <w:rPr>
                <w:sz w:val="18"/>
                <w:szCs w:val="18"/>
              </w:rPr>
              <w:t>%</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2.</w:t>
            </w:r>
            <w:r>
              <w:rPr>
                <w:sz w:val="18"/>
                <w:szCs w:val="18"/>
              </w:rPr>
              <w:t>0</w:t>
            </w:r>
            <w:r>
              <w:rPr>
                <w:sz w:val="18"/>
                <w:szCs w:val="18"/>
              </w:rPr>
              <w:t> years -</w:t>
            </w:r>
            <w:r>
              <w:rPr>
                <w:sz w:val="18"/>
                <w:szCs w:val="18"/>
              </w:rPr>
              <w:t xml:space="preserve"> </w:t>
            </w:r>
            <w:r>
              <w:rPr>
                <w:sz w:val="18"/>
                <w:szCs w:val="18"/>
              </w:rPr>
              <w:t>3.</w:t>
            </w:r>
            <w:r>
              <w:rPr>
                <w:sz w:val="18"/>
                <w:szCs w:val="18"/>
              </w:rPr>
              <w:t>0</w:t>
            </w:r>
            <w:r>
              <w:rPr>
                <w:sz w:val="18"/>
                <w:szCs w:val="18"/>
              </w:rPr>
              <w:t xml:space="preserve"> years </w:t>
            </w:r>
            <w:r>
              <w:rPr>
                <w:sz w:val="18"/>
                <w:szCs w:val="18"/>
              </w:rPr>
              <w:t>(</w:t>
            </w:r>
            <w:r>
              <w:rPr>
                <w:sz w:val="18"/>
                <w:szCs w:val="18"/>
              </w:rPr>
              <w:t>2.</w:t>
            </w:r>
            <w:r>
              <w:rPr>
                <w:sz w:val="18"/>
                <w:szCs w:val="18"/>
              </w:rPr>
              <w:t>5</w:t>
            </w:r>
            <w:r>
              <w:rPr>
                <w:sz w:val="18"/>
                <w:szCs w:val="18"/>
              </w:rPr>
              <w:t> years</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Other Corporate Deb</w:t>
            </w:r>
            <w:r>
              <w:rPr>
                <w:sz w:val="18"/>
                <w:szCs w:val="18"/>
              </w:rPr>
              <w:t>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24,313,00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13.</w:t>
            </w:r>
            <w:r>
              <w:rPr>
                <w:sz w:val="18"/>
                <w:szCs w:val="18"/>
              </w:rPr>
              <w:t>2</w:t>
            </w:r>
            <w:r>
              <w:rPr>
                <w:sz w:val="18"/>
                <w:szCs w:val="18"/>
              </w:rPr>
              <w:t>% -</w:t>
            </w:r>
            <w:r>
              <w:rPr>
                <w:sz w:val="18"/>
                <w:szCs w:val="18"/>
              </w:rPr>
              <w:t xml:space="preserve"> </w:t>
            </w:r>
            <w:r>
              <w:rPr>
                <w:sz w:val="18"/>
                <w:szCs w:val="18"/>
              </w:rPr>
              <w:t>14.</w:t>
            </w:r>
            <w:r>
              <w:rPr>
                <w:sz w:val="18"/>
                <w:szCs w:val="18"/>
              </w:rPr>
              <w:t>7</w:t>
            </w:r>
            <w:r>
              <w:rPr>
                <w:sz w:val="18"/>
                <w:szCs w:val="18"/>
              </w:rPr>
              <w:t xml:space="preserve">% </w:t>
            </w:r>
            <w:r>
              <w:rPr>
                <w:sz w:val="18"/>
                <w:szCs w:val="18"/>
              </w:rPr>
              <w:t>(</w:t>
            </w:r>
            <w:r>
              <w:rPr>
                <w:sz w:val="18"/>
                <w:szCs w:val="18"/>
              </w:rPr>
              <w:t>13.</w:t>
            </w:r>
            <w:r>
              <w:rPr>
                <w:sz w:val="18"/>
                <w:szCs w:val="18"/>
              </w:rPr>
              <w:t>9</w:t>
            </w:r>
            <w:r>
              <w:rPr>
                <w:sz w:val="18"/>
                <w:szCs w:val="18"/>
              </w:rPr>
              <w:t>%</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652,49</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0.</w:t>
            </w:r>
            <w:r>
              <w:rPr>
                <w:sz w:val="18"/>
                <w:szCs w:val="18"/>
              </w:rPr>
              <w:t>2</w:t>
            </w:r>
            <w:r>
              <w:rPr>
                <w:sz w:val="18"/>
                <w:szCs w:val="18"/>
              </w:rPr>
              <w:t>x -</w:t>
            </w:r>
            <w:r>
              <w:rPr>
                <w:sz w:val="18"/>
                <w:szCs w:val="18"/>
              </w:rPr>
              <w:t xml:space="preserve"> </w:t>
            </w:r>
            <w:r>
              <w:rPr>
                <w:sz w:val="18"/>
                <w:szCs w:val="18"/>
              </w:rPr>
              <w:t>0.</w:t>
            </w:r>
            <w:r>
              <w:rPr>
                <w:sz w:val="18"/>
                <w:szCs w:val="18"/>
              </w:rPr>
              <w:t>2</w:t>
            </w:r>
            <w:r>
              <w:rPr>
                <w:sz w:val="18"/>
                <w:szCs w:val="18"/>
              </w:rPr>
              <w:t xml:space="preserve">x </w:t>
            </w:r>
            <w:r>
              <w:rPr>
                <w:sz w:val="18"/>
                <w:szCs w:val="18"/>
              </w:rPr>
              <w:t>(</w:t>
            </w:r>
            <w:r>
              <w:rPr>
                <w:sz w:val="18"/>
                <w:szCs w:val="18"/>
              </w:rPr>
              <w:t>0.</w:t>
            </w:r>
            <w:r>
              <w:rPr>
                <w:sz w:val="18"/>
                <w:szCs w:val="18"/>
              </w:rPr>
              <w:t>2</w:t>
            </w:r>
            <w:r>
              <w:rPr>
                <w:sz w:val="18"/>
                <w:szCs w:val="18"/>
              </w:rPr>
              <w:t>x</w:t>
            </w:r>
            <w:r>
              <w:rPr>
                <w:sz w:val="18"/>
                <w:szCs w:val="18"/>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Equit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2,438,06</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EBITDA/Revenue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3.</w:t>
            </w:r>
            <w:r>
              <w:rPr>
                <w:sz w:val="18"/>
                <w:szCs w:val="18"/>
              </w:rPr>
              <w:t>6</w:t>
            </w:r>
            <w:r>
              <w:rPr>
                <w:sz w:val="18"/>
                <w:szCs w:val="18"/>
              </w:rPr>
              <w:t>x -</w:t>
            </w:r>
            <w:r>
              <w:rPr>
                <w:sz w:val="18"/>
                <w:szCs w:val="18"/>
              </w:rPr>
              <w:t xml:space="preserve"> </w:t>
            </w:r>
            <w:r>
              <w:rPr>
                <w:sz w:val="18"/>
                <w:szCs w:val="18"/>
              </w:rPr>
              <w:t>4.</w:t>
            </w:r>
            <w:r>
              <w:rPr>
                <w:sz w:val="18"/>
                <w:szCs w:val="18"/>
              </w:rPr>
              <w:t>0</w:t>
            </w:r>
            <w:r>
              <w:rPr>
                <w:sz w:val="18"/>
                <w:szCs w:val="18"/>
              </w:rPr>
              <w:t xml:space="preserve">x </w:t>
            </w:r>
            <w:r>
              <w:rPr>
                <w:sz w:val="18"/>
                <w:szCs w:val="18"/>
              </w:rPr>
              <w:t>(</w:t>
            </w:r>
            <w:r>
              <w:rPr>
                <w:sz w:val="18"/>
                <w:szCs w:val="18"/>
              </w:rPr>
              <w:t>3.</w:t>
            </w:r>
            <w:r>
              <w:rPr>
                <w:sz w:val="18"/>
                <w:szCs w:val="18"/>
              </w:rPr>
              <w:t>8</w:t>
            </w:r>
            <w:r>
              <w:rPr>
                <w:sz w:val="18"/>
                <w:szCs w:val="18"/>
              </w:rPr>
              <w:t>x</w:t>
            </w:r>
            <w:r>
              <w:rPr>
                <w:sz w:val="18"/>
                <w:szCs w:val="18"/>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59.</w:t>
            </w:r>
            <w:r>
              <w:rPr>
                <w:sz w:val="18"/>
                <w:szCs w:val="18"/>
              </w:rPr>
              <w:t>6</w:t>
            </w:r>
            <w:r>
              <w:rPr>
                <w:sz w:val="18"/>
                <w:szCs w:val="18"/>
              </w:rPr>
              <w:t>% -</w:t>
            </w:r>
            <w:r>
              <w:rPr>
                <w:sz w:val="18"/>
                <w:szCs w:val="18"/>
              </w:rPr>
              <w:t xml:space="preserve"> </w:t>
            </w:r>
            <w:r>
              <w:rPr>
                <w:sz w:val="18"/>
                <w:szCs w:val="18"/>
              </w:rPr>
              <w:t>69.</w:t>
            </w:r>
            <w:r>
              <w:rPr>
                <w:sz w:val="18"/>
                <w:szCs w:val="18"/>
              </w:rPr>
              <w:t>6</w:t>
            </w:r>
            <w:r>
              <w:rPr>
                <w:sz w:val="18"/>
                <w:szCs w:val="18"/>
              </w:rPr>
              <w:t xml:space="preserve">% </w:t>
            </w:r>
            <w:r>
              <w:rPr>
                <w:sz w:val="18"/>
                <w:szCs w:val="18"/>
              </w:rPr>
              <w:t>(</w:t>
            </w:r>
            <w:r>
              <w:rPr>
                <w:sz w:val="18"/>
                <w:szCs w:val="18"/>
              </w:rPr>
              <w:t>64.</w:t>
            </w:r>
            <w:r>
              <w:rPr>
                <w:sz w:val="18"/>
                <w:szCs w:val="18"/>
              </w:rPr>
              <w:t>6</w:t>
            </w:r>
            <w:r>
              <w:rPr>
                <w:sz w:val="18"/>
                <w:szCs w:val="18"/>
              </w:rPr>
              <w:t>%</w:t>
            </w:r>
            <w:r>
              <w:rPr>
                <w:sz w:val="18"/>
                <w:szCs w:val="18"/>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2.</w:t>
            </w:r>
            <w:r>
              <w:rPr>
                <w:sz w:val="18"/>
                <w:szCs w:val="18"/>
              </w:rPr>
              <w:t>0</w:t>
            </w:r>
            <w:r>
              <w:rPr>
                <w:sz w:val="18"/>
                <w:szCs w:val="18"/>
              </w:rPr>
              <w:t> years -</w:t>
            </w:r>
            <w:r>
              <w:rPr>
                <w:sz w:val="18"/>
                <w:szCs w:val="18"/>
              </w:rPr>
              <w:t xml:space="preserve"> </w:t>
            </w:r>
            <w:r>
              <w:rPr>
                <w:sz w:val="18"/>
                <w:szCs w:val="18"/>
              </w:rPr>
              <w:t>3.</w:t>
            </w:r>
            <w:r>
              <w:rPr>
                <w:sz w:val="18"/>
                <w:szCs w:val="18"/>
              </w:rPr>
              <w:t>1</w:t>
            </w:r>
            <w:r>
              <w:rPr>
                <w:sz w:val="18"/>
                <w:szCs w:val="18"/>
              </w:rPr>
              <w:t xml:space="preserve"> years </w:t>
            </w:r>
            <w:r>
              <w:rPr>
                <w:sz w:val="18"/>
                <w:szCs w:val="18"/>
              </w:rPr>
              <w:t>(</w:t>
            </w:r>
            <w:r>
              <w:rPr>
                <w:sz w:val="18"/>
                <w:szCs w:val="18"/>
              </w:rPr>
              <w:t>2.</w:t>
            </w:r>
            <w:r>
              <w:rPr>
                <w:sz w:val="18"/>
                <w:szCs w:val="18"/>
              </w:rPr>
              <w:t>6</w:t>
            </w:r>
            <w:r>
              <w:rPr>
                <w:sz w:val="18"/>
                <w:szCs w:val="18"/>
              </w:rPr>
              <w:t> years</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5,023,50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6.</w:t>
            </w:r>
            <w:r>
              <w:rPr>
                <w:sz w:val="18"/>
                <w:szCs w:val="18"/>
              </w:rPr>
              <w:t>0</w:t>
            </w:r>
            <w:r>
              <w:rPr>
                <w:sz w:val="18"/>
                <w:szCs w:val="18"/>
              </w:rPr>
              <w:t>x -</w:t>
            </w:r>
            <w:r>
              <w:rPr>
                <w:sz w:val="18"/>
                <w:szCs w:val="18"/>
              </w:rPr>
              <w:t xml:space="preserve"> </w:t>
            </w:r>
            <w:r>
              <w:rPr>
                <w:sz w:val="18"/>
                <w:szCs w:val="18"/>
              </w:rPr>
              <w:t>7.</w:t>
            </w:r>
            <w:r>
              <w:rPr>
                <w:sz w:val="18"/>
                <w:szCs w:val="18"/>
              </w:rPr>
              <w:t>0</w:t>
            </w:r>
            <w:r>
              <w:rPr>
                <w:sz w:val="18"/>
                <w:szCs w:val="18"/>
              </w:rPr>
              <w:t xml:space="preserve">x </w:t>
            </w:r>
            <w:r>
              <w:rPr>
                <w:sz w:val="18"/>
                <w:szCs w:val="18"/>
              </w:rPr>
              <w:t>(</w:t>
            </w:r>
            <w:r>
              <w:rPr>
                <w:sz w:val="18"/>
                <w:szCs w:val="18"/>
              </w:rPr>
              <w:t>6.</w:t>
            </w:r>
            <w:r>
              <w:rPr>
                <w:sz w:val="18"/>
                <w:szCs w:val="18"/>
              </w:rPr>
              <w:t>5</w:t>
            </w:r>
            <w:r>
              <w:rPr>
                <w:sz w:val="18"/>
                <w:szCs w:val="18"/>
              </w:rPr>
              <w:t>x</w:t>
            </w:r>
            <w:r>
              <w:rPr>
                <w:sz w:val="18"/>
                <w:szCs w:val="18"/>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3,721,31</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21.</w:t>
            </w:r>
            <w:r>
              <w:rPr>
                <w:sz w:val="18"/>
                <w:szCs w:val="18"/>
              </w:rPr>
              <w:t>1</w:t>
            </w:r>
            <w:r>
              <w:rPr>
                <w:sz w:val="18"/>
                <w:szCs w:val="18"/>
              </w:rPr>
              <w:t>% -</w:t>
            </w:r>
            <w:r>
              <w:rPr>
                <w:sz w:val="18"/>
                <w:szCs w:val="18"/>
              </w:rPr>
              <w:t xml:space="preserve"> </w:t>
            </w:r>
            <w:r>
              <w:rPr>
                <w:sz w:val="18"/>
                <w:szCs w:val="18"/>
              </w:rPr>
              <w:t>25.</w:t>
            </w:r>
            <w:r>
              <w:rPr>
                <w:sz w:val="18"/>
                <w:szCs w:val="18"/>
              </w:rPr>
              <w:t>0</w:t>
            </w:r>
            <w:r>
              <w:rPr>
                <w:sz w:val="18"/>
                <w:szCs w:val="18"/>
              </w:rPr>
              <w:t xml:space="preserve">% </w:t>
            </w:r>
            <w:r>
              <w:rPr>
                <w:sz w:val="18"/>
                <w:szCs w:val="18"/>
              </w:rPr>
              <w:t>(</w:t>
            </w:r>
            <w:r>
              <w:rPr>
                <w:sz w:val="18"/>
                <w:szCs w:val="18"/>
              </w:rPr>
              <w:t>23.</w:t>
            </w:r>
            <w:r>
              <w:rPr>
                <w:sz w:val="18"/>
                <w:szCs w:val="18"/>
              </w:rPr>
              <w:t>1</w:t>
            </w:r>
            <w:r>
              <w:rPr>
                <w:sz w:val="18"/>
                <w:szCs w:val="18"/>
              </w:rPr>
              <w:t>%</w:t>
            </w:r>
            <w:r>
              <w:rPr>
                <w:sz w:val="18"/>
                <w:szCs w:val="18"/>
              </w:rPr>
              <w:t>)</w:t>
            </w:r>
          </w:p>
        </w:tc>
      </w:tr>
      <w:tr w:rsidR="00000000">
        <w:trPr>
          <w:divId w:val="557672169"/>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984,31</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1.</w:t>
            </w:r>
            <w:r>
              <w:rPr>
                <w:sz w:val="18"/>
                <w:szCs w:val="18"/>
              </w:rPr>
              <w:t>2</w:t>
            </w:r>
            <w:r>
              <w:rPr>
                <w:sz w:val="18"/>
                <w:szCs w:val="18"/>
              </w:rPr>
              <w:t>x -</w:t>
            </w:r>
            <w:r>
              <w:rPr>
                <w:sz w:val="18"/>
                <w:szCs w:val="18"/>
              </w:rPr>
              <w:t xml:space="preserve"> </w:t>
            </w:r>
            <w:r>
              <w:rPr>
                <w:sz w:val="18"/>
                <w:szCs w:val="18"/>
              </w:rPr>
              <w:t>1.</w:t>
            </w:r>
            <w:r>
              <w:rPr>
                <w:sz w:val="18"/>
                <w:szCs w:val="18"/>
              </w:rPr>
              <w:t>4</w:t>
            </w:r>
            <w:r>
              <w:rPr>
                <w:sz w:val="18"/>
                <w:szCs w:val="18"/>
              </w:rPr>
              <w:t xml:space="preserve">x </w:t>
            </w:r>
            <w:r>
              <w:rPr>
                <w:sz w:val="18"/>
                <w:szCs w:val="18"/>
              </w:rPr>
              <w:t>(</w:t>
            </w:r>
            <w:r>
              <w:rPr>
                <w:sz w:val="18"/>
                <w:szCs w:val="18"/>
              </w:rPr>
              <w:t>1.</w:t>
            </w:r>
            <w:r>
              <w:rPr>
                <w:sz w:val="18"/>
                <w:szCs w:val="18"/>
              </w:rPr>
              <w:t>3</w:t>
            </w:r>
            <w:r>
              <w:rPr>
                <w:sz w:val="18"/>
                <w:szCs w:val="18"/>
              </w:rPr>
              <w:t>x</w:t>
            </w:r>
            <w:r>
              <w:rPr>
                <w:sz w:val="18"/>
                <w:szCs w:val="18"/>
              </w:rPr>
              <w:t>)</w:t>
            </w:r>
          </w:p>
        </w:tc>
      </w:tr>
      <w:tr w:rsidR="00000000">
        <w:trPr>
          <w:divId w:val="557672169"/>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542,781,54</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pBdr>
          <w:bottom w:val="single" w:sz="4" w:space="1" w:color="auto"/>
        </w:pBdr>
        <w:spacing w:before="0" w:beforeAutospacing="0" w:after="0" w:afterAutospacing="0"/>
        <w:ind w:right="8691"/>
        <w:divId w:val="557672169"/>
        <w:rPr>
          <w:sz w:val="20"/>
          <w:szCs w:val="20"/>
        </w:rPr>
      </w:pPr>
      <w:r>
        <w:rPr>
          <w:sz w:val="20"/>
          <w:szCs w:val="20"/>
        </w:rPr>
        <w:t> </w:t>
      </w:r>
    </w:p>
    <w:p w:rsidR="00000000" w:rsidRDefault="003D51DE">
      <w:pPr>
        <w:jc w:val="both"/>
        <w:divId w:val="673453151"/>
        <w:rPr>
          <w:rFonts w:eastAsia="Times New Roman"/>
          <w:sz w:val="19"/>
          <w:szCs w:val="19"/>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680497181"/>
        <w:rPr>
          <w:rFonts w:eastAsia="Times New Roman"/>
          <w:sz w:val="19"/>
          <w:szCs w:val="19"/>
        </w:rPr>
      </w:pPr>
      <w:r>
        <w:rPr>
          <w:rFonts w:eastAsia="Times New Roman"/>
          <w:sz w:val="15"/>
          <w:szCs w:val="15"/>
        </w:rPr>
        <w:t>Representing the weighted average of each significant unobservable input range at the investment level by fair value.</w:t>
      </w:r>
      <w:r>
        <w:rPr>
          <w:rFonts w:eastAsia="Times New Roman"/>
          <w:sz w:val="15"/>
          <w:szCs w:val="15"/>
        </w:rPr>
        <w:t xml:space="preserve"> </w:t>
      </w:r>
    </w:p>
    <w:p w:rsidR="00000000" w:rsidRDefault="003D51DE">
      <w:pPr>
        <w:jc w:val="both"/>
        <w:divId w:val="1274558355"/>
        <w:rPr>
          <w:rFonts w:eastAsia="Times New Roman"/>
          <w:sz w:val="19"/>
          <w:szCs w:val="19"/>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2134397466"/>
        <w:rPr>
          <w:rFonts w:eastAsia="Times New Roman"/>
          <w:sz w:val="19"/>
          <w:szCs w:val="19"/>
        </w:rPr>
      </w:pPr>
      <w:r>
        <w:rPr>
          <w:rFonts w:eastAsia="Times New Roman"/>
          <w:sz w:val="15"/>
          <w:szCs w:val="15"/>
        </w:rPr>
        <w:t>Representing the weighted average of each significant unobservable input for concluded value at the investment level by fair value</w:t>
      </w:r>
      <w:r>
        <w:rPr>
          <w:rFonts w:eastAsia="Times New Roman"/>
          <w:sz w:val="15"/>
          <w:szCs w:val="15"/>
        </w:rPr>
        <w:t>.</w:t>
      </w:r>
    </w:p>
    <w:p w:rsidR="00000000" w:rsidRDefault="003D51DE">
      <w:pPr>
        <w:pStyle w:val="a3"/>
        <w:spacing w:before="0" w:beforeAutospacing="0" w:after="0" w:afterAutospacing="0"/>
        <w:jc w:val="center"/>
        <w:divId w:val="813638296"/>
        <w:rPr>
          <w:sz w:val="20"/>
          <w:szCs w:val="20"/>
        </w:rPr>
      </w:pPr>
      <w:r>
        <w:rPr>
          <w:sz w:val="20"/>
          <w:szCs w:val="20"/>
        </w:rPr>
        <w:t> </w:t>
      </w:r>
    </w:p>
    <w:p w:rsidR="00000000" w:rsidRDefault="003D51DE">
      <w:pPr>
        <w:pStyle w:val="a3"/>
        <w:spacing w:before="0" w:beforeAutospacing="0" w:after="0" w:afterAutospacing="0"/>
        <w:jc w:val="center"/>
        <w:divId w:val="813638296"/>
        <w:rPr>
          <w:sz w:val="20"/>
          <w:szCs w:val="20"/>
        </w:rPr>
      </w:pPr>
      <w:r>
        <w:rPr>
          <w:sz w:val="19"/>
          <w:szCs w:val="19"/>
        </w:rPr>
        <w:t>2</w:t>
      </w:r>
      <w:r>
        <w:rPr>
          <w:sz w:val="19"/>
          <w:szCs w:val="19"/>
        </w:rPr>
        <w:t>5</w:t>
      </w:r>
    </w:p>
    <w:p w:rsidR="00000000" w:rsidRDefault="003D51DE">
      <w:pPr>
        <w:divId w:val="813638296"/>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3D51DE">
      <w:pPr>
        <w:pStyle w:val="a3"/>
        <w:spacing w:before="0" w:beforeAutospacing="0" w:after="0" w:afterAutospacing="0"/>
        <w:divId w:val="813638296"/>
        <w:rPr>
          <w:sz w:val="20"/>
          <w:szCs w:val="20"/>
        </w:rPr>
      </w:pPr>
      <w:r>
        <w:rPr>
          <w:sz w:val="20"/>
          <w:szCs w:val="20"/>
        </w:rPr>
        <w:t> </w:t>
      </w:r>
    </w:p>
    <w:p w:rsidR="00000000" w:rsidRDefault="003D51DE">
      <w:pPr>
        <w:pStyle w:val="a3"/>
        <w:spacing w:before="180" w:beforeAutospacing="0" w:after="160" w:afterAutospacing="0"/>
        <w:ind w:firstLine="702"/>
        <w:jc w:val="both"/>
        <w:divId w:val="745687757"/>
        <w:rPr>
          <w:sz w:val="20"/>
          <w:szCs w:val="20"/>
        </w:rPr>
      </w:pPr>
      <w:r>
        <w:rPr>
          <w:sz w:val="19"/>
          <w:szCs w:val="19"/>
        </w:rPr>
        <w:t>Certain fair value measurements may employ more than one valuation technique, with each valuation technique receiving a relative weight between</w:t>
      </w:r>
      <w:r>
        <w:rPr>
          <w:sz w:val="19"/>
          <w:szCs w:val="19"/>
        </w:rPr>
        <w:t xml:space="preserve"> </w:t>
      </w:r>
      <w:r>
        <w:rPr>
          <w:sz w:val="19"/>
          <w:szCs w:val="19"/>
        </w:rPr>
        <w:t>0</w:t>
      </w:r>
      <w:r>
        <w:rPr>
          <w:sz w:val="19"/>
          <w:szCs w:val="19"/>
        </w:rPr>
        <w:t>% and</w:t>
      </w:r>
      <w:r>
        <w:rPr>
          <w:sz w:val="19"/>
          <w:szCs w:val="19"/>
        </w:rPr>
        <w:t xml:space="preserve"> </w:t>
      </w:r>
      <w:r>
        <w:rPr>
          <w:sz w:val="19"/>
          <w:szCs w:val="19"/>
        </w:rPr>
        <w:t>10</w:t>
      </w:r>
      <w:r>
        <w:rPr>
          <w:sz w:val="19"/>
          <w:szCs w:val="19"/>
        </w:rPr>
        <w:t>0</w:t>
      </w:r>
      <w:r>
        <w:rPr>
          <w:sz w:val="19"/>
          <w:szCs w:val="19"/>
        </w:rPr>
        <w:t xml:space="preserve">%. Generally, a change in an unobservable input may result in a </w:t>
      </w:r>
      <w:r>
        <w:rPr>
          <w:sz w:val="19"/>
          <w:szCs w:val="19"/>
        </w:rPr>
        <w:t>change to the value of an investment as follows</w:t>
      </w:r>
      <w:r>
        <w:rPr>
          <w:sz w:val="19"/>
          <w:szCs w:val="19"/>
        </w:rPr>
        <w:t>:</w:t>
      </w:r>
    </w:p>
    <w:tbl>
      <w:tblPr>
        <w:tblW w:w="4000" w:type="pct"/>
        <w:tblCellSpacing w:w="15" w:type="dxa"/>
        <w:tblInd w:w="1080" w:type="dxa"/>
        <w:tblCellMar>
          <w:top w:w="15" w:type="dxa"/>
          <w:left w:w="15" w:type="dxa"/>
          <w:bottom w:w="15" w:type="dxa"/>
          <w:right w:w="15" w:type="dxa"/>
        </w:tblCellMar>
        <w:tblLook w:val="04A0" w:firstRow="1" w:lastRow="0" w:firstColumn="1" w:lastColumn="0" w:noHBand="0" w:noVBand="1"/>
      </w:tblPr>
      <w:tblGrid>
        <w:gridCol w:w="2732"/>
        <w:gridCol w:w="294"/>
        <w:gridCol w:w="1655"/>
        <w:gridCol w:w="294"/>
        <w:gridCol w:w="1670"/>
      </w:tblGrid>
      <w:tr w:rsidR="00000000">
        <w:trPr>
          <w:divId w:val="745687757"/>
          <w:tblCellSpacing w:w="15" w:type="dxa"/>
        </w:trPr>
        <w:tc>
          <w:tcPr>
            <w:tcW w:w="2121" w:type="pct"/>
            <w:vAlign w:val="center"/>
            <w:hideMark/>
          </w:tcPr>
          <w:p w:rsidR="00000000" w:rsidRDefault="003D51DE">
            <w:pPr>
              <w:rPr>
                <w:sz w:val="20"/>
                <w:szCs w:val="20"/>
              </w:rPr>
            </w:pPr>
          </w:p>
        </w:tc>
        <w:tc>
          <w:tcPr>
            <w:tcW w:w="139" w:type="pct"/>
            <w:vAlign w:val="center"/>
            <w:hideMark/>
          </w:tcPr>
          <w:p w:rsidR="00000000" w:rsidRDefault="003D51DE">
            <w:pPr>
              <w:rPr>
                <w:rFonts w:eastAsia="Times New Roman"/>
                <w:sz w:val="20"/>
                <w:szCs w:val="20"/>
              </w:rPr>
            </w:pPr>
          </w:p>
        </w:tc>
        <w:tc>
          <w:tcPr>
            <w:tcW w:w="1299" w:type="pct"/>
            <w:vAlign w:val="center"/>
            <w:hideMark/>
          </w:tcPr>
          <w:p w:rsidR="00000000" w:rsidRDefault="003D51DE">
            <w:pPr>
              <w:rPr>
                <w:rFonts w:eastAsia="Times New Roman"/>
                <w:sz w:val="20"/>
                <w:szCs w:val="20"/>
              </w:rPr>
            </w:pPr>
          </w:p>
        </w:tc>
        <w:tc>
          <w:tcPr>
            <w:tcW w:w="139" w:type="pct"/>
            <w:vAlign w:val="center"/>
            <w:hideMark/>
          </w:tcPr>
          <w:p w:rsidR="00000000" w:rsidRDefault="003D51DE">
            <w:pPr>
              <w:rPr>
                <w:rFonts w:eastAsia="Times New Roman"/>
                <w:sz w:val="20"/>
                <w:szCs w:val="20"/>
              </w:rPr>
            </w:pPr>
          </w:p>
        </w:tc>
        <w:tc>
          <w:tcPr>
            <w:tcW w:w="1299" w:type="pct"/>
            <w:vAlign w:val="center"/>
            <w:hideMark/>
          </w:tcPr>
          <w:p w:rsidR="00000000" w:rsidRDefault="003D51DE">
            <w:pPr>
              <w:rPr>
                <w:rFonts w:eastAsia="Times New Roman"/>
                <w:sz w:val="20"/>
                <w:szCs w:val="20"/>
              </w:rPr>
            </w:pPr>
          </w:p>
        </w:tc>
      </w:tr>
      <w:tr w:rsidR="00000000">
        <w:trPr>
          <w:divId w:val="745687757"/>
          <w:trHeight w:val="418"/>
          <w:tblCellSpacing w:w="15" w:type="dxa"/>
        </w:trPr>
        <w:tc>
          <w:tcPr>
            <w:tcW w:w="0" w:type="auto"/>
            <w:tcBorders>
              <w:bottom w:val="single" w:sz="4" w:space="0" w:color="auto"/>
            </w:tcBorders>
            <w:tcMar>
              <w:top w:w="15" w:type="dxa"/>
              <w:left w:w="108" w:type="dxa"/>
              <w:bottom w:w="15" w:type="dxa"/>
              <w:right w:w="108" w:type="dxa"/>
            </w:tcMar>
            <w:vAlign w:val="bottom"/>
            <w:hideMark/>
          </w:tcPr>
          <w:p w:rsidR="00000000" w:rsidRDefault="003D51DE">
            <w:pPr>
              <w:pStyle w:val="a3"/>
              <w:spacing w:before="0" w:beforeAutospacing="0" w:after="0" w:afterAutospacing="0"/>
              <w:rPr>
                <w:sz w:val="16"/>
                <w:szCs w:val="16"/>
              </w:rPr>
            </w:pPr>
            <w:r>
              <w:rPr>
                <w:b/>
                <w:bCs/>
                <w:sz w:val="16"/>
                <w:szCs w:val="16"/>
              </w:rPr>
              <w:t>Inpu</w:t>
            </w:r>
            <w:r>
              <w:rPr>
                <w:b/>
                <w:bCs/>
                <w:sz w:val="16"/>
                <w:szCs w:val="16"/>
              </w:rPr>
              <w:t>t</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tcBorders>
              <w:bottom w:val="single" w:sz="4" w:space="0" w:color="auto"/>
            </w:tcBorders>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6"/>
                <w:szCs w:val="16"/>
              </w:rPr>
            </w:pPr>
            <w:r>
              <w:rPr>
                <w:b/>
                <w:bCs/>
                <w:sz w:val="16"/>
                <w:szCs w:val="16"/>
              </w:rPr>
              <w:t>Impact to Value i</w:t>
            </w:r>
            <w:r>
              <w:rPr>
                <w:b/>
                <w:bCs/>
                <w:sz w:val="16"/>
                <w:szCs w:val="16"/>
              </w:rPr>
              <w:t>f</w:t>
            </w:r>
          </w:p>
          <w:p w:rsidR="00000000" w:rsidRDefault="003D51DE">
            <w:pPr>
              <w:pStyle w:val="a3"/>
              <w:spacing w:before="0" w:beforeAutospacing="0" w:after="0" w:afterAutospacing="0"/>
              <w:jc w:val="center"/>
              <w:rPr>
                <w:sz w:val="16"/>
                <w:szCs w:val="16"/>
              </w:rPr>
            </w:pPr>
            <w:r>
              <w:rPr>
                <w:b/>
                <w:bCs/>
                <w:sz w:val="16"/>
                <w:szCs w:val="16"/>
              </w:rPr>
              <w:t>Input Increase</w:t>
            </w:r>
            <w:r>
              <w:rPr>
                <w:b/>
                <w:bCs/>
                <w:sz w:val="16"/>
                <w:szCs w:val="16"/>
              </w:rPr>
              <w:t>s</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6"/>
                <w:szCs w:val="16"/>
              </w:rPr>
            </w:pPr>
            <w:r>
              <w:rPr>
                <w:b/>
                <w:bCs/>
                <w:sz w:val="16"/>
                <w:szCs w:val="16"/>
              </w:rPr>
              <w:t>Impact to Value i</w:t>
            </w:r>
            <w:r>
              <w:rPr>
                <w:b/>
                <w:bCs/>
                <w:sz w:val="16"/>
                <w:szCs w:val="16"/>
              </w:rPr>
              <w:t>f</w:t>
            </w:r>
          </w:p>
          <w:p w:rsidR="00000000" w:rsidRDefault="003D51DE">
            <w:pPr>
              <w:pStyle w:val="a3"/>
              <w:spacing w:before="0" w:beforeAutospacing="0" w:after="0" w:afterAutospacing="0"/>
              <w:jc w:val="center"/>
              <w:rPr>
                <w:sz w:val="16"/>
                <w:szCs w:val="16"/>
              </w:rPr>
            </w:pPr>
            <w:r>
              <w:rPr>
                <w:b/>
                <w:bCs/>
                <w:sz w:val="16"/>
                <w:szCs w:val="16"/>
              </w:rPr>
              <w:t>Input Decrease</w:t>
            </w:r>
            <w:r>
              <w:rPr>
                <w:b/>
                <w:bCs/>
                <w:sz w:val="16"/>
                <w:szCs w:val="16"/>
              </w:rPr>
              <w:t>s</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Discount rat</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Revenue multiple</w:t>
            </w:r>
            <w:r>
              <w:rPr>
                <w:sz w:val="19"/>
                <w:szCs w:val="19"/>
              </w:rPr>
              <w:t>s</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EBITDA multiple</w:t>
            </w:r>
            <w:r>
              <w:rPr>
                <w:sz w:val="19"/>
                <w:szCs w:val="19"/>
              </w:rPr>
              <w:t>s</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Book value multiple</w:t>
            </w:r>
            <w:r>
              <w:rPr>
                <w:sz w:val="19"/>
                <w:szCs w:val="19"/>
              </w:rPr>
              <w:t>s</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Implied volatilit</w:t>
            </w:r>
            <w:r>
              <w:rPr>
                <w:sz w:val="19"/>
                <w:szCs w:val="19"/>
              </w:rPr>
              <w:t>y</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Ter</w:t>
            </w:r>
            <w:r>
              <w:rPr>
                <w:sz w:val="19"/>
                <w:szCs w:val="19"/>
              </w:rPr>
              <w:t>m</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r w:rsidR="00000000">
        <w:trPr>
          <w:divId w:val="745687757"/>
          <w:trHeight w:val="259"/>
          <w:tblCellSpacing w:w="15" w:type="dxa"/>
        </w:trPr>
        <w:tc>
          <w:tcPr>
            <w:tcW w:w="0" w:type="auto"/>
            <w:tcMar>
              <w:top w:w="15" w:type="dxa"/>
              <w:left w:w="108" w:type="dxa"/>
              <w:bottom w:w="15" w:type="dxa"/>
              <w:right w:w="108" w:type="dxa"/>
            </w:tcMar>
            <w:hideMark/>
          </w:tcPr>
          <w:p w:rsidR="00000000" w:rsidRDefault="003D51DE">
            <w:pPr>
              <w:pStyle w:val="a3"/>
              <w:spacing w:before="0" w:beforeAutospacing="0" w:after="0" w:afterAutospacing="0"/>
              <w:rPr>
                <w:sz w:val="19"/>
                <w:szCs w:val="19"/>
              </w:rPr>
            </w:pPr>
            <w:r>
              <w:rPr>
                <w:sz w:val="19"/>
                <w:szCs w:val="19"/>
              </w:rPr>
              <w:t>Yiel</w:t>
            </w:r>
            <w:r>
              <w:rPr>
                <w:sz w:val="19"/>
                <w:szCs w:val="19"/>
              </w:rPr>
              <w:t>d</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Increas</w:t>
            </w:r>
            <w:r>
              <w:rPr>
                <w:sz w:val="19"/>
                <w:szCs w:val="19"/>
              </w:rPr>
              <w:t>e</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19"/>
                <w:szCs w:val="19"/>
              </w:rPr>
            </w:pPr>
            <w:r>
              <w:rPr>
                <w:sz w:val="19"/>
                <w:szCs w:val="19"/>
              </w:rPr>
              <w:t> </w:t>
            </w:r>
          </w:p>
        </w:tc>
        <w:tc>
          <w:tcPr>
            <w:tcW w:w="0" w:type="auto"/>
            <w:tcMar>
              <w:top w:w="15" w:type="dxa"/>
              <w:left w:w="108" w:type="dxa"/>
              <w:bottom w:w="15" w:type="dxa"/>
              <w:right w:w="108" w:type="dxa"/>
            </w:tcMar>
            <w:vAlign w:val="bottom"/>
            <w:hideMark/>
          </w:tcPr>
          <w:p w:rsidR="00000000" w:rsidRDefault="003D51DE">
            <w:pPr>
              <w:pStyle w:val="a3"/>
              <w:spacing w:before="0" w:beforeAutospacing="0" w:after="0" w:afterAutospacing="0"/>
              <w:jc w:val="center"/>
              <w:rPr>
                <w:sz w:val="20"/>
                <w:szCs w:val="20"/>
              </w:rPr>
            </w:pPr>
            <w:r>
              <w:rPr>
                <w:sz w:val="19"/>
                <w:szCs w:val="19"/>
              </w:rPr>
              <w:t>Decreas</w:t>
            </w:r>
            <w:r>
              <w:rPr>
                <w:sz w:val="19"/>
                <w:szCs w:val="19"/>
              </w:rPr>
              <w:t>e</w:t>
            </w:r>
          </w:p>
        </w:tc>
      </w:tr>
    </w:tbl>
    <w:p w:rsidR="00000000" w:rsidRDefault="003D51DE">
      <w:pPr>
        <w:pStyle w:val="a3"/>
        <w:spacing w:before="180" w:beforeAutospacing="0" w:after="160" w:afterAutospacing="0"/>
        <w:ind w:firstLine="702"/>
        <w:jc w:val="both"/>
        <w:divId w:val="1454598548"/>
        <w:rPr>
          <w:sz w:val="20"/>
          <w:szCs w:val="20"/>
        </w:rPr>
      </w:pPr>
      <w:r>
        <w:rPr>
          <w:sz w:val="19"/>
          <w:szCs w:val="19"/>
        </w:rPr>
        <w:t>Changes in investments categorized as Level 3 during the three months ended</w:t>
      </w:r>
      <w:r>
        <w:rPr>
          <w:sz w:val="19"/>
          <w:szCs w:val="19"/>
        </w:rPr>
        <w:t xml:space="preserve"> </w:t>
      </w:r>
      <w:r>
        <w:rPr>
          <w:sz w:val="19"/>
          <w:szCs w:val="19"/>
        </w:rPr>
        <w:t>September 30, 2022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63"/>
        <w:gridCol w:w="110"/>
        <w:gridCol w:w="160"/>
        <w:gridCol w:w="1060"/>
        <w:gridCol w:w="127"/>
        <w:gridCol w:w="110"/>
        <w:gridCol w:w="160"/>
        <w:gridCol w:w="960"/>
        <w:gridCol w:w="127"/>
        <w:gridCol w:w="110"/>
        <w:gridCol w:w="160"/>
        <w:gridCol w:w="960"/>
        <w:gridCol w:w="127"/>
        <w:gridCol w:w="110"/>
        <w:gridCol w:w="160"/>
        <w:gridCol w:w="1060"/>
        <w:gridCol w:w="142"/>
      </w:tblGrid>
      <w:tr w:rsidR="00000000">
        <w:trPr>
          <w:divId w:val="1454598548"/>
          <w:tblCellSpacing w:w="15" w:type="dxa"/>
        </w:trPr>
        <w:tc>
          <w:tcPr>
            <w:tcW w:w="204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6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454598548"/>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496,802,61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25,182,52</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12,205,08</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534,190,21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1,358,55</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218,60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391,35</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1,185,80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75,685,89</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81,18</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75,768,66</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Disposition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59,856,09</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510,43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60,366,53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5,625,00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5,625,00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505,648,86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24,965,49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12,167,18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542,781,54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 net realized and unrealized gains/losses, above</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3,079,95</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218,60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380,91</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2,917,64</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pBdr>
          <w:bottom w:val="single" w:sz="4" w:space="1" w:color="auto"/>
        </w:pBdr>
        <w:spacing w:before="0" w:beforeAutospacing="0" w:after="0" w:afterAutospacing="0"/>
        <w:ind w:right="8691"/>
        <w:divId w:val="1454598548"/>
        <w:rPr>
          <w:sz w:val="20"/>
          <w:szCs w:val="20"/>
        </w:rPr>
      </w:pPr>
      <w:r>
        <w:rPr>
          <w:sz w:val="20"/>
          <w:szCs w:val="20"/>
        </w:rPr>
        <w:t> </w:t>
      </w:r>
    </w:p>
    <w:p w:rsidR="00000000" w:rsidRDefault="003D51DE">
      <w:pPr>
        <w:jc w:val="both"/>
        <w:divId w:val="1111318154"/>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793712523"/>
        <w:rPr>
          <w:rFonts w:eastAsia="Times New Roman"/>
          <w:sz w:val="20"/>
          <w:szCs w:val="20"/>
        </w:rPr>
      </w:pPr>
      <w:r>
        <w:rPr>
          <w:rFonts w:eastAsia="Times New Roman"/>
          <w:sz w:val="15"/>
          <w:szCs w:val="15"/>
        </w:rPr>
        <w:t>Includes payments received in kind and accretion of original issue and market discounts</w:t>
      </w:r>
      <w:r>
        <w:rPr>
          <w:rFonts w:eastAsia="Times New Roman"/>
          <w:sz w:val="15"/>
          <w:szCs w:val="15"/>
        </w:rPr>
        <w:t>.</w:t>
      </w:r>
    </w:p>
    <w:p w:rsidR="00000000" w:rsidRDefault="003D51DE">
      <w:pPr>
        <w:jc w:val="both"/>
        <w:divId w:val="898638758"/>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39941827"/>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transferred from Level 3 to Level 2 due to increased observable market activity</w:t>
      </w:r>
      <w:r>
        <w:rPr>
          <w:rFonts w:eastAsia="Times New Roman"/>
          <w:sz w:val="15"/>
          <w:szCs w:val="15"/>
        </w:rPr>
        <w:t>.</w:t>
      </w:r>
    </w:p>
    <w:p w:rsidR="00000000" w:rsidRDefault="003D51DE">
      <w:pPr>
        <w:pStyle w:val="a3"/>
        <w:spacing w:before="120" w:beforeAutospacing="0" w:after="120" w:afterAutospacing="0"/>
        <w:ind w:firstLine="702"/>
        <w:jc w:val="both"/>
        <w:divId w:val="1454598548"/>
        <w:rPr>
          <w:sz w:val="20"/>
          <w:szCs w:val="20"/>
        </w:rPr>
      </w:pPr>
      <w:r>
        <w:rPr>
          <w:sz w:val="19"/>
          <w:szCs w:val="19"/>
        </w:rPr>
        <w:t>Changes in investments categorized as Level 3</w:t>
      </w:r>
      <w:r>
        <w:rPr>
          <w:sz w:val="19"/>
          <w:szCs w:val="19"/>
        </w:rPr>
        <w:t xml:space="preserve"> during the nine months ended September 30, 2022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110"/>
        <w:gridCol w:w="160"/>
        <w:gridCol w:w="1127"/>
        <w:gridCol w:w="127"/>
        <w:gridCol w:w="110"/>
        <w:gridCol w:w="160"/>
        <w:gridCol w:w="960"/>
        <w:gridCol w:w="127"/>
        <w:gridCol w:w="110"/>
        <w:gridCol w:w="160"/>
        <w:gridCol w:w="960"/>
        <w:gridCol w:w="127"/>
        <w:gridCol w:w="110"/>
        <w:gridCol w:w="160"/>
        <w:gridCol w:w="1127"/>
        <w:gridCol w:w="142"/>
      </w:tblGrid>
      <w:tr w:rsidR="00000000">
        <w:trPr>
          <w:divId w:val="1454598548"/>
          <w:tblCellSpacing w:w="15" w:type="dxa"/>
        </w:trPr>
        <w:tc>
          <w:tcPr>
            <w:tcW w:w="2055"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5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454598548"/>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483,970,60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525,028,73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11,038,87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567,61</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62,61</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10,533,87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189,992,84</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250,97</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190,248,21</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Disposition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158,547,62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4,175,38</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510,43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163,233,44</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into Level </w:t>
            </w:r>
            <w:r>
              <w:rPr>
                <w:sz w:val="20"/>
                <w:szCs w:val="20"/>
              </w:rPr>
              <w:t>3</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7,041,15</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7,041,15</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(3</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5,769,23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5,769,23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505,648,86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24,965,49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12,167,18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542,781,54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454598548"/>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1454598548"/>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 net realized and unrealized gains/losses, above</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10,229,00</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552,17</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73,04</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9,749,87</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pBdr>
          <w:bottom w:val="single" w:sz="4" w:space="1" w:color="auto"/>
        </w:pBdr>
        <w:spacing w:before="0" w:beforeAutospacing="0" w:after="0" w:afterAutospacing="0"/>
        <w:ind w:right="8691"/>
        <w:divId w:val="1454598548"/>
        <w:rPr>
          <w:sz w:val="20"/>
          <w:szCs w:val="20"/>
        </w:rPr>
      </w:pPr>
      <w:r>
        <w:rPr>
          <w:sz w:val="20"/>
          <w:szCs w:val="20"/>
        </w:rPr>
        <w:t> </w:t>
      </w:r>
    </w:p>
    <w:p w:rsidR="00000000" w:rsidRDefault="003D51DE">
      <w:pPr>
        <w:jc w:val="both"/>
        <w:divId w:val="250821454"/>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426656164"/>
        <w:rPr>
          <w:rFonts w:eastAsia="Times New Roman"/>
          <w:sz w:val="20"/>
          <w:szCs w:val="20"/>
        </w:rPr>
      </w:pPr>
      <w:r>
        <w:rPr>
          <w:rFonts w:eastAsia="Times New Roman"/>
          <w:sz w:val="15"/>
          <w:szCs w:val="15"/>
        </w:rPr>
        <w:t>Includes payments received in kind and accretion of original issue and market discounts</w:t>
      </w:r>
      <w:r>
        <w:rPr>
          <w:rFonts w:eastAsia="Times New Roman"/>
          <w:sz w:val="15"/>
          <w:szCs w:val="15"/>
        </w:rPr>
        <w:t>.</w:t>
      </w:r>
    </w:p>
    <w:p w:rsidR="00000000" w:rsidRDefault="003D51DE">
      <w:pPr>
        <w:jc w:val="both"/>
        <w:divId w:val="1396661438"/>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909658770"/>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transferred from Level 2 to Level 3 due to decreased observable market activity</w:t>
      </w:r>
      <w:r>
        <w:rPr>
          <w:rFonts w:eastAsia="Times New Roman"/>
          <w:sz w:val="15"/>
          <w:szCs w:val="15"/>
        </w:rPr>
        <w:t>.</w:t>
      </w:r>
    </w:p>
    <w:p w:rsidR="00000000" w:rsidRDefault="003D51DE">
      <w:pPr>
        <w:jc w:val="both"/>
        <w:divId w:val="1041711621"/>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3D51DE">
      <w:pPr>
        <w:jc w:val="both"/>
        <w:divId w:val="223294950"/>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w:t>
      </w:r>
      <w:r>
        <w:rPr>
          <w:rFonts w:eastAsia="Times New Roman"/>
          <w:sz w:val="15"/>
          <w:szCs w:val="15"/>
        </w:rPr>
        <w:t>sferred from Level 3 to Level 2 due to increased observable market activity</w:t>
      </w:r>
      <w:r>
        <w:rPr>
          <w:rFonts w:eastAsia="Times New Roman"/>
          <w:sz w:val="15"/>
          <w:szCs w:val="15"/>
        </w:rPr>
        <w:t>.</w:t>
      </w:r>
    </w:p>
    <w:p w:rsidR="00000000" w:rsidRDefault="003D51DE">
      <w:pPr>
        <w:pStyle w:val="a3"/>
        <w:spacing w:before="0" w:beforeAutospacing="0" w:after="0" w:afterAutospacing="0"/>
        <w:jc w:val="center"/>
        <w:divId w:val="813638296"/>
        <w:rPr>
          <w:sz w:val="20"/>
          <w:szCs w:val="20"/>
        </w:rPr>
      </w:pPr>
      <w:r>
        <w:rPr>
          <w:sz w:val="20"/>
          <w:szCs w:val="20"/>
        </w:rPr>
        <w:t> </w:t>
      </w:r>
    </w:p>
    <w:p w:rsidR="00000000" w:rsidRDefault="003D51DE">
      <w:pPr>
        <w:pStyle w:val="a3"/>
        <w:spacing w:before="0" w:beforeAutospacing="0" w:after="0" w:afterAutospacing="0"/>
        <w:jc w:val="center"/>
        <w:divId w:val="813638296"/>
        <w:rPr>
          <w:sz w:val="20"/>
          <w:szCs w:val="20"/>
        </w:rPr>
      </w:pPr>
      <w:r>
        <w:rPr>
          <w:sz w:val="19"/>
          <w:szCs w:val="19"/>
        </w:rPr>
        <w:t>2</w:t>
      </w:r>
      <w:r>
        <w:rPr>
          <w:sz w:val="19"/>
          <w:szCs w:val="19"/>
        </w:rPr>
        <w:t>6</w:t>
      </w:r>
    </w:p>
    <w:p w:rsidR="00000000" w:rsidRDefault="003D51DE">
      <w:pPr>
        <w:divId w:val="813638296"/>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3D51DE">
      <w:pPr>
        <w:pStyle w:val="a3"/>
        <w:spacing w:before="0" w:beforeAutospacing="0" w:after="0" w:afterAutospacing="0"/>
        <w:divId w:val="813638296"/>
        <w:rPr>
          <w:sz w:val="20"/>
          <w:szCs w:val="20"/>
        </w:rPr>
      </w:pPr>
      <w:r>
        <w:rPr>
          <w:sz w:val="20"/>
          <w:szCs w:val="20"/>
        </w:rPr>
        <w:t> </w:t>
      </w:r>
    </w:p>
    <w:p w:rsidR="00000000" w:rsidRDefault="003D51DE">
      <w:pPr>
        <w:pStyle w:val="a3"/>
        <w:spacing w:before="180" w:beforeAutospacing="0" w:after="80" w:afterAutospacing="0"/>
        <w:ind w:firstLine="702"/>
        <w:jc w:val="both"/>
        <w:divId w:val="244539086"/>
        <w:rPr>
          <w:sz w:val="20"/>
          <w:szCs w:val="20"/>
        </w:rPr>
      </w:pPr>
      <w:r>
        <w:rPr>
          <w:sz w:val="19"/>
          <w:szCs w:val="19"/>
        </w:rPr>
        <w:t>At December 31, 2021, the Company’s investments were categorized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
        <w:gridCol w:w="110"/>
        <w:gridCol w:w="2123"/>
        <w:gridCol w:w="110"/>
        <w:gridCol w:w="160"/>
        <w:gridCol w:w="1060"/>
        <w:gridCol w:w="110"/>
        <w:gridCol w:w="110"/>
        <w:gridCol w:w="160"/>
        <w:gridCol w:w="960"/>
        <w:gridCol w:w="110"/>
        <w:gridCol w:w="110"/>
        <w:gridCol w:w="160"/>
        <w:gridCol w:w="960"/>
        <w:gridCol w:w="110"/>
        <w:gridCol w:w="110"/>
        <w:gridCol w:w="160"/>
        <w:gridCol w:w="1060"/>
        <w:gridCol w:w="125"/>
      </w:tblGrid>
      <w:tr w:rsidR="00000000">
        <w:trPr>
          <w:divId w:val="244539086"/>
          <w:tblCellSpacing w:w="15" w:type="dxa"/>
        </w:trPr>
        <w:tc>
          <w:tcPr>
            <w:tcW w:w="47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183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2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244539086"/>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Basis for Determining 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244539086"/>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1</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Quoted prices in active markets for identical asset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44539086"/>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Other direct and indirect observable market input</w:t>
            </w:r>
            <w:r>
              <w:rPr>
                <w:sz w:val="20"/>
                <w:szCs w:val="20"/>
              </w:rPr>
              <w:t>s</w:t>
            </w:r>
            <w:r>
              <w:rPr>
                <w:sz w:val="13"/>
                <w:szCs w:val="13"/>
              </w:rPr>
              <w:t>(3</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27,535,26</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27,535,26</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44539086"/>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3</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rPr>
                <w:sz w:val="20"/>
                <w:szCs w:val="20"/>
              </w:rPr>
            </w:pPr>
            <w:r>
              <w:rPr>
                <w:sz w:val="20"/>
                <w:szCs w:val="20"/>
              </w:rPr>
              <w:t>Valuation sources that employ significant unobservable input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483,970,60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525,028,73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44539086"/>
          <w:trHeight w:val="200"/>
          <w:tblCellSpacing w:w="15" w:type="dxa"/>
        </w:trPr>
        <w:tc>
          <w:tcPr>
            <w:tcW w:w="0" w:type="auto"/>
            <w:hideMark/>
          </w:tcPr>
          <w:p w:rsidR="00000000" w:rsidRDefault="003D51DE">
            <w:pPr>
              <w:pStyle w:val="a3"/>
              <w:spacing w:before="0" w:beforeAutospacing="0" w:after="0" w:afterAutospacing="0"/>
              <w:jc w:val="center"/>
              <w:rPr>
                <w:sz w:val="20"/>
                <w:szCs w:val="20"/>
              </w:rPr>
            </w:pPr>
            <w:r>
              <w:rPr>
                <w:sz w:val="20"/>
                <w:szCs w:val="20"/>
              </w:rPr>
              <w:t>Tota</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511,505,86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28,568,87</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12,489,25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244539086"/>
        <w:rPr>
          <w:sz w:val="20"/>
          <w:szCs w:val="20"/>
        </w:rPr>
      </w:pPr>
      <w:r>
        <w:rPr>
          <w:sz w:val="20"/>
          <w:szCs w:val="20"/>
        </w:rPr>
        <w:t> </w:t>
      </w:r>
    </w:p>
    <w:p w:rsidR="00000000" w:rsidRDefault="003D51DE">
      <w:pPr>
        <w:jc w:val="both"/>
        <w:divId w:val="1515416143"/>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383358540"/>
        <w:rPr>
          <w:rFonts w:eastAsia="Times New Roman"/>
          <w:sz w:val="20"/>
          <w:szCs w:val="20"/>
        </w:rPr>
      </w:pPr>
      <w:r>
        <w:rPr>
          <w:rFonts w:eastAsia="Times New Roman"/>
          <w:sz w:val="15"/>
          <w:szCs w:val="15"/>
        </w:rPr>
        <w:t>Includes senior secured loans</w:t>
      </w:r>
      <w:r>
        <w:rPr>
          <w:rFonts w:eastAsia="Times New Roman"/>
          <w:sz w:val="15"/>
          <w:szCs w:val="15"/>
        </w:rPr>
        <w:t>.</w:t>
      </w:r>
    </w:p>
    <w:p w:rsidR="00000000" w:rsidRDefault="003D51DE">
      <w:pPr>
        <w:jc w:val="both"/>
        <w:divId w:val="1352872518"/>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1902212463"/>
        <w:rPr>
          <w:rFonts w:eastAsia="Times New Roman"/>
          <w:sz w:val="20"/>
          <w:szCs w:val="20"/>
        </w:rPr>
      </w:pPr>
      <w:r>
        <w:rPr>
          <w:rFonts w:eastAsia="Times New Roman"/>
          <w:sz w:val="15"/>
          <w:szCs w:val="15"/>
        </w:rPr>
        <w:t>Includes senior secured notes, unsecured debt and subordinated debt</w:t>
      </w:r>
      <w:r>
        <w:rPr>
          <w:rFonts w:eastAsia="Times New Roman"/>
          <w:sz w:val="15"/>
          <w:szCs w:val="15"/>
        </w:rPr>
        <w:t>.</w:t>
      </w:r>
    </w:p>
    <w:p w:rsidR="00000000" w:rsidRDefault="003D51DE">
      <w:pPr>
        <w:jc w:val="both"/>
        <w:divId w:val="930889349"/>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3D51DE">
      <w:pPr>
        <w:jc w:val="both"/>
        <w:divId w:val="738863048"/>
        <w:rPr>
          <w:rFonts w:eastAsia="Times New Roman"/>
          <w:sz w:val="20"/>
          <w:szCs w:val="20"/>
        </w:rPr>
      </w:pPr>
      <w:r>
        <w:rPr>
          <w:rFonts w:eastAsia="Times New Roman"/>
          <w:sz w:val="15"/>
          <w:szCs w:val="15"/>
        </w:rPr>
        <w:t>For example, quoted prices in inactive markets or quotes for comparable investments</w:t>
      </w:r>
      <w:r>
        <w:rPr>
          <w:rFonts w:eastAsia="Times New Roman"/>
          <w:sz w:val="15"/>
          <w:szCs w:val="15"/>
        </w:rPr>
        <w:t>.</w:t>
      </w:r>
    </w:p>
    <w:p w:rsidR="00000000" w:rsidRDefault="003D51DE">
      <w:pPr>
        <w:pStyle w:val="a3"/>
        <w:spacing w:before="180" w:beforeAutospacing="0" w:after="160" w:afterAutospacing="0"/>
        <w:ind w:firstLine="702"/>
        <w:jc w:val="both"/>
        <w:divId w:val="1410690707"/>
        <w:rPr>
          <w:sz w:val="20"/>
          <w:szCs w:val="20"/>
        </w:rPr>
      </w:pPr>
      <w:r>
        <w:rPr>
          <w:sz w:val="19"/>
          <w:szCs w:val="19"/>
        </w:rPr>
        <w:t>Unobservable inputs used in the fair value measurement of Level</w:t>
      </w:r>
      <w:r>
        <w:rPr>
          <w:sz w:val="19"/>
          <w:szCs w:val="19"/>
        </w:rPr>
        <w:t xml:space="preserve"> 3 investments as of December 31, 2021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37"/>
        <w:gridCol w:w="105"/>
        <w:gridCol w:w="150"/>
        <w:gridCol w:w="960"/>
        <w:gridCol w:w="105"/>
        <w:gridCol w:w="105"/>
        <w:gridCol w:w="1762"/>
        <w:gridCol w:w="105"/>
        <w:gridCol w:w="1815"/>
        <w:gridCol w:w="105"/>
        <w:gridCol w:w="1857"/>
      </w:tblGrid>
      <w:tr w:rsidR="00000000">
        <w:trPr>
          <w:divId w:val="1410690707"/>
          <w:tblCellSpacing w:w="15" w:type="dxa"/>
        </w:trPr>
        <w:tc>
          <w:tcPr>
            <w:tcW w:w="76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4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73" w:type="pct"/>
            <w:vAlign w:val="center"/>
            <w:hideMark/>
          </w:tcPr>
          <w:p w:rsidR="00000000" w:rsidRDefault="003D51DE">
            <w:pPr>
              <w:rPr>
                <w:rFonts w:eastAsia="Times New Roman"/>
                <w:sz w:val="20"/>
                <w:szCs w:val="20"/>
              </w:rPr>
            </w:pPr>
          </w:p>
        </w:tc>
      </w:tr>
      <w:tr w:rsidR="00000000">
        <w:trPr>
          <w:divId w:val="1410690707"/>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Asset Typ</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Valuation Techniqu</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Unobservable Inpu</w:t>
            </w:r>
            <w:r>
              <w:rPr>
                <w:b/>
                <w:bCs/>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b/>
                <w:bCs/>
                <w:sz w:val="16"/>
                <w:szCs w:val="16"/>
              </w:rPr>
              <w:t>Weighted Average Range(1) (Concluded Value)(2</w:t>
            </w:r>
            <w:r>
              <w:rPr>
                <w:b/>
                <w:bCs/>
                <w:sz w:val="16"/>
                <w:szCs w:val="16"/>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Bank Deb</w:t>
            </w:r>
            <w:r>
              <w:rPr>
                <w:sz w:val="18"/>
                <w:szCs w:val="18"/>
              </w:rPr>
              <w:t>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428,335,95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18"/>
                <w:szCs w:val="18"/>
              </w:rPr>
              <w:t>9.</w:t>
            </w:r>
            <w:r>
              <w:rPr>
                <w:sz w:val="18"/>
                <w:szCs w:val="18"/>
              </w:rPr>
              <w:t>0</w:t>
            </w:r>
            <w:r>
              <w:rPr>
                <w:sz w:val="18"/>
                <w:szCs w:val="18"/>
              </w:rPr>
              <w:t>% -</w:t>
            </w:r>
            <w:r>
              <w:rPr>
                <w:sz w:val="18"/>
                <w:szCs w:val="18"/>
              </w:rPr>
              <w:t xml:space="preserve"> </w:t>
            </w:r>
            <w:r>
              <w:rPr>
                <w:sz w:val="18"/>
                <w:szCs w:val="18"/>
              </w:rPr>
              <w:t>9.</w:t>
            </w:r>
            <w:r>
              <w:rPr>
                <w:sz w:val="18"/>
                <w:szCs w:val="18"/>
              </w:rPr>
              <w:t>6</w:t>
            </w:r>
            <w:r>
              <w:rPr>
                <w:sz w:val="18"/>
                <w:szCs w:val="18"/>
              </w:rPr>
              <w:t xml:space="preserve">% </w:t>
            </w:r>
            <w:r>
              <w:rPr>
                <w:sz w:val="18"/>
                <w:szCs w:val="18"/>
              </w:rPr>
              <w:t>(</w:t>
            </w:r>
            <w:r>
              <w:rPr>
                <w:sz w:val="18"/>
                <w:szCs w:val="18"/>
              </w:rPr>
              <w:t>9.</w:t>
            </w:r>
            <w:r>
              <w:rPr>
                <w:sz w:val="18"/>
                <w:szCs w:val="18"/>
              </w:rPr>
              <w:t>3</w:t>
            </w:r>
            <w:r>
              <w:rPr>
                <w:sz w:val="18"/>
                <w:szCs w:val="18"/>
              </w:rPr>
              <w:t>%</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50,067,28</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Indicative quote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3,134,16</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1.</w:t>
            </w:r>
            <w:r>
              <w:rPr>
                <w:sz w:val="18"/>
                <w:szCs w:val="18"/>
              </w:rPr>
              <w:t>0</w:t>
            </w:r>
            <w:r>
              <w:rPr>
                <w:sz w:val="18"/>
                <w:szCs w:val="18"/>
              </w:rPr>
              <w:t>x -</w:t>
            </w:r>
            <w:r>
              <w:rPr>
                <w:sz w:val="18"/>
                <w:szCs w:val="18"/>
              </w:rPr>
              <w:t xml:space="preserve"> </w:t>
            </w:r>
            <w:r>
              <w:rPr>
                <w:sz w:val="18"/>
                <w:szCs w:val="18"/>
              </w:rPr>
              <w:t>1.</w:t>
            </w:r>
            <w:r>
              <w:rPr>
                <w:sz w:val="18"/>
                <w:szCs w:val="18"/>
              </w:rPr>
              <w:t>2</w:t>
            </w:r>
            <w:r>
              <w:rPr>
                <w:sz w:val="18"/>
                <w:szCs w:val="18"/>
              </w:rPr>
              <w:t xml:space="preserve">x </w:t>
            </w:r>
            <w:r>
              <w:rPr>
                <w:sz w:val="18"/>
                <w:szCs w:val="18"/>
              </w:rPr>
              <w:t>(</w:t>
            </w:r>
            <w:r>
              <w:rPr>
                <w:sz w:val="18"/>
                <w:szCs w:val="18"/>
              </w:rPr>
              <w:t>1.</w:t>
            </w:r>
            <w:r>
              <w:rPr>
                <w:sz w:val="18"/>
                <w:szCs w:val="18"/>
              </w:rPr>
              <w:t>1</w:t>
            </w:r>
            <w:r>
              <w:rPr>
                <w:sz w:val="18"/>
                <w:szCs w:val="18"/>
              </w:rPr>
              <w:t>x</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2,433,19</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Revenue multipl</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4.</w:t>
            </w:r>
            <w:r>
              <w:rPr>
                <w:sz w:val="18"/>
                <w:szCs w:val="18"/>
              </w:rPr>
              <w:t>5</w:t>
            </w:r>
            <w:r>
              <w:rPr>
                <w:sz w:val="18"/>
                <w:szCs w:val="18"/>
              </w:rPr>
              <w:t>x -</w:t>
            </w:r>
            <w:r>
              <w:rPr>
                <w:sz w:val="18"/>
                <w:szCs w:val="18"/>
              </w:rPr>
              <w:t xml:space="preserve"> </w:t>
            </w:r>
            <w:r>
              <w:rPr>
                <w:sz w:val="18"/>
                <w:szCs w:val="18"/>
              </w:rPr>
              <w:t>5.</w:t>
            </w:r>
            <w:r>
              <w:rPr>
                <w:sz w:val="18"/>
                <w:szCs w:val="18"/>
              </w:rPr>
              <w:t>0</w:t>
            </w:r>
            <w:r>
              <w:rPr>
                <w:sz w:val="18"/>
                <w:szCs w:val="18"/>
              </w:rPr>
              <w:t xml:space="preserve">x </w:t>
            </w:r>
            <w:r>
              <w:rPr>
                <w:sz w:val="18"/>
                <w:szCs w:val="18"/>
              </w:rPr>
              <w:t>(</w:t>
            </w:r>
            <w:r>
              <w:rPr>
                <w:sz w:val="18"/>
                <w:szCs w:val="18"/>
              </w:rPr>
              <w:t>4.</w:t>
            </w:r>
            <w:r>
              <w:rPr>
                <w:sz w:val="18"/>
                <w:szCs w:val="18"/>
              </w:rPr>
              <w:t>8</w:t>
            </w:r>
            <w:r>
              <w:rPr>
                <w:sz w:val="18"/>
                <w:szCs w:val="18"/>
              </w:rPr>
              <w:t>x</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60.</w:t>
            </w:r>
            <w:r>
              <w:rPr>
                <w:sz w:val="18"/>
                <w:szCs w:val="18"/>
              </w:rPr>
              <w:t>0</w:t>
            </w:r>
            <w:r>
              <w:rPr>
                <w:sz w:val="18"/>
                <w:szCs w:val="18"/>
              </w:rPr>
              <w:t>% -</w:t>
            </w:r>
            <w:r>
              <w:rPr>
                <w:sz w:val="18"/>
                <w:szCs w:val="18"/>
              </w:rPr>
              <w:t xml:space="preserve"> </w:t>
            </w:r>
            <w:r>
              <w:rPr>
                <w:sz w:val="18"/>
                <w:szCs w:val="18"/>
              </w:rPr>
              <w:t>70.</w:t>
            </w:r>
            <w:r>
              <w:rPr>
                <w:sz w:val="18"/>
                <w:szCs w:val="18"/>
              </w:rPr>
              <w:t>0</w:t>
            </w:r>
            <w:r>
              <w:rPr>
                <w:sz w:val="18"/>
                <w:szCs w:val="18"/>
              </w:rPr>
              <w:t xml:space="preserve">% </w:t>
            </w:r>
            <w:r>
              <w:rPr>
                <w:sz w:val="18"/>
                <w:szCs w:val="18"/>
              </w:rPr>
              <w:t>(</w:t>
            </w:r>
            <w:r>
              <w:rPr>
                <w:sz w:val="18"/>
                <w:szCs w:val="18"/>
              </w:rPr>
              <w:t>65.</w:t>
            </w:r>
            <w:r>
              <w:rPr>
                <w:sz w:val="18"/>
                <w:szCs w:val="18"/>
              </w:rPr>
              <w:t>0</w:t>
            </w:r>
            <w:r>
              <w:rPr>
                <w:sz w:val="18"/>
                <w:szCs w:val="18"/>
              </w:rPr>
              <w:t>%</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2.</w:t>
            </w:r>
            <w:r>
              <w:rPr>
                <w:sz w:val="18"/>
                <w:szCs w:val="18"/>
              </w:rPr>
              <w:t>8</w:t>
            </w:r>
            <w:r>
              <w:rPr>
                <w:sz w:val="18"/>
                <w:szCs w:val="18"/>
              </w:rPr>
              <w:t> years -</w:t>
            </w:r>
            <w:r>
              <w:rPr>
                <w:sz w:val="18"/>
                <w:szCs w:val="18"/>
              </w:rPr>
              <w:t xml:space="preserve"> </w:t>
            </w:r>
            <w:r>
              <w:rPr>
                <w:sz w:val="18"/>
                <w:szCs w:val="18"/>
              </w:rPr>
              <w:t>3.</w:t>
            </w:r>
            <w:r>
              <w:rPr>
                <w:sz w:val="18"/>
                <w:szCs w:val="18"/>
              </w:rPr>
              <w:t>8</w:t>
            </w:r>
            <w:r>
              <w:rPr>
                <w:sz w:val="18"/>
                <w:szCs w:val="18"/>
              </w:rPr>
              <w:t xml:space="preserve"> years </w:t>
            </w:r>
            <w:r>
              <w:rPr>
                <w:sz w:val="18"/>
                <w:szCs w:val="18"/>
              </w:rPr>
              <w:t>(</w:t>
            </w:r>
            <w:r>
              <w:rPr>
                <w:sz w:val="18"/>
                <w:szCs w:val="18"/>
              </w:rPr>
              <w:t>3.</w:t>
            </w:r>
            <w:r>
              <w:rPr>
                <w:sz w:val="18"/>
                <w:szCs w:val="18"/>
              </w:rPr>
              <w:t>3</w:t>
            </w:r>
            <w:r>
              <w:rPr>
                <w:sz w:val="18"/>
                <w:szCs w:val="18"/>
              </w:rPr>
              <w:t> years</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Other Corporate Deb</w:t>
            </w:r>
            <w:r>
              <w:rPr>
                <w:sz w:val="18"/>
                <w:szCs w:val="18"/>
              </w:rPr>
              <w:t>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27,916,63</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Income approac</w:t>
            </w:r>
            <w:r>
              <w:rPr>
                <w:sz w:val="18"/>
                <w:szCs w:val="18"/>
              </w:rPr>
              <w:t>h</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Discount rat</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11.</w:t>
            </w:r>
            <w:r>
              <w:rPr>
                <w:sz w:val="18"/>
                <w:szCs w:val="18"/>
              </w:rPr>
              <w:t>3</w:t>
            </w:r>
            <w:r>
              <w:rPr>
                <w:sz w:val="18"/>
                <w:szCs w:val="18"/>
              </w:rPr>
              <w:t>% -</w:t>
            </w:r>
            <w:r>
              <w:rPr>
                <w:sz w:val="18"/>
                <w:szCs w:val="18"/>
              </w:rPr>
              <w:t xml:space="preserve"> </w:t>
            </w:r>
            <w:r>
              <w:rPr>
                <w:sz w:val="18"/>
                <w:szCs w:val="18"/>
              </w:rPr>
              <w:t>12.</w:t>
            </w:r>
            <w:r>
              <w:rPr>
                <w:sz w:val="18"/>
                <w:szCs w:val="18"/>
              </w:rPr>
              <w:t>9</w:t>
            </w:r>
            <w:r>
              <w:rPr>
                <w:sz w:val="18"/>
                <w:szCs w:val="18"/>
              </w:rPr>
              <w:t xml:space="preserve">% </w:t>
            </w:r>
            <w:r>
              <w:rPr>
                <w:sz w:val="18"/>
                <w:szCs w:val="18"/>
              </w:rPr>
              <w:t>(</w:t>
            </w:r>
            <w:r>
              <w:rPr>
                <w:sz w:val="18"/>
                <w:szCs w:val="18"/>
              </w:rPr>
              <w:t>12.</w:t>
            </w:r>
            <w:r>
              <w:rPr>
                <w:sz w:val="18"/>
                <w:szCs w:val="18"/>
              </w:rPr>
              <w:t>1</w:t>
            </w:r>
            <w:r>
              <w:rPr>
                <w:sz w:val="18"/>
                <w:szCs w:val="18"/>
              </w:rPr>
              <w:t>%</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652,23</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0.</w:t>
            </w:r>
            <w:r>
              <w:rPr>
                <w:sz w:val="18"/>
                <w:szCs w:val="18"/>
              </w:rPr>
              <w:t>2</w:t>
            </w:r>
            <w:r>
              <w:rPr>
                <w:sz w:val="18"/>
                <w:szCs w:val="18"/>
              </w:rPr>
              <w:t>x -</w:t>
            </w:r>
            <w:r>
              <w:rPr>
                <w:sz w:val="18"/>
                <w:szCs w:val="18"/>
              </w:rPr>
              <w:t xml:space="preserve"> </w:t>
            </w:r>
            <w:r>
              <w:rPr>
                <w:sz w:val="18"/>
                <w:szCs w:val="18"/>
              </w:rPr>
              <w:t>0.</w:t>
            </w:r>
            <w:r>
              <w:rPr>
                <w:sz w:val="18"/>
                <w:szCs w:val="18"/>
              </w:rPr>
              <w:t>2</w:t>
            </w:r>
            <w:r>
              <w:rPr>
                <w:sz w:val="18"/>
                <w:szCs w:val="18"/>
              </w:rPr>
              <w:t xml:space="preserve">x </w:t>
            </w:r>
            <w:r>
              <w:rPr>
                <w:sz w:val="18"/>
                <w:szCs w:val="18"/>
              </w:rPr>
              <w:t>(</w:t>
            </w:r>
            <w:r>
              <w:rPr>
                <w:sz w:val="18"/>
                <w:szCs w:val="18"/>
              </w:rPr>
              <w:t>0.</w:t>
            </w:r>
            <w:r>
              <w:rPr>
                <w:sz w:val="18"/>
                <w:szCs w:val="18"/>
              </w:rPr>
              <w:t>2</w:t>
            </w:r>
            <w:r>
              <w:rPr>
                <w:sz w:val="18"/>
                <w:szCs w:val="18"/>
              </w:rPr>
              <w:t>x</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Equit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2,333,25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Option Pricing Mode</w:t>
            </w:r>
            <w:r>
              <w:rPr>
                <w:sz w:val="18"/>
                <w:szCs w:val="18"/>
              </w:rPr>
              <w:t>l</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EBITDA/Revenue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4.</w:t>
            </w:r>
            <w:r>
              <w:rPr>
                <w:sz w:val="18"/>
                <w:szCs w:val="18"/>
              </w:rPr>
              <w:t>7</w:t>
            </w:r>
            <w:r>
              <w:rPr>
                <w:sz w:val="18"/>
                <w:szCs w:val="18"/>
              </w:rPr>
              <w:t>x -</w:t>
            </w:r>
            <w:r>
              <w:rPr>
                <w:sz w:val="18"/>
                <w:szCs w:val="18"/>
              </w:rPr>
              <w:t xml:space="preserve"> </w:t>
            </w:r>
            <w:r>
              <w:rPr>
                <w:sz w:val="18"/>
                <w:szCs w:val="18"/>
              </w:rPr>
              <w:t>5.</w:t>
            </w:r>
            <w:r>
              <w:rPr>
                <w:sz w:val="18"/>
                <w:szCs w:val="18"/>
              </w:rPr>
              <w:t>2</w:t>
            </w:r>
            <w:r>
              <w:rPr>
                <w:sz w:val="18"/>
                <w:szCs w:val="18"/>
              </w:rPr>
              <w:t xml:space="preserve">x </w:t>
            </w:r>
            <w:r>
              <w:rPr>
                <w:sz w:val="18"/>
                <w:szCs w:val="18"/>
              </w:rPr>
              <w:t>(</w:t>
            </w:r>
            <w:r>
              <w:rPr>
                <w:sz w:val="18"/>
                <w:szCs w:val="18"/>
              </w:rPr>
              <w:t>4.</w:t>
            </w:r>
            <w:r>
              <w:rPr>
                <w:sz w:val="18"/>
                <w:szCs w:val="18"/>
              </w:rPr>
              <w:t>9</w:t>
            </w:r>
            <w:r>
              <w:rPr>
                <w:sz w:val="18"/>
                <w:szCs w:val="18"/>
              </w:rPr>
              <w:t>x</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Implied volatilit</w:t>
            </w:r>
            <w:r>
              <w:rPr>
                <w:sz w:val="18"/>
                <w:szCs w:val="18"/>
              </w:rPr>
              <w:t>y</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57.</w:t>
            </w:r>
            <w:r>
              <w:rPr>
                <w:sz w:val="18"/>
                <w:szCs w:val="18"/>
              </w:rPr>
              <w:t>3</w:t>
            </w:r>
            <w:r>
              <w:rPr>
                <w:sz w:val="18"/>
                <w:szCs w:val="18"/>
              </w:rPr>
              <w:t>% -</w:t>
            </w:r>
            <w:r>
              <w:rPr>
                <w:sz w:val="18"/>
                <w:szCs w:val="18"/>
              </w:rPr>
              <w:t xml:space="preserve"> </w:t>
            </w:r>
            <w:r>
              <w:rPr>
                <w:sz w:val="18"/>
                <w:szCs w:val="18"/>
              </w:rPr>
              <w:t>67.</w:t>
            </w:r>
            <w:r>
              <w:rPr>
                <w:sz w:val="18"/>
                <w:szCs w:val="18"/>
              </w:rPr>
              <w:t>0</w:t>
            </w:r>
            <w:r>
              <w:rPr>
                <w:sz w:val="18"/>
                <w:szCs w:val="18"/>
              </w:rPr>
              <w:t xml:space="preserve">% </w:t>
            </w:r>
            <w:r>
              <w:rPr>
                <w:sz w:val="18"/>
                <w:szCs w:val="18"/>
              </w:rPr>
              <w:t>(</w:t>
            </w:r>
            <w:r>
              <w:rPr>
                <w:sz w:val="18"/>
                <w:szCs w:val="18"/>
              </w:rPr>
              <w:t>62.</w:t>
            </w:r>
            <w:r>
              <w:rPr>
                <w:sz w:val="18"/>
                <w:szCs w:val="18"/>
              </w:rPr>
              <w:t>1</w:t>
            </w:r>
            <w:r>
              <w:rPr>
                <w:sz w:val="18"/>
                <w:szCs w:val="18"/>
              </w:rPr>
              <w:t>%</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Ter</w:t>
            </w:r>
            <w:r>
              <w:rPr>
                <w:sz w:val="18"/>
                <w:szCs w:val="18"/>
              </w:rPr>
              <w:t>m</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2.</w:t>
            </w:r>
            <w:r>
              <w:rPr>
                <w:sz w:val="18"/>
                <w:szCs w:val="18"/>
              </w:rPr>
              <w:t>6</w:t>
            </w:r>
            <w:r>
              <w:rPr>
                <w:sz w:val="18"/>
                <w:szCs w:val="18"/>
              </w:rPr>
              <w:t> years -</w:t>
            </w:r>
            <w:r>
              <w:rPr>
                <w:sz w:val="18"/>
                <w:szCs w:val="18"/>
              </w:rPr>
              <w:t xml:space="preserve"> </w:t>
            </w:r>
            <w:r>
              <w:rPr>
                <w:sz w:val="18"/>
                <w:szCs w:val="18"/>
              </w:rPr>
              <w:t>3.</w:t>
            </w:r>
            <w:r>
              <w:rPr>
                <w:sz w:val="18"/>
                <w:szCs w:val="18"/>
              </w:rPr>
              <w:t>6</w:t>
            </w:r>
            <w:r>
              <w:rPr>
                <w:sz w:val="18"/>
                <w:szCs w:val="18"/>
              </w:rPr>
              <w:t xml:space="preserve"> years </w:t>
            </w:r>
            <w:r>
              <w:rPr>
                <w:sz w:val="18"/>
                <w:szCs w:val="18"/>
              </w:rPr>
              <w:t>(</w:t>
            </w:r>
            <w:r>
              <w:rPr>
                <w:sz w:val="18"/>
                <w:szCs w:val="18"/>
              </w:rPr>
              <w:t>3.1</w:t>
            </w:r>
            <w:r>
              <w:rPr>
                <w:sz w:val="18"/>
                <w:szCs w:val="18"/>
              </w:rPr>
              <w:t xml:space="preserve"> </w:t>
            </w:r>
            <w:r>
              <w:rPr>
                <w:sz w:val="18"/>
                <w:szCs w:val="18"/>
              </w:rPr>
              <w:t>years</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7,475,57</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EBITDA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5.</w:t>
            </w:r>
            <w:r>
              <w:rPr>
                <w:sz w:val="18"/>
                <w:szCs w:val="18"/>
              </w:rPr>
              <w:t>2</w:t>
            </w:r>
            <w:r>
              <w:rPr>
                <w:sz w:val="18"/>
                <w:szCs w:val="18"/>
              </w:rPr>
              <w:t>x -</w:t>
            </w:r>
            <w:r>
              <w:rPr>
                <w:sz w:val="18"/>
                <w:szCs w:val="18"/>
              </w:rPr>
              <w:t xml:space="preserve"> </w:t>
            </w:r>
            <w:r>
              <w:rPr>
                <w:sz w:val="18"/>
                <w:szCs w:val="18"/>
              </w:rPr>
              <w:t>5.</w:t>
            </w:r>
            <w:r>
              <w:rPr>
                <w:sz w:val="18"/>
                <w:szCs w:val="18"/>
              </w:rPr>
              <w:t>6</w:t>
            </w:r>
            <w:r>
              <w:rPr>
                <w:sz w:val="18"/>
                <w:szCs w:val="18"/>
              </w:rPr>
              <w:t xml:space="preserve">x </w:t>
            </w:r>
            <w:r>
              <w:rPr>
                <w:sz w:val="18"/>
                <w:szCs w:val="18"/>
              </w:rPr>
              <w:t>(</w:t>
            </w:r>
            <w:r>
              <w:rPr>
                <w:sz w:val="18"/>
                <w:szCs w:val="18"/>
              </w:rPr>
              <w:t>5.</w:t>
            </w:r>
            <w:r>
              <w:rPr>
                <w:sz w:val="18"/>
                <w:szCs w:val="18"/>
              </w:rPr>
              <w:t>4</w:t>
            </w:r>
            <w:r>
              <w:rPr>
                <w:sz w:val="18"/>
                <w:szCs w:val="18"/>
              </w:rPr>
              <w:t>x</w:t>
            </w:r>
            <w:r>
              <w:rPr>
                <w:sz w:val="18"/>
                <w:szCs w:val="18"/>
              </w:rPr>
              <w:t>)</w:t>
            </w:r>
          </w:p>
        </w:tc>
      </w:tr>
      <w:tr w:rsidR="00000000">
        <w:trPr>
          <w:divId w:val="141069070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2,428,68</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Market quotation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18"/>
                <w:szCs w:val="18"/>
              </w:rPr>
            </w:pPr>
            <w:r>
              <w:rPr>
                <w:sz w:val="18"/>
                <w:szCs w:val="18"/>
              </w:rPr>
              <w:t>Indicative bid/ask quote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1</w:t>
            </w:r>
            <w:r>
              <w:rPr>
                <w:sz w:val="18"/>
                <w:szCs w:val="18"/>
              </w:rPr>
              <w:t> </w:t>
            </w:r>
            <w:r>
              <w:rPr>
                <w:sz w:val="18"/>
                <w:szCs w:val="18"/>
              </w:rPr>
              <w:t>(</w:t>
            </w:r>
            <w:r>
              <w:rPr>
                <w:sz w:val="18"/>
                <w:szCs w:val="18"/>
              </w:rPr>
              <w:t>1</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251,73</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Market comparable companie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Revenue multiple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rPr>
                <w:sz w:val="20"/>
                <w:szCs w:val="20"/>
              </w:rPr>
            </w:pPr>
            <w:r>
              <w:rPr>
                <w:sz w:val="18"/>
                <w:szCs w:val="18"/>
              </w:rPr>
              <w:t>0.</w:t>
            </w:r>
            <w:r>
              <w:rPr>
                <w:sz w:val="18"/>
                <w:szCs w:val="18"/>
              </w:rPr>
              <w:t>6</w:t>
            </w:r>
            <w:r>
              <w:rPr>
                <w:sz w:val="18"/>
                <w:szCs w:val="18"/>
              </w:rPr>
              <w:t>x -</w:t>
            </w:r>
            <w:r>
              <w:rPr>
                <w:sz w:val="18"/>
                <w:szCs w:val="18"/>
              </w:rPr>
              <w:t xml:space="preserve"> </w:t>
            </w:r>
            <w:r>
              <w:rPr>
                <w:sz w:val="18"/>
                <w:szCs w:val="18"/>
              </w:rPr>
              <w:t>0.</w:t>
            </w:r>
            <w:r>
              <w:rPr>
                <w:sz w:val="18"/>
                <w:szCs w:val="18"/>
              </w:rPr>
              <w:t>8</w:t>
            </w:r>
            <w:r>
              <w:rPr>
                <w:sz w:val="18"/>
                <w:szCs w:val="18"/>
              </w:rPr>
              <w:t xml:space="preserve">x </w:t>
            </w:r>
            <w:r>
              <w:rPr>
                <w:sz w:val="18"/>
                <w:szCs w:val="18"/>
              </w:rPr>
              <w:t>(</w:t>
            </w:r>
            <w:r>
              <w:rPr>
                <w:sz w:val="18"/>
                <w:szCs w:val="18"/>
              </w:rPr>
              <w:t>0.</w:t>
            </w:r>
            <w:r>
              <w:rPr>
                <w:sz w:val="18"/>
                <w:szCs w:val="18"/>
              </w:rPr>
              <w:t>7</w:t>
            </w:r>
            <w:r>
              <w:rPr>
                <w:sz w:val="18"/>
                <w:szCs w:val="18"/>
              </w:rPr>
              <w:t>x</w:t>
            </w:r>
            <w:r>
              <w:rPr>
                <w:sz w:val="18"/>
                <w:szCs w:val="18"/>
              </w:rPr>
              <w:t>)</w:t>
            </w:r>
          </w:p>
        </w:tc>
      </w:tr>
      <w:tr w:rsidR="00000000">
        <w:trPr>
          <w:divId w:val="141069070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525,028,73</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pBdr>
          <w:bottom w:val="single" w:sz="4" w:space="1" w:color="auto"/>
        </w:pBdr>
        <w:spacing w:before="0" w:beforeAutospacing="0" w:after="0" w:afterAutospacing="0"/>
        <w:ind w:right="8691"/>
        <w:divId w:val="1410690707"/>
        <w:rPr>
          <w:sz w:val="20"/>
          <w:szCs w:val="20"/>
        </w:rPr>
      </w:pPr>
      <w:r>
        <w:rPr>
          <w:sz w:val="20"/>
          <w:szCs w:val="20"/>
        </w:rPr>
        <w:t> </w:t>
      </w:r>
    </w:p>
    <w:p w:rsidR="00000000" w:rsidRDefault="003D51DE">
      <w:pPr>
        <w:jc w:val="both"/>
        <w:divId w:val="1701542392"/>
        <w:rPr>
          <w:rFonts w:eastAsia="Times New Roman"/>
          <w:sz w:val="19"/>
          <w:szCs w:val="19"/>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010714308"/>
        <w:rPr>
          <w:rFonts w:eastAsia="Times New Roman"/>
          <w:sz w:val="19"/>
          <w:szCs w:val="19"/>
        </w:rPr>
      </w:pPr>
      <w:r>
        <w:rPr>
          <w:rFonts w:eastAsia="Times New Roman"/>
          <w:sz w:val="15"/>
          <w:szCs w:val="15"/>
        </w:rPr>
        <w:t>Representing the weighted average of each significant unobservable input range at the investment level by fair value</w:t>
      </w:r>
      <w:r>
        <w:rPr>
          <w:rFonts w:eastAsia="Times New Roman"/>
          <w:sz w:val="15"/>
          <w:szCs w:val="15"/>
        </w:rPr>
        <w:t>.</w:t>
      </w:r>
    </w:p>
    <w:p w:rsidR="00000000" w:rsidRDefault="003D51DE">
      <w:pPr>
        <w:jc w:val="both"/>
        <w:divId w:val="143010094"/>
        <w:rPr>
          <w:rFonts w:eastAsia="Times New Roman"/>
          <w:sz w:val="19"/>
          <w:szCs w:val="19"/>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1228805258"/>
        <w:rPr>
          <w:rFonts w:eastAsia="Times New Roman"/>
          <w:sz w:val="19"/>
          <w:szCs w:val="19"/>
        </w:rPr>
      </w:pPr>
      <w:r>
        <w:rPr>
          <w:rFonts w:eastAsia="Times New Roman"/>
          <w:sz w:val="15"/>
          <w:szCs w:val="15"/>
        </w:rPr>
        <w:t>Representing the weighted average of each significant unobservable input for concluded value at the investment level by fair value</w:t>
      </w:r>
      <w:r>
        <w:rPr>
          <w:rFonts w:eastAsia="Times New Roman"/>
          <w:sz w:val="15"/>
          <w:szCs w:val="15"/>
        </w:rPr>
        <w:t>.</w:t>
      </w:r>
    </w:p>
    <w:p w:rsidR="00000000" w:rsidRDefault="003D51DE">
      <w:pPr>
        <w:pStyle w:val="a3"/>
        <w:spacing w:before="0" w:beforeAutospacing="0" w:after="0" w:afterAutospacing="0"/>
        <w:jc w:val="center"/>
        <w:divId w:val="813638296"/>
        <w:rPr>
          <w:sz w:val="20"/>
          <w:szCs w:val="20"/>
        </w:rPr>
      </w:pPr>
      <w:r>
        <w:rPr>
          <w:sz w:val="20"/>
          <w:szCs w:val="20"/>
        </w:rPr>
        <w:t> </w:t>
      </w:r>
    </w:p>
    <w:p w:rsidR="00000000" w:rsidRDefault="003D51DE">
      <w:pPr>
        <w:pStyle w:val="a3"/>
        <w:spacing w:before="0" w:beforeAutospacing="0" w:after="0" w:afterAutospacing="0"/>
        <w:jc w:val="center"/>
        <w:divId w:val="813638296"/>
        <w:rPr>
          <w:sz w:val="20"/>
          <w:szCs w:val="20"/>
        </w:rPr>
      </w:pPr>
      <w:r>
        <w:rPr>
          <w:sz w:val="19"/>
          <w:szCs w:val="19"/>
        </w:rPr>
        <w:t>2</w:t>
      </w:r>
      <w:r>
        <w:rPr>
          <w:sz w:val="19"/>
          <w:szCs w:val="19"/>
        </w:rPr>
        <w:t>7</w:t>
      </w:r>
    </w:p>
    <w:p w:rsidR="00000000" w:rsidRDefault="003D51DE">
      <w:pPr>
        <w:divId w:val="813638296"/>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3D51DE">
      <w:pPr>
        <w:pStyle w:val="a3"/>
        <w:spacing w:before="0" w:beforeAutospacing="0" w:after="0" w:afterAutospacing="0"/>
        <w:divId w:val="813638296"/>
        <w:rPr>
          <w:sz w:val="20"/>
          <w:szCs w:val="20"/>
        </w:rPr>
      </w:pPr>
      <w:r>
        <w:rPr>
          <w:sz w:val="20"/>
          <w:szCs w:val="20"/>
        </w:rPr>
        <w:t> </w:t>
      </w:r>
    </w:p>
    <w:p w:rsidR="00000000" w:rsidRDefault="003D51DE">
      <w:pPr>
        <w:pStyle w:val="a3"/>
        <w:spacing w:before="180" w:beforeAutospacing="0" w:after="80" w:afterAutospacing="0"/>
        <w:ind w:left="595"/>
        <w:jc w:val="both"/>
        <w:divId w:val="1740325850"/>
        <w:rPr>
          <w:sz w:val="20"/>
          <w:szCs w:val="20"/>
        </w:rPr>
      </w:pPr>
      <w:r>
        <w:rPr>
          <w:sz w:val="19"/>
          <w:szCs w:val="19"/>
        </w:rPr>
        <w:t>Changes in investments categorized as Level 3 during the three months ended September 30, 2021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3"/>
        <w:gridCol w:w="110"/>
        <w:gridCol w:w="160"/>
        <w:gridCol w:w="1060"/>
        <w:gridCol w:w="127"/>
        <w:gridCol w:w="110"/>
        <w:gridCol w:w="160"/>
        <w:gridCol w:w="960"/>
        <w:gridCol w:w="110"/>
        <w:gridCol w:w="110"/>
        <w:gridCol w:w="160"/>
        <w:gridCol w:w="1027"/>
        <w:gridCol w:w="127"/>
        <w:gridCol w:w="110"/>
        <w:gridCol w:w="160"/>
        <w:gridCol w:w="1060"/>
        <w:gridCol w:w="142"/>
      </w:tblGrid>
      <w:tr w:rsidR="00000000">
        <w:trPr>
          <w:divId w:val="1740325850"/>
          <w:tblCellSpacing w:w="15" w:type="dxa"/>
        </w:trPr>
        <w:tc>
          <w:tcPr>
            <w:tcW w:w="2047"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5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740325850"/>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444,966,06</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27,875,75</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28,229,27</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501,071,09</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3,837,10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134,79</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944,23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4,916,13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63,678,28</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1,42</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5,909,91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69,589,61</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Disposition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41,380,81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25,556,36</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66,937,17</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into Level </w:t>
            </w:r>
            <w:r>
              <w:rPr>
                <w:sz w:val="20"/>
                <w:szCs w:val="20"/>
              </w:rPr>
              <w:t>3</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14,662,50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14,662,50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(3</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3,228,86</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3,228,86</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482,534,27</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28,011,96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9,527,05</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520,073,29</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 net realized and unrealized gains/losses, above</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4,527,54</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134,79</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1,305,77</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5,968,10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1740325850"/>
        <w:rPr>
          <w:sz w:val="20"/>
          <w:szCs w:val="20"/>
        </w:rPr>
      </w:pPr>
      <w:r>
        <w:rPr>
          <w:sz w:val="20"/>
          <w:szCs w:val="20"/>
        </w:rPr>
        <w:t> </w:t>
      </w:r>
    </w:p>
    <w:p w:rsidR="00000000" w:rsidRDefault="003D51DE">
      <w:pPr>
        <w:jc w:val="both"/>
        <w:divId w:val="1864200232"/>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1821845469"/>
        <w:rPr>
          <w:rFonts w:eastAsia="Times New Roman"/>
          <w:sz w:val="20"/>
          <w:szCs w:val="20"/>
        </w:rPr>
      </w:pPr>
      <w:r>
        <w:rPr>
          <w:rFonts w:eastAsia="Times New Roman"/>
          <w:sz w:val="15"/>
          <w:szCs w:val="15"/>
        </w:rPr>
        <w:t>Includes payments received in kind and accretion of original issue and market discounts, and cost basis impact of non-cash restructures</w:t>
      </w:r>
      <w:r>
        <w:rPr>
          <w:rFonts w:eastAsia="Times New Roman"/>
          <w:sz w:val="15"/>
          <w:szCs w:val="15"/>
        </w:rPr>
        <w:t>.</w:t>
      </w:r>
    </w:p>
    <w:p w:rsidR="00000000" w:rsidRDefault="003D51DE">
      <w:pPr>
        <w:jc w:val="both"/>
        <w:divId w:val="1007249947"/>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1377005661"/>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transferred from Level 2 to Level 3 due to decreased observable market activit</w:t>
      </w:r>
      <w:r>
        <w:rPr>
          <w:rFonts w:eastAsia="Times New Roman"/>
          <w:sz w:val="15"/>
          <w:szCs w:val="15"/>
        </w:rPr>
        <w:t>y</w:t>
      </w:r>
      <w:r>
        <w:rPr>
          <w:rFonts w:eastAsia="Times New Roman"/>
          <w:sz w:val="15"/>
          <w:szCs w:val="15"/>
        </w:rPr>
        <w:t>.</w:t>
      </w:r>
    </w:p>
    <w:p w:rsidR="00000000" w:rsidRDefault="003D51DE">
      <w:pPr>
        <w:jc w:val="both"/>
        <w:divId w:val="1405376036"/>
        <w:rPr>
          <w:rFonts w:eastAsia="Times New Roman"/>
          <w:sz w:val="20"/>
          <w:szCs w:val="20"/>
        </w:rPr>
      </w:pPr>
      <w:r>
        <w:rPr>
          <w:rFonts w:eastAsia="Times New Roman"/>
          <w:sz w:val="15"/>
          <w:szCs w:val="15"/>
          <w:vertAlign w:val="superscript"/>
        </w:rPr>
        <w:t>(3</w:t>
      </w:r>
      <w:r>
        <w:rPr>
          <w:rFonts w:eastAsia="Times New Roman"/>
          <w:sz w:val="15"/>
          <w:szCs w:val="15"/>
          <w:vertAlign w:val="superscript"/>
        </w:rPr>
        <w:t>)</w:t>
      </w:r>
    </w:p>
    <w:p w:rsidR="00000000" w:rsidRDefault="003D51DE">
      <w:pPr>
        <w:jc w:val="both"/>
        <w:divId w:val="671297585"/>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tw</w:t>
      </w:r>
      <w:r>
        <w:rPr>
          <w:rFonts w:eastAsia="Times New Roman"/>
          <w:sz w:val="15"/>
          <w:szCs w:val="15"/>
        </w:rPr>
        <w:t>o</w:t>
      </w:r>
      <w:r>
        <w:rPr>
          <w:rFonts w:eastAsia="Times New Roman"/>
          <w:sz w:val="15"/>
          <w:szCs w:val="15"/>
        </w:rPr>
        <w:t xml:space="preserve"> investments that were transferred from Level 3 to Level 2 due to increased observable market activity.</w:t>
      </w:r>
      <w:r>
        <w:rPr>
          <w:rFonts w:eastAsia="Times New Roman"/>
          <w:sz w:val="15"/>
          <w:szCs w:val="15"/>
        </w:rPr>
        <w:t xml:space="preserve"> </w:t>
      </w:r>
    </w:p>
    <w:p w:rsidR="00000000" w:rsidRDefault="003D51DE">
      <w:pPr>
        <w:pStyle w:val="a3"/>
        <w:spacing w:before="180" w:beforeAutospacing="0" w:after="80" w:afterAutospacing="0"/>
        <w:ind w:firstLine="702"/>
        <w:jc w:val="both"/>
        <w:divId w:val="1740325850"/>
        <w:rPr>
          <w:sz w:val="20"/>
          <w:szCs w:val="20"/>
        </w:rPr>
      </w:pPr>
      <w:r>
        <w:rPr>
          <w:sz w:val="19"/>
          <w:szCs w:val="19"/>
        </w:rPr>
        <w:t>Changes in investments categorized as Level 3 during the nine months ended September 30, 2021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2"/>
        <w:gridCol w:w="110"/>
        <w:gridCol w:w="160"/>
        <w:gridCol w:w="1060"/>
        <w:gridCol w:w="127"/>
        <w:gridCol w:w="110"/>
        <w:gridCol w:w="160"/>
        <w:gridCol w:w="1027"/>
        <w:gridCol w:w="127"/>
        <w:gridCol w:w="110"/>
        <w:gridCol w:w="160"/>
        <w:gridCol w:w="1027"/>
        <w:gridCol w:w="127"/>
        <w:gridCol w:w="110"/>
        <w:gridCol w:w="160"/>
        <w:gridCol w:w="1127"/>
        <w:gridCol w:w="142"/>
      </w:tblGrid>
      <w:tr w:rsidR="00000000">
        <w:trPr>
          <w:divId w:val="1740325850"/>
          <w:tblCellSpacing w:w="15" w:type="dxa"/>
        </w:trPr>
        <w:tc>
          <w:tcPr>
            <w:tcW w:w="2047"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5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740325850"/>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Bank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Other</w:t>
            </w:r>
            <w:r>
              <w:rPr>
                <w:b/>
                <w:bCs/>
                <w:sz w:val="16"/>
                <w:szCs w:val="16"/>
              </w:rPr>
              <w:br/>
              <w:t>Corporate Deb</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Equity</w:t>
            </w:r>
            <w:r>
              <w:rPr>
                <w:b/>
                <w:bCs/>
                <w:sz w:val="16"/>
                <w:szCs w:val="16"/>
              </w:rPr>
              <w:br/>
              <w:t>Securitie</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Beginning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353,651,55</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61,573,50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12,301,42</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427,526,48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realized and unrealized gains (losses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11,771,29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267,53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29,974,63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41,478,39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Acquisition</w:t>
            </w:r>
            <w:r>
              <w:rPr>
                <w:sz w:val="20"/>
                <w:szCs w:val="20"/>
              </w:rPr>
              <w:t>s</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205,237,03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939,88</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9,484,91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215,661,82</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Disposition</w:t>
            </w:r>
            <w:r>
              <w:rPr>
                <w:sz w:val="20"/>
                <w:szCs w:val="20"/>
              </w:rPr>
              <w:t>s</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87,902,68</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34,233,88</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42,233,92</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164,370,48</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into Level </w:t>
            </w:r>
            <w:r>
              <w:rPr>
                <w:sz w:val="20"/>
                <w:szCs w:val="20"/>
              </w:rPr>
              <w:t>3</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xml:space="preserve">Transfers out of Level </w:t>
            </w:r>
            <w:r>
              <w:rPr>
                <w:sz w:val="20"/>
                <w:szCs w:val="20"/>
              </w:rPr>
              <w:t>3</w:t>
            </w:r>
            <w:r>
              <w:rPr>
                <w:sz w:val="13"/>
                <w:szCs w:val="13"/>
              </w:rPr>
              <w:t>(2</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222,91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222,91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Ending balanc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482,534,27</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28,011,96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9,527,05</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520,073,29</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4032585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174032585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Net change in unrealized appreciation/depreciation during the period on investments still held at period end (included in net realized and unrealized gains/losses, above</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10,804,73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449,16</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1,592,76</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11,948,32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1740325850"/>
        <w:rPr>
          <w:sz w:val="20"/>
          <w:szCs w:val="20"/>
        </w:rPr>
      </w:pPr>
      <w:r>
        <w:rPr>
          <w:sz w:val="20"/>
          <w:szCs w:val="20"/>
        </w:rPr>
        <w:t> </w:t>
      </w:r>
    </w:p>
    <w:p w:rsidR="00000000" w:rsidRDefault="003D51DE">
      <w:pPr>
        <w:jc w:val="both"/>
        <w:divId w:val="1524515959"/>
        <w:rPr>
          <w:rFonts w:eastAsia="Times New Roman"/>
          <w:sz w:val="20"/>
          <w:szCs w:val="20"/>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484127550"/>
        <w:rPr>
          <w:rFonts w:eastAsia="Times New Roman"/>
          <w:sz w:val="20"/>
          <w:szCs w:val="20"/>
        </w:rPr>
      </w:pPr>
      <w:r>
        <w:rPr>
          <w:rFonts w:eastAsia="Times New Roman"/>
          <w:sz w:val="15"/>
          <w:szCs w:val="15"/>
        </w:rPr>
        <w:t>Includes payments received in kind and accretion of original issue and market discounts, and cost basis impact of non-cash restructures</w:t>
      </w:r>
      <w:r>
        <w:rPr>
          <w:rFonts w:eastAsia="Times New Roman"/>
          <w:sz w:val="15"/>
          <w:szCs w:val="15"/>
        </w:rPr>
        <w:t>.</w:t>
      </w:r>
    </w:p>
    <w:p w:rsidR="00000000" w:rsidRDefault="003D51DE">
      <w:pPr>
        <w:jc w:val="both"/>
        <w:divId w:val="1458766317"/>
        <w:rPr>
          <w:rFonts w:eastAsia="Times New Roman"/>
          <w:sz w:val="20"/>
          <w:szCs w:val="20"/>
        </w:rPr>
      </w:pPr>
      <w:r>
        <w:rPr>
          <w:rFonts w:eastAsia="Times New Roman"/>
          <w:sz w:val="15"/>
          <w:szCs w:val="15"/>
          <w:vertAlign w:val="superscript"/>
        </w:rPr>
        <w:t>(2</w:t>
      </w:r>
      <w:r>
        <w:rPr>
          <w:rFonts w:eastAsia="Times New Roman"/>
          <w:sz w:val="15"/>
          <w:szCs w:val="15"/>
          <w:vertAlign w:val="superscript"/>
        </w:rPr>
        <w:t>)</w:t>
      </w:r>
    </w:p>
    <w:p w:rsidR="00000000" w:rsidRDefault="003D51DE">
      <w:pPr>
        <w:jc w:val="both"/>
        <w:divId w:val="377437174"/>
        <w:rPr>
          <w:rFonts w:eastAsia="Times New Roman"/>
          <w:sz w:val="20"/>
          <w:szCs w:val="20"/>
        </w:rPr>
      </w:pPr>
      <w:r>
        <w:rPr>
          <w:rFonts w:eastAsia="Times New Roman"/>
          <w:sz w:val="15"/>
          <w:szCs w:val="15"/>
        </w:rPr>
        <w:t>Comprised of</w:t>
      </w:r>
      <w:r>
        <w:rPr>
          <w:rFonts w:eastAsia="Times New Roman"/>
          <w:sz w:val="15"/>
          <w:szCs w:val="15"/>
        </w:rPr>
        <w:t xml:space="preserve"> </w:t>
      </w:r>
      <w:r>
        <w:rPr>
          <w:rFonts w:eastAsia="Times New Roman"/>
          <w:sz w:val="15"/>
          <w:szCs w:val="15"/>
        </w:rPr>
        <w:t>on</w:t>
      </w:r>
      <w:r>
        <w:rPr>
          <w:rFonts w:eastAsia="Times New Roman"/>
          <w:sz w:val="15"/>
          <w:szCs w:val="15"/>
        </w:rPr>
        <w:t>e</w:t>
      </w:r>
      <w:r>
        <w:rPr>
          <w:rFonts w:eastAsia="Times New Roman"/>
          <w:sz w:val="15"/>
          <w:szCs w:val="15"/>
        </w:rPr>
        <w:t xml:space="preserve"> investment that was transferred from Level 3 to Level 2 due to increased observable market activit</w:t>
      </w:r>
      <w:r>
        <w:rPr>
          <w:rFonts w:eastAsia="Times New Roman"/>
          <w:sz w:val="15"/>
          <w:szCs w:val="15"/>
        </w:rPr>
        <w:t>y.</w:t>
      </w:r>
      <w:r>
        <w:rPr>
          <w:rFonts w:eastAsia="Times New Roman"/>
          <w:sz w:val="15"/>
          <w:szCs w:val="15"/>
        </w:rPr>
        <w:t xml:space="preserve"> </w:t>
      </w:r>
    </w:p>
    <w:p w:rsidR="00000000" w:rsidRDefault="003D51DE">
      <w:pPr>
        <w:pStyle w:val="a3"/>
        <w:spacing w:before="180" w:beforeAutospacing="0" w:after="0" w:afterAutospacing="0"/>
        <w:ind w:left="595"/>
        <w:jc w:val="both"/>
        <w:divId w:val="1149394702"/>
        <w:rPr>
          <w:sz w:val="20"/>
          <w:szCs w:val="20"/>
        </w:rPr>
      </w:pPr>
      <w:r>
        <w:rPr>
          <w:b/>
          <w:bCs/>
          <w:i/>
          <w:iCs/>
          <w:sz w:val="19"/>
          <w:szCs w:val="19"/>
        </w:rPr>
        <w:t>Investment Transaction</w:t>
      </w:r>
      <w:r>
        <w:rPr>
          <w:b/>
          <w:bCs/>
          <w:i/>
          <w:iCs/>
          <w:sz w:val="19"/>
          <w:szCs w:val="19"/>
        </w:rPr>
        <w:t>s</w:t>
      </w:r>
    </w:p>
    <w:p w:rsidR="00000000" w:rsidRDefault="003D51DE">
      <w:pPr>
        <w:pStyle w:val="a3"/>
        <w:spacing w:before="240" w:beforeAutospacing="0" w:after="0" w:afterAutospacing="0"/>
        <w:ind w:firstLine="694"/>
        <w:jc w:val="both"/>
        <w:divId w:val="1149394702"/>
        <w:rPr>
          <w:sz w:val="20"/>
          <w:szCs w:val="20"/>
        </w:rPr>
      </w:pPr>
      <w:r>
        <w:rPr>
          <w:sz w:val="19"/>
          <w:szCs w:val="19"/>
        </w:rPr>
        <w:t xml:space="preserve">Security transactions are accounted for on the trade date unless there are substantial conditions to the transaction. Realized gains or losses are measured by the difference between the net proceeds from the disposition and the </w:t>
      </w:r>
      <w:r>
        <w:rPr>
          <w:sz w:val="19"/>
          <w:szCs w:val="19"/>
        </w:rPr>
        <w:t>amortized cost of the investment. Unrealized gains or losses primarily reflect the change in investment values, including the reversal of previously recorded unrealized gains or losses when gains or losses are realized. Realized gains or losses on the disp</w:t>
      </w:r>
      <w:r>
        <w:rPr>
          <w:sz w:val="19"/>
          <w:szCs w:val="19"/>
        </w:rPr>
        <w:t>osition of investments are calculated using the specific identification method</w:t>
      </w:r>
      <w:r>
        <w:rPr>
          <w:sz w:val="19"/>
          <w:szCs w:val="19"/>
        </w:rPr>
        <w:t>.</w:t>
      </w:r>
    </w:p>
    <w:p w:rsidR="00000000" w:rsidRDefault="003D51DE">
      <w:pPr>
        <w:pStyle w:val="a3"/>
        <w:spacing w:before="240" w:beforeAutospacing="0" w:after="0" w:afterAutospacing="0"/>
        <w:ind w:left="595"/>
        <w:jc w:val="both"/>
        <w:divId w:val="1120609050"/>
        <w:rPr>
          <w:sz w:val="20"/>
          <w:szCs w:val="20"/>
        </w:rPr>
      </w:pPr>
      <w:r>
        <w:rPr>
          <w:b/>
          <w:bCs/>
          <w:i/>
          <w:iCs/>
          <w:sz w:val="19"/>
          <w:szCs w:val="19"/>
        </w:rPr>
        <w:t>Cash and Cash Equivalent</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1120609050"/>
        <w:rPr>
          <w:sz w:val="20"/>
          <w:szCs w:val="20"/>
        </w:rPr>
      </w:pPr>
      <w:r>
        <w:rPr>
          <w:sz w:val="19"/>
          <w:szCs w:val="19"/>
        </w:rPr>
        <w:t>Cash consists of amounts held in accounts with the custodian bank. Cash equivalents include short-term liquid overnight investments with original mat</w:t>
      </w:r>
      <w:r>
        <w:rPr>
          <w:sz w:val="19"/>
          <w:szCs w:val="19"/>
        </w:rPr>
        <w:t>urities of three months or less and may not be insured by the Federal Deposit Insurance Corporation or may exceed federally insured limits. Cash equivalents are classified as Level 1 in the fair value hierarchy</w:t>
      </w:r>
      <w:r>
        <w:rPr>
          <w:sz w:val="19"/>
          <w:szCs w:val="19"/>
        </w:rPr>
        <w:t>.</w:t>
      </w:r>
    </w:p>
    <w:p w:rsidR="00000000" w:rsidRDefault="003D51DE">
      <w:pPr>
        <w:pStyle w:val="a3"/>
        <w:spacing w:before="240" w:beforeAutospacing="0" w:after="0" w:afterAutospacing="0"/>
        <w:ind w:left="595"/>
        <w:jc w:val="both"/>
        <w:divId w:val="1059398772"/>
        <w:rPr>
          <w:sz w:val="20"/>
          <w:szCs w:val="20"/>
        </w:rPr>
      </w:pPr>
      <w:r>
        <w:rPr>
          <w:b/>
          <w:bCs/>
          <w:i/>
          <w:iCs/>
          <w:sz w:val="19"/>
          <w:szCs w:val="19"/>
        </w:rPr>
        <w:t>Restricted Investment</w:t>
      </w:r>
      <w:r>
        <w:rPr>
          <w:b/>
          <w:bCs/>
          <w:i/>
          <w:iCs/>
          <w:sz w:val="19"/>
          <w:szCs w:val="19"/>
        </w:rPr>
        <w:t>s</w:t>
      </w:r>
    </w:p>
    <w:p w:rsidR="00000000" w:rsidRDefault="003D51DE">
      <w:pPr>
        <w:pStyle w:val="a3"/>
        <w:spacing w:before="240" w:beforeAutospacing="0" w:after="0" w:afterAutospacing="0"/>
        <w:ind w:firstLine="694"/>
        <w:jc w:val="both"/>
        <w:divId w:val="1059398772"/>
        <w:rPr>
          <w:sz w:val="20"/>
          <w:szCs w:val="20"/>
        </w:rPr>
      </w:pPr>
      <w:r>
        <w:rPr>
          <w:sz w:val="19"/>
          <w:szCs w:val="19"/>
        </w:rPr>
        <w:t>The Company may inves</w:t>
      </w:r>
      <w:r>
        <w:rPr>
          <w:sz w:val="19"/>
          <w:szCs w:val="19"/>
        </w:rPr>
        <w:t>t without limitation in instruments that are subject to legal or contractual restrictions on resale. These instruments generally may be resold to institutional investors in transactions exempt from registration or to the public if the securities are regist</w:t>
      </w:r>
      <w:r>
        <w:rPr>
          <w:sz w:val="19"/>
          <w:szCs w:val="19"/>
        </w:rPr>
        <w:t>ered. Disposal of these investments may involve time-consuming negotiations and additional expense, and prompt sale at an acceptable price may be difficult. See footnotes to the Consolidated Schedule of Investments. Restricted investments, including any re</w:t>
      </w:r>
      <w:r>
        <w:rPr>
          <w:sz w:val="19"/>
          <w:szCs w:val="19"/>
        </w:rPr>
        <w:t>stricted investments in affiliates, are valued in accordance with the investment valuation policies discussed above</w:t>
      </w:r>
      <w:r>
        <w:rPr>
          <w:sz w:val="19"/>
          <w:szCs w:val="19"/>
        </w:rPr>
        <w:t>.</w:t>
      </w:r>
    </w:p>
    <w:p w:rsidR="00000000" w:rsidRDefault="003D51DE">
      <w:pPr>
        <w:pStyle w:val="a3"/>
        <w:spacing w:before="0" w:beforeAutospacing="0" w:after="0" w:afterAutospacing="0"/>
        <w:jc w:val="center"/>
        <w:divId w:val="126973713"/>
        <w:rPr>
          <w:sz w:val="20"/>
          <w:szCs w:val="20"/>
        </w:rPr>
      </w:pPr>
      <w:r>
        <w:rPr>
          <w:sz w:val="20"/>
          <w:szCs w:val="20"/>
        </w:rPr>
        <w:t> </w:t>
      </w:r>
    </w:p>
    <w:p w:rsidR="00000000" w:rsidRDefault="003D51DE">
      <w:pPr>
        <w:pStyle w:val="a3"/>
        <w:spacing w:before="0" w:beforeAutospacing="0" w:after="0" w:afterAutospacing="0"/>
        <w:jc w:val="center"/>
        <w:divId w:val="126973713"/>
        <w:rPr>
          <w:sz w:val="20"/>
          <w:szCs w:val="20"/>
        </w:rPr>
      </w:pPr>
      <w:r>
        <w:rPr>
          <w:sz w:val="19"/>
          <w:szCs w:val="19"/>
        </w:rPr>
        <w:t>2</w:t>
      </w:r>
      <w:r>
        <w:rPr>
          <w:sz w:val="19"/>
          <w:szCs w:val="19"/>
        </w:rPr>
        <w:t>8</w:t>
      </w:r>
    </w:p>
    <w:p w:rsidR="00000000" w:rsidRDefault="003D51DE">
      <w:pPr>
        <w:divId w:val="126973713"/>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3D51DE">
      <w:pPr>
        <w:pStyle w:val="a3"/>
        <w:spacing w:before="0" w:beforeAutospacing="0" w:after="0" w:afterAutospacing="0"/>
        <w:divId w:val="126973713"/>
        <w:rPr>
          <w:sz w:val="20"/>
          <w:szCs w:val="20"/>
        </w:rPr>
      </w:pPr>
      <w:r>
        <w:rPr>
          <w:sz w:val="20"/>
          <w:szCs w:val="20"/>
        </w:rPr>
        <w:t> </w:t>
      </w:r>
    </w:p>
    <w:p w:rsidR="00000000" w:rsidRDefault="003D51DE">
      <w:pPr>
        <w:pStyle w:val="a3"/>
        <w:spacing w:before="240" w:beforeAutospacing="0" w:after="0" w:afterAutospacing="0"/>
        <w:ind w:left="595"/>
        <w:jc w:val="both"/>
        <w:divId w:val="1931085336"/>
        <w:rPr>
          <w:sz w:val="20"/>
          <w:szCs w:val="20"/>
        </w:rPr>
      </w:pPr>
      <w:r>
        <w:rPr>
          <w:b/>
          <w:bCs/>
          <w:i/>
          <w:iCs/>
          <w:sz w:val="19"/>
          <w:szCs w:val="19"/>
        </w:rPr>
        <w:t>Foreign Currency Investment</w:t>
      </w:r>
      <w:r>
        <w:rPr>
          <w:b/>
          <w:bCs/>
          <w:i/>
          <w:iCs/>
          <w:sz w:val="19"/>
          <w:szCs w:val="19"/>
        </w:rPr>
        <w:t>s</w:t>
      </w:r>
    </w:p>
    <w:p w:rsidR="00000000" w:rsidRDefault="003D51DE">
      <w:pPr>
        <w:pStyle w:val="a3"/>
        <w:spacing w:before="240" w:beforeAutospacing="0" w:after="0" w:afterAutospacing="0"/>
        <w:ind w:firstLine="694"/>
        <w:jc w:val="both"/>
        <w:divId w:val="1931085336"/>
        <w:rPr>
          <w:sz w:val="20"/>
          <w:szCs w:val="20"/>
        </w:rPr>
      </w:pPr>
      <w:r>
        <w:rPr>
          <w:sz w:val="19"/>
          <w:szCs w:val="19"/>
        </w:rPr>
        <w:t>The Company may invest in instruments traded in foreign countries a</w:t>
      </w:r>
      <w:r>
        <w:rPr>
          <w:sz w:val="19"/>
          <w:szCs w:val="19"/>
        </w:rPr>
        <w:t>nd denominated in foreign currencies. Foreign currency amounts are translated into U.S. dollars on the following basis</w:t>
      </w:r>
      <w:r>
        <w:rPr>
          <w:sz w:val="19"/>
          <w:szCs w:val="19"/>
        </w:rPr>
        <w:t>:</w:t>
      </w:r>
      <w:r>
        <w:rPr>
          <w:sz w:val="19"/>
          <w:szCs w:val="19"/>
        </w:rPr>
        <w:t xml:space="preserve"> </w:t>
      </w:r>
    </w:p>
    <w:p w:rsidR="00000000" w:rsidRDefault="003D51DE">
      <w:pPr>
        <w:jc w:val="both"/>
        <w:divId w:val="946162140"/>
        <w:rPr>
          <w:rFonts w:eastAsia="Times New Roman"/>
          <w:sz w:val="19"/>
          <w:szCs w:val="19"/>
        </w:rPr>
      </w:pPr>
      <w:r>
        <w:rPr>
          <w:rFonts w:eastAsia="Times New Roman"/>
          <w:sz w:val="19"/>
          <w:szCs w:val="19"/>
        </w:rPr>
        <w:t>(i</w:t>
      </w:r>
      <w:r>
        <w:rPr>
          <w:rFonts w:eastAsia="Times New Roman"/>
          <w:sz w:val="19"/>
          <w:szCs w:val="19"/>
        </w:rPr>
        <w:t>)</w:t>
      </w:r>
    </w:p>
    <w:p w:rsidR="00000000" w:rsidRDefault="003D51DE">
      <w:pPr>
        <w:jc w:val="both"/>
        <w:divId w:val="385641531"/>
        <w:rPr>
          <w:rFonts w:eastAsia="Times New Roman"/>
          <w:sz w:val="19"/>
          <w:szCs w:val="19"/>
        </w:rPr>
      </w:pPr>
      <w:r>
        <w:rPr>
          <w:rFonts w:eastAsia="Times New Roman"/>
          <w:sz w:val="19"/>
          <w:szCs w:val="19"/>
        </w:rPr>
        <w:t>market value of investment securities, other assets and liabilities—at the spot exchange rate on the last business day of the perio</w:t>
      </w:r>
      <w:r>
        <w:rPr>
          <w:rFonts w:eastAsia="Times New Roman"/>
          <w:sz w:val="19"/>
          <w:szCs w:val="19"/>
        </w:rPr>
        <w:t>d; and</w:t>
      </w:r>
      <w:r>
        <w:rPr>
          <w:rFonts w:eastAsia="Times New Roman"/>
          <w:sz w:val="19"/>
          <w:szCs w:val="19"/>
        </w:rPr>
        <w:t xml:space="preserve"> </w:t>
      </w:r>
    </w:p>
    <w:p w:rsidR="00000000" w:rsidRDefault="003D51DE">
      <w:pPr>
        <w:jc w:val="both"/>
        <w:divId w:val="101460204"/>
        <w:rPr>
          <w:rFonts w:eastAsia="Times New Roman"/>
          <w:sz w:val="19"/>
          <w:szCs w:val="19"/>
        </w:rPr>
      </w:pPr>
      <w:r>
        <w:rPr>
          <w:rFonts w:eastAsia="Times New Roman"/>
          <w:sz w:val="19"/>
          <w:szCs w:val="19"/>
        </w:rPr>
        <w:t>(ii</w:t>
      </w:r>
      <w:r>
        <w:rPr>
          <w:rFonts w:eastAsia="Times New Roman"/>
          <w:sz w:val="19"/>
          <w:szCs w:val="19"/>
        </w:rPr>
        <w:t>)</w:t>
      </w:r>
    </w:p>
    <w:p w:rsidR="00000000" w:rsidRDefault="003D51DE">
      <w:pPr>
        <w:jc w:val="both"/>
        <w:divId w:val="510485454"/>
        <w:rPr>
          <w:rFonts w:eastAsia="Times New Roman"/>
          <w:sz w:val="19"/>
          <w:szCs w:val="19"/>
        </w:rPr>
      </w:pPr>
      <w:r>
        <w:rPr>
          <w:rFonts w:eastAsia="Times New Roman"/>
          <w:sz w:val="19"/>
          <w:szCs w:val="19"/>
        </w:rPr>
        <w:t>purchases and sales of investment securities, income and expenses—</w:t>
      </w:r>
      <w:r>
        <w:rPr>
          <w:rFonts w:eastAsia="Times New Roman"/>
          <w:sz w:val="19"/>
          <w:szCs w:val="19"/>
        </w:rPr>
        <w:t>at the rates of exchange prevailing on the respective dates of such transactions, income or expenses.</w:t>
      </w:r>
      <w:r>
        <w:rPr>
          <w:rFonts w:eastAsia="Times New Roman"/>
          <w:sz w:val="19"/>
          <w:szCs w:val="19"/>
        </w:rPr>
        <w:t xml:space="preserve"> </w:t>
      </w:r>
    </w:p>
    <w:p w:rsidR="00000000" w:rsidRDefault="003D51DE">
      <w:pPr>
        <w:pStyle w:val="a3"/>
        <w:spacing w:before="180" w:beforeAutospacing="0" w:after="0" w:afterAutospacing="0"/>
        <w:ind w:firstLine="694"/>
        <w:jc w:val="both"/>
        <w:divId w:val="1931085336"/>
        <w:rPr>
          <w:sz w:val="20"/>
          <w:szCs w:val="20"/>
        </w:rPr>
      </w:pPr>
      <w:r>
        <w:rPr>
          <w:sz w:val="19"/>
          <w:szCs w:val="19"/>
        </w:rPr>
        <w:t>Although net assets and fair values are presented based on the applicable foreign exchange rates described above, the Company may not isolate that portio</w:t>
      </w:r>
      <w:r>
        <w:rPr>
          <w:sz w:val="19"/>
          <w:szCs w:val="19"/>
        </w:rPr>
        <w:t>n of the results of operations resulting from changes in foreign exchange rates on investments from the fluctuations arising from changes in fair values of investments held. Such fluctuations are included with the net realized and unrealized gain or loss f</w:t>
      </w:r>
      <w:r>
        <w:rPr>
          <w:sz w:val="19"/>
          <w:szCs w:val="19"/>
        </w:rPr>
        <w:t>rom investments</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931085336"/>
        <w:rPr>
          <w:sz w:val="20"/>
          <w:szCs w:val="20"/>
        </w:rPr>
      </w:pPr>
      <w:r>
        <w:rPr>
          <w:sz w:val="19"/>
          <w:szCs w:val="19"/>
        </w:rPr>
        <w:t>Investments denominated in foreign currencies and foreign currency transactions may involve certain considerations and risks not typically associated with those of domestic origin, including unanticipated movements in the value of the for</w:t>
      </w:r>
      <w:r>
        <w:rPr>
          <w:sz w:val="19"/>
          <w:szCs w:val="19"/>
        </w:rPr>
        <w:t>eign currency relative to the U.S. dollar</w:t>
      </w:r>
      <w:r>
        <w:rPr>
          <w:sz w:val="19"/>
          <w:szCs w:val="19"/>
        </w:rPr>
        <w:t>.</w:t>
      </w:r>
    </w:p>
    <w:p w:rsidR="00000000" w:rsidRDefault="003D51DE">
      <w:pPr>
        <w:pStyle w:val="a3"/>
        <w:spacing w:before="240" w:beforeAutospacing="0" w:after="0" w:afterAutospacing="0"/>
        <w:ind w:left="595"/>
        <w:jc w:val="both"/>
        <w:divId w:val="1211114010"/>
        <w:rPr>
          <w:sz w:val="20"/>
          <w:szCs w:val="20"/>
        </w:rPr>
      </w:pPr>
      <w:r>
        <w:rPr>
          <w:b/>
          <w:bCs/>
          <w:i/>
          <w:iCs/>
          <w:sz w:val="19"/>
          <w:szCs w:val="19"/>
        </w:rPr>
        <w:t>Derivative Instruments</w:t>
      </w:r>
      <w:r>
        <w:rPr>
          <w:b/>
          <w:bCs/>
          <w:i/>
          <w:iCs/>
          <w:sz w:val="19"/>
          <w:szCs w:val="19"/>
        </w:rPr>
        <w:t>:</w:t>
      </w:r>
    </w:p>
    <w:p w:rsidR="00000000" w:rsidRDefault="003D51DE">
      <w:pPr>
        <w:pStyle w:val="a3"/>
        <w:spacing w:before="240" w:beforeAutospacing="0" w:after="0" w:afterAutospacing="0"/>
        <w:ind w:firstLine="702"/>
        <w:jc w:val="both"/>
        <w:divId w:val="1211114010"/>
        <w:rPr>
          <w:sz w:val="20"/>
          <w:szCs w:val="20"/>
        </w:rPr>
      </w:pPr>
      <w:r>
        <w:rPr>
          <w:sz w:val="19"/>
          <w:szCs w:val="19"/>
        </w:rPr>
        <w:t>The Company records all derivative financial instruments as either assets or liabilities at fair value on a gross basis in the Consolidated Statements of Assets and Liabilities</w:t>
      </w:r>
      <w:r>
        <w:rPr>
          <w:sz w:val="19"/>
          <w:szCs w:val="19"/>
        </w:rPr>
        <w:t>.</w:t>
      </w:r>
    </w:p>
    <w:p w:rsidR="00000000" w:rsidRDefault="003D51DE">
      <w:pPr>
        <w:pStyle w:val="a3"/>
        <w:spacing w:before="240" w:beforeAutospacing="0" w:after="0" w:afterAutospacing="0"/>
        <w:ind w:left="595"/>
        <w:jc w:val="both"/>
        <w:divId w:val="1211114010"/>
        <w:rPr>
          <w:sz w:val="20"/>
          <w:szCs w:val="20"/>
        </w:rPr>
      </w:pPr>
      <w:r>
        <w:rPr>
          <w:i/>
          <w:iCs/>
          <w:sz w:val="19"/>
          <w:szCs w:val="19"/>
        </w:rPr>
        <w:t>Foreign Cur</w:t>
      </w:r>
      <w:r>
        <w:rPr>
          <w:i/>
          <w:iCs/>
          <w:sz w:val="19"/>
          <w:szCs w:val="19"/>
        </w:rPr>
        <w:t>rency Forward Contracts and Warrant</w:t>
      </w:r>
      <w:r>
        <w:rPr>
          <w:i/>
          <w:iCs/>
          <w:sz w:val="19"/>
          <w:szCs w:val="19"/>
        </w:rPr>
        <w:t>s</w:t>
      </w:r>
    </w:p>
    <w:p w:rsidR="00000000" w:rsidRDefault="003D51DE">
      <w:pPr>
        <w:pStyle w:val="a3"/>
        <w:spacing w:before="240" w:beforeAutospacing="0" w:after="0" w:afterAutospacing="0"/>
        <w:ind w:firstLine="702"/>
        <w:jc w:val="both"/>
        <w:divId w:val="1211114010"/>
        <w:rPr>
          <w:sz w:val="20"/>
          <w:szCs w:val="20"/>
        </w:rPr>
      </w:pPr>
      <w:r>
        <w:rPr>
          <w:sz w:val="19"/>
          <w:szCs w:val="19"/>
        </w:rPr>
        <w:t>The Company may enter into forward foreign currency contracts from time to time to facilitate settlement of purchases and sales of investments denominated in foreign currencies or to help mitigate the impact that an adv</w:t>
      </w:r>
      <w:r>
        <w:rPr>
          <w:sz w:val="19"/>
          <w:szCs w:val="19"/>
        </w:rPr>
        <w:t xml:space="preserve">erse change in foreign exchange rates would have on the value of the Company’s investments denominated in foreign currencies. A forward foreign currency contract is a commitment to purchase or sell a foreign currency at a future date (usually the security </w:t>
      </w:r>
      <w:r>
        <w:rPr>
          <w:sz w:val="19"/>
          <w:szCs w:val="19"/>
        </w:rPr>
        <w:t>transaction settlement date) at a negotiated forward rate. These contracts are marked-to-market by recognizing the difference between the contract exchange rate and the current market rate as unrealized appreciation or depreciation. Realized gains or losse</w:t>
      </w:r>
      <w:r>
        <w:rPr>
          <w:sz w:val="19"/>
          <w:szCs w:val="19"/>
        </w:rPr>
        <w:t xml:space="preserve">s are recognized when contracts are settled. Risks may arise as a result of the potential inability of the counterparties to meet the terms of their contracts. The Company attempts to limit this risk by dealing with only creditworthy counterparties. There </w:t>
      </w:r>
      <w:r>
        <w:rPr>
          <w:sz w:val="19"/>
          <w:szCs w:val="19"/>
        </w:rPr>
        <w:t>were</w:t>
      </w:r>
      <w:r>
        <w:rPr>
          <w:sz w:val="19"/>
          <w:szCs w:val="19"/>
        </w:rPr>
        <w:t xml:space="preserve"> </w:t>
      </w:r>
      <w:r>
        <w:rPr>
          <w:sz w:val="19"/>
          <w:szCs w:val="19"/>
        </w:rPr>
        <w:t>n</w:t>
      </w:r>
      <w:r>
        <w:rPr>
          <w:sz w:val="19"/>
          <w:szCs w:val="19"/>
        </w:rPr>
        <w:t>o</w:t>
      </w:r>
      <w:r>
        <w:rPr>
          <w:sz w:val="19"/>
          <w:szCs w:val="19"/>
        </w:rPr>
        <w:t xml:space="preserve"> open forward foreign currency contracts at</w:t>
      </w:r>
      <w:r>
        <w:rPr>
          <w:sz w:val="19"/>
          <w:szCs w:val="19"/>
        </w:rPr>
        <w:t xml:space="preserve"> </w:t>
      </w:r>
      <w:r>
        <w:rPr>
          <w:sz w:val="19"/>
          <w:szCs w:val="19"/>
        </w:rPr>
        <w:t>September 30, 2022 and December 31, 2021</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1211114010"/>
        <w:rPr>
          <w:sz w:val="20"/>
          <w:szCs w:val="20"/>
        </w:rPr>
      </w:pPr>
      <w:r>
        <w:rPr>
          <w:sz w:val="19"/>
          <w:szCs w:val="19"/>
        </w:rPr>
        <w:t>The Company holds warrants and options in certain portfolio companies in an effort to achieve additional investment return. In purchasing warrants and options, th</w:t>
      </w:r>
      <w:r>
        <w:rPr>
          <w:sz w:val="19"/>
          <w:szCs w:val="19"/>
        </w:rPr>
        <w:t>e Company bears the risk of an unfavorable change in the value of the underlying equity interest. The aggregate fair value of warrants and options as of September 30, 202</w:t>
      </w:r>
      <w:r>
        <w:rPr>
          <w:sz w:val="19"/>
          <w:szCs w:val="19"/>
        </w:rPr>
        <w:t>2</w:t>
      </w:r>
      <w:r>
        <w:rPr>
          <w:sz w:val="19"/>
          <w:szCs w:val="19"/>
        </w:rPr>
        <w:t xml:space="preserve"> and December 31, 2021 represented</w:t>
      </w:r>
      <w:r>
        <w:rPr>
          <w:sz w:val="19"/>
          <w:szCs w:val="19"/>
        </w:rPr>
        <w:t xml:space="preserve"> </w:t>
      </w:r>
      <w:r>
        <w:rPr>
          <w:sz w:val="19"/>
          <w:szCs w:val="19"/>
        </w:rPr>
        <w:t>0.</w:t>
      </w:r>
      <w:r>
        <w:rPr>
          <w:sz w:val="19"/>
          <w:szCs w:val="19"/>
        </w:rPr>
        <w:t>8</w:t>
      </w:r>
      <w:r>
        <w:rPr>
          <w:sz w:val="19"/>
          <w:szCs w:val="19"/>
        </w:rPr>
        <w:t>% and</w:t>
      </w:r>
      <w:r>
        <w:rPr>
          <w:sz w:val="19"/>
          <w:szCs w:val="19"/>
        </w:rPr>
        <w:t xml:space="preserve"> </w:t>
      </w:r>
      <w:r>
        <w:rPr>
          <w:sz w:val="19"/>
          <w:szCs w:val="19"/>
        </w:rPr>
        <w:t>0.</w:t>
      </w:r>
      <w:r>
        <w:rPr>
          <w:sz w:val="19"/>
          <w:szCs w:val="19"/>
        </w:rPr>
        <w:t>7</w:t>
      </w:r>
      <w:r>
        <w:rPr>
          <w:sz w:val="19"/>
          <w:szCs w:val="19"/>
        </w:rPr>
        <w:t>% of the Company’s net assets, respect</w:t>
      </w:r>
      <w:r>
        <w:rPr>
          <w:sz w:val="19"/>
          <w:szCs w:val="19"/>
        </w:rPr>
        <w:t>ively</w:t>
      </w:r>
      <w:r>
        <w:rPr>
          <w:sz w:val="19"/>
          <w:szCs w:val="19"/>
        </w:rPr>
        <w:t>.</w:t>
      </w:r>
      <w:r>
        <w:rPr>
          <w:sz w:val="19"/>
          <w:szCs w:val="19"/>
        </w:rPr>
        <w:t xml:space="preserve"> </w:t>
      </w:r>
    </w:p>
    <w:p w:rsidR="00000000" w:rsidRDefault="003D51DE">
      <w:pPr>
        <w:pStyle w:val="a3"/>
        <w:spacing w:before="240" w:beforeAutospacing="0" w:after="0" w:afterAutospacing="0"/>
        <w:ind w:firstLine="702"/>
        <w:jc w:val="both"/>
        <w:divId w:val="1211114010"/>
        <w:rPr>
          <w:sz w:val="20"/>
          <w:szCs w:val="20"/>
        </w:rPr>
      </w:pPr>
      <w:r>
        <w:rPr>
          <w:i/>
          <w:iCs/>
          <w:sz w:val="19"/>
          <w:szCs w:val="19"/>
        </w:rPr>
        <w:t>Interest Rate Swa</w:t>
      </w:r>
      <w:r>
        <w:rPr>
          <w:i/>
          <w:iCs/>
          <w:sz w:val="19"/>
          <w:szCs w:val="19"/>
        </w:rPr>
        <w:t>p</w:t>
      </w:r>
    </w:p>
    <w:p w:rsidR="00000000" w:rsidRDefault="003D51DE">
      <w:pPr>
        <w:pStyle w:val="a3"/>
        <w:spacing w:before="240" w:beforeAutospacing="0" w:after="0" w:afterAutospacing="0"/>
        <w:ind w:firstLine="702"/>
        <w:jc w:val="both"/>
        <w:divId w:val="1211114010"/>
        <w:rPr>
          <w:sz w:val="20"/>
          <w:szCs w:val="20"/>
        </w:rPr>
      </w:pPr>
      <w:r>
        <w:rPr>
          <w:sz w:val="19"/>
          <w:szCs w:val="19"/>
        </w:rPr>
        <w:t>The Company entered into a centrally-cleared interest rate swap (the “Interest Rate Swap”</w:t>
      </w:r>
      <w:r>
        <w:rPr>
          <w:sz w:val="19"/>
          <w:szCs w:val="19"/>
        </w:rPr>
        <w:t>) to economically hedge the interest payable on the fixed rate tranche of the Company’s 2025 Private Placement Notes (as defined below) (see Note 4). The Company is required to deposit initial margin with the broker in the form of cash in an amount that va</w:t>
      </w:r>
      <w:r>
        <w:rPr>
          <w:sz w:val="19"/>
          <w:szCs w:val="19"/>
        </w:rPr>
        <w:t>ries depending on the size and risk pro</w:t>
      </w:r>
      <w:r>
        <w:rPr>
          <w:sz w:val="19"/>
          <w:szCs w:val="19"/>
        </w:rPr>
        <w:t>ﬁ</w:t>
      </w:r>
      <w:r>
        <w:rPr>
          <w:sz w:val="19"/>
          <w:szCs w:val="19"/>
        </w:rPr>
        <w:t>le of the particular swap. Pursuant to the contract, the Company agrees to receive from or pay to the broker daily variation margin. The amounts related to the right to claim or the obligation to return cash collater</w:t>
      </w:r>
      <w:r>
        <w:rPr>
          <w:sz w:val="19"/>
          <w:szCs w:val="19"/>
        </w:rPr>
        <w:t xml:space="preserve">al may not be used to offset amounts due under the interest rate swap contract in the normal course of settlement. Therefore, both the initial margin and variation margin paid are included as assets within Due from broker on the Consolidated Statements of </w:t>
      </w:r>
      <w:r>
        <w:rPr>
          <w:sz w:val="19"/>
          <w:szCs w:val="19"/>
        </w:rPr>
        <w:t>Assets and Liabilities at September 30, 2022</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1211114010"/>
        <w:rPr>
          <w:sz w:val="20"/>
          <w:szCs w:val="20"/>
        </w:rPr>
      </w:pPr>
      <w:r>
        <w:rPr>
          <w:sz w:val="19"/>
          <w:szCs w:val="19"/>
        </w:rPr>
        <w:t>Changes in the fair value of the swap contract are presented as part of change in unrealized appreciation (depreciation) on the Consolidated Statements of Operations. The Interest Rate Swap is recorded at fair</w:t>
      </w:r>
      <w:r>
        <w:rPr>
          <w:sz w:val="19"/>
          <w:szCs w:val="19"/>
        </w:rPr>
        <w:t xml:space="preserve"> value and is presented as a liability on the Company's Consolidated Statements of Assets and Liabilities at September 30, 2022. Interest rate swap agreements are valued utilizing quotes received from independent pricing services or through brokers, which </w:t>
      </w:r>
      <w:r>
        <w:rPr>
          <w:sz w:val="19"/>
          <w:szCs w:val="19"/>
        </w:rPr>
        <w:t>are derived using daily swap curves and models that incorporate a number of market data factors, such as discounted cash flows, trades and values of the underlying reference instruments. The fair value of the Interest Rate Swap is classified as Level 2 wit</w:t>
      </w:r>
      <w:r>
        <w:rPr>
          <w:sz w:val="19"/>
          <w:szCs w:val="19"/>
        </w:rPr>
        <w:t>h respect to the fair value hierarchy. See Note 4 for additional information on the Company’s Interest Rate Swap</w:t>
      </w:r>
      <w:r>
        <w:rPr>
          <w:sz w:val="19"/>
          <w:szCs w:val="19"/>
        </w:rPr>
        <w:t>.</w:t>
      </w:r>
    </w:p>
    <w:p w:rsidR="00000000" w:rsidRDefault="003D51DE">
      <w:pPr>
        <w:pStyle w:val="a3"/>
        <w:spacing w:before="0" w:beforeAutospacing="0" w:after="0" w:afterAutospacing="0"/>
        <w:jc w:val="center"/>
        <w:divId w:val="126973713"/>
        <w:rPr>
          <w:sz w:val="20"/>
          <w:szCs w:val="20"/>
        </w:rPr>
      </w:pPr>
      <w:r>
        <w:rPr>
          <w:sz w:val="20"/>
          <w:szCs w:val="20"/>
        </w:rPr>
        <w:t> </w:t>
      </w:r>
    </w:p>
    <w:p w:rsidR="00000000" w:rsidRDefault="003D51DE">
      <w:pPr>
        <w:pStyle w:val="a3"/>
        <w:spacing w:before="0" w:beforeAutospacing="0" w:after="0" w:afterAutospacing="0"/>
        <w:jc w:val="center"/>
        <w:divId w:val="126973713"/>
        <w:rPr>
          <w:sz w:val="20"/>
          <w:szCs w:val="20"/>
        </w:rPr>
      </w:pPr>
      <w:r>
        <w:rPr>
          <w:sz w:val="19"/>
          <w:szCs w:val="19"/>
        </w:rPr>
        <w:t>2</w:t>
      </w:r>
      <w:r>
        <w:rPr>
          <w:sz w:val="19"/>
          <w:szCs w:val="19"/>
        </w:rPr>
        <w:t>9</w:t>
      </w:r>
    </w:p>
    <w:p w:rsidR="00000000" w:rsidRDefault="003D51DE">
      <w:pPr>
        <w:divId w:val="126973713"/>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3D51DE">
      <w:pPr>
        <w:pStyle w:val="a3"/>
        <w:spacing w:before="0" w:beforeAutospacing="0" w:after="0" w:afterAutospacing="0"/>
        <w:divId w:val="126973713"/>
        <w:rPr>
          <w:sz w:val="20"/>
          <w:szCs w:val="20"/>
        </w:rPr>
      </w:pPr>
      <w:r>
        <w:rPr>
          <w:sz w:val="20"/>
          <w:szCs w:val="20"/>
        </w:rPr>
        <w:t> </w:t>
      </w:r>
    </w:p>
    <w:p w:rsidR="00000000" w:rsidRDefault="003D51DE">
      <w:pPr>
        <w:pStyle w:val="a3"/>
        <w:spacing w:before="240" w:beforeAutospacing="0" w:after="0" w:afterAutospacing="0"/>
        <w:ind w:left="595"/>
        <w:jc w:val="both"/>
        <w:divId w:val="1585147274"/>
        <w:rPr>
          <w:sz w:val="20"/>
          <w:szCs w:val="20"/>
        </w:rPr>
      </w:pPr>
      <w:r>
        <w:rPr>
          <w:b/>
          <w:bCs/>
          <w:i/>
          <w:iCs/>
          <w:sz w:val="19"/>
          <w:szCs w:val="19"/>
        </w:rPr>
        <w:t>Debt Issuance Cost</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1585147274"/>
        <w:rPr>
          <w:sz w:val="20"/>
          <w:szCs w:val="20"/>
        </w:rPr>
      </w:pPr>
      <w:r>
        <w:rPr>
          <w:sz w:val="19"/>
          <w:szCs w:val="19"/>
        </w:rPr>
        <w:t>Certain costs incurred in connection with the issuance and/or extension of de</w:t>
      </w:r>
      <w:r>
        <w:rPr>
          <w:sz w:val="19"/>
          <w:szCs w:val="19"/>
        </w:rPr>
        <w:t>bt of the Company and its subsidiaries were capitalized and are being amortized on a straight-line basis over the estimated life of the respective instruments. The impact of utilizing the straight-line amortization method versus the effective-interest meth</w:t>
      </w:r>
      <w:r>
        <w:rPr>
          <w:sz w:val="19"/>
          <w:szCs w:val="19"/>
        </w:rPr>
        <w:t>od is not material to the operations of the Company</w:t>
      </w:r>
      <w:r>
        <w:rPr>
          <w:sz w:val="19"/>
          <w:szCs w:val="19"/>
        </w:rPr>
        <w:t>.</w:t>
      </w:r>
    </w:p>
    <w:p w:rsidR="00000000" w:rsidRDefault="003D51DE">
      <w:pPr>
        <w:pStyle w:val="a3"/>
        <w:spacing w:before="240" w:beforeAutospacing="0" w:after="0" w:afterAutospacing="0"/>
        <w:ind w:left="595"/>
        <w:jc w:val="both"/>
        <w:divId w:val="1690329562"/>
        <w:rPr>
          <w:sz w:val="20"/>
          <w:szCs w:val="20"/>
        </w:rPr>
      </w:pPr>
      <w:r>
        <w:rPr>
          <w:b/>
          <w:bCs/>
          <w:i/>
          <w:iCs/>
          <w:sz w:val="19"/>
          <w:szCs w:val="19"/>
        </w:rPr>
        <w:t>Revenue Recognitio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divId w:val="1690329562"/>
        <w:rPr>
          <w:sz w:val="20"/>
          <w:szCs w:val="20"/>
        </w:rPr>
      </w:pPr>
      <w:r>
        <w:rPr>
          <w:sz w:val="19"/>
          <w:szCs w:val="19"/>
        </w:rPr>
        <w:t>Interest and dividend income, including income paid in kind, is recorded on an accrual basis, when such amounts are considered collectible. Origination, structuring, closing, commitment and other upfront fees, including original issue discounts, earned wit</w:t>
      </w:r>
      <w:r>
        <w:rPr>
          <w:sz w:val="19"/>
          <w:szCs w:val="19"/>
        </w:rPr>
        <w:t>h respect to capital commitments are generally amortized or accreted into interest income over the life of the respective debt investment, as are end-of-term or exit fees receivable upon repayment of a debt investment. Other fees, including certain amendme</w:t>
      </w:r>
      <w:r>
        <w:rPr>
          <w:sz w:val="19"/>
          <w:szCs w:val="19"/>
        </w:rPr>
        <w:t>nt fees, prepayment fees and commitment fees on broken deals, are recognized as earned</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690329562"/>
        <w:rPr>
          <w:sz w:val="20"/>
          <w:szCs w:val="20"/>
        </w:rPr>
      </w:pPr>
      <w:r>
        <w:rPr>
          <w:sz w:val="19"/>
          <w:szCs w:val="19"/>
        </w:rPr>
        <w:t>Certain debt investments are purchased at a discount to par as a result of the underlying credit risks and financial results of the issuer, as well as general market f</w:t>
      </w:r>
      <w:r>
        <w:rPr>
          <w:sz w:val="19"/>
          <w:szCs w:val="19"/>
        </w:rPr>
        <w:t>actors that influence the financial markets as a whole. Discounts on the acquisition of corporate bonds are generally amortized using the effective-interest or constant-yield method assuming there are no questions as to collectability. When principal payme</w:t>
      </w:r>
      <w:r>
        <w:rPr>
          <w:sz w:val="19"/>
          <w:szCs w:val="19"/>
        </w:rPr>
        <w:t>nts on a loan are received in an amount in excess of the loan’s amortized cost, the excess principal payments are recorded as interest income</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690329562"/>
        <w:rPr>
          <w:sz w:val="20"/>
          <w:szCs w:val="20"/>
        </w:rPr>
      </w:pPr>
      <w:r>
        <w:rPr>
          <w:sz w:val="19"/>
          <w:szCs w:val="19"/>
        </w:rPr>
        <w:t>For loans and securities with payment-in-kind (“PIK”) income, which represents contractual interest or dividends</w:t>
      </w:r>
      <w:r>
        <w:rPr>
          <w:sz w:val="19"/>
          <w:szCs w:val="19"/>
        </w:rPr>
        <w:t xml:space="preserve"> accrued and added to the principal balance and generally due at maturity, such income is accrued only to the extent that the Advisor believes that the PIK income is likely to be collected. To maintain the Company’s status as a RIC, this non-cash source of</w:t>
      </w:r>
      <w:r>
        <w:rPr>
          <w:sz w:val="19"/>
          <w:szCs w:val="19"/>
        </w:rPr>
        <w:t xml:space="preserve"> income must be paid out to stockholders in the form of dividends, even though the Company has not yet collected the cash</w:t>
      </w:r>
      <w:r>
        <w:rPr>
          <w:sz w:val="19"/>
          <w:szCs w:val="19"/>
        </w:rPr>
        <w:t>.</w:t>
      </w:r>
      <w:r>
        <w:rPr>
          <w:sz w:val="19"/>
          <w:szCs w:val="19"/>
        </w:rPr>
        <w:t xml:space="preserve"> </w:t>
      </w:r>
    </w:p>
    <w:p w:rsidR="00000000" w:rsidRDefault="003D51DE">
      <w:pPr>
        <w:pStyle w:val="a3"/>
        <w:spacing w:before="240" w:beforeAutospacing="0" w:after="0" w:afterAutospacing="0"/>
        <w:ind w:left="595"/>
        <w:jc w:val="both"/>
        <w:divId w:val="1996295200"/>
        <w:rPr>
          <w:sz w:val="20"/>
          <w:szCs w:val="20"/>
        </w:rPr>
      </w:pPr>
      <w:r>
        <w:rPr>
          <w:b/>
          <w:bCs/>
          <w:i/>
          <w:iCs/>
          <w:sz w:val="19"/>
          <w:szCs w:val="19"/>
        </w:rPr>
        <w:t>Income Taxe</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1996295200"/>
        <w:rPr>
          <w:sz w:val="20"/>
          <w:szCs w:val="20"/>
        </w:rPr>
      </w:pPr>
      <w:r>
        <w:rPr>
          <w:sz w:val="19"/>
          <w:szCs w:val="19"/>
        </w:rPr>
        <w:t>The Company intends to comply with the requirements of the Internal Revenue Code of 1986, as amended, applicable to re</w:t>
      </w:r>
      <w:r>
        <w:rPr>
          <w:sz w:val="19"/>
          <w:szCs w:val="19"/>
        </w:rPr>
        <w:t>gulated investment companies, and to distribute substantially all of its taxable income to its shareholders. Therefore, no U.S. federal income tax provision is required</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1996295200"/>
        <w:rPr>
          <w:sz w:val="20"/>
          <w:szCs w:val="20"/>
        </w:rPr>
      </w:pPr>
      <w:r>
        <w:rPr>
          <w:sz w:val="19"/>
          <w:szCs w:val="19"/>
        </w:rPr>
        <w:t>The tax returns of the Company remain open for examination by tax authorities for a p</w:t>
      </w:r>
      <w:r>
        <w:rPr>
          <w:sz w:val="19"/>
          <w:szCs w:val="19"/>
        </w:rPr>
        <w:t xml:space="preserve">eriod of three years from the date they are filed. No such examinations are currently pending. Management has analyzed tax laws and regulations and their application to the Company as of September 30, 2022, inclusive of the open tax return years, and does </w:t>
      </w:r>
      <w:r>
        <w:rPr>
          <w:sz w:val="19"/>
          <w:szCs w:val="19"/>
        </w:rPr>
        <w:t>not believe that there are any uncertain tax positions that require recognition of a tax liability in the consolidated financial statements</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1996295200"/>
        <w:rPr>
          <w:sz w:val="20"/>
          <w:szCs w:val="20"/>
        </w:rPr>
      </w:pPr>
      <w:r>
        <w:rPr>
          <w:sz w:val="19"/>
          <w:szCs w:val="19"/>
        </w:rPr>
        <w:t>The final tax characterization of dividends is determined after the fiscal year and is reported on Form 1099 and i</w:t>
      </w:r>
      <w:r>
        <w:rPr>
          <w:sz w:val="19"/>
          <w:szCs w:val="19"/>
        </w:rPr>
        <w:t xml:space="preserve">n the Company’s annual report to shareholders. Dividends can be characterized as ordinary income, capital gains and/or return of capital. As of December 31, 2021, the Company had non-expiring capital loss carryforwards in the amount of </w:t>
      </w:r>
      <w:r>
        <w:rPr>
          <w:sz w:val="19"/>
          <w:szCs w:val="19"/>
        </w:rPr>
        <w:t>$</w:t>
      </w:r>
      <w:r>
        <w:rPr>
          <w:sz w:val="19"/>
          <w:szCs w:val="19"/>
        </w:rPr>
        <w:t>402,453,45</w:t>
      </w:r>
      <w:r>
        <w:rPr>
          <w:sz w:val="19"/>
          <w:szCs w:val="19"/>
        </w:rPr>
        <w:t>4</w:t>
      </w:r>
      <w:r>
        <w:rPr>
          <w:sz w:val="19"/>
          <w:szCs w:val="19"/>
        </w:rPr>
        <w:t xml:space="preserve"> availab</w:t>
      </w:r>
      <w:r>
        <w:rPr>
          <w:sz w:val="19"/>
          <w:szCs w:val="19"/>
        </w:rPr>
        <w:t>le to offset future realized capital gains</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624385424"/>
        <w:rPr>
          <w:sz w:val="20"/>
          <w:szCs w:val="20"/>
        </w:rPr>
      </w:pPr>
      <w:r>
        <w:rPr>
          <w:sz w:val="19"/>
          <w:szCs w:val="19"/>
        </w:rPr>
        <w:t>As of December 31, 2021, gross unrealized appreciation and depreciation for investments based on cost for U.S. federal income tax purposes were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8"/>
        <w:gridCol w:w="260"/>
        <w:gridCol w:w="160"/>
        <w:gridCol w:w="2226"/>
        <w:gridCol w:w="142"/>
      </w:tblGrid>
      <w:tr w:rsidR="00000000">
        <w:trPr>
          <w:divId w:val="624385424"/>
          <w:tblCellSpacing w:w="15" w:type="dxa"/>
        </w:trPr>
        <w:tc>
          <w:tcPr>
            <w:tcW w:w="3380" w:type="pct"/>
            <w:vAlign w:val="center"/>
            <w:hideMark/>
          </w:tcPr>
          <w:p w:rsidR="00000000" w:rsidRDefault="003D51DE">
            <w:pPr>
              <w:rPr>
                <w:sz w:val="20"/>
                <w:szCs w:val="20"/>
              </w:rPr>
            </w:pPr>
          </w:p>
        </w:tc>
        <w:tc>
          <w:tcPr>
            <w:tcW w:w="1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36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624385424"/>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62438542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Tax basis of investment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573,715,74</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624385424"/>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62438542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Unrealized appreciatio</w:t>
            </w:r>
            <w:r>
              <w:rPr>
                <w:sz w:val="20"/>
                <w:szCs w:val="20"/>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9,337,79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62438542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Unrealized depreciatio</w:t>
            </w:r>
            <w:r>
              <w:rPr>
                <w:sz w:val="20"/>
                <w:szCs w:val="20"/>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30,489,54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62438542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Net unrealized depreciatio</w:t>
            </w:r>
            <w:r>
              <w:rPr>
                <w:sz w:val="20"/>
                <w:szCs w:val="20"/>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21,151,74</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spacing w:before="240" w:beforeAutospacing="0" w:after="0" w:afterAutospacing="0"/>
        <w:ind w:left="595"/>
        <w:jc w:val="both"/>
        <w:divId w:val="997146762"/>
        <w:rPr>
          <w:sz w:val="20"/>
          <w:szCs w:val="20"/>
        </w:rPr>
      </w:pPr>
      <w:r>
        <w:rPr>
          <w:b/>
          <w:bCs/>
          <w:i/>
          <w:iCs/>
          <w:sz w:val="19"/>
          <w:szCs w:val="19"/>
        </w:rPr>
        <w:t>Non-Accrual Loan</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997146762"/>
        <w:rPr>
          <w:sz w:val="20"/>
          <w:szCs w:val="20"/>
        </w:rPr>
      </w:pPr>
      <w:r>
        <w:rPr>
          <w:sz w:val="19"/>
          <w:szCs w:val="19"/>
        </w:rPr>
        <w:t>Loans or debt securities are placed on non-accrual status, as a general matter, when principal or interest payments are past due 30 days or more or when there is reasonable doubt that principal or interest will be collected. Accrued interest generally is r</w:t>
      </w:r>
      <w:r>
        <w:rPr>
          <w:sz w:val="19"/>
          <w:szCs w:val="19"/>
        </w:rPr>
        <w:t>eversed when a loan or debt security is placed on non-accrual status. Interest payments received on non-accrual loans or debt securities may be recognized as income or applied to principal depending upon management’s judgment. Non-accrual loans and debt se</w:t>
      </w:r>
      <w:r>
        <w:rPr>
          <w:sz w:val="19"/>
          <w:szCs w:val="19"/>
        </w:rPr>
        <w:t>curities are restored to accrual status when past due principal and interest is paid and, in management’s judgment, are likely to remain current. The Company may make exceptions to this treatment if the loan has sufficient collateral value and is in the pr</w:t>
      </w:r>
      <w:r>
        <w:rPr>
          <w:sz w:val="19"/>
          <w:szCs w:val="19"/>
        </w:rPr>
        <w:t>ocess of collection</w:t>
      </w:r>
      <w:r>
        <w:rPr>
          <w:sz w:val="19"/>
          <w:szCs w:val="19"/>
        </w:rPr>
        <w:t>.</w:t>
      </w:r>
      <w:r>
        <w:rPr>
          <w:sz w:val="19"/>
          <w:szCs w:val="19"/>
        </w:rPr>
        <w:t xml:space="preserve"> </w:t>
      </w:r>
    </w:p>
    <w:p w:rsidR="00000000" w:rsidRDefault="003D51DE">
      <w:pPr>
        <w:pStyle w:val="a3"/>
        <w:spacing w:before="240" w:beforeAutospacing="0" w:after="0" w:afterAutospacing="0"/>
        <w:ind w:left="595"/>
        <w:jc w:val="both"/>
        <w:divId w:val="2109109990"/>
        <w:rPr>
          <w:sz w:val="20"/>
          <w:szCs w:val="20"/>
        </w:rPr>
      </w:pPr>
      <w:r>
        <w:rPr>
          <w:b/>
          <w:bCs/>
          <w:i/>
          <w:iCs/>
          <w:sz w:val="19"/>
          <w:szCs w:val="19"/>
        </w:rPr>
        <w:t>Recently Adopted Accounting Pronouncement</w:t>
      </w:r>
      <w:r>
        <w:rPr>
          <w:b/>
          <w:bCs/>
          <w:i/>
          <w:iCs/>
          <w:sz w:val="19"/>
          <w:szCs w:val="19"/>
        </w:rPr>
        <w:t>s</w:t>
      </w:r>
    </w:p>
    <w:p w:rsidR="00000000" w:rsidRDefault="003D51DE">
      <w:pPr>
        <w:pStyle w:val="a3"/>
        <w:spacing w:before="240" w:beforeAutospacing="0" w:after="0" w:afterAutospacing="0"/>
        <w:ind w:firstLine="694"/>
        <w:jc w:val="both"/>
        <w:divId w:val="2109109990"/>
        <w:rPr>
          <w:sz w:val="20"/>
          <w:szCs w:val="20"/>
        </w:rPr>
      </w:pPr>
      <w:r>
        <w:rPr>
          <w:sz w:val="19"/>
          <w:szCs w:val="19"/>
        </w:rPr>
        <w:t>In August 2020, the FASB issued ASU No. 2020-06, “Debt-Debt with Conversion and Other Options (Subtopic 470-20) and Derivatives and Hedging-Contracts in Entity’s Own Equity (Subtopic 815-40):</w:t>
      </w:r>
      <w:r>
        <w:rPr>
          <w:sz w:val="19"/>
          <w:szCs w:val="19"/>
        </w:rPr>
        <w:t xml:space="preserve"> Accounting for Convertible Instruments and Contracts in a</w:t>
      </w:r>
      <w:r>
        <w:rPr>
          <w:sz w:val="19"/>
          <w:szCs w:val="19"/>
        </w:rPr>
        <w:t>n</w:t>
      </w:r>
      <w:r>
        <w:rPr>
          <w:sz w:val="19"/>
          <w:szCs w:val="19"/>
        </w:rPr>
        <w:t xml:space="preserve"> </w:t>
      </w:r>
    </w:p>
    <w:p w:rsidR="00000000" w:rsidRDefault="003D51DE">
      <w:pPr>
        <w:pStyle w:val="a3"/>
        <w:spacing w:before="0" w:beforeAutospacing="0" w:after="0" w:afterAutospacing="0"/>
        <w:jc w:val="center"/>
        <w:divId w:val="2109109990"/>
        <w:rPr>
          <w:sz w:val="20"/>
          <w:szCs w:val="20"/>
        </w:rPr>
      </w:pPr>
      <w:r>
        <w:rPr>
          <w:sz w:val="20"/>
          <w:szCs w:val="20"/>
        </w:rPr>
        <w:t> </w:t>
      </w:r>
    </w:p>
    <w:p w:rsidR="00000000" w:rsidRDefault="003D51DE">
      <w:pPr>
        <w:pStyle w:val="a3"/>
        <w:spacing w:before="0" w:beforeAutospacing="0" w:after="0" w:afterAutospacing="0"/>
        <w:jc w:val="center"/>
        <w:divId w:val="2109109990"/>
        <w:rPr>
          <w:sz w:val="20"/>
          <w:szCs w:val="20"/>
        </w:rPr>
      </w:pPr>
      <w:r>
        <w:rPr>
          <w:sz w:val="19"/>
          <w:szCs w:val="19"/>
        </w:rPr>
        <w:t>3</w:t>
      </w:r>
      <w:r>
        <w:rPr>
          <w:sz w:val="19"/>
          <w:szCs w:val="19"/>
        </w:rPr>
        <w:t>0</w:t>
      </w:r>
    </w:p>
    <w:p w:rsidR="00000000" w:rsidRDefault="003D51DE">
      <w:pPr>
        <w:divId w:val="2109109990"/>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3D51DE">
      <w:pPr>
        <w:pStyle w:val="a3"/>
        <w:spacing w:before="0" w:beforeAutospacing="0" w:after="0" w:afterAutospacing="0"/>
        <w:divId w:val="2109109990"/>
        <w:rPr>
          <w:sz w:val="20"/>
          <w:szCs w:val="20"/>
        </w:rPr>
      </w:pPr>
      <w:r>
        <w:rPr>
          <w:sz w:val="20"/>
          <w:szCs w:val="20"/>
        </w:rPr>
        <w:t> </w:t>
      </w:r>
    </w:p>
    <w:p w:rsidR="00000000" w:rsidRDefault="003D51DE">
      <w:pPr>
        <w:pStyle w:val="a3"/>
        <w:spacing w:before="240" w:beforeAutospacing="0" w:after="0" w:afterAutospacing="0"/>
        <w:jc w:val="both"/>
        <w:divId w:val="2109109990"/>
        <w:rPr>
          <w:sz w:val="20"/>
          <w:szCs w:val="20"/>
        </w:rPr>
      </w:pPr>
      <w:r>
        <w:rPr>
          <w:sz w:val="19"/>
          <w:szCs w:val="19"/>
        </w:rPr>
        <w:t>Entity’s Own Equity,</w:t>
      </w:r>
      <w:r>
        <w:rPr>
          <w:sz w:val="19"/>
          <w:szCs w:val="19"/>
        </w:rPr>
        <w:t>”</w:t>
      </w:r>
      <w:r>
        <w:rPr>
          <w:i/>
          <w:iCs/>
          <w:sz w:val="19"/>
          <w:szCs w:val="19"/>
        </w:rPr>
        <w:t xml:space="preserve"> </w:t>
      </w:r>
      <w:r>
        <w:rPr>
          <w:sz w:val="19"/>
          <w:szCs w:val="19"/>
        </w:rPr>
        <w:t>which simplifies the accounting for convertible instruments by removing the separation models for (1) convertible debt with a cash</w:t>
      </w:r>
      <w:r>
        <w:rPr>
          <w:sz w:val="19"/>
          <w:szCs w:val="19"/>
        </w:rPr>
        <w:t xml:space="preserve"> conversion feature and (2) convertible instruments with a beneficial conversion feature. As a result, after adoption, a convertible debt instrument will be accounted for as a single liability measured at its amortized cost. Additionally, ASU 2020-06 requi</w:t>
      </w:r>
      <w:r>
        <w:rPr>
          <w:sz w:val="19"/>
          <w:szCs w:val="19"/>
        </w:rPr>
        <w:t>res the application of the if-converted method to calculate the impact of convertible instruments on diluted earnings per share. ASU 2020-06 is effective for fiscal years beginning after December 15, 2021, with early adoption permitted for fiscal years beg</w:t>
      </w:r>
      <w:r>
        <w:rPr>
          <w:sz w:val="19"/>
          <w:szCs w:val="19"/>
        </w:rPr>
        <w:t>inning after December 15, 2020, and can be adopted on either a fully retrospective or modified retrospective basis. The Company</w:t>
      </w:r>
      <w:r>
        <w:rPr>
          <w:sz w:val="19"/>
          <w:szCs w:val="19"/>
        </w:rPr>
        <w:t xml:space="preserve"> </w:t>
      </w:r>
      <w:r>
        <w:rPr>
          <w:sz w:val="19"/>
          <w:szCs w:val="19"/>
        </w:rPr>
        <w:t>adopte</w:t>
      </w:r>
      <w:r>
        <w:rPr>
          <w:sz w:val="19"/>
          <w:szCs w:val="19"/>
        </w:rPr>
        <w:t>d</w:t>
      </w:r>
      <w:r>
        <w:rPr>
          <w:sz w:val="19"/>
          <w:szCs w:val="19"/>
        </w:rPr>
        <w:t xml:space="preserve"> </w:t>
      </w:r>
      <w:r>
        <w:rPr>
          <w:sz w:val="19"/>
          <w:szCs w:val="19"/>
        </w:rPr>
        <w:t>ASU 2020-0</w:t>
      </w:r>
      <w:r>
        <w:rPr>
          <w:sz w:val="19"/>
          <w:szCs w:val="19"/>
        </w:rPr>
        <w:t>6</w:t>
      </w:r>
      <w:r>
        <w:rPr>
          <w:sz w:val="19"/>
          <w:szCs w:val="19"/>
        </w:rPr>
        <w:t xml:space="preserve"> under the modified retrospective basis as of</w:t>
      </w:r>
      <w:r>
        <w:rPr>
          <w:sz w:val="19"/>
          <w:szCs w:val="19"/>
        </w:rPr>
        <w:t xml:space="preserve"> </w:t>
      </w:r>
      <w:r>
        <w:rPr>
          <w:sz w:val="19"/>
          <w:szCs w:val="19"/>
        </w:rPr>
        <w:t>January 1, 202</w:t>
      </w:r>
      <w:r>
        <w:rPr>
          <w:sz w:val="19"/>
          <w:szCs w:val="19"/>
        </w:rPr>
        <w:t>2</w:t>
      </w:r>
      <w:r>
        <w:rPr>
          <w:sz w:val="19"/>
          <w:szCs w:val="19"/>
        </w:rPr>
        <w:t>. The impact of the Company’s adoption under the</w:t>
      </w:r>
      <w:r>
        <w:rPr>
          <w:sz w:val="19"/>
          <w:szCs w:val="19"/>
        </w:rPr>
        <w:t xml:space="preserve"> modified retrospective basis required a cumulative effect adjustment to opening net assets for the remaining unamortized original issue discount on the 2022 Convertible Notes, an increase to the Company’s debt balance as a result of the recombination of t</w:t>
      </w:r>
      <w:r>
        <w:rPr>
          <w:sz w:val="19"/>
          <w:szCs w:val="19"/>
        </w:rPr>
        <w:t>he equity conversion component of the 2022 Convertible Notes to bring the balance to par, net of deferred issuance costs, and a lower interest expense on the Consolidated Statements of Operations. The Company’s adoption of this guidance did</w:t>
      </w:r>
      <w:r>
        <w:rPr>
          <w:sz w:val="19"/>
          <w:szCs w:val="19"/>
        </w:rPr>
        <w:t xml:space="preserve"> </w:t>
      </w:r>
      <w:r>
        <w:rPr>
          <w:sz w:val="19"/>
          <w:szCs w:val="19"/>
        </w:rPr>
        <w:t>no</w:t>
      </w:r>
      <w:r>
        <w:rPr>
          <w:sz w:val="19"/>
          <w:szCs w:val="19"/>
        </w:rPr>
        <w:t>t</w:t>
      </w:r>
      <w:r>
        <w:rPr>
          <w:sz w:val="19"/>
          <w:szCs w:val="19"/>
        </w:rPr>
        <w:t xml:space="preserve"> have a mate</w:t>
      </w:r>
      <w:r>
        <w:rPr>
          <w:sz w:val="19"/>
          <w:szCs w:val="19"/>
        </w:rPr>
        <w:t>rial impact on the Company’s financial position, results of operations, or cash flows</w:t>
      </w:r>
      <w:r>
        <w:rPr>
          <w:sz w:val="19"/>
          <w:szCs w:val="19"/>
        </w:rPr>
        <w:t>.</w:t>
      </w:r>
      <w:r>
        <w:rPr>
          <w:sz w:val="19"/>
          <w:szCs w:val="19"/>
        </w:rPr>
        <w:t xml:space="preserve"> </w:t>
      </w:r>
    </w:p>
    <w:p w:rsidR="00000000" w:rsidRDefault="003D51DE">
      <w:pPr>
        <w:pStyle w:val="a3"/>
        <w:spacing w:before="240" w:beforeAutospacing="0" w:after="0" w:afterAutospacing="0"/>
        <w:jc w:val="both"/>
        <w:divId w:val="757140394"/>
        <w:rPr>
          <w:sz w:val="20"/>
          <w:szCs w:val="20"/>
        </w:rPr>
      </w:pPr>
      <w:r>
        <w:rPr>
          <w:b/>
          <w:bCs/>
          <w:sz w:val="19"/>
          <w:szCs w:val="19"/>
        </w:rPr>
        <w:t>3. Management Fees, Incentive Fees and Other Expense</w:t>
      </w:r>
      <w:r>
        <w:rPr>
          <w:b/>
          <w:bCs/>
          <w:sz w:val="19"/>
          <w:szCs w:val="19"/>
        </w:rPr>
        <w:t>s</w:t>
      </w:r>
      <w:r>
        <w:rPr>
          <w:b/>
          <w:bCs/>
          <w:sz w:val="19"/>
          <w:szCs w:val="19"/>
        </w:rPr>
        <w:t xml:space="preserve"> </w:t>
      </w:r>
    </w:p>
    <w:p w:rsidR="00000000" w:rsidRDefault="003D51DE">
      <w:pPr>
        <w:pStyle w:val="a3"/>
        <w:spacing w:before="240" w:beforeAutospacing="0" w:after="0" w:afterAutospacing="0"/>
        <w:ind w:left="595"/>
        <w:jc w:val="both"/>
        <w:divId w:val="757140394"/>
        <w:rPr>
          <w:sz w:val="20"/>
          <w:szCs w:val="20"/>
        </w:rPr>
      </w:pPr>
      <w:r>
        <w:rPr>
          <w:b/>
          <w:bCs/>
          <w:i/>
          <w:iCs/>
          <w:sz w:val="19"/>
          <w:szCs w:val="19"/>
        </w:rPr>
        <w:t>Investment Management Agreemen</w:t>
      </w:r>
      <w:r>
        <w:rPr>
          <w:b/>
          <w:bCs/>
          <w:i/>
          <w:iCs/>
          <w:sz w:val="19"/>
          <w:szCs w:val="19"/>
        </w:rPr>
        <w:t>t</w:t>
      </w:r>
      <w:r>
        <w:rPr>
          <w:b/>
          <w:bCs/>
          <w:i/>
          <w:iCs/>
          <w:sz w:val="19"/>
          <w:szCs w:val="19"/>
        </w:rPr>
        <w:t xml:space="preserve"> </w:t>
      </w:r>
    </w:p>
    <w:p w:rsidR="00000000" w:rsidRDefault="003D51DE">
      <w:pPr>
        <w:pStyle w:val="a3"/>
        <w:spacing w:before="240" w:beforeAutospacing="0" w:after="0" w:afterAutospacing="0"/>
        <w:ind w:firstLine="694"/>
        <w:jc w:val="both"/>
        <w:divId w:val="757140394"/>
        <w:rPr>
          <w:sz w:val="20"/>
          <w:szCs w:val="20"/>
        </w:rPr>
      </w:pPr>
      <w:r>
        <w:rPr>
          <w:sz w:val="19"/>
          <w:szCs w:val="19"/>
        </w:rPr>
        <w:t>On May 2, 2020, the Company and the Advisor, amended and restated the previous investment management agreement (the “Current Management Agreement”), which reduced the Company’s base management fee (“Management Fee”) and incentive management fee (“Incentive</w:t>
      </w:r>
      <w:r>
        <w:rPr>
          <w:sz w:val="19"/>
          <w:szCs w:val="19"/>
        </w:rPr>
        <w:t xml:space="preserve"> Fee”) rates, which are further described below. For terms prior to the Current Management Agreement, refer to the Company’s Form 10-K as filed with the SEC on March 2, 2022</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757140394"/>
        <w:rPr>
          <w:sz w:val="20"/>
          <w:szCs w:val="20"/>
        </w:rPr>
      </w:pPr>
      <w:r>
        <w:rPr>
          <w:sz w:val="19"/>
          <w:szCs w:val="19"/>
        </w:rPr>
        <w:t>The Current Management Agreement will be in effect from year-to-year if approved</w:t>
      </w:r>
      <w:r>
        <w:rPr>
          <w:sz w:val="19"/>
          <w:szCs w:val="19"/>
        </w:rPr>
        <w:t xml:space="preserve"> annually by the Board or by the affirmative vote of the holders of a majority of outstanding voting securities, including, in either case, approval by a majority of the directors who are not interested persons. The Company’s Board approved the continuatio</w:t>
      </w:r>
      <w:r>
        <w:rPr>
          <w:sz w:val="19"/>
          <w:szCs w:val="19"/>
        </w:rPr>
        <w:t>n of the Current Management Agreement on October 28, 2022</w:t>
      </w:r>
      <w:r>
        <w:rPr>
          <w:sz w:val="19"/>
          <w:szCs w:val="19"/>
        </w:rPr>
        <w:t>.</w:t>
      </w:r>
    </w:p>
    <w:p w:rsidR="00000000" w:rsidRDefault="003D51DE">
      <w:pPr>
        <w:pStyle w:val="a3"/>
        <w:spacing w:before="240" w:beforeAutospacing="0" w:after="0" w:afterAutospacing="0"/>
        <w:ind w:left="595"/>
        <w:jc w:val="both"/>
        <w:divId w:val="757140394"/>
        <w:rPr>
          <w:sz w:val="20"/>
          <w:szCs w:val="20"/>
        </w:rPr>
      </w:pPr>
      <w:r>
        <w:rPr>
          <w:b/>
          <w:bCs/>
          <w:i/>
          <w:iCs/>
          <w:sz w:val="19"/>
          <w:szCs w:val="19"/>
        </w:rPr>
        <w:t>Management Fe</w:t>
      </w:r>
      <w:r>
        <w:rPr>
          <w:b/>
          <w:bCs/>
          <w:i/>
          <w:iCs/>
          <w:sz w:val="19"/>
          <w:szCs w:val="19"/>
        </w:rPr>
        <w:t>e</w:t>
      </w:r>
      <w:r>
        <w:rPr>
          <w:b/>
          <w:bCs/>
          <w:i/>
          <w:iCs/>
          <w:sz w:val="19"/>
          <w:szCs w:val="19"/>
        </w:rPr>
        <w:t xml:space="preserve"> </w:t>
      </w:r>
    </w:p>
    <w:p w:rsidR="00000000" w:rsidRDefault="003D51DE">
      <w:pPr>
        <w:pStyle w:val="a3"/>
        <w:spacing w:before="240" w:beforeAutospacing="0" w:after="0" w:afterAutospacing="0"/>
        <w:ind w:firstLine="694"/>
        <w:jc w:val="both"/>
        <w:divId w:val="757140394"/>
        <w:rPr>
          <w:sz w:val="20"/>
          <w:szCs w:val="20"/>
        </w:rPr>
      </w:pPr>
      <w:r>
        <w:rPr>
          <w:sz w:val="19"/>
          <w:szCs w:val="19"/>
        </w:rPr>
        <w:t>Under the Current Management Agreement, the Advisor, subject to the overall supervision of the Board, manages the day-to-day operations and provides the Company with investment advisory services. For providing these services, effective May 2, 2020, the Adv</w:t>
      </w:r>
      <w:r>
        <w:rPr>
          <w:sz w:val="19"/>
          <w:szCs w:val="19"/>
        </w:rPr>
        <w:t>isor receives a Management Fee at an annual rate of</w:t>
      </w:r>
      <w:r>
        <w:rPr>
          <w:sz w:val="19"/>
          <w:szCs w:val="19"/>
        </w:rPr>
        <w:t xml:space="preserve"> </w:t>
      </w:r>
      <w:r>
        <w:rPr>
          <w:sz w:val="19"/>
          <w:szCs w:val="19"/>
        </w:rPr>
        <w:t>1.5</w:t>
      </w:r>
      <w:r>
        <w:rPr>
          <w:sz w:val="19"/>
          <w:szCs w:val="19"/>
        </w:rPr>
        <w:t>0</w:t>
      </w:r>
      <w:r>
        <w:rPr>
          <w:sz w:val="19"/>
          <w:szCs w:val="19"/>
        </w:rPr>
        <w:t>% of total assets up to</w:t>
      </w:r>
      <w:r>
        <w:rPr>
          <w:sz w:val="19"/>
          <w:szCs w:val="19"/>
        </w:rPr>
        <w:t xml:space="preserve"> </w:t>
      </w:r>
      <w:r>
        <w:rPr>
          <w:sz w:val="19"/>
          <w:szCs w:val="19"/>
        </w:rPr>
        <w:t>20</w:t>
      </w:r>
      <w:r>
        <w:rPr>
          <w:sz w:val="19"/>
          <w:szCs w:val="19"/>
        </w:rPr>
        <w:t>0</w:t>
      </w:r>
      <w:r>
        <w:rPr>
          <w:sz w:val="19"/>
          <w:szCs w:val="19"/>
        </w:rPr>
        <w:t>% of net asset value (excluding cash and cash equivalents), including any assets acquired with the proceeds of leverage, payable quarterly in arrears based on the asset valu</w:t>
      </w:r>
      <w:r>
        <w:rPr>
          <w:sz w:val="19"/>
          <w:szCs w:val="19"/>
        </w:rPr>
        <w:t>ation as of the end of the prior quarter. Additionally, the Management Fee is calculated at</w:t>
      </w:r>
      <w:r>
        <w:rPr>
          <w:sz w:val="19"/>
          <w:szCs w:val="19"/>
        </w:rPr>
        <w:t xml:space="preserve"> </w:t>
      </w:r>
      <w:r>
        <w:rPr>
          <w:sz w:val="19"/>
          <w:szCs w:val="19"/>
        </w:rPr>
        <w:t>1.0</w:t>
      </w:r>
      <w:r>
        <w:rPr>
          <w:sz w:val="19"/>
          <w:szCs w:val="19"/>
        </w:rPr>
        <w:t>0</w:t>
      </w:r>
      <w:r>
        <w:rPr>
          <w:sz w:val="19"/>
          <w:szCs w:val="19"/>
        </w:rPr>
        <w:t>% on assets that exceed</w:t>
      </w:r>
      <w:r>
        <w:rPr>
          <w:sz w:val="19"/>
          <w:szCs w:val="19"/>
        </w:rPr>
        <w:t xml:space="preserve"> </w:t>
      </w:r>
      <w:r>
        <w:rPr>
          <w:sz w:val="19"/>
          <w:szCs w:val="19"/>
        </w:rPr>
        <w:t>20</w:t>
      </w:r>
      <w:r>
        <w:rPr>
          <w:sz w:val="19"/>
          <w:szCs w:val="19"/>
        </w:rPr>
        <w:t>0</w:t>
      </w:r>
      <w:r>
        <w:rPr>
          <w:sz w:val="19"/>
          <w:szCs w:val="19"/>
        </w:rPr>
        <w:t>% of net asset value of the Company. The Management Fee for any partial quarter is prorated</w:t>
      </w:r>
      <w:r>
        <w:rPr>
          <w:sz w:val="19"/>
          <w:szCs w:val="19"/>
        </w:rPr>
        <w:t>.</w:t>
      </w:r>
    </w:p>
    <w:p w:rsidR="00000000" w:rsidRDefault="003D51DE">
      <w:pPr>
        <w:pStyle w:val="a3"/>
        <w:spacing w:before="180" w:beforeAutospacing="0" w:after="0" w:afterAutospacing="0"/>
        <w:ind w:firstLine="694"/>
        <w:jc w:val="both"/>
        <w:divId w:val="757140394"/>
        <w:rPr>
          <w:sz w:val="20"/>
          <w:szCs w:val="20"/>
        </w:rPr>
      </w:pPr>
      <w:r>
        <w:rPr>
          <w:sz w:val="19"/>
          <w:szCs w:val="19"/>
        </w:rPr>
        <w:t>For the three and nine months ended Sept</w:t>
      </w:r>
      <w:r>
        <w:rPr>
          <w:sz w:val="19"/>
          <w:szCs w:val="19"/>
        </w:rPr>
        <w:t>ember 30, 2022, the Company incurred</w:t>
      </w:r>
      <w:r>
        <w:rPr>
          <w:sz w:val="19"/>
          <w:szCs w:val="19"/>
        </w:rPr>
        <w:t xml:space="preserve"> </w:t>
      </w:r>
      <w:r>
        <w:rPr>
          <w:sz w:val="19"/>
          <w:szCs w:val="19"/>
        </w:rPr>
        <w:t>$</w:t>
      </w:r>
      <w:r>
        <w:rPr>
          <w:sz w:val="19"/>
          <w:szCs w:val="19"/>
        </w:rPr>
        <w:t>2,118,11</w:t>
      </w:r>
      <w:r>
        <w:rPr>
          <w:sz w:val="19"/>
          <w:szCs w:val="19"/>
        </w:rPr>
        <w:t>5</w:t>
      </w:r>
      <w:r>
        <w:rPr>
          <w:sz w:val="19"/>
          <w:szCs w:val="19"/>
        </w:rPr>
        <w:t xml:space="preserve"> and </w:t>
      </w:r>
      <w:r>
        <w:rPr>
          <w:sz w:val="19"/>
          <w:szCs w:val="19"/>
        </w:rPr>
        <w:t>$</w:t>
      </w:r>
      <w:r>
        <w:rPr>
          <w:sz w:val="19"/>
          <w:szCs w:val="19"/>
        </w:rPr>
        <w:t>6,125,14</w:t>
      </w:r>
      <w:r>
        <w:rPr>
          <w:sz w:val="19"/>
          <w:szCs w:val="19"/>
        </w:rPr>
        <w:t>6</w:t>
      </w:r>
      <w:r>
        <w:rPr>
          <w:sz w:val="19"/>
          <w:szCs w:val="19"/>
        </w:rPr>
        <w:t xml:space="preserve">, respectively, in Management Fees under the Current Management Agreement. For the three and nine months ended September 30, 2021, the Company incurred </w:t>
      </w:r>
      <w:r>
        <w:rPr>
          <w:sz w:val="19"/>
          <w:szCs w:val="19"/>
        </w:rPr>
        <w:t>$</w:t>
      </w:r>
      <w:r>
        <w:rPr>
          <w:sz w:val="19"/>
          <w:szCs w:val="19"/>
        </w:rPr>
        <w:t>2,086,21</w:t>
      </w:r>
      <w:r>
        <w:rPr>
          <w:sz w:val="19"/>
          <w:szCs w:val="19"/>
        </w:rPr>
        <w:t>9</w:t>
      </w:r>
      <w:r>
        <w:rPr>
          <w:sz w:val="19"/>
          <w:szCs w:val="19"/>
        </w:rPr>
        <w:t xml:space="preserve"> and </w:t>
      </w:r>
      <w:r>
        <w:rPr>
          <w:sz w:val="19"/>
          <w:szCs w:val="19"/>
        </w:rPr>
        <w:t>$</w:t>
      </w:r>
      <w:r>
        <w:rPr>
          <w:sz w:val="19"/>
          <w:szCs w:val="19"/>
        </w:rPr>
        <w:t>5,661,66</w:t>
      </w:r>
      <w:r>
        <w:rPr>
          <w:sz w:val="19"/>
          <w:szCs w:val="19"/>
        </w:rPr>
        <w:t>9</w:t>
      </w:r>
      <w:r>
        <w:rPr>
          <w:sz w:val="19"/>
          <w:szCs w:val="19"/>
        </w:rPr>
        <w:t>, respectively, i</w:t>
      </w:r>
      <w:r>
        <w:rPr>
          <w:sz w:val="19"/>
          <w:szCs w:val="19"/>
        </w:rPr>
        <w:t>n Management Fees under the Current Management Agreement</w:t>
      </w:r>
      <w:r>
        <w:rPr>
          <w:sz w:val="19"/>
          <w:szCs w:val="19"/>
        </w:rPr>
        <w:t>.</w:t>
      </w:r>
    </w:p>
    <w:p w:rsidR="00000000" w:rsidRDefault="003D51DE">
      <w:pPr>
        <w:pStyle w:val="a3"/>
        <w:spacing w:before="240" w:beforeAutospacing="0" w:after="0" w:afterAutospacing="0"/>
        <w:ind w:left="595"/>
        <w:jc w:val="both"/>
        <w:divId w:val="757140394"/>
        <w:rPr>
          <w:sz w:val="20"/>
          <w:szCs w:val="20"/>
        </w:rPr>
      </w:pPr>
      <w:r>
        <w:rPr>
          <w:b/>
          <w:bCs/>
          <w:i/>
          <w:iCs/>
          <w:sz w:val="19"/>
          <w:szCs w:val="19"/>
        </w:rPr>
        <w:t>Incentive Fee</w:t>
      </w:r>
      <w:r>
        <w:rPr>
          <w:b/>
          <w:bCs/>
          <w:i/>
          <w:iCs/>
          <w:sz w:val="19"/>
          <w:szCs w:val="19"/>
        </w:rPr>
        <w:t>s</w:t>
      </w:r>
      <w:r>
        <w:rPr>
          <w:b/>
          <w:bCs/>
          <w:i/>
          <w:iCs/>
          <w:sz w:val="19"/>
          <w:szCs w:val="19"/>
        </w:rPr>
        <w:t xml:space="preserve"> </w:t>
      </w:r>
    </w:p>
    <w:p w:rsidR="00000000" w:rsidRDefault="003D51DE">
      <w:pPr>
        <w:jc w:val="both"/>
        <w:divId w:val="2100985716"/>
        <w:rPr>
          <w:rFonts w:eastAsia="Times New Roman"/>
          <w:sz w:val="20"/>
          <w:szCs w:val="20"/>
        </w:rPr>
      </w:pPr>
      <w:r>
        <w:rPr>
          <w:rFonts w:eastAsia="Times New Roman"/>
          <w:b/>
          <w:bCs/>
          <w:i/>
          <w:iCs/>
          <w:sz w:val="19"/>
          <w:szCs w:val="19"/>
        </w:rPr>
        <w:t>(i</w:t>
      </w:r>
      <w:r>
        <w:rPr>
          <w:rFonts w:eastAsia="Times New Roman"/>
          <w:b/>
          <w:bCs/>
          <w:i/>
          <w:iCs/>
          <w:sz w:val="19"/>
          <w:szCs w:val="19"/>
        </w:rPr>
        <w:t>)</w:t>
      </w:r>
    </w:p>
    <w:p w:rsidR="00000000" w:rsidRDefault="003D51DE">
      <w:pPr>
        <w:jc w:val="both"/>
        <w:divId w:val="2103257724"/>
        <w:rPr>
          <w:rFonts w:eastAsia="Times New Roman"/>
          <w:sz w:val="20"/>
          <w:szCs w:val="20"/>
        </w:rPr>
      </w:pPr>
      <w:r>
        <w:rPr>
          <w:rFonts w:eastAsia="Times New Roman"/>
          <w:b/>
          <w:bCs/>
          <w:i/>
          <w:iCs/>
          <w:sz w:val="19"/>
          <w:szCs w:val="19"/>
        </w:rPr>
        <w:t>Quarterly Incentive Fee Based on Incom</w:t>
      </w:r>
      <w:r>
        <w:rPr>
          <w:rFonts w:eastAsia="Times New Roman"/>
          <w:b/>
          <w:bCs/>
          <w:i/>
          <w:iCs/>
          <w:sz w:val="19"/>
          <w:szCs w:val="19"/>
        </w:rPr>
        <w:t>e</w:t>
      </w:r>
    </w:p>
    <w:p w:rsidR="00000000" w:rsidRDefault="003D51DE">
      <w:pPr>
        <w:pStyle w:val="a3"/>
        <w:spacing w:before="240" w:beforeAutospacing="0" w:after="0" w:afterAutospacing="0"/>
        <w:ind w:firstLine="694"/>
        <w:jc w:val="both"/>
        <w:divId w:val="757140394"/>
        <w:rPr>
          <w:sz w:val="20"/>
          <w:szCs w:val="20"/>
        </w:rPr>
      </w:pPr>
      <w:r>
        <w:rPr>
          <w:sz w:val="19"/>
          <w:szCs w:val="19"/>
        </w:rPr>
        <w:t>The Current Management Agreement provides that the Advisor or its affiliates may be entitled to an Incentive Fee under certain circumstanc</w:t>
      </w:r>
      <w:r>
        <w:rPr>
          <w:sz w:val="19"/>
          <w:szCs w:val="19"/>
        </w:rPr>
        <w:t>es. The Incentive Fee has two parts. The first portion is based on income other than capital gains and is calculated separately for each calendar quarter and will be paid on a quarterly basis if certain circumstances are met. Effective May 2, 2020, the Inc</w:t>
      </w:r>
      <w:r>
        <w:rPr>
          <w:sz w:val="19"/>
          <w:szCs w:val="19"/>
        </w:rPr>
        <w:t>entive Fee based on income is calculated as follows</w:t>
      </w:r>
      <w:r>
        <w:rPr>
          <w:sz w:val="19"/>
          <w:szCs w:val="19"/>
        </w:rPr>
        <w:t>:</w:t>
      </w:r>
      <w:r>
        <w:rPr>
          <w:sz w:val="19"/>
          <w:szCs w:val="19"/>
        </w:rPr>
        <w:t xml:space="preserve"> </w:t>
      </w:r>
    </w:p>
    <w:p w:rsidR="00000000" w:rsidRDefault="003D51DE">
      <w:pPr>
        <w:jc w:val="both"/>
        <w:divId w:val="148248657"/>
        <w:rPr>
          <w:rFonts w:eastAsia="Times New Roman"/>
          <w:sz w:val="20"/>
          <w:szCs w:val="20"/>
        </w:rPr>
      </w:pPr>
      <w:r>
        <w:rPr>
          <w:rFonts w:eastAsia="Times New Roman"/>
          <w:sz w:val="19"/>
          <w:szCs w:val="19"/>
        </w:rPr>
        <w:t>•</w:t>
      </w:r>
    </w:p>
    <w:p w:rsidR="00000000" w:rsidRDefault="003D51DE">
      <w:pPr>
        <w:jc w:val="both"/>
        <w:divId w:val="1124345502"/>
        <w:rPr>
          <w:rFonts w:eastAsia="Times New Roman"/>
          <w:sz w:val="20"/>
          <w:szCs w:val="20"/>
        </w:rPr>
      </w:pPr>
      <w:r>
        <w:rPr>
          <w:rFonts w:eastAsia="Times New Roman"/>
          <w:sz w:val="19"/>
          <w:szCs w:val="19"/>
        </w:rPr>
        <w:t>N</w:t>
      </w:r>
      <w:r>
        <w:rPr>
          <w:rFonts w:eastAsia="Times New Roman"/>
          <w:sz w:val="19"/>
          <w:szCs w:val="19"/>
        </w:rPr>
        <w:t>o</w:t>
      </w:r>
      <w:r>
        <w:rPr>
          <w:rFonts w:eastAsia="Times New Roman"/>
          <w:sz w:val="19"/>
          <w:szCs w:val="19"/>
        </w:rPr>
        <w:t xml:space="preserve"> Incentive Fee based on income other than capital gains for any calendar quarter in which the Pre-Incentive Fee Net Investment Income does not exceed</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w:t>
      </w:r>
      <w:r>
        <w:rPr>
          <w:rFonts w:eastAsia="Times New Roman"/>
          <w:sz w:val="19"/>
          <w:szCs w:val="19"/>
        </w:rPr>
        <w:t>ble to common stock at the beginning of such quarter.</w:t>
      </w:r>
      <w:r>
        <w:rPr>
          <w:rFonts w:eastAsia="Times New Roman"/>
          <w:sz w:val="19"/>
          <w:szCs w:val="19"/>
        </w:rPr>
        <w:t xml:space="preserve"> </w:t>
      </w:r>
    </w:p>
    <w:p w:rsidR="00000000" w:rsidRDefault="003D51DE">
      <w:pPr>
        <w:jc w:val="both"/>
        <w:divId w:val="529531233"/>
        <w:rPr>
          <w:rFonts w:eastAsia="Times New Roman"/>
          <w:sz w:val="20"/>
          <w:szCs w:val="20"/>
        </w:rPr>
      </w:pPr>
      <w:r>
        <w:rPr>
          <w:rFonts w:eastAsia="Times New Roman"/>
          <w:sz w:val="19"/>
          <w:szCs w:val="19"/>
        </w:rPr>
        <w:t>•</w:t>
      </w:r>
    </w:p>
    <w:p w:rsidR="00000000" w:rsidRDefault="003D51DE">
      <w:pPr>
        <w:jc w:val="both"/>
        <w:divId w:val="2099012836"/>
        <w:rPr>
          <w:rFonts w:eastAsia="Times New Roman"/>
          <w:sz w:val="20"/>
          <w:szCs w:val="20"/>
        </w:rPr>
      </w:pPr>
      <w:r>
        <w:rPr>
          <w:rFonts w:eastAsia="Times New Roman"/>
          <w:sz w:val="19"/>
          <w:szCs w:val="19"/>
        </w:rPr>
        <w:t>10</w:t>
      </w:r>
      <w:r>
        <w:rPr>
          <w:rFonts w:eastAsia="Times New Roman"/>
          <w:sz w:val="19"/>
          <w:szCs w:val="19"/>
        </w:rPr>
        <w:t>0</w:t>
      </w:r>
      <w:r>
        <w:rPr>
          <w:rFonts w:eastAsia="Times New Roman"/>
          <w:sz w:val="19"/>
          <w:szCs w:val="19"/>
        </w:rPr>
        <w:t>% of the Pre-Incentive Fee Net Investment Income in any calendar quarter with respect to that portion of such Pre-Incentive Fee Net Investment Income, if any, for such calendar quarter, that excee</w:t>
      </w:r>
      <w:r>
        <w:rPr>
          <w:rFonts w:eastAsia="Times New Roman"/>
          <w:sz w:val="19"/>
          <w:szCs w:val="19"/>
        </w:rPr>
        <w:t>ds</w:t>
      </w:r>
      <w:r>
        <w:rPr>
          <w:rFonts w:eastAsia="Times New Roman"/>
          <w:sz w:val="19"/>
          <w:szCs w:val="19"/>
        </w:rPr>
        <w:t xml:space="preserve"> </w:t>
      </w:r>
      <w:r>
        <w:rPr>
          <w:rFonts w:eastAsia="Times New Roman"/>
          <w:sz w:val="19"/>
          <w:szCs w:val="19"/>
        </w:rPr>
        <w:t>1.7</w:t>
      </w:r>
      <w:r>
        <w:rPr>
          <w:rFonts w:eastAsia="Times New Roman"/>
          <w:sz w:val="19"/>
          <w:szCs w:val="19"/>
        </w:rPr>
        <w:t>5</w:t>
      </w:r>
      <w:r>
        <w:rPr>
          <w:rFonts w:eastAsia="Times New Roman"/>
          <w:sz w:val="19"/>
          <w:szCs w:val="19"/>
        </w:rPr>
        <w:t xml:space="preserve">% </w:t>
      </w:r>
      <w:r>
        <w:rPr>
          <w:rFonts w:eastAsia="Times New Roman"/>
          <w:sz w:val="19"/>
          <w:szCs w:val="19"/>
        </w:rPr>
        <w:t>(</w:t>
      </w:r>
      <w:r>
        <w:rPr>
          <w:rFonts w:eastAsia="Times New Roman"/>
          <w:sz w:val="19"/>
          <w:szCs w:val="19"/>
        </w:rPr>
        <w:t>7.0</w:t>
      </w:r>
      <w:r>
        <w:rPr>
          <w:rFonts w:eastAsia="Times New Roman"/>
          <w:sz w:val="19"/>
          <w:szCs w:val="19"/>
        </w:rPr>
        <w:t>0</w:t>
      </w:r>
      <w:r>
        <w:rPr>
          <w:rFonts w:eastAsia="Times New Roman"/>
          <w:sz w:val="19"/>
          <w:szCs w:val="19"/>
        </w:rPr>
        <w:t>% annualized) of net assets attributable to common stock at the beginning of such quarter but is less than approximately</w:t>
      </w:r>
      <w:r>
        <w:rPr>
          <w:rFonts w:eastAsia="Times New Roman"/>
          <w:sz w:val="19"/>
          <w:szCs w:val="19"/>
        </w:rPr>
        <w:t xml:space="preserve"> </w:t>
      </w:r>
      <w:r>
        <w:rPr>
          <w:rFonts w:eastAsia="Times New Roman"/>
          <w:sz w:val="19"/>
          <w:szCs w:val="19"/>
        </w:rPr>
        <w:t>2.1</w:t>
      </w:r>
      <w:r>
        <w:rPr>
          <w:rFonts w:eastAsia="Times New Roman"/>
          <w:sz w:val="19"/>
          <w:szCs w:val="19"/>
        </w:rPr>
        <w:t>2</w:t>
      </w:r>
      <w:r>
        <w:rPr>
          <w:rFonts w:eastAsia="Times New Roman"/>
          <w:sz w:val="19"/>
          <w:szCs w:val="19"/>
        </w:rPr>
        <w:t xml:space="preserve">% </w:t>
      </w:r>
      <w:r>
        <w:rPr>
          <w:rFonts w:eastAsia="Times New Roman"/>
          <w:sz w:val="19"/>
          <w:szCs w:val="19"/>
        </w:rPr>
        <w:t>(</w:t>
      </w:r>
      <w:r>
        <w:rPr>
          <w:rFonts w:eastAsia="Times New Roman"/>
          <w:sz w:val="19"/>
          <w:szCs w:val="19"/>
        </w:rPr>
        <w:t>8.4</w:t>
      </w:r>
      <w:r>
        <w:rPr>
          <w:rFonts w:eastAsia="Times New Roman"/>
          <w:sz w:val="19"/>
          <w:szCs w:val="19"/>
        </w:rPr>
        <w:t>8</w:t>
      </w:r>
      <w:r>
        <w:rPr>
          <w:rFonts w:eastAsia="Times New Roman"/>
          <w:sz w:val="19"/>
          <w:szCs w:val="19"/>
        </w:rPr>
        <w:t>% annualized).</w:t>
      </w:r>
      <w:r>
        <w:rPr>
          <w:rFonts w:eastAsia="Times New Roman"/>
          <w:sz w:val="19"/>
          <w:szCs w:val="19"/>
        </w:rPr>
        <w:t xml:space="preserve"> </w:t>
      </w:r>
    </w:p>
    <w:p w:rsidR="00000000" w:rsidRDefault="003D51DE">
      <w:pPr>
        <w:jc w:val="both"/>
        <w:divId w:val="713696778"/>
        <w:rPr>
          <w:rFonts w:eastAsia="Times New Roman"/>
          <w:sz w:val="20"/>
          <w:szCs w:val="20"/>
        </w:rPr>
      </w:pPr>
      <w:r>
        <w:rPr>
          <w:rFonts w:eastAsia="Times New Roman"/>
          <w:sz w:val="19"/>
          <w:szCs w:val="19"/>
        </w:rPr>
        <w:t>•</w:t>
      </w:r>
    </w:p>
    <w:p w:rsidR="00000000" w:rsidRDefault="003D51DE">
      <w:pPr>
        <w:jc w:val="both"/>
        <w:divId w:val="1920747336"/>
        <w:rPr>
          <w:rFonts w:eastAsia="Times New Roman"/>
          <w:sz w:val="20"/>
          <w:szCs w:val="20"/>
        </w:rPr>
      </w:pPr>
      <w:r>
        <w:rPr>
          <w:rFonts w:eastAsia="Times New Roman"/>
          <w:sz w:val="19"/>
          <w:szCs w:val="19"/>
        </w:rPr>
        <w:t>17.</w:t>
      </w:r>
      <w:r>
        <w:rPr>
          <w:rFonts w:eastAsia="Times New Roman"/>
          <w:sz w:val="19"/>
          <w:szCs w:val="19"/>
        </w:rPr>
        <w:t>5</w:t>
      </w:r>
      <w:r>
        <w:rPr>
          <w:rFonts w:eastAsia="Times New Roman"/>
          <w:sz w:val="19"/>
          <w:szCs w:val="19"/>
        </w:rPr>
        <w:t xml:space="preserve">% of the Pre-Incentive Fee Net Investment Income, if any, for any calendar quarter that </w:t>
      </w:r>
      <w:r>
        <w:rPr>
          <w:rFonts w:eastAsia="Times New Roman"/>
          <w:sz w:val="19"/>
          <w:szCs w:val="19"/>
        </w:rPr>
        <w:t>exceeds approximately</w:t>
      </w:r>
      <w:r>
        <w:rPr>
          <w:rFonts w:eastAsia="Times New Roman"/>
          <w:sz w:val="19"/>
          <w:szCs w:val="19"/>
        </w:rPr>
        <w:t xml:space="preserve"> </w:t>
      </w:r>
      <w:r>
        <w:rPr>
          <w:rFonts w:eastAsia="Times New Roman"/>
          <w:sz w:val="19"/>
          <w:szCs w:val="19"/>
        </w:rPr>
        <w:t>2.1</w:t>
      </w:r>
      <w:r>
        <w:rPr>
          <w:rFonts w:eastAsia="Times New Roman"/>
          <w:sz w:val="19"/>
          <w:szCs w:val="19"/>
        </w:rPr>
        <w:t>2</w:t>
      </w:r>
      <w:r>
        <w:rPr>
          <w:rFonts w:eastAsia="Times New Roman"/>
          <w:sz w:val="19"/>
          <w:szCs w:val="19"/>
        </w:rPr>
        <w:t xml:space="preserve">% </w:t>
      </w:r>
      <w:r>
        <w:rPr>
          <w:rFonts w:eastAsia="Times New Roman"/>
          <w:sz w:val="19"/>
          <w:szCs w:val="19"/>
        </w:rPr>
        <w:t>(</w:t>
      </w:r>
      <w:r>
        <w:rPr>
          <w:rFonts w:eastAsia="Times New Roman"/>
          <w:sz w:val="19"/>
          <w:szCs w:val="19"/>
        </w:rPr>
        <w:t>8.4</w:t>
      </w:r>
      <w:r>
        <w:rPr>
          <w:rFonts w:eastAsia="Times New Roman"/>
          <w:sz w:val="19"/>
          <w:szCs w:val="19"/>
        </w:rPr>
        <w:t>8</w:t>
      </w:r>
      <w:r>
        <w:rPr>
          <w:rFonts w:eastAsia="Times New Roman"/>
          <w:sz w:val="19"/>
          <w:szCs w:val="19"/>
        </w:rPr>
        <w:t>% annualized) of net assets attributable to common stock at the beginning of such quarter.</w:t>
      </w:r>
      <w:r>
        <w:rPr>
          <w:rFonts w:eastAsia="Times New Roman"/>
          <w:sz w:val="19"/>
          <w:szCs w:val="19"/>
        </w:rPr>
        <w:t xml:space="preserve"> </w:t>
      </w:r>
    </w:p>
    <w:p w:rsidR="00000000" w:rsidRDefault="003D51DE">
      <w:pPr>
        <w:pStyle w:val="a3"/>
        <w:spacing w:before="180" w:beforeAutospacing="0" w:after="0" w:afterAutospacing="0"/>
        <w:ind w:firstLine="694"/>
        <w:jc w:val="both"/>
        <w:divId w:val="757140394"/>
        <w:rPr>
          <w:sz w:val="20"/>
          <w:szCs w:val="20"/>
        </w:rPr>
      </w:pPr>
      <w:r>
        <w:rPr>
          <w:sz w:val="19"/>
          <w:szCs w:val="19"/>
        </w:rPr>
        <w:t>The calculations described above will be appropriately prorated for any period of less than a quarter and adjusted for the net proc</w:t>
      </w:r>
      <w:r>
        <w:rPr>
          <w:sz w:val="19"/>
          <w:szCs w:val="19"/>
        </w:rPr>
        <w:t>eeds from any common stock issuances and the cost of any common stock repurchases during such quarter</w:t>
      </w:r>
      <w:r>
        <w:rPr>
          <w:sz w:val="19"/>
          <w:szCs w:val="19"/>
        </w:rPr>
        <w:t>.</w:t>
      </w:r>
    </w:p>
    <w:p w:rsidR="00000000" w:rsidRDefault="003D51DE">
      <w:pPr>
        <w:pStyle w:val="a3"/>
        <w:spacing w:before="180" w:beforeAutospacing="0" w:after="0" w:afterAutospacing="0"/>
        <w:ind w:firstLine="694"/>
        <w:jc w:val="both"/>
        <w:divId w:val="757140394"/>
        <w:rPr>
          <w:sz w:val="20"/>
          <w:szCs w:val="20"/>
        </w:rPr>
      </w:pPr>
      <w:r>
        <w:rPr>
          <w:sz w:val="19"/>
          <w:szCs w:val="19"/>
        </w:rPr>
        <w:t>The payment of any such Incentive Fee based on income otherwise earned by our Advisor will be deferred if, for the most recent four full calendar quarter</w:t>
      </w:r>
      <w:r>
        <w:rPr>
          <w:sz w:val="19"/>
          <w:szCs w:val="19"/>
        </w:rPr>
        <w:t xml:space="preserve"> period ending on or prior to the date such payment is to be made, the Annualized Rate of Return is less than</w:t>
      </w:r>
      <w:r>
        <w:rPr>
          <w:sz w:val="19"/>
          <w:szCs w:val="19"/>
        </w:rPr>
        <w:t xml:space="preserve"> </w:t>
      </w:r>
      <w:r>
        <w:rPr>
          <w:sz w:val="19"/>
          <w:szCs w:val="19"/>
        </w:rPr>
        <w:t>7.</w:t>
      </w:r>
      <w:r>
        <w:rPr>
          <w:sz w:val="19"/>
          <w:szCs w:val="19"/>
        </w:rPr>
        <w:t>0</w:t>
      </w:r>
      <w:r>
        <w:rPr>
          <w:sz w:val="19"/>
          <w:szCs w:val="19"/>
        </w:rPr>
        <w:t>% of net assets attributable to common stock at the beginning of such four quarter period as adjusted for the net proceeds from any common stoc</w:t>
      </w:r>
      <w:r>
        <w:rPr>
          <w:sz w:val="19"/>
          <w:szCs w:val="19"/>
        </w:rPr>
        <w:t xml:space="preserve">k issuances and the cost of any common stock repurchases during such four full calendar quarter period, with any deferred Incentive Fees to be carried over for payment in subsequent quarterly calculation periods to the extent such payment can then be made </w:t>
      </w:r>
      <w:r>
        <w:rPr>
          <w:sz w:val="19"/>
          <w:szCs w:val="19"/>
        </w:rPr>
        <w:t>in accordance with the investment management agreement</w:t>
      </w:r>
      <w:r>
        <w:rPr>
          <w:sz w:val="19"/>
          <w:szCs w:val="19"/>
        </w:rPr>
        <w:t>.</w:t>
      </w:r>
      <w:r>
        <w:rPr>
          <w:sz w:val="19"/>
          <w:szCs w:val="19"/>
        </w:rPr>
        <w:t xml:space="preserve"> </w:t>
      </w:r>
    </w:p>
    <w:p w:rsidR="00000000" w:rsidRDefault="003D51DE">
      <w:pPr>
        <w:pStyle w:val="a3"/>
        <w:spacing w:before="0" w:beforeAutospacing="0" w:after="0" w:afterAutospacing="0"/>
        <w:jc w:val="center"/>
        <w:divId w:val="757140394"/>
        <w:rPr>
          <w:sz w:val="20"/>
          <w:szCs w:val="20"/>
        </w:rPr>
      </w:pPr>
      <w:r>
        <w:rPr>
          <w:sz w:val="20"/>
          <w:szCs w:val="20"/>
        </w:rPr>
        <w:t> </w:t>
      </w:r>
    </w:p>
    <w:p w:rsidR="00000000" w:rsidRDefault="003D51DE">
      <w:pPr>
        <w:pStyle w:val="a3"/>
        <w:spacing w:before="0" w:beforeAutospacing="0" w:after="0" w:afterAutospacing="0"/>
        <w:jc w:val="center"/>
        <w:divId w:val="757140394"/>
        <w:rPr>
          <w:sz w:val="20"/>
          <w:szCs w:val="20"/>
        </w:rPr>
      </w:pPr>
      <w:r>
        <w:rPr>
          <w:sz w:val="19"/>
          <w:szCs w:val="19"/>
        </w:rPr>
        <w:t>3</w:t>
      </w:r>
      <w:r>
        <w:rPr>
          <w:sz w:val="19"/>
          <w:szCs w:val="19"/>
        </w:rPr>
        <w:t>1</w:t>
      </w:r>
    </w:p>
    <w:p w:rsidR="00000000" w:rsidRDefault="003D51DE">
      <w:pPr>
        <w:divId w:val="757140394"/>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3D51DE">
      <w:pPr>
        <w:pStyle w:val="a3"/>
        <w:spacing w:before="0" w:beforeAutospacing="0" w:after="0" w:afterAutospacing="0"/>
        <w:divId w:val="757140394"/>
        <w:rPr>
          <w:sz w:val="20"/>
          <w:szCs w:val="20"/>
        </w:rPr>
      </w:pPr>
      <w:r>
        <w:rPr>
          <w:sz w:val="20"/>
          <w:szCs w:val="20"/>
        </w:rPr>
        <w:t> </w:t>
      </w:r>
    </w:p>
    <w:p w:rsidR="00000000" w:rsidRDefault="003D51DE">
      <w:pPr>
        <w:pStyle w:val="a3"/>
        <w:spacing w:before="180" w:beforeAutospacing="0" w:after="0" w:afterAutospacing="0"/>
        <w:ind w:firstLine="694"/>
        <w:jc w:val="both"/>
        <w:divId w:val="757140394"/>
        <w:rPr>
          <w:sz w:val="20"/>
          <w:szCs w:val="20"/>
        </w:rPr>
      </w:pPr>
      <w:r>
        <w:rPr>
          <w:sz w:val="19"/>
          <w:szCs w:val="19"/>
        </w:rPr>
        <w:t xml:space="preserve">For purposes of calculating the Incentive Fee, (i) “Annualized Rate of Return” is computed by reference to the sum of (x) the aggregate dividends to common </w:t>
      </w:r>
      <w:r>
        <w:rPr>
          <w:sz w:val="19"/>
          <w:szCs w:val="19"/>
        </w:rPr>
        <w:t>stockholders for the period in question and (y) the change in net assets attributable to common stock (before taking into account any Incentive Fees otherwise payable during such period); (ii) “net assets attributable to common stock” means total assets le</w:t>
      </w:r>
      <w:r>
        <w:rPr>
          <w:sz w:val="19"/>
          <w:szCs w:val="19"/>
        </w:rPr>
        <w:t>ss indebtedness and preferred stock; and (iii) “Pre-Incentive Fee Net Investment Income” means net investment income (as determined in accordance with U.S. GAAP) accrued by the Company during the calendar quarter excluding any accruals for or payments in r</w:t>
      </w:r>
      <w:r>
        <w:rPr>
          <w:sz w:val="19"/>
          <w:szCs w:val="19"/>
        </w:rPr>
        <w:t>espect of the Incentive Fee</w:t>
      </w:r>
      <w:r>
        <w:rPr>
          <w:sz w:val="19"/>
          <w:szCs w:val="19"/>
        </w:rPr>
        <w:t>.</w:t>
      </w:r>
    </w:p>
    <w:p w:rsidR="00000000" w:rsidRDefault="003D51DE">
      <w:pPr>
        <w:pStyle w:val="a3"/>
        <w:spacing w:before="180" w:beforeAutospacing="0" w:after="0" w:afterAutospacing="0"/>
        <w:ind w:firstLine="694"/>
        <w:jc w:val="both"/>
        <w:divId w:val="757140394"/>
        <w:rPr>
          <w:sz w:val="20"/>
          <w:szCs w:val="20"/>
        </w:rPr>
      </w:pPr>
      <w:r>
        <w:rPr>
          <w:sz w:val="19"/>
          <w:szCs w:val="19"/>
        </w:rPr>
        <w:t xml:space="preserve">For the three and nine months ended September 30, 2022, the Company incurred </w:t>
      </w:r>
      <w:r>
        <w:rPr>
          <w:sz w:val="19"/>
          <w:szCs w:val="19"/>
        </w:rPr>
        <w:t>$</w:t>
      </w:r>
      <w:r>
        <w:rPr>
          <w:sz w:val="19"/>
          <w:szCs w:val="19"/>
        </w:rPr>
        <w:t>1,621,40</w:t>
      </w:r>
      <w:r>
        <w:rPr>
          <w:sz w:val="19"/>
          <w:szCs w:val="19"/>
        </w:rPr>
        <w:t>2</w:t>
      </w:r>
      <w:r>
        <w:rPr>
          <w:sz w:val="19"/>
          <w:szCs w:val="19"/>
        </w:rPr>
        <w:t xml:space="preserve"> and </w:t>
      </w:r>
      <w:r>
        <w:rPr>
          <w:sz w:val="19"/>
          <w:szCs w:val="19"/>
        </w:rPr>
        <w:t>$</w:t>
      </w:r>
      <w:r>
        <w:rPr>
          <w:sz w:val="19"/>
          <w:szCs w:val="19"/>
        </w:rPr>
        <w:t>1,709,75</w:t>
      </w:r>
      <w:r>
        <w:rPr>
          <w:sz w:val="19"/>
          <w:szCs w:val="19"/>
        </w:rPr>
        <w:t>8</w:t>
      </w:r>
      <w:r>
        <w:rPr>
          <w:sz w:val="19"/>
          <w:szCs w:val="19"/>
        </w:rPr>
        <w:t xml:space="preserve">, respectively, in Incentive Fees on income. For the three and nine months ended September 30, 2021, the Company incurred </w:t>
      </w:r>
      <w:r>
        <w:rPr>
          <w:sz w:val="19"/>
          <w:szCs w:val="19"/>
        </w:rPr>
        <w:t>$</w:t>
      </w:r>
      <w:r>
        <w:rPr>
          <w:sz w:val="19"/>
          <w:szCs w:val="19"/>
        </w:rPr>
        <w:t>79,38</w:t>
      </w:r>
      <w:r>
        <w:rPr>
          <w:sz w:val="19"/>
          <w:szCs w:val="19"/>
        </w:rPr>
        <w:t>3</w:t>
      </w:r>
      <w:r>
        <w:rPr>
          <w:sz w:val="19"/>
          <w:szCs w:val="19"/>
        </w:rPr>
        <w:t xml:space="preserve"> in Incentive Fees on income for both periods. For the three and nine months ended September 30, 2021, the Advisor has voluntar</w:t>
      </w:r>
      <w:r>
        <w:rPr>
          <w:sz w:val="19"/>
          <w:szCs w:val="19"/>
        </w:rPr>
        <w:t xml:space="preserve">ily waived Incentive Fees on income of </w:t>
      </w:r>
      <w:r>
        <w:rPr>
          <w:sz w:val="19"/>
          <w:szCs w:val="19"/>
        </w:rPr>
        <w:t>$</w:t>
      </w:r>
      <w:r>
        <w:rPr>
          <w:sz w:val="19"/>
          <w:szCs w:val="19"/>
        </w:rPr>
        <w:t>79,38</w:t>
      </w:r>
      <w:r>
        <w:rPr>
          <w:sz w:val="19"/>
          <w:szCs w:val="19"/>
        </w:rPr>
        <w:t>3</w:t>
      </w:r>
      <w:r>
        <w:rPr>
          <w:sz w:val="19"/>
          <w:szCs w:val="19"/>
        </w:rPr>
        <w:t>, resulting in no net Incentive Fees on income for both periods. As of</w:t>
      </w:r>
      <w:r>
        <w:rPr>
          <w:sz w:val="19"/>
          <w:szCs w:val="19"/>
        </w:rPr>
        <w:t xml:space="preserve"> </w:t>
      </w:r>
      <w:r>
        <w:rPr>
          <w:sz w:val="19"/>
          <w:szCs w:val="19"/>
        </w:rPr>
        <w:t xml:space="preserve">September 30, 2022 and December 31, 2021, there was </w:t>
      </w:r>
      <w:r>
        <w:rPr>
          <w:sz w:val="19"/>
          <w:szCs w:val="19"/>
        </w:rPr>
        <w:t>$</w:t>
      </w:r>
      <w:r>
        <w:rPr>
          <w:sz w:val="19"/>
          <w:szCs w:val="19"/>
        </w:rPr>
        <w:t>1,690,74</w:t>
      </w:r>
      <w:r>
        <w:rPr>
          <w:sz w:val="19"/>
          <w:szCs w:val="19"/>
        </w:rPr>
        <w:t>5</w:t>
      </w:r>
      <w:r>
        <w:rPr>
          <w:sz w:val="19"/>
          <w:szCs w:val="19"/>
        </w:rPr>
        <w:t xml:space="preserve"> and </w:t>
      </w:r>
      <w:r>
        <w:rPr>
          <w:sz w:val="19"/>
          <w:szCs w:val="19"/>
        </w:rPr>
        <w:t>$</w:t>
      </w:r>
      <w:r>
        <w:rPr>
          <w:sz w:val="19"/>
          <w:szCs w:val="19"/>
        </w:rPr>
        <w:t>170,00</w:t>
      </w:r>
      <w:r>
        <w:rPr>
          <w:sz w:val="19"/>
          <w:szCs w:val="19"/>
        </w:rPr>
        <w:t>2</w:t>
      </w:r>
      <w:r>
        <w:rPr>
          <w:sz w:val="19"/>
          <w:szCs w:val="19"/>
        </w:rPr>
        <w:t>, respectively, of Incentive Fees payable based on income. The p</w:t>
      </w:r>
      <w:r>
        <w:rPr>
          <w:sz w:val="19"/>
          <w:szCs w:val="19"/>
        </w:rPr>
        <w:t xml:space="preserve">ayment of Incentive Fee based on income of </w:t>
      </w:r>
      <w:r>
        <w:rPr>
          <w:sz w:val="19"/>
          <w:szCs w:val="19"/>
        </w:rPr>
        <w:t>$</w:t>
      </w:r>
      <w:r>
        <w:rPr>
          <w:sz w:val="19"/>
          <w:szCs w:val="19"/>
        </w:rPr>
        <w:t>1,690,74</w:t>
      </w:r>
      <w:r>
        <w:rPr>
          <w:sz w:val="19"/>
          <w:szCs w:val="19"/>
        </w:rPr>
        <w:t>5</w:t>
      </w:r>
      <w:r>
        <w:rPr>
          <w:sz w:val="19"/>
          <w:szCs w:val="19"/>
        </w:rPr>
        <w:t xml:space="preserve"> at September 30, 2022 was deferred pursuant to the Incentive Fee deferral provision discussed above</w:t>
      </w:r>
      <w:r>
        <w:rPr>
          <w:sz w:val="19"/>
          <w:szCs w:val="19"/>
        </w:rPr>
        <w:t>.</w:t>
      </w:r>
      <w:r>
        <w:rPr>
          <w:sz w:val="19"/>
          <w:szCs w:val="19"/>
        </w:rPr>
        <w:t xml:space="preserve"> </w:t>
      </w:r>
    </w:p>
    <w:p w:rsidR="00000000" w:rsidRDefault="003D51DE">
      <w:pPr>
        <w:jc w:val="both"/>
        <w:divId w:val="790828638"/>
        <w:rPr>
          <w:rFonts w:eastAsia="Times New Roman"/>
          <w:sz w:val="20"/>
          <w:szCs w:val="20"/>
        </w:rPr>
      </w:pPr>
      <w:r>
        <w:rPr>
          <w:rFonts w:eastAsia="Times New Roman"/>
          <w:b/>
          <w:bCs/>
          <w:i/>
          <w:iCs/>
          <w:sz w:val="19"/>
          <w:szCs w:val="19"/>
        </w:rPr>
        <w:t>(ii</w:t>
      </w:r>
      <w:r>
        <w:rPr>
          <w:rFonts w:eastAsia="Times New Roman"/>
          <w:b/>
          <w:bCs/>
          <w:i/>
          <w:iCs/>
          <w:sz w:val="19"/>
          <w:szCs w:val="19"/>
        </w:rPr>
        <w:t>)</w:t>
      </w:r>
    </w:p>
    <w:p w:rsidR="00000000" w:rsidRDefault="003D51DE">
      <w:pPr>
        <w:jc w:val="both"/>
        <w:divId w:val="1803765626"/>
        <w:rPr>
          <w:rFonts w:eastAsia="Times New Roman"/>
          <w:sz w:val="20"/>
          <w:szCs w:val="20"/>
        </w:rPr>
      </w:pPr>
      <w:r>
        <w:rPr>
          <w:rFonts w:eastAsia="Times New Roman"/>
          <w:b/>
          <w:bCs/>
          <w:i/>
          <w:iCs/>
          <w:sz w:val="19"/>
          <w:szCs w:val="19"/>
        </w:rPr>
        <w:t>Annual Incentive Fee Based on Capital Gain</w:t>
      </w:r>
      <w:r>
        <w:rPr>
          <w:rFonts w:eastAsia="Times New Roman"/>
          <w:b/>
          <w:bCs/>
          <w:i/>
          <w:iCs/>
          <w:sz w:val="19"/>
          <w:szCs w:val="19"/>
        </w:rPr>
        <w:t>s</w:t>
      </w:r>
    </w:p>
    <w:p w:rsidR="00000000" w:rsidRDefault="003D51DE">
      <w:pPr>
        <w:pStyle w:val="a3"/>
        <w:spacing w:before="240" w:beforeAutospacing="0" w:after="0" w:afterAutospacing="0"/>
        <w:ind w:firstLine="694"/>
        <w:jc w:val="both"/>
        <w:divId w:val="757140394"/>
        <w:rPr>
          <w:sz w:val="20"/>
          <w:szCs w:val="20"/>
        </w:rPr>
      </w:pPr>
      <w:r>
        <w:rPr>
          <w:sz w:val="19"/>
          <w:szCs w:val="19"/>
        </w:rPr>
        <w:t>The second portion of the Incentive Fee is based on</w:t>
      </w:r>
      <w:r>
        <w:rPr>
          <w:sz w:val="19"/>
          <w:szCs w:val="19"/>
        </w:rPr>
        <w:t xml:space="preserve"> capital gains and is calculated separately for each Annual Period. Effective May 2, 2020, our Advisor is entitled to receive an Incentive Fee based on capital gains for each Annual Period in an amount equal to</w:t>
      </w:r>
      <w:r>
        <w:rPr>
          <w:sz w:val="19"/>
          <w:szCs w:val="19"/>
        </w:rPr>
        <w:t xml:space="preserve"> </w:t>
      </w:r>
      <w:r>
        <w:rPr>
          <w:sz w:val="19"/>
          <w:szCs w:val="19"/>
        </w:rPr>
        <w:t>17.</w:t>
      </w:r>
      <w:r>
        <w:rPr>
          <w:sz w:val="19"/>
          <w:szCs w:val="19"/>
        </w:rPr>
        <w:t>5</w:t>
      </w:r>
      <w:r>
        <w:rPr>
          <w:sz w:val="19"/>
          <w:szCs w:val="19"/>
        </w:rPr>
        <w:t>% of the amount by which (1) net realized</w:t>
      </w:r>
      <w:r>
        <w:rPr>
          <w:sz w:val="19"/>
          <w:szCs w:val="19"/>
        </w:rPr>
        <w:t xml:space="preserve"> capital gains during the period, if any, exceeds (2) gross unrealized capital depreciation, if any, during the period. In calculating the portion of the Incentive Fee based on capital gains payable for any period, investments are accounted for on a securi</w:t>
      </w:r>
      <w:r>
        <w:rPr>
          <w:sz w:val="19"/>
          <w:szCs w:val="19"/>
        </w:rPr>
        <w:t xml:space="preserve">ty-by-security basis. In addition, the portion of the Incentive Fee based on capital gains is determined using the “period-to-period” method pursuant to which the portion of the Incentive Fee based on capital gains for any period will be based on realized </w:t>
      </w:r>
      <w:r>
        <w:rPr>
          <w:sz w:val="19"/>
          <w:szCs w:val="19"/>
        </w:rPr>
        <w:t>capital gains for the period reduced by realized capital losses for the period and unrealized capital depreciation for the period</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757140394"/>
        <w:rPr>
          <w:sz w:val="20"/>
          <w:szCs w:val="20"/>
        </w:rPr>
      </w:pPr>
      <w:r>
        <w:rPr>
          <w:sz w:val="19"/>
          <w:szCs w:val="19"/>
        </w:rPr>
        <w:t>The Company is required under GAAP to accrue an Incentive Fee on capital gains on a hypothetical liquidation basis, based up</w:t>
      </w:r>
      <w:r>
        <w:rPr>
          <w:sz w:val="19"/>
          <w:szCs w:val="19"/>
        </w:rPr>
        <w:t>on net realized capital gains and unrealized capital appreciation and depreciation on investments held at the end of each period. The accrued Incentive Fee on capital gains assumes all unrealized capital appreciation and depreciation is realized in order t</w:t>
      </w:r>
      <w:r>
        <w:rPr>
          <w:sz w:val="19"/>
          <w:szCs w:val="19"/>
        </w:rPr>
        <w:t>o reflect an Incentive Fee on capital gains (if any) that would be payable at each measurement date, even though unrealized capital appreciation is not permitted to be considered in determining the Incentive Fee on capital gains actually payable on an annu</w:t>
      </w:r>
      <w:r>
        <w:rPr>
          <w:sz w:val="19"/>
          <w:szCs w:val="19"/>
        </w:rPr>
        <w:t>al basis under the Current Management Agreement. If such amount is positive at the end of the period, an Incentive Fee on capital gains is accrued equal to</w:t>
      </w:r>
      <w:r>
        <w:rPr>
          <w:sz w:val="19"/>
          <w:szCs w:val="19"/>
        </w:rPr>
        <w:t xml:space="preserve"> </w:t>
      </w:r>
      <w:r>
        <w:rPr>
          <w:sz w:val="19"/>
          <w:szCs w:val="19"/>
        </w:rPr>
        <w:t>17.</w:t>
      </w:r>
      <w:r>
        <w:rPr>
          <w:sz w:val="19"/>
          <w:szCs w:val="19"/>
        </w:rPr>
        <w:t>5</w:t>
      </w:r>
      <w:r>
        <w:rPr>
          <w:sz w:val="19"/>
          <w:szCs w:val="19"/>
        </w:rPr>
        <w:t xml:space="preserve">% of such amount, for periods ended after May 2, 2020, less the amount of any Incentive Fees on </w:t>
      </w:r>
      <w:r>
        <w:rPr>
          <w:sz w:val="19"/>
          <w:szCs w:val="19"/>
        </w:rPr>
        <w:t>capital gains already accrued in prior periods. If the resulting calculation amount is negative, the accrual for GAAP in a given period may result in the reduction or reversal of Incentive Fee expense on capital gains accrued in a prior period</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757140394"/>
        <w:rPr>
          <w:sz w:val="20"/>
          <w:szCs w:val="20"/>
        </w:rPr>
      </w:pPr>
      <w:r>
        <w:rPr>
          <w:sz w:val="19"/>
          <w:szCs w:val="19"/>
        </w:rPr>
        <w:t xml:space="preserve">Incentive </w:t>
      </w:r>
      <w:r>
        <w:rPr>
          <w:sz w:val="19"/>
          <w:szCs w:val="19"/>
        </w:rPr>
        <w:t>Fees on capital gains accrued (reversed) on a liquidation basis under GAAP for the three and nine months ended September 30, 202</w:t>
      </w:r>
      <w:r>
        <w:rPr>
          <w:sz w:val="19"/>
          <w:szCs w:val="19"/>
        </w:rPr>
        <w:t>2</w:t>
      </w:r>
      <w:r>
        <w:rPr>
          <w:sz w:val="19"/>
          <w:szCs w:val="19"/>
        </w:rPr>
        <w:t xml:space="preserve"> were</w:t>
      </w:r>
      <w:r>
        <w:rPr>
          <w:sz w:val="19"/>
          <w:szCs w:val="19"/>
        </w:rPr>
        <w:t xml:space="preserve"> </w:t>
      </w:r>
      <w:r>
        <w:rPr>
          <w:sz w:val="19"/>
          <w:szCs w:val="19"/>
        </w:rPr>
        <w:t>zer</w:t>
      </w:r>
      <w:r>
        <w:rPr>
          <w:sz w:val="19"/>
          <w:szCs w:val="19"/>
        </w:rPr>
        <w:t>o</w:t>
      </w:r>
      <w:r>
        <w:rPr>
          <w:sz w:val="19"/>
          <w:szCs w:val="19"/>
        </w:rPr>
        <w:t xml:space="preserve"> and </w:t>
      </w:r>
      <w:r>
        <w:rPr>
          <w:sz w:val="19"/>
          <w:szCs w:val="19"/>
        </w:rPr>
        <w:t>$</w:t>
      </w:r>
      <w:r>
        <w:rPr>
          <w:sz w:val="19"/>
          <w:szCs w:val="19"/>
        </w:rPr>
        <w:t>(</w:t>
      </w:r>
      <w:r>
        <w:rPr>
          <w:sz w:val="19"/>
          <w:szCs w:val="19"/>
        </w:rPr>
        <w:t>1,544,56</w:t>
      </w:r>
      <w:r>
        <w:rPr>
          <w:sz w:val="19"/>
          <w:szCs w:val="19"/>
        </w:rPr>
        <w:t>9</w:t>
      </w:r>
      <w:r>
        <w:rPr>
          <w:sz w:val="19"/>
          <w:szCs w:val="19"/>
        </w:rPr>
        <w:t>)</w:t>
      </w:r>
      <w:r>
        <w:rPr>
          <w:sz w:val="19"/>
          <w:szCs w:val="19"/>
        </w:rPr>
        <w:t>, respectively. Incentive Fees on capital gains accrued on a liquidation basis (but not payable) und</w:t>
      </w:r>
      <w:r>
        <w:rPr>
          <w:sz w:val="19"/>
          <w:szCs w:val="19"/>
        </w:rPr>
        <w:t xml:space="preserve">er GAAP for the three and nine months ended September 30, 2021 were </w:t>
      </w:r>
      <w:r>
        <w:rPr>
          <w:sz w:val="19"/>
          <w:szCs w:val="19"/>
        </w:rPr>
        <w:t>$</w:t>
      </w:r>
      <w:r>
        <w:rPr>
          <w:sz w:val="19"/>
          <w:szCs w:val="19"/>
        </w:rPr>
        <w:t>1,291,95</w:t>
      </w:r>
      <w:r>
        <w:rPr>
          <w:sz w:val="19"/>
          <w:szCs w:val="19"/>
        </w:rPr>
        <w:t>2</w:t>
      </w:r>
      <w:r>
        <w:rPr>
          <w:sz w:val="19"/>
          <w:szCs w:val="19"/>
        </w:rPr>
        <w:t xml:space="preserve"> for both periods. As of</w:t>
      </w:r>
      <w:r>
        <w:rPr>
          <w:sz w:val="19"/>
          <w:szCs w:val="19"/>
        </w:rPr>
        <w:t xml:space="preserve"> </w:t>
      </w:r>
      <w:r>
        <w:rPr>
          <w:sz w:val="19"/>
          <w:szCs w:val="19"/>
        </w:rPr>
        <w:t>September 30, 202</w:t>
      </w:r>
      <w:r>
        <w:rPr>
          <w:sz w:val="19"/>
          <w:szCs w:val="19"/>
        </w:rPr>
        <w:t>2</w:t>
      </w:r>
      <w:r>
        <w:rPr>
          <w:sz w:val="19"/>
          <w:szCs w:val="19"/>
        </w:rPr>
        <w:t xml:space="preserve"> and December 31, 2021, the balance of accrued Incentive Fees on capital gains was</w:t>
      </w:r>
      <w:r>
        <w:rPr>
          <w:sz w:val="19"/>
          <w:szCs w:val="19"/>
        </w:rPr>
        <w:t xml:space="preserve"> </w:t>
      </w:r>
      <w:r>
        <w:rPr>
          <w:sz w:val="19"/>
          <w:szCs w:val="19"/>
        </w:rPr>
        <w:t>zer</w:t>
      </w:r>
      <w:r>
        <w:rPr>
          <w:sz w:val="19"/>
          <w:szCs w:val="19"/>
        </w:rPr>
        <w:t>o</w:t>
      </w:r>
      <w:r>
        <w:rPr>
          <w:sz w:val="19"/>
          <w:szCs w:val="19"/>
        </w:rPr>
        <w:t xml:space="preserve"> and </w:t>
      </w:r>
      <w:r>
        <w:rPr>
          <w:sz w:val="19"/>
          <w:szCs w:val="19"/>
        </w:rPr>
        <w:t>$</w:t>
      </w:r>
      <w:r>
        <w:rPr>
          <w:sz w:val="19"/>
          <w:szCs w:val="19"/>
        </w:rPr>
        <w:t>1,544,56</w:t>
      </w:r>
      <w:r>
        <w:rPr>
          <w:sz w:val="19"/>
          <w:szCs w:val="19"/>
        </w:rPr>
        <w:t>9</w:t>
      </w:r>
      <w:r>
        <w:rPr>
          <w:sz w:val="19"/>
          <w:szCs w:val="19"/>
        </w:rPr>
        <w:t>, respectively. However, as of De</w:t>
      </w:r>
      <w:r>
        <w:rPr>
          <w:sz w:val="19"/>
          <w:szCs w:val="19"/>
        </w:rPr>
        <w:t>cember 31, 2021,</w:t>
      </w:r>
      <w:r>
        <w:rPr>
          <w:sz w:val="19"/>
          <w:szCs w:val="19"/>
        </w:rPr>
        <w:t xml:space="preserve"> </w:t>
      </w:r>
      <w:r>
        <w:rPr>
          <w:sz w:val="19"/>
          <w:szCs w:val="19"/>
        </w:rPr>
        <w:t>n</w:t>
      </w:r>
      <w:r>
        <w:rPr>
          <w:sz w:val="19"/>
          <w:szCs w:val="19"/>
        </w:rPr>
        <w:t>o</w:t>
      </w:r>
      <w:r>
        <w:rPr>
          <w:sz w:val="19"/>
          <w:szCs w:val="19"/>
        </w:rPr>
        <w:t xml:space="preserve"> Incentive Fees on capital gains were realized and payable to the Advisor as of such date. There can be no assurance that unrealized capital appreciation and depreciation will be realized in the future, or that any accrued capital gains </w:t>
      </w:r>
      <w:r>
        <w:rPr>
          <w:sz w:val="19"/>
          <w:szCs w:val="19"/>
        </w:rPr>
        <w:t>Incentive Fee will become payable under the Current Management Agreement. Incentive Fee amounts on capital gains actually paid by the Company will specifically exclude consideration of unrealized capital appreciation, consistent with requirements under the</w:t>
      </w:r>
      <w:r>
        <w:rPr>
          <w:sz w:val="19"/>
          <w:szCs w:val="19"/>
        </w:rPr>
        <w:t xml:space="preserve"> Investment Advisers Act of 1940 (the “Advisers Act”) and the Current Management Agreement</w:t>
      </w:r>
      <w:r>
        <w:rPr>
          <w:sz w:val="19"/>
          <w:szCs w:val="19"/>
        </w:rPr>
        <w:t>.</w:t>
      </w:r>
      <w:r>
        <w:rPr>
          <w:sz w:val="19"/>
          <w:szCs w:val="19"/>
        </w:rPr>
        <w:t xml:space="preserve"> </w:t>
      </w:r>
    </w:p>
    <w:p w:rsidR="00000000" w:rsidRDefault="003D51DE">
      <w:pPr>
        <w:pStyle w:val="a3"/>
        <w:spacing w:before="240" w:beforeAutospacing="0" w:after="0" w:afterAutospacing="0"/>
        <w:ind w:firstLine="694"/>
        <w:jc w:val="both"/>
        <w:divId w:val="757140394"/>
        <w:rPr>
          <w:sz w:val="20"/>
          <w:szCs w:val="20"/>
        </w:rPr>
      </w:pPr>
      <w:r>
        <w:rPr>
          <w:sz w:val="19"/>
          <w:szCs w:val="19"/>
        </w:rPr>
        <w:t>For purposes of calculating the Incentive Fee based on capital gains, “Annual Period” means the period beginning on July 1 of each calendar year, including the cal</w:t>
      </w:r>
      <w:r>
        <w:rPr>
          <w:sz w:val="19"/>
          <w:szCs w:val="19"/>
        </w:rPr>
        <w:t>endar year prior to the year in which the investment management agreement became effective, and ending on June 30 of the next calendar year. Capital gains and losses are calculated using the proceeds received and either (i) fair market value at the beginni</w:t>
      </w:r>
      <w:r>
        <w:rPr>
          <w:sz w:val="19"/>
          <w:szCs w:val="19"/>
        </w:rPr>
        <w:t>ng of the Annual Period or (ii) cost for investments acquired during the Annual Period. In calculating whether the portion of the Incentive Fee based on capital gains is payable with respect to any period, the Company accounts for assets on a security-by-s</w:t>
      </w:r>
      <w:r>
        <w:rPr>
          <w:sz w:val="19"/>
          <w:szCs w:val="19"/>
        </w:rPr>
        <w:t>ecurity basis. In addition, the Company uses the “period-to-period” method pursuant to which the portion of the Incentive Fee based on capital gains for any period is based on realized capital gains for the period reduced by realized capital losses and gro</w:t>
      </w:r>
      <w:r>
        <w:rPr>
          <w:sz w:val="19"/>
          <w:szCs w:val="19"/>
        </w:rPr>
        <w:t>ss unrealized capital depreciation for the period. Based on current interpretations of Section 205(b)(3) of the Advisers Act by the SEC and its staff, the calculation of unrealized depreciation for each portfolio security over a period is based on the fair</w:t>
      </w:r>
      <w:r>
        <w:rPr>
          <w:sz w:val="19"/>
          <w:szCs w:val="19"/>
        </w:rPr>
        <w:t xml:space="preserve"> value of the security at the end of the period compared to the fair value at the beginning of the period. Incentive Fees earned in any of the periods described above are not subject to modification or repayment based upon performance in a subsequent perio</w:t>
      </w:r>
      <w:r>
        <w:rPr>
          <w:sz w:val="19"/>
          <w:szCs w:val="19"/>
        </w:rPr>
        <w:t>d</w:t>
      </w:r>
      <w:r>
        <w:rPr>
          <w:sz w:val="19"/>
          <w:szCs w:val="19"/>
        </w:rPr>
        <w:t>.</w:t>
      </w:r>
      <w:r>
        <w:rPr>
          <w:sz w:val="19"/>
          <w:szCs w:val="19"/>
        </w:rPr>
        <w:t xml:space="preserve"> </w:t>
      </w:r>
    </w:p>
    <w:p w:rsidR="00000000" w:rsidRDefault="003D51DE">
      <w:pPr>
        <w:pStyle w:val="a3"/>
        <w:spacing w:before="240" w:beforeAutospacing="0" w:after="0" w:afterAutospacing="0"/>
        <w:ind w:left="595"/>
        <w:jc w:val="both"/>
        <w:divId w:val="757140394"/>
        <w:rPr>
          <w:sz w:val="20"/>
          <w:szCs w:val="20"/>
        </w:rPr>
      </w:pPr>
      <w:r>
        <w:rPr>
          <w:b/>
          <w:bCs/>
          <w:i/>
          <w:iCs/>
          <w:sz w:val="19"/>
          <w:szCs w:val="19"/>
        </w:rPr>
        <w:t>Other Expense</w:t>
      </w:r>
      <w:r>
        <w:rPr>
          <w:b/>
          <w:bCs/>
          <w:i/>
          <w:iCs/>
          <w:sz w:val="19"/>
          <w:szCs w:val="19"/>
        </w:rPr>
        <w:t>s</w:t>
      </w:r>
    </w:p>
    <w:p w:rsidR="00000000" w:rsidRDefault="003D51DE">
      <w:pPr>
        <w:pStyle w:val="a3"/>
        <w:spacing w:before="240" w:beforeAutospacing="0" w:after="0" w:afterAutospacing="0"/>
        <w:ind w:firstLine="694"/>
        <w:jc w:val="both"/>
        <w:divId w:val="757140394"/>
        <w:rPr>
          <w:sz w:val="20"/>
          <w:szCs w:val="20"/>
        </w:rPr>
      </w:pPr>
      <w:r>
        <w:rPr>
          <w:sz w:val="19"/>
          <w:szCs w:val="19"/>
        </w:rPr>
        <w:t xml:space="preserve">The Company bears all expenses incurred in connection with its business, including fees and expenses outside of contracted services, such as custodian, administrative, legal, audit and tax preparation fees, costs of valuing investments, </w:t>
      </w:r>
      <w:r>
        <w:rPr>
          <w:sz w:val="19"/>
          <w:szCs w:val="19"/>
        </w:rPr>
        <w:t>insurance costs, brokers’ and finders’ fees relating to investments, and any other transaction costs associated with the purchase and sale of investments</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3</w:t>
      </w:r>
      <w:r>
        <w:rPr>
          <w:sz w:val="19"/>
          <w:szCs w:val="19"/>
        </w:rPr>
        <w:t>2</w:t>
      </w:r>
    </w:p>
    <w:p w:rsidR="00000000" w:rsidRDefault="003D51DE">
      <w:pPr>
        <w:rPr>
          <w:rFonts w:eastAsia="Times New Roman"/>
        </w:rPr>
      </w:pPr>
      <w:r>
        <w:rPr>
          <w:rFonts w:eastAsia="Times New Roman"/>
        </w:rPr>
        <w:pict>
          <v:rect id="_x0000_i105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divId w:val="1424758348"/>
        <w:rPr>
          <w:sz w:val="20"/>
          <w:szCs w:val="20"/>
        </w:rPr>
      </w:pPr>
      <w:r>
        <w:rPr>
          <w:b/>
          <w:bCs/>
          <w:sz w:val="19"/>
          <w:szCs w:val="19"/>
        </w:rPr>
        <w:t>4. Deb</w:t>
      </w:r>
      <w:r>
        <w:rPr>
          <w:b/>
          <w:bCs/>
          <w:sz w:val="19"/>
          <w:szCs w:val="19"/>
        </w:rPr>
        <w:t>t</w:t>
      </w:r>
      <w:r>
        <w:rPr>
          <w:b/>
          <w:bCs/>
          <w:sz w:val="19"/>
          <w:szCs w:val="19"/>
        </w:rPr>
        <w:t xml:space="preserve"> </w:t>
      </w:r>
    </w:p>
    <w:p w:rsidR="00000000" w:rsidRDefault="003D51DE">
      <w:pPr>
        <w:pStyle w:val="a3"/>
        <w:spacing w:before="240" w:beforeAutospacing="0" w:after="0" w:afterAutospacing="0"/>
        <w:ind w:firstLine="694"/>
        <w:jc w:val="both"/>
        <w:divId w:val="1424758348"/>
        <w:rPr>
          <w:sz w:val="20"/>
          <w:szCs w:val="20"/>
        </w:rPr>
      </w:pPr>
      <w:r>
        <w:rPr>
          <w:sz w:val="19"/>
          <w:szCs w:val="19"/>
        </w:rPr>
        <w:t>Debt is comprised of a senior secured revolving</w:t>
      </w:r>
      <w:r>
        <w:rPr>
          <w:sz w:val="19"/>
          <w:szCs w:val="19"/>
        </w:rPr>
        <w:t xml:space="preserve"> credit facility dated as of February 19, 2016 (as amended, amended and restated, supplemented or otherwise modified from time to time, including as amended and restated by the sixth amendment thereto, dated as of April 23, 2021, the “Credit Facility”) and</w:t>
      </w:r>
      <w:r>
        <w:rPr>
          <w:sz w:val="19"/>
          <w:szCs w:val="19"/>
        </w:rPr>
        <w:t xml:space="preserve"> senior unsecured notes issued through a private placement on June 9, 2022 by the Company and due</w:t>
      </w:r>
      <w:r>
        <w:rPr>
          <w:sz w:val="19"/>
          <w:szCs w:val="19"/>
        </w:rPr>
        <w:t xml:space="preserve"> </w:t>
      </w:r>
      <w:r>
        <w:rPr>
          <w:sz w:val="19"/>
          <w:szCs w:val="19"/>
        </w:rPr>
        <w:t>December 9, 202</w:t>
      </w:r>
      <w:r>
        <w:rPr>
          <w:sz w:val="19"/>
          <w:szCs w:val="19"/>
        </w:rPr>
        <w:t>5</w:t>
      </w:r>
      <w:r>
        <w:rPr>
          <w:sz w:val="19"/>
          <w:szCs w:val="19"/>
        </w:rPr>
        <w:t xml:space="preserve"> (the “2025 Private Placement Notes”). Prior to being repaid on June 15, 2022, debt also included the Company’s unsecured convertible senior n</w:t>
      </w:r>
      <w:r>
        <w:rPr>
          <w:sz w:val="19"/>
          <w:szCs w:val="19"/>
        </w:rPr>
        <w:t>otes due 2022 (the “2022 Convertible Notes”)</w:t>
      </w:r>
      <w:r>
        <w:rPr>
          <w:sz w:val="19"/>
          <w:szCs w:val="19"/>
        </w:rPr>
        <w:t>.</w:t>
      </w:r>
    </w:p>
    <w:p w:rsidR="00000000" w:rsidRDefault="003D51DE">
      <w:pPr>
        <w:pStyle w:val="a3"/>
        <w:spacing w:before="240" w:beforeAutospacing="0" w:after="0" w:afterAutospacing="0"/>
        <w:ind w:firstLine="694"/>
        <w:jc w:val="both"/>
        <w:divId w:val="1424758348"/>
        <w:rPr>
          <w:sz w:val="20"/>
          <w:szCs w:val="20"/>
        </w:rPr>
      </w:pPr>
      <w:r>
        <w:rPr>
          <w:sz w:val="19"/>
          <w:szCs w:val="19"/>
        </w:rPr>
        <w:t>Effective on May 2, 2020, after obtaining stockholder approval at the annual meeting of the Company’s stockholders held on May 1, 2020, the Company’</w:t>
      </w:r>
      <w:r>
        <w:rPr>
          <w:sz w:val="19"/>
          <w:szCs w:val="19"/>
        </w:rPr>
        <w:t>s asset coverage requirement was reduced from</w:t>
      </w:r>
      <w:r>
        <w:rPr>
          <w:sz w:val="19"/>
          <w:szCs w:val="19"/>
        </w:rPr>
        <w:t xml:space="preserve"> </w:t>
      </w:r>
      <w:r>
        <w:rPr>
          <w:sz w:val="19"/>
          <w:szCs w:val="19"/>
        </w:rPr>
        <w:t>20</w:t>
      </w:r>
      <w:r>
        <w:rPr>
          <w:sz w:val="19"/>
          <w:szCs w:val="19"/>
        </w:rPr>
        <w:t>0</w:t>
      </w:r>
      <w:r>
        <w:rPr>
          <w:sz w:val="19"/>
          <w:szCs w:val="19"/>
        </w:rPr>
        <w:t>% to</w:t>
      </w:r>
      <w:r>
        <w:rPr>
          <w:sz w:val="19"/>
          <w:szCs w:val="19"/>
        </w:rPr>
        <w:t xml:space="preserve"> </w:t>
      </w:r>
      <w:r>
        <w:rPr>
          <w:sz w:val="19"/>
          <w:szCs w:val="19"/>
        </w:rPr>
        <w:t>15</w:t>
      </w:r>
      <w:r>
        <w:rPr>
          <w:sz w:val="19"/>
          <w:szCs w:val="19"/>
        </w:rPr>
        <w:t>0</w:t>
      </w:r>
      <w:r>
        <w:rPr>
          <w:sz w:val="19"/>
          <w:szCs w:val="19"/>
        </w:rPr>
        <w:t>%, as set forth in Section 61(a)(2) of the 1940 Act, as amended by the Small Business Credit Availability Act. As of</w:t>
      </w:r>
      <w:r>
        <w:rPr>
          <w:sz w:val="19"/>
          <w:szCs w:val="19"/>
        </w:rPr>
        <w:t xml:space="preserve"> </w:t>
      </w:r>
      <w:r>
        <w:rPr>
          <w:sz w:val="19"/>
          <w:szCs w:val="19"/>
        </w:rPr>
        <w:t>September 30, 202</w:t>
      </w:r>
      <w:r>
        <w:rPr>
          <w:sz w:val="19"/>
          <w:szCs w:val="19"/>
        </w:rPr>
        <w:t>2</w:t>
      </w:r>
      <w:r>
        <w:rPr>
          <w:sz w:val="19"/>
          <w:szCs w:val="19"/>
        </w:rPr>
        <w:t xml:space="preserve"> and December 31, 2021, the Company’s asset coverage was</w:t>
      </w:r>
      <w:r>
        <w:rPr>
          <w:sz w:val="19"/>
          <w:szCs w:val="19"/>
        </w:rPr>
        <w:t xml:space="preserve"> </w:t>
      </w:r>
      <w:r>
        <w:rPr>
          <w:sz w:val="19"/>
          <w:szCs w:val="19"/>
        </w:rPr>
        <w:t>22</w:t>
      </w:r>
      <w:r>
        <w:rPr>
          <w:sz w:val="19"/>
          <w:szCs w:val="19"/>
        </w:rPr>
        <w:t>6</w:t>
      </w:r>
      <w:r>
        <w:rPr>
          <w:sz w:val="19"/>
          <w:szCs w:val="19"/>
        </w:rPr>
        <w:t>%</w:t>
      </w:r>
      <w:r>
        <w:rPr>
          <w:sz w:val="19"/>
          <w:szCs w:val="19"/>
        </w:rPr>
        <w:t xml:space="preserve"> an</w:t>
      </w:r>
      <w:r>
        <w:rPr>
          <w:sz w:val="19"/>
          <w:szCs w:val="19"/>
        </w:rPr>
        <w:t>d</w:t>
      </w:r>
      <w:r>
        <w:rPr>
          <w:sz w:val="19"/>
          <w:szCs w:val="19"/>
        </w:rPr>
        <w:t xml:space="preserve"> </w:t>
      </w:r>
      <w:r>
        <w:rPr>
          <w:sz w:val="19"/>
          <w:szCs w:val="19"/>
        </w:rPr>
        <w:t>27</w:t>
      </w:r>
      <w:r>
        <w:rPr>
          <w:sz w:val="19"/>
          <w:szCs w:val="19"/>
        </w:rPr>
        <w:t>6</w:t>
      </w:r>
      <w:r>
        <w:rPr>
          <w:sz w:val="19"/>
          <w:szCs w:val="19"/>
        </w:rPr>
        <w:t>%, respectively</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053584200"/>
        <w:rPr>
          <w:sz w:val="20"/>
          <w:szCs w:val="20"/>
        </w:rPr>
      </w:pPr>
      <w:r>
        <w:rPr>
          <w:sz w:val="19"/>
          <w:szCs w:val="19"/>
        </w:rPr>
        <w:t>Total debt outstanding and available at</w:t>
      </w:r>
      <w:r>
        <w:rPr>
          <w:sz w:val="19"/>
          <w:szCs w:val="19"/>
        </w:rPr>
        <w:t xml:space="preserve"> </w:t>
      </w:r>
      <w:r>
        <w:rPr>
          <w:sz w:val="19"/>
          <w:szCs w:val="19"/>
        </w:rPr>
        <w:t>September 30, 2022 was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92"/>
        <w:gridCol w:w="110"/>
        <w:gridCol w:w="683"/>
        <w:gridCol w:w="110"/>
        <w:gridCol w:w="1260"/>
        <w:gridCol w:w="212"/>
        <w:gridCol w:w="160"/>
        <w:gridCol w:w="1060"/>
        <w:gridCol w:w="110"/>
        <w:gridCol w:w="110"/>
        <w:gridCol w:w="160"/>
        <w:gridCol w:w="960"/>
        <w:gridCol w:w="110"/>
        <w:gridCol w:w="212"/>
        <w:gridCol w:w="160"/>
        <w:gridCol w:w="1060"/>
        <w:gridCol w:w="110"/>
        <w:gridCol w:w="227"/>
      </w:tblGrid>
      <w:tr w:rsidR="00000000">
        <w:trPr>
          <w:divId w:val="1053584200"/>
          <w:tblCellSpacing w:w="15" w:type="dxa"/>
        </w:trPr>
        <w:tc>
          <w:tcPr>
            <w:tcW w:w="1341" w:type="pct"/>
            <w:vAlign w:val="center"/>
            <w:hideMark/>
          </w:tcPr>
          <w:p w:rsidR="00000000" w:rsidRDefault="003D51DE">
            <w:pPr>
              <w:rPr>
                <w:sz w:val="20"/>
                <w:szCs w:val="20"/>
              </w:rPr>
            </w:pPr>
          </w:p>
        </w:tc>
        <w:tc>
          <w:tcPr>
            <w:tcW w:w="66" w:type="pct"/>
            <w:vAlign w:val="center"/>
            <w:hideMark/>
          </w:tcPr>
          <w:p w:rsidR="00000000" w:rsidRDefault="003D51DE">
            <w:pPr>
              <w:rPr>
                <w:rFonts w:eastAsia="Times New Roman"/>
                <w:sz w:val="20"/>
                <w:szCs w:val="20"/>
              </w:rPr>
            </w:pPr>
          </w:p>
        </w:tc>
        <w:tc>
          <w:tcPr>
            <w:tcW w:w="638" w:type="pct"/>
            <w:vAlign w:val="center"/>
            <w:hideMark/>
          </w:tcPr>
          <w:p w:rsidR="00000000" w:rsidRDefault="003D51DE">
            <w:pPr>
              <w:rPr>
                <w:rFonts w:eastAsia="Times New Roman"/>
                <w:sz w:val="20"/>
                <w:szCs w:val="20"/>
              </w:rPr>
            </w:pPr>
          </w:p>
        </w:tc>
        <w:tc>
          <w:tcPr>
            <w:tcW w:w="66" w:type="pct"/>
            <w:vAlign w:val="center"/>
            <w:hideMark/>
          </w:tcPr>
          <w:p w:rsidR="00000000" w:rsidRDefault="003D51DE">
            <w:pPr>
              <w:rPr>
                <w:rFonts w:eastAsia="Times New Roman"/>
                <w:sz w:val="20"/>
                <w:szCs w:val="20"/>
              </w:rPr>
            </w:pPr>
          </w:p>
        </w:tc>
        <w:tc>
          <w:tcPr>
            <w:tcW w:w="638" w:type="pct"/>
            <w:vAlign w:val="center"/>
            <w:hideMark/>
          </w:tcPr>
          <w:p w:rsidR="00000000" w:rsidRDefault="003D51DE">
            <w:pPr>
              <w:rPr>
                <w:rFonts w:eastAsia="Times New Roman"/>
                <w:sz w:val="20"/>
                <w:szCs w:val="20"/>
              </w:rPr>
            </w:pPr>
          </w:p>
        </w:tc>
        <w:tc>
          <w:tcPr>
            <w:tcW w:w="1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8" w:type="pct"/>
            <w:vAlign w:val="center"/>
            <w:hideMark/>
          </w:tcPr>
          <w:p w:rsidR="00000000" w:rsidRDefault="003D51DE">
            <w:pPr>
              <w:rPr>
                <w:rFonts w:eastAsia="Times New Roman"/>
                <w:sz w:val="20"/>
                <w:szCs w:val="20"/>
              </w:rPr>
            </w:pP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Maturit</w:t>
            </w:r>
            <w:r>
              <w:rPr>
                <w:b/>
                <w:bCs/>
                <w:sz w:val="16"/>
                <w:szCs w:val="16"/>
              </w:rPr>
              <w:t>y</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Rat</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Carrying Value</w:t>
            </w:r>
            <w:r>
              <w:rPr>
                <w:b/>
                <w:bCs/>
                <w:sz w:val="16"/>
                <w:szCs w:val="16"/>
              </w:rPr>
              <w:t xml:space="preserve"> </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Availabl</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w:t>
            </w:r>
            <w:r>
              <w:rPr>
                <w:b/>
                <w:bCs/>
                <w:sz w:val="16"/>
                <w:szCs w:val="16"/>
              </w:rPr>
              <w:br/>
              <w:t>Capacit</w:t>
            </w:r>
            <w:r>
              <w:rPr>
                <w:b/>
                <w:bCs/>
                <w:sz w:val="16"/>
                <w:szCs w:val="16"/>
              </w:rPr>
              <w:t>y</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05358420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L</w:t>
            </w:r>
            <w:r>
              <w:rPr>
                <w:sz w:val="20"/>
                <w:szCs w:val="20"/>
              </w:rPr>
              <w:t>+</w:t>
            </w:r>
            <w:r>
              <w:rPr>
                <w:sz w:val="20"/>
                <w:szCs w:val="20"/>
              </w:rPr>
              <w:t>2.0</w:t>
            </w:r>
            <w:r>
              <w:rPr>
                <w:sz w:val="20"/>
                <w:szCs w:val="20"/>
              </w:rPr>
              <w:t>0</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(2</w:t>
            </w:r>
            <w:r>
              <w:rPr>
                <w:sz w:val="13"/>
                <w:szCs w:val="13"/>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170,000,00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95,000,00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(3</w:t>
            </w:r>
            <w:r>
              <w:rPr>
                <w:sz w:val="13"/>
                <w:szCs w:val="13"/>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265,000,00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(4</w:t>
            </w:r>
            <w:r>
              <w:rPr>
                <w:sz w:val="13"/>
                <w:szCs w:val="13"/>
              </w:rPr>
              <w:t>)</w:t>
            </w:r>
          </w:p>
        </w:tc>
      </w:tr>
      <w:tr w:rsidR="00000000">
        <w:trPr>
          <w:divId w:val="1053584200"/>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2025 Private Placement Notes</w:t>
            </w:r>
            <w:r>
              <w:rPr>
                <w:sz w:val="20"/>
                <w:szCs w:val="20"/>
              </w:rPr>
              <w:t xml:space="preserve"> </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Fixed/Variabl</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(5</w:t>
            </w:r>
            <w:r>
              <w:rPr>
                <w:sz w:val="13"/>
                <w:szCs w:val="13"/>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53584200"/>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Debt, net of unamortized issuance cost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95,000,00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355,949,73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1053584200"/>
        <w:rPr>
          <w:sz w:val="20"/>
          <w:szCs w:val="20"/>
        </w:rPr>
      </w:pPr>
      <w:r>
        <w:rPr>
          <w:sz w:val="20"/>
          <w:szCs w:val="20"/>
        </w:rPr>
        <w:t> </w:t>
      </w:r>
    </w:p>
    <w:p w:rsidR="00000000" w:rsidRDefault="003D51DE">
      <w:pPr>
        <w:jc w:val="both"/>
        <w:divId w:val="1515729054"/>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3D51DE">
      <w:pPr>
        <w:jc w:val="both"/>
        <w:divId w:val="77334447"/>
        <w:rPr>
          <w:rFonts w:eastAsia="Times New Roman"/>
          <w:sz w:val="20"/>
          <w:szCs w:val="20"/>
        </w:rPr>
      </w:pPr>
      <w:r>
        <w:rPr>
          <w:rFonts w:eastAsia="Times New Roman"/>
          <w:sz w:val="16"/>
          <w:szCs w:val="16"/>
        </w:rPr>
        <w:t>The carrying value of 2025 Private Placement Notes was comprised of the following</w:t>
      </w:r>
      <w:r>
        <w:rPr>
          <w:rFonts w:eastAsia="Times New Roman"/>
          <w:sz w:val="16"/>
          <w:szCs w:val="16"/>
        </w:rPr>
        <w:t>:</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2591"/>
        <w:gridCol w:w="100"/>
        <w:gridCol w:w="1462"/>
      </w:tblGrid>
      <w:tr w:rsidR="00000000">
        <w:trPr>
          <w:divId w:val="1053584200"/>
          <w:tblCellSpacing w:w="15" w:type="dxa"/>
        </w:trPr>
        <w:tc>
          <w:tcPr>
            <w:tcW w:w="3271" w:type="pct"/>
            <w:vAlign w:val="center"/>
            <w:hideMark/>
          </w:tcPr>
          <w:p w:rsidR="00000000" w:rsidRDefault="003D51DE">
            <w:pPr>
              <w:jc w:val="both"/>
              <w:rPr>
                <w:rFonts w:eastAsia="Times New Roman"/>
                <w:sz w:val="20"/>
                <w:szCs w:val="20"/>
              </w:rPr>
            </w:pPr>
          </w:p>
        </w:tc>
        <w:tc>
          <w:tcPr>
            <w:tcW w:w="169" w:type="pct"/>
            <w:vAlign w:val="center"/>
            <w:hideMark/>
          </w:tcPr>
          <w:p w:rsidR="00000000" w:rsidRDefault="003D51DE">
            <w:pPr>
              <w:rPr>
                <w:rFonts w:eastAsia="Times New Roman"/>
                <w:sz w:val="20"/>
                <w:szCs w:val="20"/>
              </w:rPr>
            </w:pPr>
          </w:p>
        </w:tc>
        <w:tc>
          <w:tcPr>
            <w:tcW w:w="1559" w:type="pct"/>
            <w:vAlign w:val="center"/>
            <w:hideMark/>
          </w:tcPr>
          <w:p w:rsidR="00000000" w:rsidRDefault="003D51DE">
            <w:pPr>
              <w:rPr>
                <w:rFonts w:eastAsia="Times New Roman"/>
                <w:sz w:val="20"/>
                <w:szCs w:val="20"/>
              </w:rPr>
            </w:pP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Principal amount of deb</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92,000,00</w:t>
            </w:r>
            <w:r>
              <w:rPr>
                <w:sz w:val="16"/>
                <w:szCs w:val="16"/>
              </w:rPr>
              <w:t>0</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Unamortized issuance cost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                </w:t>
            </w:r>
            <w:r>
              <w:rPr>
                <w:sz w:val="16"/>
                <w:szCs w:val="16"/>
              </w:rPr>
              <w:t>(</w:t>
            </w:r>
            <w:r>
              <w:rPr>
                <w:sz w:val="16"/>
                <w:szCs w:val="16"/>
              </w:rPr>
              <w:t>1,050,26</w:t>
            </w:r>
            <w:r>
              <w:rPr>
                <w:sz w:val="16"/>
                <w:szCs w:val="16"/>
              </w:rPr>
              <w:t>9</w:t>
            </w:r>
            <w:r>
              <w:rPr>
                <w:sz w:val="16"/>
                <w:szCs w:val="16"/>
              </w:rPr>
              <w:t>)</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r>
              <w:rPr>
                <w:sz w:val="16"/>
                <w:szCs w:val="16"/>
              </w:rPr>
              <w:t>Carrying valu</w:t>
            </w:r>
            <w:r>
              <w:rPr>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90,949,73</w:t>
            </w:r>
            <w:r>
              <w:rPr>
                <w:sz w:val="16"/>
                <w:szCs w:val="16"/>
              </w:rPr>
              <w:t>1</w:t>
            </w:r>
          </w:p>
        </w:tc>
      </w:tr>
    </w:tbl>
    <w:p w:rsidR="00000000" w:rsidRDefault="003D51DE">
      <w:pPr>
        <w:pStyle w:val="a3"/>
        <w:spacing w:before="0" w:beforeAutospacing="0" w:after="0" w:afterAutospacing="0"/>
        <w:jc w:val="both"/>
        <w:divId w:val="1053584200"/>
        <w:rPr>
          <w:sz w:val="20"/>
          <w:szCs w:val="20"/>
        </w:rPr>
      </w:pPr>
      <w:r>
        <w:rPr>
          <w:sz w:val="20"/>
          <w:szCs w:val="20"/>
        </w:rPr>
        <w:t> </w:t>
      </w:r>
    </w:p>
    <w:p w:rsidR="00000000" w:rsidRDefault="003D51DE">
      <w:pPr>
        <w:jc w:val="both"/>
        <w:divId w:val="1734617470"/>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3D51DE">
      <w:pPr>
        <w:jc w:val="both"/>
        <w:divId w:val="825629884"/>
        <w:rPr>
          <w:rFonts w:eastAsia="Times New Roman"/>
          <w:sz w:val="20"/>
          <w:szCs w:val="20"/>
        </w:rPr>
      </w:pPr>
      <w:r>
        <w:rPr>
          <w:rFonts w:eastAsia="Times New Roman"/>
          <w:sz w:val="16"/>
          <w:szCs w:val="16"/>
        </w:rPr>
        <w:t>The applicable margin for LIBOR-based borrowings could be either</w:t>
      </w:r>
      <w:r>
        <w:rPr>
          <w:rFonts w:eastAsia="Times New Roman"/>
          <w:sz w:val="16"/>
          <w:szCs w:val="16"/>
        </w:rPr>
        <w:t xml:space="preserve"> </w:t>
      </w:r>
      <w:r>
        <w:rPr>
          <w:rFonts w:eastAsia="Times New Roman"/>
          <w:sz w:val="16"/>
          <w:szCs w:val="16"/>
        </w:rPr>
        <w:t>2.0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2.2</w:t>
      </w:r>
      <w:r>
        <w:rPr>
          <w:rFonts w:eastAsia="Times New Roman"/>
          <w:sz w:val="16"/>
          <w:szCs w:val="16"/>
        </w:rPr>
        <w:t>5</w:t>
      </w:r>
      <w:r>
        <w:rPr>
          <w:rFonts w:eastAsia="Times New Roman"/>
          <w:sz w:val="16"/>
          <w:szCs w:val="16"/>
        </w:rPr>
        <w:t>% depending on a ratio of the borrowing base to certain indebtedness. If the Company elects to borrow based on the alternate base rate, the applicable margin could be either</w:t>
      </w:r>
      <w:r>
        <w:rPr>
          <w:rFonts w:eastAsia="Times New Roman"/>
          <w:sz w:val="16"/>
          <w:szCs w:val="16"/>
        </w:rPr>
        <w:t xml:space="preserve"> </w:t>
      </w:r>
      <w:r>
        <w:rPr>
          <w:rFonts w:eastAsia="Times New Roman"/>
          <w:sz w:val="16"/>
          <w:szCs w:val="16"/>
        </w:rPr>
        <w:t>1.0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1.2</w:t>
      </w:r>
      <w:r>
        <w:rPr>
          <w:rFonts w:eastAsia="Times New Roman"/>
          <w:sz w:val="16"/>
          <w:szCs w:val="16"/>
        </w:rPr>
        <w:t>5</w:t>
      </w:r>
      <w:r>
        <w:rPr>
          <w:rFonts w:eastAsia="Times New Roman"/>
          <w:sz w:val="16"/>
          <w:szCs w:val="16"/>
        </w:rPr>
        <w:t>% depending on a ratio of the borrowing base to certain indebtedness</w:t>
      </w:r>
      <w:r>
        <w:rPr>
          <w:rFonts w:eastAsia="Times New Roman"/>
          <w:sz w:val="16"/>
          <w:szCs w:val="16"/>
        </w:rPr>
        <w:t>.</w:t>
      </w:r>
    </w:p>
    <w:p w:rsidR="00000000" w:rsidRDefault="003D51DE">
      <w:pPr>
        <w:jc w:val="both"/>
        <w:divId w:val="1482574646"/>
        <w:rPr>
          <w:rFonts w:eastAsia="Times New Roman"/>
          <w:sz w:val="20"/>
          <w:szCs w:val="20"/>
        </w:rPr>
      </w:pPr>
      <w:r>
        <w:rPr>
          <w:rFonts w:eastAsia="Times New Roman"/>
          <w:sz w:val="16"/>
          <w:szCs w:val="16"/>
          <w:vertAlign w:val="superscript"/>
        </w:rPr>
        <w:t>(3</w:t>
      </w:r>
      <w:r>
        <w:rPr>
          <w:rFonts w:eastAsia="Times New Roman"/>
          <w:sz w:val="16"/>
          <w:szCs w:val="16"/>
          <w:vertAlign w:val="superscript"/>
        </w:rPr>
        <w:t>)</w:t>
      </w:r>
    </w:p>
    <w:p w:rsidR="00000000" w:rsidRDefault="003D51DE">
      <w:pPr>
        <w:jc w:val="both"/>
        <w:divId w:val="1480151962"/>
        <w:rPr>
          <w:rFonts w:eastAsia="Times New Roman"/>
          <w:sz w:val="20"/>
          <w:szCs w:val="20"/>
        </w:rPr>
      </w:pPr>
      <w:r>
        <w:rPr>
          <w:rFonts w:eastAsia="Times New Roman"/>
          <w:sz w:val="16"/>
          <w:szCs w:val="16"/>
        </w:rPr>
        <w:t>Subject to borrowing base and leverage restrictions</w:t>
      </w:r>
      <w:r>
        <w:rPr>
          <w:rFonts w:eastAsia="Times New Roman"/>
          <w:sz w:val="16"/>
          <w:szCs w:val="16"/>
        </w:rPr>
        <w:t>.</w:t>
      </w:r>
    </w:p>
    <w:p w:rsidR="00000000" w:rsidRDefault="003D51DE">
      <w:pPr>
        <w:jc w:val="both"/>
        <w:divId w:val="314266189"/>
        <w:rPr>
          <w:rFonts w:eastAsia="Times New Roman"/>
          <w:sz w:val="20"/>
          <w:szCs w:val="20"/>
        </w:rPr>
      </w:pPr>
      <w:r>
        <w:rPr>
          <w:rFonts w:eastAsia="Times New Roman"/>
          <w:sz w:val="16"/>
          <w:szCs w:val="16"/>
          <w:vertAlign w:val="superscript"/>
        </w:rPr>
        <w:t>(4</w:t>
      </w:r>
      <w:r>
        <w:rPr>
          <w:rFonts w:eastAsia="Times New Roman"/>
          <w:sz w:val="16"/>
          <w:szCs w:val="16"/>
          <w:vertAlign w:val="superscript"/>
        </w:rPr>
        <w:t>)</w:t>
      </w:r>
    </w:p>
    <w:p w:rsidR="00000000" w:rsidRDefault="003D51DE">
      <w:pPr>
        <w:jc w:val="both"/>
        <w:divId w:val="99647094"/>
        <w:rPr>
          <w:rFonts w:eastAsia="Times New Roman"/>
          <w:sz w:val="20"/>
          <w:szCs w:val="20"/>
        </w:rPr>
      </w:pPr>
      <w:r>
        <w:rPr>
          <w:rFonts w:eastAsia="Times New Roman"/>
          <w:sz w:val="16"/>
          <w:szCs w:val="16"/>
        </w:rPr>
        <w:t xml:space="preserve">Provides for a feature that allows the Company, under certain circumstances, to increase the size of the Credit Facility up to </w:t>
      </w:r>
      <w:r>
        <w:rPr>
          <w:rFonts w:eastAsia="Times New Roman"/>
          <w:sz w:val="16"/>
          <w:szCs w:val="16"/>
        </w:rPr>
        <w:t>$</w:t>
      </w:r>
      <w:r>
        <w:rPr>
          <w:rFonts w:eastAsia="Times New Roman"/>
          <w:sz w:val="16"/>
          <w:szCs w:val="16"/>
        </w:rPr>
        <w:t>325.</w:t>
      </w:r>
      <w:r>
        <w:rPr>
          <w:rFonts w:eastAsia="Times New Roman"/>
          <w:sz w:val="16"/>
          <w:szCs w:val="16"/>
        </w:rPr>
        <w:t>0</w:t>
      </w:r>
      <w:r>
        <w:rPr>
          <w:rFonts w:eastAsia="Times New Roman"/>
          <w:sz w:val="16"/>
          <w:szCs w:val="16"/>
        </w:rPr>
        <w:t xml:space="preserve"> million</w:t>
      </w:r>
      <w:r>
        <w:rPr>
          <w:rFonts w:eastAsia="Times New Roman"/>
          <w:sz w:val="16"/>
          <w:szCs w:val="16"/>
        </w:rPr>
        <w:t>.</w:t>
      </w:r>
    </w:p>
    <w:p w:rsidR="00000000" w:rsidRDefault="003D51DE">
      <w:pPr>
        <w:jc w:val="both"/>
        <w:divId w:val="1036851428"/>
        <w:rPr>
          <w:rFonts w:eastAsia="Times New Roman"/>
          <w:sz w:val="20"/>
          <w:szCs w:val="20"/>
        </w:rPr>
      </w:pPr>
      <w:r>
        <w:rPr>
          <w:rFonts w:eastAsia="Times New Roman"/>
          <w:sz w:val="16"/>
          <w:szCs w:val="16"/>
          <w:vertAlign w:val="superscript"/>
        </w:rPr>
        <w:t>(5</w:t>
      </w:r>
      <w:r>
        <w:rPr>
          <w:rFonts w:eastAsia="Times New Roman"/>
          <w:sz w:val="16"/>
          <w:szCs w:val="16"/>
          <w:vertAlign w:val="superscript"/>
        </w:rPr>
        <w:t>)</w:t>
      </w:r>
    </w:p>
    <w:p w:rsidR="00000000" w:rsidRDefault="003D51DE">
      <w:pPr>
        <w:jc w:val="both"/>
        <w:divId w:val="1703630365"/>
        <w:rPr>
          <w:rFonts w:eastAsia="Times New Roman"/>
          <w:sz w:val="20"/>
          <w:szCs w:val="20"/>
        </w:rPr>
      </w:pPr>
      <w:r>
        <w:rPr>
          <w:rFonts w:eastAsia="Times New Roman"/>
          <w:sz w:val="16"/>
          <w:szCs w:val="16"/>
        </w:rPr>
        <w:t>The 2025 Private Placement Notes were issued in</w:t>
      </w:r>
      <w:r>
        <w:rPr>
          <w:rFonts w:eastAsia="Times New Roman"/>
          <w:sz w:val="16"/>
          <w:szCs w:val="16"/>
        </w:rPr>
        <w:t xml:space="preserve"> two tranches, consisting of a </w:t>
      </w:r>
      <w:r>
        <w:rPr>
          <w:rFonts w:eastAsia="Times New Roman"/>
          <w:sz w:val="16"/>
          <w:szCs w:val="16"/>
        </w:rPr>
        <w:t>$</w:t>
      </w:r>
      <w:r>
        <w:rPr>
          <w:rFonts w:eastAsia="Times New Roman"/>
          <w:sz w:val="16"/>
          <w:szCs w:val="16"/>
        </w:rPr>
        <w:t>35.</w:t>
      </w:r>
      <w:r>
        <w:rPr>
          <w:rFonts w:eastAsia="Times New Roman"/>
          <w:sz w:val="16"/>
          <w:szCs w:val="16"/>
        </w:rPr>
        <w:t>0</w:t>
      </w:r>
      <w:r>
        <w:rPr>
          <w:rFonts w:eastAsia="Times New Roman"/>
          <w:sz w:val="16"/>
          <w:szCs w:val="16"/>
        </w:rPr>
        <w:t xml:space="preserve"> million aggregate principal amount with a fixed interest rate of</w:t>
      </w:r>
      <w:r>
        <w:rPr>
          <w:rFonts w:eastAsia="Times New Roman"/>
          <w:sz w:val="16"/>
          <w:szCs w:val="16"/>
        </w:rPr>
        <w:t xml:space="preserve"> </w:t>
      </w:r>
      <w:r>
        <w:rPr>
          <w:rFonts w:eastAsia="Times New Roman"/>
          <w:sz w:val="16"/>
          <w:szCs w:val="16"/>
        </w:rPr>
        <w:t>5.8</w:t>
      </w:r>
      <w:r>
        <w:rPr>
          <w:rFonts w:eastAsia="Times New Roman"/>
          <w:sz w:val="16"/>
          <w:szCs w:val="16"/>
        </w:rPr>
        <w:t>2</w:t>
      </w:r>
      <w:r>
        <w:rPr>
          <w:rFonts w:eastAsia="Times New Roman"/>
          <w:sz w:val="16"/>
          <w:szCs w:val="16"/>
        </w:rPr>
        <w:t xml:space="preserve">% and a </w:t>
      </w:r>
      <w:r>
        <w:rPr>
          <w:rFonts w:eastAsia="Times New Roman"/>
          <w:sz w:val="16"/>
          <w:szCs w:val="16"/>
        </w:rPr>
        <w:t>$</w:t>
      </w:r>
      <w:r>
        <w:rPr>
          <w:rFonts w:eastAsia="Times New Roman"/>
          <w:sz w:val="16"/>
          <w:szCs w:val="16"/>
        </w:rPr>
        <w:t>57.</w:t>
      </w:r>
      <w:r>
        <w:rPr>
          <w:rFonts w:eastAsia="Times New Roman"/>
          <w:sz w:val="16"/>
          <w:szCs w:val="16"/>
        </w:rPr>
        <w:t>0</w:t>
      </w:r>
      <w:r>
        <w:rPr>
          <w:rFonts w:eastAsia="Times New Roman"/>
          <w:sz w:val="16"/>
          <w:szCs w:val="16"/>
        </w:rPr>
        <w:t xml:space="preserve"> million aggregate principal amount bearing interest at a rate equal to SOFR plus</w:t>
      </w:r>
      <w:r>
        <w:rPr>
          <w:rFonts w:eastAsia="Times New Roman"/>
          <w:sz w:val="16"/>
          <w:szCs w:val="16"/>
        </w:rPr>
        <w:t xml:space="preserve"> </w:t>
      </w:r>
      <w:r>
        <w:rPr>
          <w:rFonts w:eastAsia="Times New Roman"/>
          <w:sz w:val="16"/>
          <w:szCs w:val="16"/>
        </w:rPr>
        <w:t>3.1</w:t>
      </w:r>
      <w:r>
        <w:rPr>
          <w:rFonts w:eastAsia="Times New Roman"/>
          <w:sz w:val="16"/>
          <w:szCs w:val="16"/>
        </w:rPr>
        <w:t>4</w:t>
      </w:r>
      <w:r>
        <w:rPr>
          <w:rFonts w:eastAsia="Times New Roman"/>
          <w:sz w:val="16"/>
          <w:szCs w:val="16"/>
        </w:rPr>
        <w:t>%</w:t>
      </w:r>
      <w:r>
        <w:rPr>
          <w:rFonts w:eastAsia="Times New Roman"/>
          <w:sz w:val="16"/>
          <w:szCs w:val="16"/>
        </w:rPr>
        <w:t>.</w:t>
      </w:r>
    </w:p>
    <w:p w:rsidR="00000000" w:rsidRDefault="003D51DE">
      <w:pPr>
        <w:pStyle w:val="a3"/>
        <w:spacing w:before="180" w:beforeAutospacing="0" w:after="0" w:afterAutospacing="0"/>
        <w:ind w:firstLine="694"/>
        <w:jc w:val="both"/>
        <w:divId w:val="1053584200"/>
        <w:rPr>
          <w:sz w:val="20"/>
          <w:szCs w:val="20"/>
        </w:rPr>
      </w:pPr>
      <w:r>
        <w:rPr>
          <w:sz w:val="19"/>
          <w:szCs w:val="19"/>
        </w:rPr>
        <w:t>Total debt outstanding and available at December</w:t>
      </w:r>
      <w:r>
        <w:rPr>
          <w:sz w:val="19"/>
          <w:szCs w:val="19"/>
        </w:rPr>
        <w:t xml:space="preserve"> 31, 2021 was as follows</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0"/>
        <w:gridCol w:w="110"/>
        <w:gridCol w:w="683"/>
        <w:gridCol w:w="110"/>
        <w:gridCol w:w="812"/>
        <w:gridCol w:w="212"/>
        <w:gridCol w:w="160"/>
        <w:gridCol w:w="1060"/>
        <w:gridCol w:w="110"/>
        <w:gridCol w:w="110"/>
        <w:gridCol w:w="160"/>
        <w:gridCol w:w="1060"/>
        <w:gridCol w:w="110"/>
        <w:gridCol w:w="212"/>
        <w:gridCol w:w="160"/>
        <w:gridCol w:w="1060"/>
        <w:gridCol w:w="110"/>
        <w:gridCol w:w="227"/>
      </w:tblGrid>
      <w:tr w:rsidR="00000000">
        <w:trPr>
          <w:divId w:val="1053584200"/>
          <w:tblCellSpacing w:w="15" w:type="dxa"/>
        </w:trPr>
        <w:tc>
          <w:tcPr>
            <w:tcW w:w="1341" w:type="pct"/>
            <w:vAlign w:val="center"/>
            <w:hideMark/>
          </w:tcPr>
          <w:p w:rsidR="00000000" w:rsidRDefault="003D51DE">
            <w:pPr>
              <w:rPr>
                <w:sz w:val="20"/>
                <w:szCs w:val="20"/>
              </w:rPr>
            </w:pPr>
          </w:p>
        </w:tc>
        <w:tc>
          <w:tcPr>
            <w:tcW w:w="64" w:type="pct"/>
            <w:vAlign w:val="center"/>
            <w:hideMark/>
          </w:tcPr>
          <w:p w:rsidR="00000000" w:rsidRDefault="003D51DE">
            <w:pPr>
              <w:rPr>
                <w:rFonts w:eastAsia="Times New Roman"/>
                <w:sz w:val="20"/>
                <w:szCs w:val="20"/>
              </w:rPr>
            </w:pPr>
          </w:p>
        </w:tc>
        <w:tc>
          <w:tcPr>
            <w:tcW w:w="5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00" w:type="pct"/>
            <w:vAlign w:val="center"/>
            <w:hideMark/>
          </w:tcPr>
          <w:p w:rsidR="00000000" w:rsidRDefault="003D51DE">
            <w:pPr>
              <w:rPr>
                <w:rFonts w:eastAsia="Times New Roman"/>
                <w:sz w:val="20"/>
                <w:szCs w:val="20"/>
              </w:rPr>
            </w:pPr>
          </w:p>
        </w:tc>
        <w:tc>
          <w:tcPr>
            <w:tcW w:w="1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0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11" w:type="pct"/>
            <w:vAlign w:val="center"/>
            <w:hideMark/>
          </w:tcPr>
          <w:p w:rsidR="00000000" w:rsidRDefault="003D51DE">
            <w:pPr>
              <w:rPr>
                <w:rFonts w:eastAsia="Times New Roman"/>
                <w:sz w:val="20"/>
                <w:szCs w:val="20"/>
              </w:rPr>
            </w:pP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Maturit</w:t>
            </w:r>
            <w:r>
              <w:rPr>
                <w:b/>
                <w:bCs/>
                <w:sz w:val="16"/>
                <w:szCs w:val="16"/>
              </w:rPr>
              <w:t>y</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Rat</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Carrying Value</w:t>
            </w:r>
            <w:r>
              <w:rPr>
                <w:b/>
                <w:bCs/>
                <w:sz w:val="16"/>
                <w:szCs w:val="16"/>
              </w:rPr>
              <w:t xml:space="preserve"> </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Availabl</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w:t>
            </w:r>
            <w:r>
              <w:rPr>
                <w:b/>
                <w:bCs/>
                <w:sz w:val="16"/>
                <w:szCs w:val="16"/>
              </w:rPr>
              <w:br/>
              <w:t>Capacit</w:t>
            </w:r>
            <w:r>
              <w:rPr>
                <w:b/>
                <w:bCs/>
                <w:sz w:val="16"/>
                <w:szCs w:val="16"/>
              </w:rPr>
              <w:t>y</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053584200"/>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202</w:t>
            </w:r>
            <w:r>
              <w:rPr>
                <w:sz w:val="20"/>
                <w:szCs w:val="20"/>
              </w:rPr>
              <w:t>5</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L</w:t>
            </w:r>
            <w:r>
              <w:rPr>
                <w:sz w:val="20"/>
                <w:szCs w:val="20"/>
              </w:rPr>
              <w:t>+</w:t>
            </w:r>
            <w:r>
              <w:rPr>
                <w:sz w:val="20"/>
                <w:szCs w:val="20"/>
              </w:rPr>
              <w:t>2.0</w:t>
            </w:r>
            <w:r>
              <w:rPr>
                <w:sz w:val="20"/>
                <w:szCs w:val="20"/>
              </w:rPr>
              <w:t>0</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(2</w:t>
            </w:r>
            <w:r>
              <w:rPr>
                <w:sz w:val="13"/>
                <w:szCs w:val="13"/>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211,000,00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(3</w:t>
            </w:r>
            <w:r>
              <w:rPr>
                <w:sz w:val="13"/>
                <w:szCs w:val="13"/>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265,000,00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13"/>
                <w:szCs w:val="13"/>
              </w:rPr>
              <w:t>(4</w:t>
            </w:r>
            <w:r>
              <w:rPr>
                <w:sz w:val="13"/>
                <w:szCs w:val="13"/>
              </w:rPr>
              <w:t>)</w:t>
            </w:r>
          </w:p>
        </w:tc>
      </w:tr>
      <w:tr w:rsidR="00000000">
        <w:trPr>
          <w:divId w:val="1053584200"/>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2022 Convertible Notes</w:t>
            </w:r>
            <w:r>
              <w:rPr>
                <w:sz w:val="20"/>
                <w:szCs w:val="20"/>
              </w:rPr>
              <w:t xml:space="preserve"> </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5.0</w:t>
            </w:r>
            <w:r>
              <w:rPr>
                <w:sz w:val="20"/>
                <w:szCs w:val="20"/>
              </w:rPr>
              <w:t>0</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53584200"/>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Debt, net of unamortized issuance cost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211,000,00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407,875,33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1053584200"/>
        <w:rPr>
          <w:sz w:val="20"/>
          <w:szCs w:val="20"/>
        </w:rPr>
      </w:pPr>
      <w:r>
        <w:rPr>
          <w:sz w:val="20"/>
          <w:szCs w:val="20"/>
        </w:rPr>
        <w:t> </w:t>
      </w:r>
    </w:p>
    <w:p w:rsidR="00000000" w:rsidRDefault="003D51DE">
      <w:pPr>
        <w:jc w:val="both"/>
        <w:divId w:val="339284967"/>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3D51DE">
      <w:pPr>
        <w:jc w:val="both"/>
        <w:divId w:val="958534578"/>
        <w:rPr>
          <w:rFonts w:eastAsia="Times New Roman"/>
          <w:sz w:val="20"/>
          <w:szCs w:val="20"/>
        </w:rPr>
      </w:pPr>
      <w:r>
        <w:rPr>
          <w:rFonts w:eastAsia="Times New Roman"/>
          <w:sz w:val="16"/>
          <w:szCs w:val="16"/>
        </w:rPr>
        <w:t>The carrying value of 2022 Convertible Notes was comprised of the following</w:t>
      </w:r>
      <w:r>
        <w:rPr>
          <w:rFonts w:eastAsia="Times New Roman"/>
          <w:sz w:val="16"/>
          <w:szCs w:val="16"/>
        </w:rPr>
        <w:t>:</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2685"/>
        <w:gridCol w:w="166"/>
        <w:gridCol w:w="1302"/>
      </w:tblGrid>
      <w:tr w:rsidR="00000000">
        <w:trPr>
          <w:divId w:val="1053584200"/>
          <w:tblCellSpacing w:w="15" w:type="dxa"/>
        </w:trPr>
        <w:tc>
          <w:tcPr>
            <w:tcW w:w="3271" w:type="pct"/>
            <w:vAlign w:val="center"/>
            <w:hideMark/>
          </w:tcPr>
          <w:p w:rsidR="00000000" w:rsidRDefault="003D51DE">
            <w:pPr>
              <w:jc w:val="both"/>
              <w:rPr>
                <w:rFonts w:eastAsia="Times New Roman"/>
                <w:sz w:val="20"/>
                <w:szCs w:val="20"/>
              </w:rPr>
            </w:pPr>
          </w:p>
        </w:tc>
        <w:tc>
          <w:tcPr>
            <w:tcW w:w="169" w:type="pct"/>
            <w:vAlign w:val="center"/>
            <w:hideMark/>
          </w:tcPr>
          <w:p w:rsidR="00000000" w:rsidRDefault="003D51DE">
            <w:pPr>
              <w:rPr>
                <w:rFonts w:eastAsia="Times New Roman"/>
                <w:sz w:val="20"/>
                <w:szCs w:val="20"/>
              </w:rPr>
            </w:pPr>
          </w:p>
        </w:tc>
        <w:tc>
          <w:tcPr>
            <w:tcW w:w="1559" w:type="pct"/>
            <w:vAlign w:val="center"/>
            <w:hideMark/>
          </w:tcPr>
          <w:p w:rsidR="00000000" w:rsidRDefault="003D51DE">
            <w:pPr>
              <w:rPr>
                <w:rFonts w:eastAsia="Times New Roman"/>
                <w:sz w:val="20"/>
                <w:szCs w:val="20"/>
              </w:rPr>
            </w:pP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December 31, 202</w:t>
            </w:r>
            <w:r>
              <w:rPr>
                <w:b/>
                <w:bCs/>
                <w:sz w:val="16"/>
                <w:szCs w:val="16"/>
              </w:rPr>
              <w:t>1</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Principal amount of deb</w:t>
            </w:r>
            <w:r>
              <w:rPr>
                <w:sz w:val="16"/>
                <w:szCs w:val="16"/>
              </w:rPr>
              <w:t>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143,750,00</w:t>
            </w:r>
            <w:r>
              <w:rPr>
                <w:sz w:val="16"/>
                <w:szCs w:val="16"/>
              </w:rPr>
              <w:t>0</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Original issue discount, net of accretio</w:t>
            </w:r>
            <w:r>
              <w:rPr>
                <w:sz w:val="16"/>
                <w:szCs w:val="16"/>
              </w:rPr>
              <w:t>n</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  </w:t>
            </w:r>
            <w:r>
              <w:rPr>
                <w:sz w:val="16"/>
                <w:szCs w:val="16"/>
              </w:rPr>
              <w:t>(</w:t>
            </w:r>
            <w:r>
              <w:rPr>
                <w:sz w:val="16"/>
                <w:szCs w:val="16"/>
              </w:rPr>
              <w:t>449,39</w:t>
            </w:r>
            <w:r>
              <w:rPr>
                <w:sz w:val="16"/>
                <w:szCs w:val="16"/>
              </w:rPr>
              <w:t>8</w:t>
            </w:r>
            <w:r>
              <w:rPr>
                <w:sz w:val="16"/>
                <w:szCs w:val="16"/>
              </w:rPr>
              <w:t>)</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r>
              <w:rPr>
                <w:sz w:val="16"/>
                <w:szCs w:val="16"/>
              </w:rPr>
              <w:t>Unamortized issuance cost</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  </w:t>
            </w:r>
            <w:r>
              <w:rPr>
                <w:sz w:val="16"/>
                <w:szCs w:val="16"/>
              </w:rPr>
              <w:t>(</w:t>
            </w:r>
            <w:r>
              <w:rPr>
                <w:sz w:val="16"/>
                <w:szCs w:val="16"/>
              </w:rPr>
              <w:t>425,27</w:t>
            </w:r>
            <w:r>
              <w:rPr>
                <w:sz w:val="16"/>
                <w:szCs w:val="16"/>
              </w:rPr>
              <w:t>2</w:t>
            </w:r>
            <w:r>
              <w:rPr>
                <w:sz w:val="16"/>
                <w:szCs w:val="16"/>
              </w:rPr>
              <w:t>)</w:t>
            </w:r>
          </w:p>
        </w:tc>
      </w:tr>
      <w:tr w:rsidR="00000000">
        <w:trPr>
          <w:divId w:val="1053584200"/>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Carrying valu</w:t>
            </w:r>
            <w:r>
              <w:rPr>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142,875,33</w:t>
            </w:r>
            <w:r>
              <w:rPr>
                <w:sz w:val="16"/>
                <w:szCs w:val="16"/>
              </w:rPr>
              <w:t>0</w:t>
            </w:r>
          </w:p>
        </w:tc>
      </w:tr>
    </w:tbl>
    <w:p w:rsidR="00000000" w:rsidRDefault="003D51DE">
      <w:pPr>
        <w:pStyle w:val="a3"/>
        <w:spacing w:before="0" w:beforeAutospacing="0" w:after="0" w:afterAutospacing="0"/>
        <w:ind w:left="1071"/>
        <w:jc w:val="both"/>
        <w:divId w:val="1053584200"/>
        <w:rPr>
          <w:sz w:val="20"/>
          <w:szCs w:val="20"/>
        </w:rPr>
      </w:pPr>
      <w:r>
        <w:rPr>
          <w:sz w:val="20"/>
          <w:szCs w:val="20"/>
        </w:rPr>
        <w:t> </w:t>
      </w:r>
    </w:p>
    <w:p w:rsidR="00000000" w:rsidRDefault="003D51DE">
      <w:pPr>
        <w:jc w:val="both"/>
        <w:divId w:val="166791988"/>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3D51DE">
      <w:pPr>
        <w:jc w:val="both"/>
        <w:divId w:val="733283579"/>
        <w:rPr>
          <w:rFonts w:eastAsia="Times New Roman"/>
          <w:sz w:val="20"/>
          <w:szCs w:val="20"/>
        </w:rPr>
      </w:pPr>
      <w:r>
        <w:rPr>
          <w:rFonts w:eastAsia="Times New Roman"/>
          <w:sz w:val="16"/>
          <w:szCs w:val="16"/>
        </w:rPr>
        <w:t>The applicable margin for LIBOR-based borrowings was either</w:t>
      </w:r>
      <w:r>
        <w:rPr>
          <w:rFonts w:eastAsia="Times New Roman"/>
          <w:sz w:val="16"/>
          <w:szCs w:val="16"/>
        </w:rPr>
        <w:t xml:space="preserve"> </w:t>
      </w:r>
      <w:r>
        <w:rPr>
          <w:rFonts w:eastAsia="Times New Roman"/>
          <w:sz w:val="16"/>
          <w:szCs w:val="16"/>
        </w:rPr>
        <w:t>2.0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2.2</w:t>
      </w:r>
      <w:r>
        <w:rPr>
          <w:rFonts w:eastAsia="Times New Roman"/>
          <w:sz w:val="16"/>
          <w:szCs w:val="16"/>
        </w:rPr>
        <w:t>5</w:t>
      </w:r>
      <w:r>
        <w:rPr>
          <w:rFonts w:eastAsia="Times New Roman"/>
          <w:sz w:val="16"/>
          <w:szCs w:val="16"/>
        </w:rPr>
        <w:t>% depending on a ratio of the borrowing base to certain indebtedness. If the Company elects to borrow based on the alternate base rate, the applicable margin could be either</w:t>
      </w:r>
      <w:r>
        <w:rPr>
          <w:rFonts w:eastAsia="Times New Roman"/>
          <w:sz w:val="16"/>
          <w:szCs w:val="16"/>
        </w:rPr>
        <w:t xml:space="preserve"> </w:t>
      </w:r>
      <w:r>
        <w:rPr>
          <w:rFonts w:eastAsia="Times New Roman"/>
          <w:sz w:val="16"/>
          <w:szCs w:val="16"/>
        </w:rPr>
        <w:t>1.0</w:t>
      </w:r>
      <w:r>
        <w:rPr>
          <w:rFonts w:eastAsia="Times New Roman"/>
          <w:sz w:val="16"/>
          <w:szCs w:val="16"/>
        </w:rPr>
        <w:t>0</w:t>
      </w:r>
      <w:r>
        <w:rPr>
          <w:rFonts w:eastAsia="Times New Roman"/>
          <w:sz w:val="16"/>
          <w:szCs w:val="16"/>
        </w:rPr>
        <w:t>% or</w:t>
      </w:r>
      <w:r>
        <w:rPr>
          <w:rFonts w:eastAsia="Times New Roman"/>
          <w:sz w:val="16"/>
          <w:szCs w:val="16"/>
        </w:rPr>
        <w:t xml:space="preserve"> </w:t>
      </w:r>
      <w:r>
        <w:rPr>
          <w:rFonts w:eastAsia="Times New Roman"/>
          <w:sz w:val="16"/>
          <w:szCs w:val="16"/>
        </w:rPr>
        <w:t>1.2</w:t>
      </w:r>
      <w:r>
        <w:rPr>
          <w:rFonts w:eastAsia="Times New Roman"/>
          <w:sz w:val="16"/>
          <w:szCs w:val="16"/>
        </w:rPr>
        <w:t>5</w:t>
      </w:r>
      <w:r>
        <w:rPr>
          <w:rFonts w:eastAsia="Times New Roman"/>
          <w:sz w:val="16"/>
          <w:szCs w:val="16"/>
        </w:rPr>
        <w:t>% depending on a ratio of the borrowing base to certain indebtedness</w:t>
      </w:r>
      <w:r>
        <w:rPr>
          <w:rFonts w:eastAsia="Times New Roman"/>
          <w:sz w:val="16"/>
          <w:szCs w:val="16"/>
        </w:rPr>
        <w:t>.</w:t>
      </w:r>
    </w:p>
    <w:p w:rsidR="00000000" w:rsidRDefault="003D51DE">
      <w:pPr>
        <w:jc w:val="both"/>
        <w:divId w:val="279067120"/>
        <w:rPr>
          <w:rFonts w:eastAsia="Times New Roman"/>
          <w:sz w:val="20"/>
          <w:szCs w:val="20"/>
        </w:rPr>
      </w:pPr>
      <w:r>
        <w:rPr>
          <w:rFonts w:eastAsia="Times New Roman"/>
          <w:sz w:val="16"/>
          <w:szCs w:val="16"/>
          <w:vertAlign w:val="superscript"/>
        </w:rPr>
        <w:t>(3</w:t>
      </w:r>
      <w:r>
        <w:rPr>
          <w:rFonts w:eastAsia="Times New Roman"/>
          <w:sz w:val="16"/>
          <w:szCs w:val="16"/>
          <w:vertAlign w:val="superscript"/>
        </w:rPr>
        <w:t>)</w:t>
      </w:r>
    </w:p>
    <w:p w:rsidR="00000000" w:rsidRDefault="003D51DE">
      <w:pPr>
        <w:jc w:val="both"/>
        <w:divId w:val="1219709334"/>
        <w:rPr>
          <w:rFonts w:eastAsia="Times New Roman"/>
          <w:sz w:val="20"/>
          <w:szCs w:val="20"/>
        </w:rPr>
      </w:pPr>
      <w:r>
        <w:rPr>
          <w:rFonts w:eastAsia="Times New Roman"/>
          <w:sz w:val="16"/>
          <w:szCs w:val="16"/>
        </w:rPr>
        <w:t>Subject to borrowing base and leverage restrictions</w:t>
      </w:r>
      <w:r>
        <w:rPr>
          <w:rFonts w:eastAsia="Times New Roman"/>
          <w:sz w:val="16"/>
          <w:szCs w:val="16"/>
        </w:rPr>
        <w:t>.</w:t>
      </w:r>
    </w:p>
    <w:p w:rsidR="00000000" w:rsidRDefault="003D51DE">
      <w:pPr>
        <w:jc w:val="both"/>
        <w:divId w:val="1096753356"/>
        <w:rPr>
          <w:rFonts w:eastAsia="Times New Roman"/>
          <w:sz w:val="20"/>
          <w:szCs w:val="20"/>
        </w:rPr>
      </w:pPr>
      <w:r>
        <w:rPr>
          <w:rFonts w:eastAsia="Times New Roman"/>
          <w:sz w:val="16"/>
          <w:szCs w:val="16"/>
          <w:vertAlign w:val="superscript"/>
        </w:rPr>
        <w:t>(4</w:t>
      </w:r>
      <w:r>
        <w:rPr>
          <w:rFonts w:eastAsia="Times New Roman"/>
          <w:sz w:val="16"/>
          <w:szCs w:val="16"/>
          <w:vertAlign w:val="superscript"/>
        </w:rPr>
        <w:t>)</w:t>
      </w:r>
    </w:p>
    <w:p w:rsidR="00000000" w:rsidRDefault="003D51DE">
      <w:pPr>
        <w:jc w:val="both"/>
        <w:divId w:val="1421297003"/>
        <w:rPr>
          <w:rFonts w:eastAsia="Times New Roman"/>
          <w:sz w:val="20"/>
          <w:szCs w:val="20"/>
        </w:rPr>
      </w:pPr>
      <w:r>
        <w:rPr>
          <w:rFonts w:eastAsia="Times New Roman"/>
          <w:sz w:val="16"/>
          <w:szCs w:val="16"/>
        </w:rPr>
        <w:t xml:space="preserve">Provides for a feature that allows the Company, under certain circumstances, to increase the size of the Credit Facility up to </w:t>
      </w:r>
      <w:r>
        <w:rPr>
          <w:rFonts w:eastAsia="Times New Roman"/>
          <w:sz w:val="16"/>
          <w:szCs w:val="16"/>
        </w:rPr>
        <w:t>$</w:t>
      </w:r>
      <w:r>
        <w:rPr>
          <w:rFonts w:eastAsia="Times New Roman"/>
          <w:sz w:val="16"/>
          <w:szCs w:val="16"/>
        </w:rPr>
        <w:t>325.</w:t>
      </w:r>
      <w:r>
        <w:rPr>
          <w:rFonts w:eastAsia="Times New Roman"/>
          <w:sz w:val="16"/>
          <w:szCs w:val="16"/>
        </w:rPr>
        <w:t>0</w:t>
      </w:r>
      <w:r>
        <w:rPr>
          <w:rFonts w:eastAsia="Times New Roman"/>
          <w:sz w:val="16"/>
          <w:szCs w:val="16"/>
        </w:rPr>
        <w:t xml:space="preserve"> million</w:t>
      </w:r>
      <w:r>
        <w:rPr>
          <w:rFonts w:eastAsia="Times New Roman"/>
          <w:sz w:val="16"/>
          <w:szCs w:val="16"/>
        </w:rPr>
        <w:t>.</w:t>
      </w:r>
    </w:p>
    <w:p w:rsidR="00000000" w:rsidRDefault="003D51DE">
      <w:pPr>
        <w:pStyle w:val="a3"/>
        <w:spacing w:before="180" w:beforeAutospacing="0" w:after="0" w:afterAutospacing="0"/>
        <w:ind w:firstLine="694"/>
        <w:jc w:val="both"/>
        <w:divId w:val="1424758348"/>
        <w:rPr>
          <w:sz w:val="20"/>
          <w:szCs w:val="20"/>
        </w:rPr>
      </w:pPr>
      <w:r>
        <w:rPr>
          <w:sz w:val="19"/>
          <w:szCs w:val="19"/>
        </w:rPr>
        <w:t>The Company’s weighted average outstanding debt bal</w:t>
      </w:r>
      <w:r>
        <w:rPr>
          <w:sz w:val="19"/>
          <w:szCs w:val="19"/>
        </w:rPr>
        <w:t>ance during the three months ended September 30, 2022 and 2021 was</w:t>
      </w:r>
      <w:r>
        <w:rPr>
          <w:sz w:val="19"/>
          <w:szCs w:val="19"/>
        </w:rPr>
        <w:t xml:space="preserve"> </w:t>
      </w:r>
      <w:r>
        <w:rPr>
          <w:sz w:val="19"/>
          <w:szCs w:val="19"/>
        </w:rPr>
        <w:t>$</w:t>
      </w:r>
      <w:r>
        <w:rPr>
          <w:sz w:val="19"/>
          <w:szCs w:val="19"/>
        </w:rPr>
        <w:t>252,614,42</w:t>
      </w:r>
      <w:r>
        <w:rPr>
          <w:sz w:val="19"/>
          <w:szCs w:val="19"/>
        </w:rPr>
        <w:t>0</w:t>
      </w:r>
      <w:r>
        <w:rPr>
          <w:sz w:val="19"/>
          <w:szCs w:val="19"/>
        </w:rPr>
        <w:t xml:space="preserve"> and </w:t>
      </w:r>
      <w:r>
        <w:rPr>
          <w:sz w:val="19"/>
          <w:szCs w:val="19"/>
        </w:rPr>
        <w:t>$</w:t>
      </w:r>
      <w:r>
        <w:rPr>
          <w:sz w:val="19"/>
          <w:szCs w:val="19"/>
        </w:rPr>
        <w:t>207,709,26</w:t>
      </w:r>
      <w:r>
        <w:rPr>
          <w:sz w:val="19"/>
          <w:szCs w:val="19"/>
        </w:rPr>
        <w:t>5</w:t>
      </w:r>
      <w:r>
        <w:rPr>
          <w:sz w:val="19"/>
          <w:szCs w:val="19"/>
        </w:rPr>
        <w:t>, respectively. The maximum amounts borrowed during the three months ended</w:t>
      </w:r>
      <w:r>
        <w:rPr>
          <w:sz w:val="19"/>
          <w:szCs w:val="19"/>
        </w:rPr>
        <w:t xml:space="preserve"> </w:t>
      </w:r>
      <w:r>
        <w:rPr>
          <w:sz w:val="19"/>
          <w:szCs w:val="19"/>
        </w:rPr>
        <w:t>September 30, 2022 and 2021 were</w:t>
      </w:r>
      <w:r>
        <w:rPr>
          <w:sz w:val="19"/>
          <w:szCs w:val="19"/>
        </w:rPr>
        <w:t xml:space="preserve"> </w:t>
      </w:r>
      <w:r>
        <w:rPr>
          <w:sz w:val="19"/>
          <w:szCs w:val="19"/>
        </w:rPr>
        <w:t>$</w:t>
      </w:r>
      <w:r>
        <w:rPr>
          <w:sz w:val="19"/>
          <w:szCs w:val="19"/>
        </w:rPr>
        <w:t>274,922,14</w:t>
      </w:r>
      <w:r>
        <w:rPr>
          <w:sz w:val="19"/>
          <w:szCs w:val="19"/>
        </w:rPr>
        <w:t>9</w:t>
      </w:r>
      <w:r>
        <w:rPr>
          <w:sz w:val="19"/>
          <w:szCs w:val="19"/>
        </w:rPr>
        <w:t xml:space="preserve"> and </w:t>
      </w:r>
      <w:r>
        <w:rPr>
          <w:sz w:val="19"/>
          <w:szCs w:val="19"/>
        </w:rPr>
        <w:t>$</w:t>
      </w:r>
      <w:r>
        <w:rPr>
          <w:sz w:val="19"/>
          <w:szCs w:val="19"/>
        </w:rPr>
        <w:t>219,075,62</w:t>
      </w:r>
      <w:r>
        <w:rPr>
          <w:sz w:val="19"/>
          <w:szCs w:val="19"/>
        </w:rPr>
        <w:t>6</w:t>
      </w:r>
      <w:r>
        <w:rPr>
          <w:sz w:val="19"/>
          <w:szCs w:val="19"/>
        </w:rPr>
        <w:t>, respectively. The Com</w:t>
      </w:r>
      <w:r>
        <w:rPr>
          <w:sz w:val="19"/>
          <w:szCs w:val="19"/>
        </w:rPr>
        <w:t>pany’s weighted average outstanding debt balance during the nine months ended</w:t>
      </w:r>
      <w:r>
        <w:rPr>
          <w:sz w:val="19"/>
          <w:szCs w:val="19"/>
        </w:rPr>
        <w:t xml:space="preserve"> </w:t>
      </w:r>
      <w:r>
        <w:rPr>
          <w:sz w:val="19"/>
          <w:szCs w:val="19"/>
        </w:rPr>
        <w:t>September 30, 2022 and 2021 was</w:t>
      </w:r>
      <w:r>
        <w:rPr>
          <w:sz w:val="19"/>
          <w:szCs w:val="19"/>
        </w:rPr>
        <w:t xml:space="preserve"> </w:t>
      </w:r>
      <w:r>
        <w:rPr>
          <w:sz w:val="19"/>
          <w:szCs w:val="19"/>
        </w:rPr>
        <w:t>$</w:t>
      </w:r>
      <w:r>
        <w:rPr>
          <w:sz w:val="19"/>
          <w:szCs w:val="19"/>
        </w:rPr>
        <w:t>224,779,55</w:t>
      </w:r>
      <w:r>
        <w:rPr>
          <w:sz w:val="19"/>
          <w:szCs w:val="19"/>
        </w:rPr>
        <w:t>1</w:t>
      </w:r>
      <w:r>
        <w:rPr>
          <w:sz w:val="19"/>
          <w:szCs w:val="19"/>
        </w:rPr>
        <w:t xml:space="preserve"> and </w:t>
      </w:r>
      <w:r>
        <w:rPr>
          <w:sz w:val="19"/>
          <w:szCs w:val="19"/>
        </w:rPr>
        <w:t>$</w:t>
      </w:r>
      <w:r>
        <w:rPr>
          <w:sz w:val="19"/>
          <w:szCs w:val="19"/>
        </w:rPr>
        <w:t>176,776,41</w:t>
      </w:r>
      <w:r>
        <w:rPr>
          <w:sz w:val="19"/>
          <w:szCs w:val="19"/>
        </w:rPr>
        <w:t>4</w:t>
      </w:r>
      <w:r>
        <w:rPr>
          <w:sz w:val="19"/>
          <w:szCs w:val="19"/>
        </w:rPr>
        <w:t>, respectively. The maximum amounts borrowed during the nine months ended</w:t>
      </w:r>
      <w:r>
        <w:rPr>
          <w:sz w:val="19"/>
          <w:szCs w:val="19"/>
        </w:rPr>
        <w:t xml:space="preserve"> </w:t>
      </w:r>
      <w:r>
        <w:rPr>
          <w:sz w:val="19"/>
          <w:szCs w:val="19"/>
        </w:rPr>
        <w:t>September 30, 2022 and 2021 were</w:t>
      </w:r>
      <w:r>
        <w:rPr>
          <w:sz w:val="19"/>
          <w:szCs w:val="19"/>
        </w:rPr>
        <w:t xml:space="preserve"> </w:t>
      </w:r>
      <w:r>
        <w:rPr>
          <w:sz w:val="19"/>
          <w:szCs w:val="19"/>
        </w:rPr>
        <w:t>$</w:t>
      </w:r>
      <w:r>
        <w:rPr>
          <w:sz w:val="19"/>
          <w:szCs w:val="19"/>
        </w:rPr>
        <w:t>377,567,1</w:t>
      </w:r>
      <w:r>
        <w:rPr>
          <w:sz w:val="19"/>
          <w:szCs w:val="19"/>
        </w:rPr>
        <w:t>8</w:t>
      </w:r>
      <w:r>
        <w:rPr>
          <w:sz w:val="19"/>
          <w:szCs w:val="19"/>
        </w:rPr>
        <w:t>2</w:t>
      </w:r>
      <w:r>
        <w:rPr>
          <w:sz w:val="19"/>
          <w:szCs w:val="19"/>
        </w:rPr>
        <w:t xml:space="preserve"> and </w:t>
      </w:r>
      <w:r>
        <w:rPr>
          <w:sz w:val="19"/>
          <w:szCs w:val="19"/>
        </w:rPr>
        <w:t>$</w:t>
      </w:r>
      <w:r>
        <w:rPr>
          <w:sz w:val="19"/>
          <w:szCs w:val="19"/>
        </w:rPr>
        <w:t>219,076,62</w:t>
      </w:r>
      <w:r>
        <w:rPr>
          <w:sz w:val="19"/>
          <w:szCs w:val="19"/>
        </w:rPr>
        <w:t>7</w:t>
      </w:r>
      <w:r>
        <w:rPr>
          <w:sz w:val="19"/>
          <w:szCs w:val="19"/>
        </w:rPr>
        <w:t>, respectively</w:t>
      </w:r>
      <w:r>
        <w:rPr>
          <w:sz w:val="19"/>
          <w:szCs w:val="19"/>
        </w:rPr>
        <w:t>.</w:t>
      </w:r>
    </w:p>
    <w:p w:rsidR="00000000" w:rsidRDefault="003D51DE">
      <w:pPr>
        <w:pStyle w:val="a3"/>
        <w:spacing w:before="180" w:beforeAutospacing="0" w:after="0" w:afterAutospacing="0"/>
        <w:ind w:firstLine="694"/>
        <w:jc w:val="both"/>
        <w:divId w:val="1424758348"/>
        <w:rPr>
          <w:sz w:val="20"/>
          <w:szCs w:val="20"/>
        </w:rPr>
      </w:pPr>
      <w:r>
        <w:rPr>
          <w:sz w:val="19"/>
          <w:szCs w:val="19"/>
        </w:rPr>
        <w:t>The weighted average annual interest cost, including the amortization of debt issuance costs, for the three and nine months ended September 30, 2022 was</w:t>
      </w:r>
      <w:r>
        <w:rPr>
          <w:sz w:val="19"/>
          <w:szCs w:val="19"/>
        </w:rPr>
        <w:t xml:space="preserve"> </w:t>
      </w:r>
      <w:r>
        <w:rPr>
          <w:sz w:val="19"/>
          <w:szCs w:val="19"/>
        </w:rPr>
        <w:t>5.0</w:t>
      </w:r>
      <w:r>
        <w:rPr>
          <w:sz w:val="19"/>
          <w:szCs w:val="19"/>
        </w:rPr>
        <w:t>5</w:t>
      </w:r>
      <w:r>
        <w:rPr>
          <w:sz w:val="19"/>
          <w:szCs w:val="19"/>
        </w:rPr>
        <w:t>%</w:t>
      </w:r>
      <w:r>
        <w:rPr>
          <w:sz w:val="19"/>
          <w:szCs w:val="19"/>
        </w:rPr>
        <w:t xml:space="preserve"> and</w:t>
      </w:r>
      <w:r>
        <w:rPr>
          <w:sz w:val="19"/>
          <w:szCs w:val="19"/>
        </w:rPr>
        <w:t xml:space="preserve"> </w:t>
      </w:r>
      <w:r>
        <w:rPr>
          <w:sz w:val="19"/>
          <w:szCs w:val="19"/>
        </w:rPr>
        <w:t>4.9</w:t>
      </w:r>
      <w:r>
        <w:rPr>
          <w:sz w:val="19"/>
          <w:szCs w:val="19"/>
        </w:rPr>
        <w:t>8</w:t>
      </w:r>
      <w:r>
        <w:rPr>
          <w:sz w:val="19"/>
          <w:szCs w:val="19"/>
        </w:rPr>
        <w:t>%</w:t>
      </w:r>
      <w:r>
        <w:rPr>
          <w:sz w:val="19"/>
          <w:szCs w:val="19"/>
        </w:rPr>
        <w:t>, respectively, exclusive of commitment fees. The wei</w:t>
      </w:r>
      <w:r>
        <w:rPr>
          <w:sz w:val="19"/>
          <w:szCs w:val="19"/>
        </w:rPr>
        <w:t>ghted average annual interest cost, including the amortization of original issue discount, for periods prior to January 1, 2022 (refer to the adoption of ASU 2020-06 in Note 2), and amortization of debt issuance costs, for the three and nine months ended S</w:t>
      </w:r>
      <w:r>
        <w:rPr>
          <w:sz w:val="19"/>
          <w:szCs w:val="19"/>
        </w:rPr>
        <w:t>eptember 30, 2021 was</w:t>
      </w:r>
      <w:r>
        <w:rPr>
          <w:sz w:val="19"/>
          <w:szCs w:val="19"/>
        </w:rPr>
        <w:t xml:space="preserve"> </w:t>
      </w:r>
      <w:r>
        <w:rPr>
          <w:sz w:val="19"/>
          <w:szCs w:val="19"/>
        </w:rPr>
        <w:t>5.2</w:t>
      </w:r>
      <w:r>
        <w:rPr>
          <w:sz w:val="19"/>
          <w:szCs w:val="19"/>
        </w:rPr>
        <w:t>5</w:t>
      </w:r>
      <w:r>
        <w:rPr>
          <w:sz w:val="19"/>
          <w:szCs w:val="19"/>
        </w:rPr>
        <w:t>% and</w:t>
      </w:r>
      <w:r>
        <w:rPr>
          <w:sz w:val="19"/>
          <w:szCs w:val="19"/>
        </w:rPr>
        <w:t xml:space="preserve"> </w:t>
      </w:r>
      <w:r>
        <w:rPr>
          <w:sz w:val="19"/>
          <w:szCs w:val="19"/>
        </w:rPr>
        <w:t>5.9</w:t>
      </w:r>
      <w:r>
        <w:rPr>
          <w:sz w:val="19"/>
          <w:szCs w:val="19"/>
        </w:rPr>
        <w:t>7</w:t>
      </w:r>
      <w:r>
        <w:rPr>
          <w:sz w:val="19"/>
          <w:szCs w:val="19"/>
        </w:rPr>
        <w:t>%,</w:t>
      </w:r>
      <w:r>
        <w:rPr>
          <w:sz w:val="19"/>
          <w:szCs w:val="19"/>
        </w:rPr>
        <w:t xml:space="preserve"> </w:t>
      </w:r>
      <w:r>
        <w:rPr>
          <w:sz w:val="19"/>
          <w:szCs w:val="19"/>
        </w:rPr>
        <w:t>respectively, exclusive o</w:t>
      </w:r>
      <w:r>
        <w:rPr>
          <w:sz w:val="19"/>
          <w:szCs w:val="19"/>
        </w:rPr>
        <w:t>f</w:t>
      </w:r>
      <w:r>
        <w:rPr>
          <w:sz w:val="19"/>
          <w:szCs w:val="19"/>
        </w:rPr>
        <w:t xml:space="preserve"> </w:t>
      </w:r>
    </w:p>
    <w:p w:rsidR="00000000" w:rsidRDefault="003D51DE">
      <w:pPr>
        <w:pStyle w:val="a3"/>
        <w:spacing w:before="0" w:beforeAutospacing="0" w:after="0" w:afterAutospacing="0"/>
        <w:jc w:val="center"/>
        <w:divId w:val="1424758348"/>
        <w:rPr>
          <w:sz w:val="20"/>
          <w:szCs w:val="20"/>
        </w:rPr>
      </w:pPr>
      <w:r>
        <w:rPr>
          <w:sz w:val="20"/>
          <w:szCs w:val="20"/>
        </w:rPr>
        <w:t> </w:t>
      </w:r>
    </w:p>
    <w:p w:rsidR="00000000" w:rsidRDefault="003D51DE">
      <w:pPr>
        <w:pStyle w:val="a3"/>
        <w:spacing w:before="0" w:beforeAutospacing="0" w:after="0" w:afterAutospacing="0"/>
        <w:jc w:val="center"/>
        <w:divId w:val="1424758348"/>
        <w:rPr>
          <w:sz w:val="20"/>
          <w:szCs w:val="20"/>
        </w:rPr>
      </w:pPr>
      <w:r>
        <w:rPr>
          <w:sz w:val="19"/>
          <w:szCs w:val="19"/>
        </w:rPr>
        <w:t>3</w:t>
      </w:r>
      <w:r>
        <w:rPr>
          <w:sz w:val="19"/>
          <w:szCs w:val="19"/>
        </w:rPr>
        <w:t>3</w:t>
      </w:r>
    </w:p>
    <w:p w:rsidR="00000000" w:rsidRDefault="003D51DE">
      <w:pPr>
        <w:divId w:val="1424758348"/>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3D51DE">
      <w:pPr>
        <w:pStyle w:val="a3"/>
        <w:spacing w:before="0" w:beforeAutospacing="0" w:after="0" w:afterAutospacing="0"/>
        <w:divId w:val="1424758348"/>
        <w:rPr>
          <w:sz w:val="20"/>
          <w:szCs w:val="20"/>
        </w:rPr>
      </w:pPr>
      <w:r>
        <w:rPr>
          <w:sz w:val="20"/>
          <w:szCs w:val="20"/>
        </w:rPr>
        <w:t> </w:t>
      </w:r>
    </w:p>
    <w:p w:rsidR="00000000" w:rsidRDefault="003D51DE">
      <w:pPr>
        <w:pStyle w:val="a3"/>
        <w:spacing w:before="180" w:beforeAutospacing="0" w:after="0" w:afterAutospacing="0"/>
        <w:jc w:val="both"/>
        <w:divId w:val="1424758348"/>
        <w:rPr>
          <w:sz w:val="20"/>
          <w:szCs w:val="20"/>
        </w:rPr>
      </w:pPr>
      <w:r>
        <w:rPr>
          <w:sz w:val="19"/>
          <w:szCs w:val="19"/>
        </w:rPr>
        <w:t>commitment</w:t>
      </w:r>
      <w:r>
        <w:rPr>
          <w:sz w:val="19"/>
          <w:szCs w:val="19"/>
        </w:rPr>
        <w:t xml:space="preserve"> </w:t>
      </w:r>
      <w:r>
        <w:rPr>
          <w:sz w:val="19"/>
          <w:szCs w:val="19"/>
        </w:rPr>
        <w:t>fees. With respect to any unused portion of the commitments under the Credit Facility, the Company incurs an annual commitment fee of</w:t>
      </w:r>
      <w:r>
        <w:rPr>
          <w:sz w:val="19"/>
          <w:szCs w:val="19"/>
        </w:rPr>
        <w:t xml:space="preserve"> </w:t>
      </w:r>
      <w:r>
        <w:rPr>
          <w:sz w:val="19"/>
          <w:szCs w:val="19"/>
        </w:rPr>
        <w:t>0.4</w:t>
      </w:r>
      <w:r>
        <w:rPr>
          <w:sz w:val="19"/>
          <w:szCs w:val="19"/>
        </w:rPr>
        <w:t>0</w:t>
      </w:r>
      <w:r>
        <w:rPr>
          <w:sz w:val="19"/>
          <w:szCs w:val="19"/>
        </w:rPr>
        <w:t>%</w:t>
      </w:r>
      <w:r>
        <w:rPr>
          <w:sz w:val="19"/>
          <w:szCs w:val="19"/>
        </w:rPr>
        <w:t>.</w:t>
      </w:r>
    </w:p>
    <w:p w:rsidR="00000000" w:rsidRDefault="003D51DE">
      <w:pPr>
        <w:pStyle w:val="a3"/>
        <w:spacing w:before="180" w:beforeAutospacing="0" w:after="120" w:afterAutospacing="0"/>
        <w:ind w:firstLine="694"/>
        <w:jc w:val="both"/>
        <w:divId w:val="506024878"/>
        <w:rPr>
          <w:sz w:val="20"/>
          <w:szCs w:val="20"/>
        </w:rPr>
      </w:pPr>
      <w:r>
        <w:rPr>
          <w:sz w:val="19"/>
          <w:szCs w:val="19"/>
        </w:rPr>
        <w:t>Total expenses related to debt for the three and nine months ended</w:t>
      </w:r>
      <w:r>
        <w:rPr>
          <w:sz w:val="19"/>
          <w:szCs w:val="19"/>
        </w:rPr>
        <w:t xml:space="preserve"> </w:t>
      </w:r>
      <w:r>
        <w:rPr>
          <w:sz w:val="19"/>
          <w:szCs w:val="19"/>
        </w:rPr>
        <w:t>September 30, 2022 and 2021 included the following</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860"/>
        <w:gridCol w:w="110"/>
        <w:gridCol w:w="110"/>
        <w:gridCol w:w="160"/>
        <w:gridCol w:w="860"/>
        <w:gridCol w:w="110"/>
        <w:gridCol w:w="110"/>
        <w:gridCol w:w="160"/>
        <w:gridCol w:w="860"/>
        <w:gridCol w:w="110"/>
        <w:gridCol w:w="110"/>
        <w:gridCol w:w="160"/>
        <w:gridCol w:w="860"/>
        <w:gridCol w:w="125"/>
      </w:tblGrid>
      <w:tr w:rsidR="00000000">
        <w:trPr>
          <w:divId w:val="506024878"/>
          <w:tblCellSpacing w:w="15" w:type="dxa"/>
        </w:trPr>
        <w:tc>
          <w:tcPr>
            <w:tcW w:w="2132" w:type="pct"/>
            <w:vAlign w:val="center"/>
            <w:hideMark/>
          </w:tcPr>
          <w:p w:rsidR="00000000" w:rsidRDefault="003D51DE">
            <w:pPr>
              <w:rPr>
                <w:sz w:val="20"/>
                <w:szCs w:val="20"/>
              </w:rPr>
            </w:pPr>
          </w:p>
        </w:tc>
        <w:tc>
          <w:tcPr>
            <w:tcW w:w="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3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3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506024878"/>
          <w:trHeight w:val="160"/>
          <w:tblCellSpacing w:w="15" w:type="dxa"/>
        </w:trPr>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506024878"/>
          <w:trHeight w:val="160"/>
          <w:tblCellSpacing w:w="15" w:type="dxa"/>
        </w:trPr>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Stated interest expens</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3,013,79</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2,161,76</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7,502,90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5,981,20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Amortization of original issue discoun</w:t>
            </w:r>
            <w:r>
              <w:rPr>
                <w:sz w:val="20"/>
                <w:szCs w:val="20"/>
              </w:rPr>
              <w:t>t</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238,29</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702,77</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Amortization of deferred debt issuance cost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199,59</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350,70</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868,34</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1,214,53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interest expens</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3,213,39</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2,750,76</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8,371,24</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7,898,51</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Commitment and credit facility fee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124,33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222,63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556,12</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797,16</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506024878"/>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20"/>
                <w:szCs w:val="20"/>
              </w:rPr>
            </w:pPr>
            <w:r>
              <w:rPr>
                <w:sz w:val="20"/>
                <w:szCs w:val="20"/>
              </w:rPr>
              <w:t>$</w:t>
            </w:r>
          </w:p>
        </w:tc>
        <w:tc>
          <w:tcPr>
            <w:tcW w:w="0" w:type="auto"/>
            <w:hideMark/>
          </w:tcPr>
          <w:p w:rsidR="00000000" w:rsidRDefault="003D51DE">
            <w:pPr>
              <w:pStyle w:val="a3"/>
              <w:spacing w:before="0" w:beforeAutospacing="0" w:after="0" w:afterAutospacing="0"/>
              <w:jc w:val="right"/>
              <w:rPr>
                <w:sz w:val="20"/>
                <w:szCs w:val="20"/>
              </w:rPr>
            </w:pPr>
            <w:r>
              <w:rPr>
                <w:sz w:val="20"/>
                <w:szCs w:val="20"/>
              </w:rPr>
              <w:t>3,337,73</w:t>
            </w:r>
            <w:r>
              <w:rPr>
                <w:sz w:val="20"/>
                <w:szCs w:val="20"/>
              </w:rPr>
              <w:t>5</w:t>
            </w:r>
          </w:p>
        </w:tc>
        <w:tc>
          <w:tcPr>
            <w:tcW w:w="0" w:type="auto"/>
            <w:noWrap/>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20"/>
                <w:szCs w:val="20"/>
              </w:rPr>
            </w:pPr>
            <w:r>
              <w:rPr>
                <w:sz w:val="20"/>
                <w:szCs w:val="20"/>
              </w:rPr>
              <w:t>$</w:t>
            </w:r>
          </w:p>
        </w:tc>
        <w:tc>
          <w:tcPr>
            <w:tcW w:w="0" w:type="auto"/>
            <w:hideMark/>
          </w:tcPr>
          <w:p w:rsidR="00000000" w:rsidRDefault="003D51DE">
            <w:pPr>
              <w:pStyle w:val="a3"/>
              <w:spacing w:before="0" w:beforeAutospacing="0" w:after="0" w:afterAutospacing="0"/>
              <w:jc w:val="right"/>
              <w:rPr>
                <w:sz w:val="20"/>
                <w:szCs w:val="20"/>
              </w:rPr>
            </w:pPr>
            <w:r>
              <w:rPr>
                <w:sz w:val="20"/>
                <w:szCs w:val="20"/>
              </w:rPr>
              <w:t>2,973,40</w:t>
            </w:r>
            <w:r>
              <w:rPr>
                <w:sz w:val="20"/>
                <w:szCs w:val="20"/>
              </w:rPr>
              <w:t>8</w:t>
            </w:r>
          </w:p>
        </w:tc>
        <w:tc>
          <w:tcPr>
            <w:tcW w:w="0" w:type="auto"/>
            <w:noWrap/>
            <w:hideMark/>
          </w:tcPr>
          <w:p w:rsidR="00000000" w:rsidRDefault="003D51DE">
            <w:pPr>
              <w:pStyle w:val="a3"/>
              <w:spacing w:before="0" w:beforeAutospacing="0" w:after="0" w:afterAutospacing="0"/>
              <w:rPr>
                <w:sz w:val="20"/>
                <w:szCs w:val="20"/>
              </w:rPr>
            </w:pPr>
            <w:r>
              <w:rPr>
                <w:sz w:val="20"/>
                <w:szCs w:val="20"/>
              </w:rPr>
              <w:t> </w:t>
            </w:r>
          </w:p>
        </w:tc>
        <w:tc>
          <w:tcPr>
            <w:tcW w:w="0" w:type="auto"/>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20"/>
                <w:szCs w:val="20"/>
              </w:rPr>
            </w:pPr>
            <w:r>
              <w:rPr>
                <w:sz w:val="20"/>
                <w:szCs w:val="20"/>
              </w:rPr>
              <w:t>$</w:t>
            </w:r>
          </w:p>
        </w:tc>
        <w:tc>
          <w:tcPr>
            <w:tcW w:w="0" w:type="auto"/>
            <w:hideMark/>
          </w:tcPr>
          <w:p w:rsidR="00000000" w:rsidRDefault="003D51DE">
            <w:pPr>
              <w:pStyle w:val="a3"/>
              <w:spacing w:before="0" w:beforeAutospacing="0" w:after="0" w:afterAutospacing="0"/>
              <w:jc w:val="right"/>
              <w:rPr>
                <w:sz w:val="20"/>
                <w:szCs w:val="20"/>
              </w:rPr>
            </w:pPr>
            <w:r>
              <w:rPr>
                <w:sz w:val="20"/>
                <w:szCs w:val="20"/>
              </w:rPr>
              <w:t>8,927,37</w:t>
            </w:r>
            <w:r>
              <w:rPr>
                <w:sz w:val="20"/>
                <w:szCs w:val="20"/>
              </w:rPr>
              <w:t>7</w:t>
            </w:r>
          </w:p>
        </w:tc>
        <w:tc>
          <w:tcPr>
            <w:tcW w:w="0" w:type="auto"/>
            <w:noWrap/>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20"/>
                <w:szCs w:val="20"/>
              </w:rPr>
            </w:pPr>
            <w:r>
              <w:rPr>
                <w:sz w:val="20"/>
                <w:szCs w:val="20"/>
              </w:rPr>
              <w:t>$</w:t>
            </w:r>
          </w:p>
        </w:tc>
        <w:tc>
          <w:tcPr>
            <w:tcW w:w="0" w:type="auto"/>
            <w:hideMark/>
          </w:tcPr>
          <w:p w:rsidR="00000000" w:rsidRDefault="003D51DE">
            <w:pPr>
              <w:pStyle w:val="a3"/>
              <w:spacing w:before="0" w:beforeAutospacing="0" w:after="0" w:afterAutospacing="0"/>
              <w:jc w:val="right"/>
              <w:rPr>
                <w:sz w:val="20"/>
                <w:szCs w:val="20"/>
              </w:rPr>
            </w:pPr>
            <w:r>
              <w:rPr>
                <w:sz w:val="20"/>
                <w:szCs w:val="20"/>
              </w:rPr>
              <w:t>8,695,68</w:t>
            </w:r>
            <w:r>
              <w:rPr>
                <w:sz w:val="20"/>
                <w:szCs w:val="20"/>
              </w:rPr>
              <w:t>1</w:t>
            </w:r>
          </w:p>
        </w:tc>
        <w:tc>
          <w:tcPr>
            <w:tcW w:w="0" w:type="auto"/>
            <w:noWrap/>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8691"/>
        <w:divId w:val="506024878"/>
        <w:rPr>
          <w:sz w:val="20"/>
          <w:szCs w:val="20"/>
        </w:rPr>
      </w:pPr>
      <w:r>
        <w:rPr>
          <w:sz w:val="20"/>
          <w:szCs w:val="20"/>
        </w:rPr>
        <w:t> </w:t>
      </w:r>
    </w:p>
    <w:p w:rsidR="00000000" w:rsidRDefault="003D51DE">
      <w:pPr>
        <w:jc w:val="both"/>
        <w:divId w:val="1657150160"/>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3D51DE">
      <w:pPr>
        <w:jc w:val="both"/>
        <w:divId w:val="92015149"/>
        <w:rPr>
          <w:rFonts w:eastAsia="Times New Roman"/>
          <w:sz w:val="20"/>
          <w:szCs w:val="20"/>
        </w:rPr>
      </w:pPr>
      <w:r>
        <w:rPr>
          <w:rFonts w:eastAsia="Times New Roman"/>
          <w:sz w:val="16"/>
          <w:szCs w:val="16"/>
        </w:rPr>
        <w:t>The Company adopted ASU 2020-06 under the modified retrospective basis as of January 1, 2022 (see Note 2)</w:t>
      </w:r>
      <w:r>
        <w:rPr>
          <w:rFonts w:eastAsia="Times New Roman"/>
          <w:sz w:val="16"/>
          <w:szCs w:val="16"/>
        </w:rPr>
        <w:t>.</w:t>
      </w:r>
    </w:p>
    <w:p w:rsidR="00000000" w:rsidRDefault="003D51DE">
      <w:pPr>
        <w:pStyle w:val="a3"/>
        <w:spacing w:before="180" w:beforeAutospacing="0" w:after="0" w:afterAutospacing="0"/>
        <w:ind w:firstLine="694"/>
        <w:jc w:val="both"/>
        <w:divId w:val="1424758348"/>
        <w:rPr>
          <w:sz w:val="20"/>
          <w:szCs w:val="20"/>
        </w:rPr>
      </w:pPr>
      <w:r>
        <w:rPr>
          <w:sz w:val="19"/>
          <w:szCs w:val="19"/>
        </w:rPr>
        <w:t>Outstanding debt is carried at amortized cost in the Consolidated Statements of Assets and Liabilities</w:t>
      </w:r>
      <w:r>
        <w:rPr>
          <w:sz w:val="19"/>
          <w:szCs w:val="19"/>
        </w:rPr>
        <w:t>.</w:t>
      </w:r>
      <w:r>
        <w:rPr>
          <w:sz w:val="20"/>
          <w:szCs w:val="20"/>
        </w:rPr>
        <w:t xml:space="preserve"> </w:t>
      </w:r>
      <w:r>
        <w:rPr>
          <w:sz w:val="19"/>
          <w:szCs w:val="19"/>
        </w:rPr>
        <w:t>The fair value of the Company’s Credit Facili</w:t>
      </w:r>
      <w:r>
        <w:rPr>
          <w:sz w:val="19"/>
          <w:szCs w:val="19"/>
        </w:rPr>
        <w:t>ty is derived by taking the average of the high and low quotes as obtained from a broker, and is classified as Level 2 with respect to the fair value hierarchy. The fair value of the Company’s 2025 Private Placement Notes is derived by an independent valua</w:t>
      </w:r>
      <w:r>
        <w:rPr>
          <w:sz w:val="19"/>
          <w:szCs w:val="19"/>
        </w:rPr>
        <w:t xml:space="preserve">tion firm, and is classified as Level 3 with respect to the fair value hierarchy. Prior to its maturity, the fair value of the Company’s 2022 Convertible Notes was derived by taking the average of the high and low quotes as obtained from a broker, and was </w:t>
      </w:r>
      <w:r>
        <w:rPr>
          <w:sz w:val="19"/>
          <w:szCs w:val="19"/>
        </w:rPr>
        <w:t>classified as Level 2</w:t>
      </w:r>
      <w:r>
        <w:rPr>
          <w:sz w:val="19"/>
          <w:szCs w:val="19"/>
        </w:rPr>
        <w:t>.</w:t>
      </w:r>
      <w:r>
        <w:rPr>
          <w:sz w:val="19"/>
          <w:szCs w:val="19"/>
        </w:rPr>
        <w:t xml:space="preserve"> </w:t>
      </w:r>
    </w:p>
    <w:p w:rsidR="00000000" w:rsidRDefault="003D51DE">
      <w:pPr>
        <w:pStyle w:val="a3"/>
        <w:spacing w:before="180" w:beforeAutospacing="0" w:after="120" w:afterAutospacing="0"/>
        <w:ind w:firstLine="694"/>
        <w:jc w:val="both"/>
        <w:divId w:val="1709987221"/>
        <w:rPr>
          <w:sz w:val="20"/>
          <w:szCs w:val="20"/>
        </w:rPr>
      </w:pPr>
      <w:r>
        <w:rPr>
          <w:sz w:val="19"/>
          <w:szCs w:val="19"/>
        </w:rPr>
        <w:t>The carrying and fair values of the Company’s outstanding debt as of</w:t>
      </w:r>
      <w:r>
        <w:rPr>
          <w:sz w:val="19"/>
          <w:szCs w:val="19"/>
        </w:rPr>
        <w:t xml:space="preserve"> </w:t>
      </w:r>
      <w:r>
        <w:rPr>
          <w:sz w:val="19"/>
          <w:szCs w:val="19"/>
        </w:rPr>
        <w:t>September 30, 2022 and December 31, 2021 were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1"/>
        <w:gridCol w:w="110"/>
        <w:gridCol w:w="160"/>
        <w:gridCol w:w="1060"/>
        <w:gridCol w:w="110"/>
        <w:gridCol w:w="110"/>
        <w:gridCol w:w="160"/>
        <w:gridCol w:w="1060"/>
        <w:gridCol w:w="110"/>
        <w:gridCol w:w="110"/>
        <w:gridCol w:w="160"/>
        <w:gridCol w:w="1060"/>
        <w:gridCol w:w="110"/>
        <w:gridCol w:w="110"/>
        <w:gridCol w:w="160"/>
        <w:gridCol w:w="1060"/>
        <w:gridCol w:w="125"/>
      </w:tblGrid>
      <w:tr w:rsidR="00000000">
        <w:trPr>
          <w:divId w:val="1709987221"/>
          <w:tblCellSpacing w:w="15" w:type="dxa"/>
        </w:trPr>
        <w:tc>
          <w:tcPr>
            <w:tcW w:w="226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1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2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709987221"/>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709987221"/>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Carrying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Carrying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70998722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Credit Facilit</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170,000,00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150,450,00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51,300,00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0998722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2022 Convertible Note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142,875,33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145,726,56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0998722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2025 Private Placement Note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88,609,90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09987221"/>
          <w:trHeight w:val="200"/>
          <w:tblCellSpacing w:w="15" w:type="dxa"/>
        </w:trPr>
        <w:tc>
          <w:tcPr>
            <w:tcW w:w="0" w:type="auto"/>
            <w:hideMark/>
          </w:tcPr>
          <w:p w:rsidR="00000000" w:rsidRDefault="003D51DE">
            <w:pPr>
              <w:pStyle w:val="a3"/>
              <w:spacing w:before="0" w:beforeAutospacing="0" w:after="0" w:afterAutospacing="0"/>
              <w:ind w:left="300"/>
              <w:rPr>
                <w:sz w:val="20"/>
                <w:szCs w:val="20"/>
              </w:rPr>
            </w:pPr>
            <w:r>
              <w:rPr>
                <w:sz w:val="20"/>
                <w:szCs w:val="20"/>
              </w:rPr>
              <w:t>Tota</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260,949,73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239,059,90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196,875,33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197,026,56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180" w:beforeAutospacing="0" w:after="0" w:afterAutospacing="0"/>
        <w:ind w:firstLine="694"/>
        <w:jc w:val="both"/>
        <w:divId w:val="1424758348"/>
        <w:rPr>
          <w:sz w:val="20"/>
          <w:szCs w:val="20"/>
        </w:rPr>
      </w:pPr>
      <w:r>
        <w:rPr>
          <w:sz w:val="19"/>
          <w:szCs w:val="19"/>
        </w:rPr>
        <w:t>At September 30, 2022, the Company was in compliance with all covenants required under the Credit Facility and 2025 Private Placement Notes</w:t>
      </w:r>
      <w:r>
        <w:rPr>
          <w:sz w:val="19"/>
          <w:szCs w:val="19"/>
        </w:rPr>
        <w:t>.</w:t>
      </w:r>
    </w:p>
    <w:p w:rsidR="00000000" w:rsidRDefault="003D51DE">
      <w:pPr>
        <w:pStyle w:val="a3"/>
        <w:spacing w:before="240" w:beforeAutospacing="0" w:after="0" w:afterAutospacing="0"/>
        <w:ind w:left="595"/>
        <w:jc w:val="both"/>
        <w:divId w:val="1424758348"/>
        <w:rPr>
          <w:sz w:val="20"/>
          <w:szCs w:val="20"/>
        </w:rPr>
      </w:pPr>
      <w:r>
        <w:rPr>
          <w:b/>
          <w:bCs/>
          <w:i/>
          <w:iCs/>
          <w:sz w:val="19"/>
          <w:szCs w:val="19"/>
          <w:u w:val="single"/>
        </w:rPr>
        <w:t>Senior Secured Revolving Credit Facilit</w:t>
      </w:r>
      <w:r>
        <w:rPr>
          <w:b/>
          <w:bCs/>
          <w:i/>
          <w:iCs/>
          <w:sz w:val="19"/>
          <w:szCs w:val="19"/>
          <w:u w:val="single"/>
        </w:rPr>
        <w:t>y</w:t>
      </w:r>
      <w:r>
        <w:rPr>
          <w:sz w:val="19"/>
          <w:szCs w:val="19"/>
        </w:rPr>
        <w:t xml:space="preserve"> </w:t>
      </w:r>
    </w:p>
    <w:p w:rsidR="00000000" w:rsidRDefault="003D51DE">
      <w:pPr>
        <w:pStyle w:val="a3"/>
        <w:spacing w:before="240" w:beforeAutospacing="0" w:after="0" w:afterAutospacing="0"/>
        <w:ind w:firstLine="694"/>
        <w:jc w:val="both"/>
        <w:divId w:val="1424758348"/>
        <w:rPr>
          <w:sz w:val="20"/>
          <w:szCs w:val="20"/>
        </w:rPr>
      </w:pPr>
      <w:r>
        <w:rPr>
          <w:sz w:val="19"/>
          <w:szCs w:val="19"/>
        </w:rPr>
        <w:t>On April 23, 2021, the Company amended its Credit Facility. Among other items, the amendment (i) extended the maturity date on loans made under the Credit Facility from</w:t>
      </w:r>
      <w:r>
        <w:rPr>
          <w:sz w:val="19"/>
          <w:szCs w:val="19"/>
        </w:rPr>
        <w:t xml:space="preserve"> </w:t>
      </w:r>
      <w:r>
        <w:rPr>
          <w:sz w:val="19"/>
          <w:szCs w:val="19"/>
        </w:rPr>
        <w:t>June 5, 202</w:t>
      </w:r>
      <w:r>
        <w:rPr>
          <w:sz w:val="19"/>
          <w:szCs w:val="19"/>
        </w:rPr>
        <w:t>3</w:t>
      </w:r>
      <w:r>
        <w:rPr>
          <w:sz w:val="19"/>
          <w:szCs w:val="19"/>
        </w:rPr>
        <w:t xml:space="preserve"> to</w:t>
      </w:r>
      <w:r>
        <w:rPr>
          <w:sz w:val="19"/>
          <w:szCs w:val="19"/>
        </w:rPr>
        <w:t xml:space="preserve"> </w:t>
      </w:r>
      <w:r>
        <w:rPr>
          <w:sz w:val="19"/>
          <w:szCs w:val="19"/>
        </w:rPr>
        <w:t>April 23, 202</w:t>
      </w:r>
      <w:r>
        <w:rPr>
          <w:sz w:val="19"/>
          <w:szCs w:val="19"/>
        </w:rPr>
        <w:t>5</w:t>
      </w:r>
      <w:r>
        <w:rPr>
          <w:sz w:val="19"/>
          <w:szCs w:val="19"/>
        </w:rPr>
        <w:t>, (ii) reduced the aggregate principal amount of the comm</w:t>
      </w:r>
      <w:r>
        <w:rPr>
          <w:sz w:val="19"/>
          <w:szCs w:val="19"/>
        </w:rPr>
        <w:t xml:space="preserve">itments under the Credit Facility from </w:t>
      </w:r>
      <w:r>
        <w:rPr>
          <w:sz w:val="19"/>
          <w:szCs w:val="19"/>
        </w:rPr>
        <w:t>$</w:t>
      </w:r>
      <w:r>
        <w:rPr>
          <w:sz w:val="19"/>
          <w:szCs w:val="19"/>
        </w:rPr>
        <w:t>300,000,00</w:t>
      </w:r>
      <w:r>
        <w:rPr>
          <w:sz w:val="19"/>
          <w:szCs w:val="19"/>
        </w:rPr>
        <w:t>0</w:t>
      </w:r>
      <w:r>
        <w:rPr>
          <w:sz w:val="19"/>
          <w:szCs w:val="19"/>
        </w:rPr>
        <w:t xml:space="preserve"> to </w:t>
      </w:r>
      <w:r>
        <w:rPr>
          <w:sz w:val="19"/>
          <w:szCs w:val="19"/>
        </w:rPr>
        <w:t>$</w:t>
      </w:r>
      <w:r>
        <w:rPr>
          <w:sz w:val="19"/>
          <w:szCs w:val="19"/>
        </w:rPr>
        <w:t>265,000,00</w:t>
      </w:r>
      <w:r>
        <w:rPr>
          <w:sz w:val="19"/>
          <w:szCs w:val="19"/>
        </w:rPr>
        <w:t>0</w:t>
      </w:r>
      <w:r>
        <w:rPr>
          <w:sz w:val="19"/>
          <w:szCs w:val="19"/>
        </w:rPr>
        <w:t>, (iii) reduced the amount by which the Company may seek an increase in the commitments under the Credit Facility (subject to satisfaction of certain conditions, including obtaining commitm</w:t>
      </w:r>
      <w:r>
        <w:rPr>
          <w:sz w:val="19"/>
          <w:szCs w:val="19"/>
        </w:rPr>
        <w:t xml:space="preserve">ents) from </w:t>
      </w:r>
      <w:r>
        <w:rPr>
          <w:sz w:val="19"/>
          <w:szCs w:val="19"/>
        </w:rPr>
        <w:t>$</w:t>
      </w:r>
      <w:r>
        <w:rPr>
          <w:sz w:val="19"/>
          <w:szCs w:val="19"/>
        </w:rPr>
        <w:t>375,000,00</w:t>
      </w:r>
      <w:r>
        <w:rPr>
          <w:sz w:val="19"/>
          <w:szCs w:val="19"/>
        </w:rPr>
        <w:t>0</w:t>
      </w:r>
      <w:r>
        <w:rPr>
          <w:sz w:val="19"/>
          <w:szCs w:val="19"/>
        </w:rPr>
        <w:t xml:space="preserve"> to </w:t>
      </w:r>
      <w:r>
        <w:rPr>
          <w:sz w:val="19"/>
          <w:szCs w:val="19"/>
        </w:rPr>
        <w:t>$</w:t>
      </w:r>
      <w:r>
        <w:rPr>
          <w:sz w:val="19"/>
          <w:szCs w:val="19"/>
        </w:rPr>
        <w:t>325,000,00</w:t>
      </w:r>
      <w:r>
        <w:rPr>
          <w:sz w:val="19"/>
          <w:szCs w:val="19"/>
        </w:rPr>
        <w:t>0</w:t>
      </w:r>
      <w:r>
        <w:rPr>
          <w:sz w:val="19"/>
          <w:szCs w:val="19"/>
        </w:rPr>
        <w:t>, and (iv) revised to require a minimum shareholders’ equity under the Credit Facility to the greater of (i)</w:t>
      </w:r>
      <w:r>
        <w:rPr>
          <w:sz w:val="19"/>
          <w:szCs w:val="19"/>
        </w:rPr>
        <w:t xml:space="preserve"> </w:t>
      </w:r>
      <w:r>
        <w:rPr>
          <w:sz w:val="19"/>
          <w:szCs w:val="19"/>
        </w:rPr>
        <w:t>3</w:t>
      </w:r>
      <w:r>
        <w:rPr>
          <w:sz w:val="19"/>
          <w:szCs w:val="19"/>
        </w:rPr>
        <w:t>3</w:t>
      </w:r>
      <w:r>
        <w:rPr>
          <w:sz w:val="19"/>
          <w:szCs w:val="19"/>
        </w:rPr>
        <w:t xml:space="preserve">% of the total assets of the Company and its subsidiaries and (ii) </w:t>
      </w:r>
      <w:r>
        <w:rPr>
          <w:sz w:val="19"/>
          <w:szCs w:val="19"/>
        </w:rPr>
        <w:t>$</w:t>
      </w:r>
      <w:r>
        <w:rPr>
          <w:sz w:val="19"/>
          <w:szCs w:val="19"/>
        </w:rPr>
        <w:t>240,000,00</w:t>
      </w:r>
      <w:r>
        <w:rPr>
          <w:sz w:val="19"/>
          <w:szCs w:val="19"/>
        </w:rPr>
        <w:t>0</w:t>
      </w:r>
      <w:r>
        <w:rPr>
          <w:sz w:val="19"/>
          <w:szCs w:val="19"/>
        </w:rPr>
        <w:t xml:space="preserve"> plus</w:t>
      </w:r>
      <w:r>
        <w:rPr>
          <w:sz w:val="19"/>
          <w:szCs w:val="19"/>
        </w:rPr>
        <w:t xml:space="preserve"> </w:t>
      </w:r>
      <w:r>
        <w:rPr>
          <w:sz w:val="19"/>
          <w:szCs w:val="19"/>
        </w:rPr>
        <w:t>2</w:t>
      </w:r>
      <w:r>
        <w:rPr>
          <w:sz w:val="19"/>
          <w:szCs w:val="19"/>
        </w:rPr>
        <w:t>5</w:t>
      </w:r>
      <w:r>
        <w:rPr>
          <w:sz w:val="19"/>
          <w:szCs w:val="19"/>
        </w:rPr>
        <w:t>% of net proceeds f</w:t>
      </w:r>
      <w:r>
        <w:rPr>
          <w:sz w:val="19"/>
          <w:szCs w:val="19"/>
        </w:rPr>
        <w:t>rom the sale of equity interests by the Company and its subsidiaries. Additionally, the Sixth Amendment (i) eliminated the springing maturity date that would have occurred if the 2022 Convertible Notes were not refinanced by March 16, 2022 and (ii) removed</w:t>
      </w:r>
      <w:r>
        <w:rPr>
          <w:sz w:val="19"/>
          <w:szCs w:val="19"/>
        </w:rPr>
        <w:t xml:space="preserve"> certain restrictions on repurchase or prepayment of the 2022 Convertible Notes. For further details on the Company’s Credit Facility including prior amendments, refer to the Company’s Form 10-K as filed with the SEC on March 3, 2021</w:t>
      </w:r>
      <w:r>
        <w:rPr>
          <w:sz w:val="19"/>
          <w:szCs w:val="19"/>
        </w:rPr>
        <w:t>.</w:t>
      </w:r>
    </w:p>
    <w:p w:rsidR="00000000" w:rsidRDefault="003D51DE">
      <w:pPr>
        <w:pStyle w:val="a3"/>
        <w:spacing w:before="180" w:beforeAutospacing="0" w:after="0" w:afterAutospacing="0"/>
        <w:ind w:firstLine="694"/>
        <w:jc w:val="both"/>
        <w:divId w:val="1424758348"/>
        <w:rPr>
          <w:sz w:val="20"/>
          <w:szCs w:val="20"/>
        </w:rPr>
      </w:pPr>
      <w:r>
        <w:rPr>
          <w:sz w:val="19"/>
          <w:szCs w:val="19"/>
        </w:rPr>
        <w:t>Under the Credit Faci</w:t>
      </w:r>
      <w:r>
        <w:rPr>
          <w:sz w:val="19"/>
          <w:szCs w:val="19"/>
        </w:rPr>
        <w:t>lity, the Company is required to comply with various customary affirmative and restrictive covenants, including reporting requirements and financial covenants, including, without limitation, covenants related to: (a) limitations on the incurrence of additi</w:t>
      </w:r>
      <w:r>
        <w:rPr>
          <w:sz w:val="19"/>
          <w:szCs w:val="19"/>
        </w:rPr>
        <w:t>onal indebtedness and liens, (b) limitations on certain investments and fundamental changes, (c) limitations on dividends and certain other restricted payments, (d) certain restrictions on subsidiaries, (e) maintaining a certain minimum shareholders’ equit</w:t>
      </w:r>
      <w:r>
        <w:rPr>
          <w:sz w:val="19"/>
          <w:szCs w:val="19"/>
        </w:rPr>
        <w:t>y, (f) maintaining an asset coverage ratio of not less than</w:t>
      </w:r>
      <w:r>
        <w:rPr>
          <w:sz w:val="19"/>
          <w:szCs w:val="19"/>
        </w:rPr>
        <w:t xml:space="preserve"> </w:t>
      </w:r>
      <w:r>
        <w:rPr>
          <w:sz w:val="19"/>
          <w:szCs w:val="19"/>
        </w:rPr>
        <w:t>1.</w:t>
      </w:r>
      <w:r>
        <w:rPr>
          <w:sz w:val="19"/>
          <w:szCs w:val="19"/>
        </w:rPr>
        <w:t>5</w:t>
      </w:r>
      <w:r>
        <w:rPr>
          <w:sz w:val="19"/>
          <w:szCs w:val="19"/>
        </w:rPr>
        <w:t>:1.0, (g) maintaining a senior coverage ratio of not less than</w:t>
      </w:r>
      <w:r>
        <w:rPr>
          <w:sz w:val="19"/>
          <w:szCs w:val="19"/>
        </w:rPr>
        <w:t xml:space="preserve"> </w:t>
      </w:r>
      <w:r>
        <w:rPr>
          <w:sz w:val="19"/>
          <w:szCs w:val="19"/>
        </w:rPr>
        <w:t>2.</w:t>
      </w:r>
      <w:r>
        <w:rPr>
          <w:sz w:val="19"/>
          <w:szCs w:val="19"/>
        </w:rPr>
        <w:t>0</w:t>
      </w:r>
      <w:r>
        <w:rPr>
          <w:sz w:val="19"/>
          <w:szCs w:val="19"/>
        </w:rPr>
        <w:t>:1:0, (h) limitations on certain transactions with affiliates, (i) limitations on pledging certain unencumbered assets, and (j)</w:t>
      </w:r>
      <w:r>
        <w:rPr>
          <w:sz w:val="19"/>
          <w:szCs w:val="19"/>
        </w:rPr>
        <w:t xml:space="preserve"> limitations on the creation or existence of agreements that prohibit liens on certain properties of the Company and certain of its subsidiaries. These covenants are subject to important limitations and exceptions that are described in the Credit Facility </w:t>
      </w:r>
      <w:r>
        <w:rPr>
          <w:sz w:val="19"/>
          <w:szCs w:val="19"/>
        </w:rPr>
        <w:t>and other loan documents. Further, amounts available to borrow under the Credit Facility (and the incurrence of certain other permitted debt) are also subject to compliance with a borrowing base that applies different advance rates to different types of as</w:t>
      </w:r>
      <w:r>
        <w:rPr>
          <w:sz w:val="19"/>
          <w:szCs w:val="19"/>
        </w:rPr>
        <w:t>sets in the Company’s portfolio that are pledged as collateral. The Credit Facility is secured by a lien on substantially all of the assets of the Company and its wholly owned domestic subsidiaries, subject to certain customary exceptions</w:t>
      </w:r>
      <w:r>
        <w:rPr>
          <w:sz w:val="19"/>
          <w:szCs w:val="19"/>
        </w:rPr>
        <w:t>.</w:t>
      </w:r>
    </w:p>
    <w:p w:rsidR="00000000" w:rsidRDefault="003D51DE">
      <w:pPr>
        <w:pStyle w:val="a3"/>
        <w:spacing w:before="240" w:beforeAutospacing="0" w:after="0" w:afterAutospacing="0"/>
        <w:ind w:left="595"/>
        <w:jc w:val="both"/>
        <w:divId w:val="1424758348"/>
        <w:rPr>
          <w:sz w:val="20"/>
          <w:szCs w:val="20"/>
        </w:rPr>
      </w:pPr>
      <w:r>
        <w:rPr>
          <w:b/>
          <w:bCs/>
          <w:i/>
          <w:iCs/>
          <w:sz w:val="19"/>
          <w:szCs w:val="19"/>
          <w:u w:val="single"/>
        </w:rPr>
        <w:t>Unsecured Conver</w:t>
      </w:r>
      <w:r>
        <w:rPr>
          <w:b/>
          <w:bCs/>
          <w:i/>
          <w:iCs/>
          <w:sz w:val="19"/>
          <w:szCs w:val="19"/>
          <w:u w:val="single"/>
        </w:rPr>
        <w:t>tible Senior Notes Due 202</w:t>
      </w:r>
      <w:r>
        <w:rPr>
          <w:b/>
          <w:bCs/>
          <w:i/>
          <w:iCs/>
          <w:sz w:val="19"/>
          <w:szCs w:val="19"/>
          <w:u w:val="single"/>
        </w:rPr>
        <w:t>2</w:t>
      </w:r>
      <w:r>
        <w:rPr>
          <w:b/>
          <w:bCs/>
          <w:i/>
          <w:iCs/>
          <w:sz w:val="19"/>
          <w:szCs w:val="19"/>
        </w:rPr>
        <w:t xml:space="preserve"> </w:t>
      </w:r>
    </w:p>
    <w:p w:rsidR="00000000" w:rsidRDefault="003D51DE">
      <w:pPr>
        <w:pStyle w:val="a3"/>
        <w:spacing w:before="240" w:beforeAutospacing="0" w:after="0" w:afterAutospacing="0"/>
        <w:ind w:firstLine="694"/>
        <w:jc w:val="both"/>
        <w:divId w:val="1424758348"/>
        <w:rPr>
          <w:sz w:val="20"/>
          <w:szCs w:val="20"/>
        </w:rPr>
      </w:pPr>
      <w:r>
        <w:rPr>
          <w:sz w:val="19"/>
          <w:szCs w:val="19"/>
        </w:rPr>
        <w:t xml:space="preserve">On June 13, 2017, the Company issued </w:t>
      </w:r>
      <w:r>
        <w:rPr>
          <w:sz w:val="19"/>
          <w:szCs w:val="19"/>
        </w:rPr>
        <w:t>$</w:t>
      </w:r>
      <w:r>
        <w:rPr>
          <w:sz w:val="19"/>
          <w:szCs w:val="19"/>
        </w:rPr>
        <w:t>143,750,00</w:t>
      </w:r>
      <w:r>
        <w:rPr>
          <w:sz w:val="19"/>
          <w:szCs w:val="19"/>
        </w:rPr>
        <w:t>0</w:t>
      </w:r>
      <w:r>
        <w:rPr>
          <w:sz w:val="19"/>
          <w:szCs w:val="19"/>
        </w:rPr>
        <w:t xml:space="preserve"> in aggregate principal amount (</w:t>
      </w:r>
      <w:r>
        <w:rPr>
          <w:sz w:val="19"/>
          <w:szCs w:val="19"/>
        </w:rPr>
        <w:t>$</w:t>
      </w:r>
      <w:r>
        <w:rPr>
          <w:sz w:val="19"/>
          <w:szCs w:val="19"/>
        </w:rPr>
        <w:t>125,000,00</w:t>
      </w:r>
      <w:r>
        <w:rPr>
          <w:sz w:val="19"/>
          <w:szCs w:val="19"/>
        </w:rPr>
        <w:t>0</w:t>
      </w:r>
      <w:r>
        <w:rPr>
          <w:sz w:val="19"/>
          <w:szCs w:val="19"/>
        </w:rPr>
        <w:t xml:space="preserve"> of the initial offering and </w:t>
      </w:r>
      <w:r>
        <w:rPr>
          <w:sz w:val="19"/>
          <w:szCs w:val="19"/>
        </w:rPr>
        <w:t>$</w:t>
      </w:r>
      <w:r>
        <w:rPr>
          <w:sz w:val="19"/>
          <w:szCs w:val="19"/>
        </w:rPr>
        <w:t>18,750,00</w:t>
      </w:r>
      <w:r>
        <w:rPr>
          <w:sz w:val="19"/>
          <w:szCs w:val="19"/>
        </w:rPr>
        <w:t>0</w:t>
      </w:r>
      <w:r>
        <w:rPr>
          <w:sz w:val="19"/>
          <w:szCs w:val="19"/>
        </w:rPr>
        <w:t xml:space="preserve"> of the underwriters’ exercise of the overallotment option) of</w:t>
      </w:r>
      <w:r>
        <w:rPr>
          <w:sz w:val="19"/>
          <w:szCs w:val="19"/>
        </w:rPr>
        <w:t xml:space="preserve"> </w:t>
      </w:r>
      <w:r>
        <w:rPr>
          <w:sz w:val="19"/>
          <w:szCs w:val="19"/>
        </w:rPr>
        <w:t>5.0</w:t>
      </w:r>
      <w:r>
        <w:rPr>
          <w:sz w:val="19"/>
          <w:szCs w:val="19"/>
        </w:rPr>
        <w:t>0</w:t>
      </w:r>
      <w:r>
        <w:rPr>
          <w:sz w:val="19"/>
          <w:szCs w:val="19"/>
        </w:rPr>
        <w:t>%</w:t>
      </w:r>
      <w:r>
        <w:rPr>
          <w:sz w:val="19"/>
          <w:szCs w:val="19"/>
        </w:rPr>
        <w:t xml:space="preserve"> </w:t>
      </w:r>
      <w:r>
        <w:rPr>
          <w:sz w:val="19"/>
          <w:szCs w:val="19"/>
        </w:rPr>
        <w:t>Convertible Notes due 202</w:t>
      </w:r>
      <w:r>
        <w:rPr>
          <w:sz w:val="19"/>
          <w:szCs w:val="19"/>
        </w:rPr>
        <w:t>2 under an indenture, dated as of June 13, 2017 (the “2022 Convertible Notes Indenture”). Net proceeds to the Company from the offering, including the exercise of th</w:t>
      </w:r>
      <w:r>
        <w:rPr>
          <w:sz w:val="19"/>
          <w:szCs w:val="19"/>
        </w:rPr>
        <w:t>e</w:t>
      </w:r>
      <w:r>
        <w:rPr>
          <w:sz w:val="19"/>
          <w:szCs w:val="19"/>
        </w:rPr>
        <w:t xml:space="preserve"> </w:t>
      </w:r>
    </w:p>
    <w:p w:rsidR="00000000" w:rsidRDefault="003D51DE">
      <w:pPr>
        <w:pStyle w:val="a3"/>
        <w:spacing w:before="0" w:beforeAutospacing="0" w:after="0" w:afterAutospacing="0"/>
        <w:jc w:val="center"/>
        <w:divId w:val="1424758348"/>
        <w:rPr>
          <w:sz w:val="20"/>
          <w:szCs w:val="20"/>
        </w:rPr>
      </w:pPr>
      <w:r>
        <w:rPr>
          <w:sz w:val="20"/>
          <w:szCs w:val="20"/>
        </w:rPr>
        <w:t> </w:t>
      </w:r>
    </w:p>
    <w:p w:rsidR="00000000" w:rsidRDefault="003D51DE">
      <w:pPr>
        <w:pStyle w:val="a3"/>
        <w:spacing w:before="0" w:beforeAutospacing="0" w:after="0" w:afterAutospacing="0"/>
        <w:jc w:val="center"/>
        <w:divId w:val="1424758348"/>
        <w:rPr>
          <w:sz w:val="20"/>
          <w:szCs w:val="20"/>
        </w:rPr>
      </w:pPr>
      <w:r>
        <w:rPr>
          <w:sz w:val="19"/>
          <w:szCs w:val="19"/>
        </w:rPr>
        <w:t>3</w:t>
      </w:r>
      <w:r>
        <w:rPr>
          <w:sz w:val="19"/>
          <w:szCs w:val="19"/>
        </w:rPr>
        <w:t>4</w:t>
      </w:r>
    </w:p>
    <w:p w:rsidR="00000000" w:rsidRDefault="003D51DE">
      <w:pPr>
        <w:divId w:val="1424758348"/>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3D51DE">
      <w:pPr>
        <w:pStyle w:val="a3"/>
        <w:spacing w:before="0" w:beforeAutospacing="0" w:after="0" w:afterAutospacing="0"/>
        <w:divId w:val="1424758348"/>
        <w:rPr>
          <w:sz w:val="20"/>
          <w:szCs w:val="20"/>
        </w:rPr>
      </w:pPr>
      <w:r>
        <w:rPr>
          <w:sz w:val="20"/>
          <w:szCs w:val="20"/>
        </w:rPr>
        <w:t> </w:t>
      </w:r>
    </w:p>
    <w:p w:rsidR="00000000" w:rsidRDefault="003D51DE">
      <w:pPr>
        <w:pStyle w:val="a3"/>
        <w:spacing w:before="240" w:beforeAutospacing="0" w:after="0" w:afterAutospacing="0"/>
        <w:jc w:val="both"/>
        <w:divId w:val="1424758348"/>
        <w:rPr>
          <w:sz w:val="20"/>
          <w:szCs w:val="20"/>
        </w:rPr>
      </w:pPr>
      <w:r>
        <w:rPr>
          <w:sz w:val="19"/>
          <w:szCs w:val="19"/>
        </w:rPr>
        <w:t>overallotment</w:t>
      </w:r>
      <w:r>
        <w:rPr>
          <w:sz w:val="19"/>
          <w:szCs w:val="19"/>
        </w:rPr>
        <w:t xml:space="preserve"> </w:t>
      </w:r>
      <w:r>
        <w:rPr>
          <w:sz w:val="19"/>
          <w:szCs w:val="19"/>
        </w:rPr>
        <w:t xml:space="preserve">option, were approximately </w:t>
      </w:r>
      <w:r>
        <w:rPr>
          <w:sz w:val="19"/>
          <w:szCs w:val="19"/>
        </w:rPr>
        <w:t>$</w:t>
      </w:r>
      <w:r>
        <w:rPr>
          <w:sz w:val="19"/>
          <w:szCs w:val="19"/>
        </w:rPr>
        <w:t>13</w:t>
      </w:r>
      <w:r>
        <w:rPr>
          <w:sz w:val="19"/>
          <w:szCs w:val="19"/>
        </w:rPr>
        <w:t>9,800,00</w:t>
      </w:r>
      <w:r>
        <w:rPr>
          <w:sz w:val="19"/>
          <w:szCs w:val="19"/>
        </w:rPr>
        <w:t>0</w:t>
      </w:r>
      <w:r>
        <w:rPr>
          <w:sz w:val="19"/>
          <w:szCs w:val="19"/>
        </w:rPr>
        <w:t>. The 2022 Convertible Notes matured on</w:t>
      </w:r>
      <w:r>
        <w:rPr>
          <w:sz w:val="19"/>
          <w:szCs w:val="19"/>
        </w:rPr>
        <w:t xml:space="preserve"> </w:t>
      </w:r>
      <w:r>
        <w:rPr>
          <w:sz w:val="19"/>
          <w:szCs w:val="19"/>
        </w:rPr>
        <w:t>June 15, 202</w:t>
      </w:r>
      <w:r>
        <w:rPr>
          <w:sz w:val="19"/>
          <w:szCs w:val="19"/>
        </w:rPr>
        <w:t>2</w:t>
      </w:r>
      <w:r>
        <w:rPr>
          <w:sz w:val="19"/>
          <w:szCs w:val="19"/>
        </w:rPr>
        <w:t xml:space="preserve">, and the Company fully repaid the aggregate outstanding </w:t>
      </w:r>
      <w:r>
        <w:rPr>
          <w:sz w:val="19"/>
          <w:szCs w:val="19"/>
        </w:rPr>
        <w:t>$</w:t>
      </w:r>
      <w:r>
        <w:rPr>
          <w:sz w:val="19"/>
          <w:szCs w:val="19"/>
        </w:rPr>
        <w:t>143,720,00</w:t>
      </w:r>
      <w:r>
        <w:rPr>
          <w:sz w:val="19"/>
          <w:szCs w:val="19"/>
        </w:rPr>
        <w:t>0</w:t>
      </w:r>
      <w:r>
        <w:rPr>
          <w:sz w:val="19"/>
          <w:szCs w:val="19"/>
        </w:rPr>
        <w:t xml:space="preserve"> principal amount (post noteholder conversion) plus outstanding accrued interest.</w:t>
      </w:r>
      <w:r>
        <w:rPr>
          <w:sz w:val="19"/>
          <w:szCs w:val="19"/>
        </w:rPr>
        <w:t xml:space="preserve"> </w:t>
      </w:r>
      <w:r>
        <w:rPr>
          <w:sz w:val="19"/>
          <w:szCs w:val="19"/>
        </w:rPr>
        <w:t>The interest rate on the notes was</w:t>
      </w:r>
      <w:r>
        <w:rPr>
          <w:sz w:val="19"/>
          <w:szCs w:val="19"/>
        </w:rPr>
        <w:t xml:space="preserve"> </w:t>
      </w:r>
      <w:r>
        <w:rPr>
          <w:sz w:val="19"/>
          <w:szCs w:val="19"/>
        </w:rPr>
        <w:t>5.0</w:t>
      </w:r>
      <w:r>
        <w:rPr>
          <w:sz w:val="19"/>
          <w:szCs w:val="19"/>
        </w:rPr>
        <w:t>0</w:t>
      </w:r>
      <w:r>
        <w:rPr>
          <w:sz w:val="19"/>
          <w:szCs w:val="19"/>
        </w:rPr>
        <w:t>% pe</w:t>
      </w:r>
      <w:r>
        <w:rPr>
          <w:sz w:val="19"/>
          <w:szCs w:val="19"/>
        </w:rPr>
        <w:t>r year, payable semiannually in arrears on June 15 and December 15 of each year, commencing on</w:t>
      </w:r>
      <w:r>
        <w:rPr>
          <w:sz w:val="19"/>
          <w:szCs w:val="19"/>
        </w:rPr>
        <w:t xml:space="preserve"> </w:t>
      </w:r>
      <w:r>
        <w:rPr>
          <w:sz w:val="19"/>
          <w:szCs w:val="19"/>
        </w:rPr>
        <w:t>December 15, 201</w:t>
      </w:r>
      <w:r>
        <w:rPr>
          <w:sz w:val="19"/>
          <w:szCs w:val="19"/>
        </w:rPr>
        <w:t>7</w:t>
      </w:r>
      <w:r>
        <w:rPr>
          <w:sz w:val="19"/>
          <w:szCs w:val="19"/>
        </w:rPr>
        <w:t>.</w:t>
      </w:r>
      <w:r>
        <w:rPr>
          <w:sz w:val="19"/>
          <w:szCs w:val="19"/>
        </w:rPr>
        <w:t xml:space="preserve"> Holders were able to convert their notes at their option prior to the close of business on the business day immediately preceding December 15,</w:t>
      </w:r>
      <w:r>
        <w:rPr>
          <w:sz w:val="19"/>
          <w:szCs w:val="19"/>
        </w:rPr>
        <w:t xml:space="preserve"> 2021, in integral multiples of </w:t>
      </w:r>
      <w:r>
        <w:rPr>
          <w:sz w:val="19"/>
          <w:szCs w:val="19"/>
        </w:rPr>
        <w:t>$</w:t>
      </w:r>
      <w:r>
        <w:rPr>
          <w:sz w:val="19"/>
          <w:szCs w:val="19"/>
        </w:rPr>
        <w:t>1,00</w:t>
      </w:r>
      <w:r>
        <w:rPr>
          <w:sz w:val="19"/>
          <w:szCs w:val="19"/>
        </w:rPr>
        <w:t>0</w:t>
      </w:r>
      <w:r>
        <w:rPr>
          <w:sz w:val="19"/>
          <w:szCs w:val="19"/>
        </w:rPr>
        <w:t xml:space="preserve"> principal amount, only under certain circumstances. Upon noteholder conversion, the Company was able to pay or deliver, as the case may be, cash, shares of our common stock or a combination of cash and shares of our c</w:t>
      </w:r>
      <w:r>
        <w:rPr>
          <w:sz w:val="19"/>
          <w:szCs w:val="19"/>
        </w:rPr>
        <w:t>ommon stock, at our election at an initial conversion rate of</w:t>
      </w:r>
      <w:r>
        <w:rPr>
          <w:sz w:val="19"/>
          <w:szCs w:val="19"/>
        </w:rPr>
        <w:t xml:space="preserve"> </w:t>
      </w:r>
      <w:r>
        <w:rPr>
          <w:sz w:val="19"/>
          <w:szCs w:val="19"/>
        </w:rPr>
        <w:t>118.217</w:t>
      </w:r>
      <w:r>
        <w:rPr>
          <w:sz w:val="19"/>
          <w:szCs w:val="19"/>
        </w:rPr>
        <w:t>3</w:t>
      </w:r>
      <w:r>
        <w:rPr>
          <w:sz w:val="19"/>
          <w:szCs w:val="19"/>
        </w:rPr>
        <w:t xml:space="preserve"> shares of common stock per </w:t>
      </w:r>
      <w:r>
        <w:rPr>
          <w:sz w:val="19"/>
          <w:szCs w:val="19"/>
        </w:rPr>
        <w:t>$</w:t>
      </w:r>
      <w:r>
        <w:rPr>
          <w:sz w:val="19"/>
          <w:szCs w:val="19"/>
        </w:rPr>
        <w:t>1,00</w:t>
      </w:r>
      <w:r>
        <w:rPr>
          <w:sz w:val="19"/>
          <w:szCs w:val="19"/>
        </w:rPr>
        <w:t>0</w:t>
      </w:r>
      <w:r>
        <w:rPr>
          <w:sz w:val="19"/>
          <w:szCs w:val="19"/>
        </w:rPr>
        <w:t xml:space="preserve"> principal amount of notes, which is equivalent to an initial conversion price of approximately </w:t>
      </w:r>
      <w:r>
        <w:rPr>
          <w:sz w:val="19"/>
          <w:szCs w:val="19"/>
        </w:rPr>
        <w:t>$</w:t>
      </w:r>
      <w:r>
        <w:rPr>
          <w:sz w:val="19"/>
          <w:szCs w:val="19"/>
        </w:rPr>
        <w:t>8.4</w:t>
      </w:r>
      <w:r>
        <w:rPr>
          <w:sz w:val="19"/>
          <w:szCs w:val="19"/>
        </w:rPr>
        <w:t>6</w:t>
      </w:r>
      <w:r>
        <w:rPr>
          <w:sz w:val="19"/>
          <w:szCs w:val="19"/>
        </w:rPr>
        <w:t xml:space="preserve"> per share of the Company’s common stock. On or aft</w:t>
      </w:r>
      <w:r>
        <w:rPr>
          <w:sz w:val="19"/>
          <w:szCs w:val="19"/>
        </w:rPr>
        <w:t>er December 23, 2021, the Company was able to redeem the 2022 Convertible Notes for cash, in whole or from time to time in part, at its option in accordance with their terms. During the nine months ended September 30, 2022, the Company issued</w:t>
      </w:r>
      <w:r>
        <w:rPr>
          <w:sz w:val="19"/>
          <w:szCs w:val="19"/>
        </w:rPr>
        <w:t xml:space="preserve"> </w:t>
      </w:r>
      <w:r>
        <w:rPr>
          <w:sz w:val="19"/>
          <w:szCs w:val="19"/>
        </w:rPr>
        <w:t>3,54</w:t>
      </w:r>
      <w:r>
        <w:rPr>
          <w:sz w:val="19"/>
          <w:szCs w:val="19"/>
        </w:rPr>
        <w:t>6</w:t>
      </w:r>
      <w:r>
        <w:rPr>
          <w:sz w:val="19"/>
          <w:szCs w:val="19"/>
        </w:rPr>
        <w:t xml:space="preserve"> shares </w:t>
      </w:r>
      <w:r>
        <w:rPr>
          <w:sz w:val="19"/>
          <w:szCs w:val="19"/>
        </w:rPr>
        <w:t xml:space="preserve">of common stock with an aggregate value of </w:t>
      </w:r>
      <w:r>
        <w:rPr>
          <w:sz w:val="19"/>
          <w:szCs w:val="19"/>
        </w:rPr>
        <w:t>$</w:t>
      </w:r>
      <w:r>
        <w:rPr>
          <w:sz w:val="19"/>
          <w:szCs w:val="19"/>
        </w:rPr>
        <w:t>30,00</w:t>
      </w:r>
      <w:r>
        <w:rPr>
          <w:sz w:val="19"/>
          <w:szCs w:val="19"/>
        </w:rPr>
        <w:t>0</w:t>
      </w:r>
      <w:r>
        <w:rPr>
          <w:sz w:val="19"/>
          <w:szCs w:val="19"/>
        </w:rPr>
        <w:t xml:space="preserve"> to a noteholder who elected the conversion option in lieu of principal repayment pursuant to the redemption terms of the 2022 Convertible Notes Indenture</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424758348"/>
        <w:rPr>
          <w:sz w:val="20"/>
          <w:szCs w:val="20"/>
        </w:rPr>
      </w:pPr>
      <w:r>
        <w:rPr>
          <w:sz w:val="19"/>
          <w:szCs w:val="19"/>
        </w:rPr>
        <w:t>Prior to the adoption of ASU 2020-06, the Company</w:t>
      </w:r>
      <w:r>
        <w:rPr>
          <w:sz w:val="19"/>
          <w:szCs w:val="19"/>
        </w:rPr>
        <w:t xml:space="preserve"> determined that the embedded conversion options in the 2022 Convertible Notes were not required to be separately accounted for as a derivative under U.S. GAAP. In accounting for the 2022 Convertible Notes, at the time of issuance the Company estimated sep</w:t>
      </w:r>
      <w:r>
        <w:rPr>
          <w:sz w:val="19"/>
          <w:szCs w:val="19"/>
        </w:rPr>
        <w:t xml:space="preserve">arate debt and equity components, and an original issue discount equal to the equity component was recorded in additional paid-in-capital in the accompanying Consolidated Statements of Assets and Liabilities. As of January 1, 2022, the Company adopted ASU </w:t>
      </w:r>
      <w:r>
        <w:rPr>
          <w:sz w:val="19"/>
          <w:szCs w:val="19"/>
        </w:rPr>
        <w:t>2020-06 using the modified retrospective basis. In accordance with this guidance, the Company has recombined the equity conversion component of our 2022 Convertible Notes outstanding, and before its maturity, had begun accounting for the 2022 Convertible N</w:t>
      </w:r>
      <w:r>
        <w:rPr>
          <w:sz w:val="19"/>
          <w:szCs w:val="19"/>
        </w:rPr>
        <w:t xml:space="preserve">otes as a single liability measured at amortized cost. This resulted in a cumulative decrease to additional paid in capital of </w:t>
      </w:r>
      <w:r>
        <w:rPr>
          <w:sz w:val="19"/>
          <w:szCs w:val="19"/>
        </w:rPr>
        <w:t>$</w:t>
      </w:r>
      <w:r>
        <w:rPr>
          <w:sz w:val="19"/>
          <w:szCs w:val="19"/>
        </w:rPr>
        <w:t>4,337,63</w:t>
      </w:r>
      <w:r>
        <w:rPr>
          <w:sz w:val="19"/>
          <w:szCs w:val="19"/>
        </w:rPr>
        <w:t>1</w:t>
      </w:r>
      <w:r>
        <w:rPr>
          <w:sz w:val="19"/>
          <w:szCs w:val="19"/>
        </w:rPr>
        <w:t xml:space="preserve">, offset by a decrease to accumulated loss of </w:t>
      </w:r>
      <w:r>
        <w:rPr>
          <w:sz w:val="19"/>
          <w:szCs w:val="19"/>
        </w:rPr>
        <w:t>$</w:t>
      </w:r>
      <w:r>
        <w:rPr>
          <w:sz w:val="19"/>
          <w:szCs w:val="19"/>
        </w:rPr>
        <w:t>3,888,23</w:t>
      </w:r>
      <w:r>
        <w:rPr>
          <w:sz w:val="19"/>
          <w:szCs w:val="19"/>
        </w:rPr>
        <w:t>3</w:t>
      </w:r>
      <w:r>
        <w:rPr>
          <w:sz w:val="19"/>
          <w:szCs w:val="19"/>
        </w:rPr>
        <w:t xml:space="preserve"> as of January 1, 2022, and an increase to the carrying value o</w:t>
      </w:r>
      <w:r>
        <w:rPr>
          <w:sz w:val="19"/>
          <w:szCs w:val="19"/>
        </w:rPr>
        <w:t xml:space="preserve">f the 2022 Convertible Notes of </w:t>
      </w:r>
      <w:r>
        <w:rPr>
          <w:sz w:val="19"/>
          <w:szCs w:val="19"/>
        </w:rPr>
        <w:t>$</w:t>
      </w:r>
      <w:r>
        <w:rPr>
          <w:sz w:val="19"/>
          <w:szCs w:val="19"/>
        </w:rPr>
        <w:t>449,39</w:t>
      </w:r>
      <w:r>
        <w:rPr>
          <w:sz w:val="19"/>
          <w:szCs w:val="19"/>
        </w:rPr>
        <w:t>8</w:t>
      </w:r>
      <w:r>
        <w:rPr>
          <w:sz w:val="19"/>
          <w:szCs w:val="19"/>
        </w:rPr>
        <w:t xml:space="preserve"> (see Note 2)</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424758348"/>
        <w:rPr>
          <w:sz w:val="20"/>
          <w:szCs w:val="20"/>
        </w:rPr>
      </w:pPr>
      <w:r>
        <w:rPr>
          <w:sz w:val="19"/>
          <w:szCs w:val="19"/>
        </w:rPr>
        <w:t xml:space="preserve">The 2022 Convertible Notes contained certain covenants, which included covenants that required the Company to reserve shares of common stock for the purpose of satisfying all obligations to issue the </w:t>
      </w:r>
      <w:r>
        <w:rPr>
          <w:sz w:val="19"/>
          <w:szCs w:val="19"/>
        </w:rPr>
        <w:t>underlying securities upon conversion of the securities and to furnish to holders of the securities upon request, any information required to be delivered pursuant to Rule 144A(d)(4) under the Securities Act</w:t>
      </w:r>
      <w:r>
        <w:rPr>
          <w:sz w:val="19"/>
          <w:szCs w:val="19"/>
        </w:rPr>
        <w:t>.</w:t>
      </w:r>
    </w:p>
    <w:p w:rsidR="00000000" w:rsidRDefault="003D51DE">
      <w:pPr>
        <w:pStyle w:val="a3"/>
        <w:spacing w:before="240" w:beforeAutospacing="0" w:after="0" w:afterAutospacing="0"/>
        <w:ind w:left="595"/>
        <w:jc w:val="both"/>
        <w:divId w:val="1424758348"/>
        <w:rPr>
          <w:sz w:val="20"/>
          <w:szCs w:val="20"/>
        </w:rPr>
      </w:pPr>
      <w:r>
        <w:rPr>
          <w:b/>
          <w:bCs/>
          <w:i/>
          <w:iCs/>
          <w:sz w:val="19"/>
          <w:szCs w:val="19"/>
          <w:u w:val="single"/>
        </w:rPr>
        <w:t>Unsecured Senior Notes Due 202</w:t>
      </w:r>
      <w:r>
        <w:rPr>
          <w:b/>
          <w:bCs/>
          <w:i/>
          <w:iCs/>
          <w:sz w:val="19"/>
          <w:szCs w:val="19"/>
          <w:u w:val="single"/>
        </w:rPr>
        <w:t>5</w:t>
      </w:r>
      <w:r>
        <w:rPr>
          <w:b/>
          <w:bCs/>
          <w:i/>
          <w:iCs/>
          <w:sz w:val="19"/>
          <w:szCs w:val="19"/>
        </w:rPr>
        <w:t xml:space="preserve"> </w:t>
      </w:r>
    </w:p>
    <w:p w:rsidR="00000000" w:rsidRDefault="003D51DE">
      <w:pPr>
        <w:pStyle w:val="a3"/>
        <w:spacing w:before="180" w:beforeAutospacing="0" w:after="0" w:afterAutospacing="0"/>
        <w:ind w:firstLine="694"/>
        <w:jc w:val="both"/>
        <w:divId w:val="1424758348"/>
        <w:rPr>
          <w:sz w:val="20"/>
          <w:szCs w:val="20"/>
        </w:rPr>
      </w:pPr>
      <w:r>
        <w:rPr>
          <w:sz w:val="19"/>
          <w:szCs w:val="19"/>
        </w:rPr>
        <w:t>On April 21, 2</w:t>
      </w:r>
      <w:r>
        <w:rPr>
          <w:sz w:val="19"/>
          <w:szCs w:val="19"/>
        </w:rPr>
        <w:t xml:space="preserve">022, the Company entered into a Master Note Purchase Agreement (the “Note Purchase Agreement”) governing the issuance on June 9, 2022, of </w:t>
      </w:r>
      <w:r>
        <w:rPr>
          <w:sz w:val="19"/>
          <w:szCs w:val="19"/>
        </w:rPr>
        <w:t>$</w:t>
      </w:r>
      <w:r>
        <w:rPr>
          <w:sz w:val="19"/>
          <w:szCs w:val="19"/>
        </w:rPr>
        <w:t>92,000,00</w:t>
      </w:r>
      <w:r>
        <w:rPr>
          <w:sz w:val="19"/>
          <w:szCs w:val="19"/>
        </w:rPr>
        <w:t>0</w:t>
      </w:r>
      <w:r>
        <w:rPr>
          <w:sz w:val="19"/>
          <w:szCs w:val="19"/>
        </w:rPr>
        <w:t xml:space="preserve"> in aggregate principal amount of senior unsecured notes in</w:t>
      </w:r>
      <w:r>
        <w:rPr>
          <w:sz w:val="19"/>
          <w:szCs w:val="19"/>
        </w:rPr>
        <w:t xml:space="preserve"> </w:t>
      </w:r>
      <w:r>
        <w:rPr>
          <w:sz w:val="19"/>
          <w:szCs w:val="19"/>
        </w:rPr>
        <w:t>tw</w:t>
      </w:r>
      <w:r>
        <w:rPr>
          <w:sz w:val="19"/>
          <w:szCs w:val="19"/>
        </w:rPr>
        <w:t>o</w:t>
      </w:r>
      <w:r>
        <w:rPr>
          <w:sz w:val="19"/>
          <w:szCs w:val="19"/>
        </w:rPr>
        <w:t xml:space="preserve"> tranches to qualified institutional investo</w:t>
      </w:r>
      <w:r>
        <w:rPr>
          <w:sz w:val="19"/>
          <w:szCs w:val="19"/>
        </w:rPr>
        <w:t>rs in a private placement.</w:t>
      </w:r>
      <w:r>
        <w:rPr>
          <w:sz w:val="19"/>
          <w:szCs w:val="19"/>
        </w:rPr>
        <w:t xml:space="preserve"> </w:t>
      </w:r>
      <w:r>
        <w:rPr>
          <w:sz w:val="19"/>
          <w:szCs w:val="19"/>
        </w:rPr>
        <w:t xml:space="preserve">The Company issued </w:t>
      </w:r>
      <w:r>
        <w:rPr>
          <w:sz w:val="19"/>
          <w:szCs w:val="19"/>
        </w:rPr>
        <w:t>$</w:t>
      </w:r>
      <w:r>
        <w:rPr>
          <w:sz w:val="19"/>
          <w:szCs w:val="19"/>
        </w:rPr>
        <w:t>35,000,00</w:t>
      </w:r>
      <w:r>
        <w:rPr>
          <w:sz w:val="19"/>
          <w:szCs w:val="19"/>
        </w:rPr>
        <w:t>0</w:t>
      </w:r>
      <w:r>
        <w:rPr>
          <w:sz w:val="19"/>
          <w:szCs w:val="19"/>
        </w:rPr>
        <w:t xml:space="preserve"> in aggregate principal amount of 2025 Private Placement Notes with a fixed interest rate of</w:t>
      </w:r>
      <w:r>
        <w:rPr>
          <w:sz w:val="19"/>
          <w:szCs w:val="19"/>
        </w:rPr>
        <w:t xml:space="preserve"> </w:t>
      </w:r>
      <w:r>
        <w:rPr>
          <w:sz w:val="19"/>
          <w:szCs w:val="19"/>
        </w:rPr>
        <w:t>5.8</w:t>
      </w:r>
      <w:r>
        <w:rPr>
          <w:sz w:val="19"/>
          <w:szCs w:val="19"/>
        </w:rPr>
        <w:t>2</w:t>
      </w:r>
      <w:r>
        <w:rPr>
          <w:sz w:val="19"/>
          <w:szCs w:val="19"/>
        </w:rPr>
        <w:t>% with interest to be paid</w:t>
      </w:r>
      <w:r>
        <w:rPr>
          <w:sz w:val="19"/>
          <w:szCs w:val="19"/>
        </w:rPr>
        <w:t xml:space="preserve"> </w:t>
      </w:r>
      <w:r>
        <w:rPr>
          <w:sz w:val="19"/>
          <w:szCs w:val="19"/>
        </w:rPr>
        <w:t>semi-annuall</w:t>
      </w:r>
      <w:r>
        <w:rPr>
          <w:sz w:val="19"/>
          <w:szCs w:val="19"/>
        </w:rPr>
        <w:t>y</w:t>
      </w:r>
      <w:r>
        <w:rPr>
          <w:sz w:val="19"/>
          <w:szCs w:val="19"/>
        </w:rPr>
        <w:t xml:space="preserve"> on June 9 and December 9 of each year, beginning on</w:t>
      </w:r>
      <w:r>
        <w:rPr>
          <w:sz w:val="19"/>
          <w:szCs w:val="19"/>
        </w:rPr>
        <w:t xml:space="preserve"> </w:t>
      </w:r>
      <w:r>
        <w:rPr>
          <w:sz w:val="19"/>
          <w:szCs w:val="19"/>
        </w:rPr>
        <w:t xml:space="preserve">December </w:t>
      </w:r>
      <w:r>
        <w:rPr>
          <w:sz w:val="19"/>
          <w:szCs w:val="19"/>
        </w:rPr>
        <w:t>9, 202</w:t>
      </w:r>
      <w:r>
        <w:rPr>
          <w:sz w:val="19"/>
          <w:szCs w:val="19"/>
        </w:rPr>
        <w:t>2</w:t>
      </w:r>
      <w:r>
        <w:rPr>
          <w:sz w:val="19"/>
          <w:szCs w:val="19"/>
        </w:rPr>
        <w:t xml:space="preserve">, and </w:t>
      </w:r>
      <w:r>
        <w:rPr>
          <w:sz w:val="19"/>
          <w:szCs w:val="19"/>
        </w:rPr>
        <w:t>$</w:t>
      </w:r>
      <w:r>
        <w:rPr>
          <w:sz w:val="19"/>
          <w:szCs w:val="19"/>
        </w:rPr>
        <w:t>57,000,00</w:t>
      </w:r>
      <w:r>
        <w:rPr>
          <w:sz w:val="19"/>
          <w:szCs w:val="19"/>
        </w:rPr>
        <w:t>0</w:t>
      </w:r>
      <w:r>
        <w:rPr>
          <w:sz w:val="19"/>
          <w:szCs w:val="19"/>
        </w:rPr>
        <w:t xml:space="preserve"> in aggregate principal amount of 2025 Private Placement Notes bearing interest at a rate equal to SOFR plus</w:t>
      </w:r>
      <w:r>
        <w:rPr>
          <w:sz w:val="19"/>
          <w:szCs w:val="19"/>
        </w:rPr>
        <w:t xml:space="preserve"> </w:t>
      </w:r>
      <w:r>
        <w:rPr>
          <w:sz w:val="19"/>
          <w:szCs w:val="19"/>
        </w:rPr>
        <w:t>3.1</w:t>
      </w:r>
      <w:r>
        <w:rPr>
          <w:sz w:val="19"/>
          <w:szCs w:val="19"/>
        </w:rPr>
        <w:t>4</w:t>
      </w:r>
      <w:r>
        <w:rPr>
          <w:sz w:val="19"/>
          <w:szCs w:val="19"/>
        </w:rPr>
        <w:t>% with interest to be paid</w:t>
      </w:r>
      <w:r>
        <w:rPr>
          <w:sz w:val="19"/>
          <w:szCs w:val="19"/>
        </w:rPr>
        <w:t xml:space="preserve"> </w:t>
      </w:r>
      <w:r>
        <w:rPr>
          <w:sz w:val="19"/>
          <w:szCs w:val="19"/>
        </w:rPr>
        <w:t>quarterl</w:t>
      </w:r>
      <w:r>
        <w:rPr>
          <w:sz w:val="19"/>
          <w:szCs w:val="19"/>
        </w:rPr>
        <w:t>y</w:t>
      </w:r>
      <w:r>
        <w:rPr>
          <w:sz w:val="19"/>
          <w:szCs w:val="19"/>
        </w:rPr>
        <w:t xml:space="preserve"> on March 9, June 9, September 9, and December 9 of each year, beginning on</w:t>
      </w:r>
      <w:r>
        <w:rPr>
          <w:sz w:val="19"/>
          <w:szCs w:val="19"/>
        </w:rPr>
        <w:t xml:space="preserve"> </w:t>
      </w:r>
      <w:r>
        <w:rPr>
          <w:sz w:val="19"/>
          <w:szCs w:val="19"/>
        </w:rPr>
        <w:t>Septemb</w:t>
      </w:r>
      <w:r>
        <w:rPr>
          <w:sz w:val="19"/>
          <w:szCs w:val="19"/>
        </w:rPr>
        <w:t>er 9, 202</w:t>
      </w:r>
      <w:r>
        <w:rPr>
          <w:sz w:val="19"/>
          <w:szCs w:val="19"/>
        </w:rPr>
        <w:t>2</w:t>
      </w:r>
      <w:r>
        <w:rPr>
          <w:sz w:val="19"/>
          <w:szCs w:val="19"/>
        </w:rPr>
        <w:t>.</w:t>
      </w:r>
      <w:r>
        <w:rPr>
          <w:sz w:val="19"/>
          <w:szCs w:val="19"/>
        </w:rPr>
        <w:t xml:space="preserve"> In addition, during any time that the rating assigned to the 2025 Private Placement Notes declines below investment grade, the 2025 Private Placement Notes will bear interest at a rate that is increased by</w:t>
      </w:r>
      <w:r>
        <w:rPr>
          <w:sz w:val="19"/>
          <w:szCs w:val="19"/>
        </w:rPr>
        <w:t xml:space="preserve"> </w:t>
      </w:r>
      <w:r>
        <w:rPr>
          <w:sz w:val="19"/>
          <w:szCs w:val="19"/>
        </w:rPr>
        <w:t>1.0</w:t>
      </w:r>
      <w:r>
        <w:rPr>
          <w:sz w:val="19"/>
          <w:szCs w:val="19"/>
        </w:rPr>
        <w:t>0</w:t>
      </w:r>
      <w:r>
        <w:rPr>
          <w:sz w:val="19"/>
          <w:szCs w:val="19"/>
        </w:rPr>
        <w:t>%. The 2025 Private Placement Note</w:t>
      </w:r>
      <w:r>
        <w:rPr>
          <w:sz w:val="19"/>
          <w:szCs w:val="19"/>
        </w:rPr>
        <w:t>s were issued at a closing which occurred on June 9, 2022. The 2025 Private Placement Notes will be due on</w:t>
      </w:r>
      <w:r>
        <w:rPr>
          <w:sz w:val="19"/>
          <w:szCs w:val="19"/>
        </w:rPr>
        <w:t xml:space="preserve"> </w:t>
      </w:r>
      <w:r>
        <w:rPr>
          <w:sz w:val="19"/>
          <w:szCs w:val="19"/>
        </w:rPr>
        <w:t>December 9, 202</w:t>
      </w:r>
      <w:r>
        <w:rPr>
          <w:sz w:val="19"/>
          <w:szCs w:val="19"/>
        </w:rPr>
        <w:t>5</w:t>
      </w:r>
      <w:r>
        <w:rPr>
          <w:sz w:val="19"/>
          <w:szCs w:val="19"/>
        </w:rPr>
        <w:t xml:space="preserve"> unless redeemed, purchased or prepaid prior to such date by the Company or its affiliates in accordance with their terms. The Compan</w:t>
      </w:r>
      <w:r>
        <w:rPr>
          <w:sz w:val="19"/>
          <w:szCs w:val="19"/>
        </w:rPr>
        <w:t>y may prepay the 2025 Private Placement Notes at its option, subject to a prepayment premium, in an amount equal to</w:t>
      </w:r>
      <w:r>
        <w:rPr>
          <w:sz w:val="19"/>
          <w:szCs w:val="19"/>
        </w:rPr>
        <w:t xml:space="preserve"> </w:t>
      </w:r>
      <w:r>
        <w:rPr>
          <w:sz w:val="19"/>
          <w:szCs w:val="19"/>
        </w:rPr>
        <w:t>2</w:t>
      </w:r>
      <w:r>
        <w:rPr>
          <w:sz w:val="19"/>
          <w:szCs w:val="19"/>
        </w:rPr>
        <w:t>% on or before June 9, 2023,</w:t>
      </w:r>
      <w:r>
        <w:rPr>
          <w:sz w:val="19"/>
          <w:szCs w:val="19"/>
        </w:rPr>
        <w:t xml:space="preserve"> </w:t>
      </w:r>
      <w:r>
        <w:rPr>
          <w:sz w:val="19"/>
          <w:szCs w:val="19"/>
        </w:rPr>
        <w:t>1</w:t>
      </w:r>
      <w:r>
        <w:rPr>
          <w:sz w:val="19"/>
          <w:szCs w:val="19"/>
        </w:rPr>
        <w:t>% after June 9, 2023 but on or before June 9, 2024,</w:t>
      </w:r>
      <w:r>
        <w:rPr>
          <w:sz w:val="19"/>
          <w:szCs w:val="19"/>
        </w:rPr>
        <w:t xml:space="preserve"> </w:t>
      </w:r>
      <w:r>
        <w:rPr>
          <w:sz w:val="19"/>
          <w:szCs w:val="19"/>
        </w:rPr>
        <w:t>0.</w:t>
      </w:r>
      <w:r>
        <w:rPr>
          <w:sz w:val="19"/>
          <w:szCs w:val="19"/>
        </w:rPr>
        <w:t>5</w:t>
      </w:r>
      <w:r>
        <w:rPr>
          <w:sz w:val="19"/>
          <w:szCs w:val="19"/>
        </w:rPr>
        <w:t>% after June 9, 2024 but on or before June 9, 2025 and</w:t>
      </w:r>
      <w:r>
        <w:rPr>
          <w:sz w:val="19"/>
          <w:szCs w:val="19"/>
        </w:rPr>
        <w:t xml:space="preserve"> </w:t>
      </w:r>
      <w:r>
        <w:rPr>
          <w:sz w:val="19"/>
          <w:szCs w:val="19"/>
        </w:rPr>
        <w:t>zer</w:t>
      </w:r>
      <w:r>
        <w:rPr>
          <w:sz w:val="19"/>
          <w:szCs w:val="19"/>
        </w:rPr>
        <w:t>o</w:t>
      </w:r>
      <w:r>
        <w:rPr>
          <w:sz w:val="19"/>
          <w:szCs w:val="19"/>
        </w:rPr>
        <w:t xml:space="preserve"> after June 9, 2025. In addition, the Company will be obligated to offer to repay the 2025 Private Placement Notes at par if certain change in control events occur. The 2025 Private Placement Notes are general unsecured obligations of the Company that</w:t>
      </w:r>
      <w:r>
        <w:rPr>
          <w:sz w:val="19"/>
          <w:szCs w:val="19"/>
        </w:rPr>
        <w:t xml:space="preserve"> rank pari passu with all outstanding and future unsecured unsubordinated indebtedness issued by the Company</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1424758348"/>
        <w:rPr>
          <w:sz w:val="20"/>
          <w:szCs w:val="20"/>
        </w:rPr>
      </w:pPr>
      <w:r>
        <w:rPr>
          <w:sz w:val="19"/>
          <w:szCs w:val="19"/>
        </w:rPr>
        <w:t>In connection with the 2025 Private Placement Notes, the Company entered into a centrally cleared Interest Rate Swap to offset interest payable o</w:t>
      </w:r>
      <w:r>
        <w:rPr>
          <w:sz w:val="19"/>
          <w:szCs w:val="19"/>
        </w:rPr>
        <w:t xml:space="preserve">n the fixed rate tranche of the Notes. The notional amount of the Interest Rate Swap is </w:t>
      </w:r>
      <w:r>
        <w:rPr>
          <w:sz w:val="19"/>
          <w:szCs w:val="19"/>
        </w:rPr>
        <w:t>$</w:t>
      </w:r>
      <w:r>
        <w:rPr>
          <w:sz w:val="19"/>
          <w:szCs w:val="19"/>
        </w:rPr>
        <w:t>35,000,00</w:t>
      </w:r>
      <w:r>
        <w:rPr>
          <w:sz w:val="19"/>
          <w:szCs w:val="19"/>
        </w:rPr>
        <w:t>0</w:t>
      </w:r>
      <w:r>
        <w:rPr>
          <w:sz w:val="19"/>
          <w:szCs w:val="19"/>
        </w:rPr>
        <w:t xml:space="preserve"> and matures on</w:t>
      </w:r>
      <w:r>
        <w:rPr>
          <w:sz w:val="19"/>
          <w:szCs w:val="19"/>
        </w:rPr>
        <w:t xml:space="preserve"> </w:t>
      </w:r>
      <w:r>
        <w:rPr>
          <w:sz w:val="19"/>
          <w:szCs w:val="19"/>
        </w:rPr>
        <w:t>June 9, 202</w:t>
      </w:r>
      <w:r>
        <w:rPr>
          <w:sz w:val="19"/>
          <w:szCs w:val="19"/>
        </w:rPr>
        <w:t>5</w:t>
      </w:r>
      <w:r>
        <w:rPr>
          <w:sz w:val="19"/>
          <w:szCs w:val="19"/>
        </w:rPr>
        <w:t>. Under the swap agreement, the Company receives a fixed rate of</w:t>
      </w:r>
      <w:r>
        <w:rPr>
          <w:sz w:val="19"/>
          <w:szCs w:val="19"/>
        </w:rPr>
        <w:t xml:space="preserve"> </w:t>
      </w:r>
      <w:r>
        <w:rPr>
          <w:sz w:val="19"/>
          <w:szCs w:val="19"/>
        </w:rPr>
        <w:t>2.63</w:t>
      </w:r>
      <w:r>
        <w:rPr>
          <w:sz w:val="19"/>
          <w:szCs w:val="19"/>
        </w:rPr>
        <w:t>3</w:t>
      </w:r>
      <w:r>
        <w:rPr>
          <w:sz w:val="19"/>
          <w:szCs w:val="19"/>
        </w:rPr>
        <w:t xml:space="preserve">% and pays a floating interest rate of SOFR. Such payments </w:t>
      </w:r>
      <w:r>
        <w:rPr>
          <w:sz w:val="19"/>
          <w:szCs w:val="19"/>
        </w:rPr>
        <w:t>will be due annually. For the three and nine months ended</w:t>
      </w:r>
      <w:r>
        <w:rPr>
          <w:sz w:val="19"/>
          <w:szCs w:val="19"/>
        </w:rPr>
        <w:t xml:space="preserve"> </w:t>
      </w:r>
      <w:r>
        <w:rPr>
          <w:sz w:val="19"/>
          <w:szCs w:val="19"/>
        </w:rPr>
        <w:t>September 30, 202</w:t>
      </w:r>
      <w:r>
        <w:rPr>
          <w:sz w:val="19"/>
          <w:szCs w:val="19"/>
        </w:rPr>
        <w:t>2</w:t>
      </w:r>
      <w:r>
        <w:rPr>
          <w:sz w:val="19"/>
          <w:szCs w:val="19"/>
        </w:rPr>
        <w:t>, the Company did</w:t>
      </w:r>
      <w:r>
        <w:rPr>
          <w:sz w:val="19"/>
          <w:szCs w:val="19"/>
        </w:rPr>
        <w:t xml:space="preserve"> </w:t>
      </w:r>
      <w:r>
        <w:rPr>
          <w:sz w:val="19"/>
          <w:szCs w:val="19"/>
        </w:rPr>
        <w:t>n</w:t>
      </w:r>
      <w:r>
        <w:rPr>
          <w:sz w:val="19"/>
          <w:szCs w:val="19"/>
        </w:rPr>
        <w:t>o</w:t>
      </w:r>
      <w:r>
        <w:rPr>
          <w:sz w:val="19"/>
          <w:szCs w:val="19"/>
        </w:rPr>
        <w:t>t make any periodic payments. Since the swap contract has not been designated as a hedge accounting relationship pursuant to ASC 815, “Derivatives and Hedging,”</w:t>
      </w:r>
      <w:r>
        <w:rPr>
          <w:sz w:val="19"/>
          <w:szCs w:val="19"/>
        </w:rPr>
        <w:t xml:space="preserve"> both the net interest receivable and the change in the fair value of the swap contract are presented as part of the change in unrealized appreciation (depreciation) on the Consolidated Statements of Operations. As of</w:t>
      </w:r>
      <w:r>
        <w:rPr>
          <w:sz w:val="19"/>
          <w:szCs w:val="19"/>
        </w:rPr>
        <w:t xml:space="preserve"> </w:t>
      </w:r>
      <w:r>
        <w:rPr>
          <w:sz w:val="19"/>
          <w:szCs w:val="19"/>
        </w:rPr>
        <w:t xml:space="preserve">September 30, 2022, the Interest Rate </w:t>
      </w:r>
      <w:r>
        <w:rPr>
          <w:sz w:val="19"/>
          <w:szCs w:val="19"/>
        </w:rPr>
        <w:t>Swap had a fair value of</w:t>
      </w:r>
      <w:r>
        <w:rPr>
          <w:sz w:val="19"/>
          <w:szCs w:val="19"/>
        </w:rPr>
        <w:t xml:space="preserve"> </w:t>
      </w:r>
      <w:r>
        <w:rPr>
          <w:sz w:val="19"/>
          <w:szCs w:val="19"/>
        </w:rPr>
        <w:t>$</w:t>
      </w:r>
      <w:r>
        <w:rPr>
          <w:sz w:val="19"/>
          <w:szCs w:val="19"/>
        </w:rPr>
        <w:t>(</w:t>
      </w:r>
      <w:r>
        <w:rPr>
          <w:sz w:val="19"/>
          <w:szCs w:val="19"/>
        </w:rPr>
        <w:t>1,214,65</w:t>
      </w:r>
      <w:r>
        <w:rPr>
          <w:sz w:val="19"/>
          <w:szCs w:val="19"/>
        </w:rPr>
        <w:t>8</w:t>
      </w:r>
      <w:r>
        <w:rPr>
          <w:sz w:val="19"/>
          <w:szCs w:val="19"/>
        </w:rPr>
        <w:t>)</w:t>
      </w:r>
      <w:r>
        <w:rPr>
          <w:sz w:val="19"/>
          <w:szCs w:val="19"/>
        </w:rPr>
        <w:t xml:space="preserve"> which is reflected as a liability on the Consolidated Statements of Assets and Liabilities. The fair value of the Interest Rate Swap is classified as Level 2 with respect to the fair value hierarchy</w:t>
      </w:r>
      <w:r>
        <w:rPr>
          <w:sz w:val="19"/>
          <w:szCs w:val="19"/>
        </w:rPr>
        <w:t>.</w:t>
      </w:r>
      <w:r>
        <w:rPr>
          <w:rFonts w:ascii="Calibri" w:hAnsi="Calibri" w:cs="Calibri"/>
          <w:sz w:val="19"/>
          <w:szCs w:val="19"/>
        </w:rPr>
        <w:t xml:space="preserve"> </w:t>
      </w:r>
      <w:r>
        <w:rPr>
          <w:sz w:val="19"/>
          <w:szCs w:val="19"/>
        </w:rPr>
        <w:t>See Note 2 for fur</w:t>
      </w:r>
      <w:r>
        <w:rPr>
          <w:sz w:val="19"/>
          <w:szCs w:val="19"/>
        </w:rPr>
        <w:t>ther information</w:t>
      </w:r>
      <w:r>
        <w:rPr>
          <w:sz w:val="19"/>
          <w:szCs w:val="19"/>
        </w:rPr>
        <w:t>.</w:t>
      </w:r>
    </w:p>
    <w:p w:rsidR="00000000" w:rsidRDefault="003D51DE">
      <w:pPr>
        <w:pStyle w:val="a3"/>
        <w:spacing w:before="180" w:beforeAutospacing="0" w:after="0" w:afterAutospacing="0"/>
        <w:ind w:firstLine="694"/>
        <w:jc w:val="both"/>
        <w:divId w:val="1424758348"/>
        <w:rPr>
          <w:sz w:val="20"/>
          <w:szCs w:val="20"/>
        </w:rPr>
      </w:pPr>
      <w:r>
        <w:rPr>
          <w:sz w:val="19"/>
          <w:szCs w:val="19"/>
        </w:rPr>
        <w:t xml:space="preserve">The Note Purchase Agreement contains customary terms and conditions for senior unsecured notes issued in a private placement, including, without limitation, affirmative and negative covenants such as information reporting, maintenance of </w:t>
      </w:r>
      <w:r>
        <w:rPr>
          <w:sz w:val="19"/>
          <w:szCs w:val="19"/>
        </w:rPr>
        <w:t>the Company’s status as a business development company within the meaning of the Investment Company Act of 1940, as amended, and a regulated investment company under the Internal Revenue Code of 1986, as amended, minimum shareholders’ equity, minimum asset</w:t>
      </w:r>
      <w:r>
        <w:rPr>
          <w:sz w:val="19"/>
          <w:szCs w:val="19"/>
        </w:rPr>
        <w:t xml:space="preserve"> coverage ratio, and prohibitions on certain fundamental changes of the Company. The Note Purchase Agreement also contains customary events of default with customary cure and notice periods, including, without limitation, nonpayment, incorrect representati</w:t>
      </w:r>
      <w:r>
        <w:rPr>
          <w:sz w:val="19"/>
          <w:szCs w:val="19"/>
        </w:rPr>
        <w:t>on in any material respect, breach of covenant, cross-default under other indebtedness of the Company or certain significant subsidiaries, certain judgments and orders, and certain events of bankruptcy</w:t>
      </w:r>
      <w:r>
        <w:rPr>
          <w:sz w:val="19"/>
          <w:szCs w:val="19"/>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3</w:t>
      </w:r>
      <w:r>
        <w:rPr>
          <w:sz w:val="19"/>
          <w:szCs w:val="19"/>
        </w:rPr>
        <w:t>5</w:t>
      </w:r>
    </w:p>
    <w:p w:rsidR="00000000" w:rsidRDefault="003D51DE">
      <w:pPr>
        <w:rPr>
          <w:rFonts w:eastAsia="Times New Roman"/>
        </w:rPr>
      </w:pPr>
      <w:r>
        <w:rPr>
          <w:rFonts w:eastAsia="Times New Roman"/>
        </w:rPr>
        <w:pict>
          <v:rect id="_x0000_i1059"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divId w:val="1941600175"/>
        <w:rPr>
          <w:sz w:val="20"/>
          <w:szCs w:val="20"/>
        </w:rPr>
      </w:pPr>
      <w:r>
        <w:rPr>
          <w:b/>
          <w:bCs/>
          <w:sz w:val="19"/>
          <w:szCs w:val="19"/>
        </w:rPr>
        <w:t>5. Investment</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divId w:val="1941600175"/>
        <w:rPr>
          <w:sz w:val="20"/>
          <w:szCs w:val="20"/>
        </w:rPr>
      </w:pPr>
      <w:r>
        <w:rPr>
          <w:sz w:val="19"/>
          <w:szCs w:val="19"/>
        </w:rPr>
        <w:t>Purchases of investments, including PIK, for the three and nine months ended September 30, 2022 totaled</w:t>
      </w:r>
      <w:r>
        <w:rPr>
          <w:sz w:val="19"/>
          <w:szCs w:val="19"/>
        </w:rPr>
        <w:t xml:space="preserve"> </w:t>
      </w:r>
      <w:r>
        <w:rPr>
          <w:sz w:val="19"/>
          <w:szCs w:val="19"/>
        </w:rPr>
        <w:t>$</w:t>
      </w:r>
      <w:r>
        <w:rPr>
          <w:sz w:val="19"/>
          <w:szCs w:val="19"/>
        </w:rPr>
        <w:t>78,000,85</w:t>
      </w:r>
      <w:r>
        <w:rPr>
          <w:sz w:val="19"/>
          <w:szCs w:val="19"/>
        </w:rPr>
        <w:t>8</w:t>
      </w:r>
      <w:r>
        <w:rPr>
          <w:sz w:val="19"/>
          <w:szCs w:val="19"/>
        </w:rPr>
        <w:t xml:space="preserve"> and </w:t>
      </w:r>
      <w:r>
        <w:rPr>
          <w:sz w:val="19"/>
          <w:szCs w:val="19"/>
        </w:rPr>
        <w:t>$</w:t>
      </w:r>
      <w:r>
        <w:rPr>
          <w:sz w:val="19"/>
          <w:szCs w:val="19"/>
        </w:rPr>
        <w:t>195,495,04</w:t>
      </w:r>
      <w:r>
        <w:rPr>
          <w:sz w:val="19"/>
          <w:szCs w:val="19"/>
        </w:rPr>
        <w:t>3</w:t>
      </w:r>
      <w:r>
        <w:rPr>
          <w:sz w:val="19"/>
          <w:szCs w:val="19"/>
        </w:rPr>
        <w:t xml:space="preserve">, respectively. Purchases of investments, including PIK, for the three and nine months ended September 30, 2021 totaled </w:t>
      </w:r>
      <w:r>
        <w:rPr>
          <w:sz w:val="19"/>
          <w:szCs w:val="19"/>
        </w:rPr>
        <w:t>$</w:t>
      </w:r>
      <w:r>
        <w:rPr>
          <w:sz w:val="19"/>
          <w:szCs w:val="19"/>
        </w:rPr>
        <w:t>62,822,45</w:t>
      </w:r>
      <w:r>
        <w:rPr>
          <w:sz w:val="19"/>
          <w:szCs w:val="19"/>
        </w:rPr>
        <w:t>4</w:t>
      </w:r>
      <w:r>
        <w:rPr>
          <w:sz w:val="19"/>
          <w:szCs w:val="19"/>
        </w:rPr>
        <w:t xml:space="preserve"> and </w:t>
      </w:r>
      <w:r>
        <w:rPr>
          <w:sz w:val="19"/>
          <w:szCs w:val="19"/>
        </w:rPr>
        <w:t>$</w:t>
      </w:r>
      <w:r>
        <w:rPr>
          <w:sz w:val="19"/>
          <w:szCs w:val="19"/>
        </w:rPr>
        <w:t>206,561,81</w:t>
      </w:r>
      <w:r>
        <w:rPr>
          <w:sz w:val="19"/>
          <w:szCs w:val="19"/>
        </w:rPr>
        <w:t>8</w:t>
      </w:r>
      <w:r>
        <w:rPr>
          <w:sz w:val="19"/>
          <w:szCs w:val="19"/>
        </w:rPr>
        <w:t>, respectively. Proceeds from sales, repayments and other exits of investments for the three and nine months</w:t>
      </w:r>
      <w:r>
        <w:rPr>
          <w:sz w:val="19"/>
          <w:szCs w:val="19"/>
        </w:rPr>
        <w:t xml:space="preserve"> ended</w:t>
      </w:r>
      <w:r>
        <w:rPr>
          <w:sz w:val="19"/>
          <w:szCs w:val="19"/>
        </w:rPr>
        <w:t xml:space="preserve"> </w:t>
      </w:r>
      <w:r>
        <w:rPr>
          <w:sz w:val="19"/>
          <w:szCs w:val="19"/>
        </w:rPr>
        <w:t xml:space="preserve">September 30, 2022 totaled </w:t>
      </w:r>
      <w:r>
        <w:rPr>
          <w:sz w:val="19"/>
          <w:szCs w:val="19"/>
        </w:rPr>
        <w:t>$</w:t>
      </w:r>
      <w:r>
        <w:rPr>
          <w:sz w:val="19"/>
          <w:szCs w:val="19"/>
        </w:rPr>
        <w:t>60,775,03</w:t>
      </w:r>
      <w:r>
        <w:rPr>
          <w:sz w:val="19"/>
          <w:szCs w:val="19"/>
        </w:rPr>
        <w:t>4</w:t>
      </w:r>
      <w:r>
        <w:rPr>
          <w:sz w:val="19"/>
          <w:szCs w:val="19"/>
        </w:rPr>
        <w:t xml:space="preserve"> and </w:t>
      </w:r>
      <w:r>
        <w:rPr>
          <w:sz w:val="19"/>
          <w:szCs w:val="19"/>
        </w:rPr>
        <w:t>$</w:t>
      </w:r>
      <w:r>
        <w:rPr>
          <w:sz w:val="19"/>
          <w:szCs w:val="19"/>
        </w:rPr>
        <w:t>164,537,11</w:t>
      </w:r>
      <w:r>
        <w:rPr>
          <w:sz w:val="19"/>
          <w:szCs w:val="19"/>
        </w:rPr>
        <w:t>0</w:t>
      </w:r>
      <w:r>
        <w:rPr>
          <w:sz w:val="19"/>
          <w:szCs w:val="19"/>
        </w:rPr>
        <w:t xml:space="preserve">, respectively. Proceeds from sales, repayments and other exits of investments for the three and nine months ended September 30, 2021 totaled </w:t>
      </w:r>
      <w:r>
        <w:rPr>
          <w:sz w:val="19"/>
          <w:szCs w:val="19"/>
        </w:rPr>
        <w:t>$</w:t>
      </w:r>
      <w:r>
        <w:rPr>
          <w:sz w:val="19"/>
          <w:szCs w:val="19"/>
        </w:rPr>
        <w:t>61,552,86</w:t>
      </w:r>
      <w:r>
        <w:rPr>
          <w:sz w:val="19"/>
          <w:szCs w:val="19"/>
        </w:rPr>
        <w:t>0</w:t>
      </w:r>
      <w:r>
        <w:rPr>
          <w:sz w:val="19"/>
          <w:szCs w:val="19"/>
        </w:rPr>
        <w:t xml:space="preserve"> and </w:t>
      </w:r>
      <w:r>
        <w:rPr>
          <w:sz w:val="19"/>
          <w:szCs w:val="19"/>
        </w:rPr>
        <w:t>$</w:t>
      </w:r>
      <w:r>
        <w:rPr>
          <w:sz w:val="19"/>
          <w:szCs w:val="19"/>
        </w:rPr>
        <w:t>174,919,42</w:t>
      </w:r>
      <w:r>
        <w:rPr>
          <w:sz w:val="19"/>
          <w:szCs w:val="19"/>
        </w:rPr>
        <w:t>2</w:t>
      </w:r>
      <w:r>
        <w:rPr>
          <w:sz w:val="19"/>
          <w:szCs w:val="19"/>
        </w:rPr>
        <w:t xml:space="preserve"> respectively</w:t>
      </w:r>
      <w:r>
        <w:rPr>
          <w:sz w:val="19"/>
          <w:szCs w:val="19"/>
        </w:rPr>
        <w:t>.</w:t>
      </w:r>
    </w:p>
    <w:p w:rsidR="00000000" w:rsidRDefault="003D51DE">
      <w:pPr>
        <w:pStyle w:val="a3"/>
        <w:spacing w:before="180" w:beforeAutospacing="0" w:after="120" w:afterAutospacing="0"/>
        <w:ind w:firstLine="694"/>
        <w:jc w:val="both"/>
        <w:divId w:val="1673143554"/>
        <w:rPr>
          <w:sz w:val="20"/>
          <w:szCs w:val="20"/>
        </w:rPr>
      </w:pPr>
      <w:r>
        <w:rPr>
          <w:sz w:val="19"/>
          <w:szCs w:val="19"/>
        </w:rPr>
        <w:t>At</w:t>
      </w:r>
      <w:r>
        <w:rPr>
          <w:sz w:val="19"/>
          <w:szCs w:val="19"/>
        </w:rPr>
        <w:t xml:space="preserve"> </w:t>
      </w:r>
      <w:r>
        <w:rPr>
          <w:sz w:val="19"/>
          <w:szCs w:val="19"/>
        </w:rPr>
        <w:t>Septem</w:t>
      </w:r>
      <w:r>
        <w:rPr>
          <w:sz w:val="19"/>
          <w:szCs w:val="19"/>
        </w:rPr>
        <w:t>ber 30, 2022, investments consisted of the following</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0"/>
        <w:gridCol w:w="110"/>
        <w:gridCol w:w="160"/>
        <w:gridCol w:w="1060"/>
        <w:gridCol w:w="110"/>
        <w:gridCol w:w="110"/>
        <w:gridCol w:w="160"/>
        <w:gridCol w:w="1060"/>
        <w:gridCol w:w="125"/>
      </w:tblGrid>
      <w:tr w:rsidR="00000000">
        <w:trPr>
          <w:divId w:val="1673143554"/>
          <w:tblCellSpacing w:w="15" w:type="dxa"/>
        </w:trPr>
        <w:tc>
          <w:tcPr>
            <w:tcW w:w="3000" w:type="pct"/>
            <w:vAlign w:val="center"/>
            <w:hideMark/>
          </w:tcPr>
          <w:p w:rsidR="00000000" w:rsidRDefault="003D51DE">
            <w:pPr>
              <w:rPr>
                <w:sz w:val="20"/>
                <w:szCs w:val="20"/>
              </w:rPr>
            </w:pPr>
          </w:p>
        </w:tc>
        <w:tc>
          <w:tcPr>
            <w:tcW w:w="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4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4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673143554"/>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Senior secured note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1,918,74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1,548,49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Unsecured deb</w:t>
            </w:r>
            <w:r>
              <w:rPr>
                <w:sz w:val="20"/>
                <w:szCs w:val="20"/>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37,686,14</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18,442,00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Subordinated deb</w:t>
            </w:r>
            <w:r>
              <w:rPr>
                <w:sz w:val="20"/>
                <w:szCs w:val="20"/>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5,000,00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4,975,00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Senior secured loans</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ind w:left="300"/>
              <w:rPr>
                <w:sz w:val="20"/>
                <w:szCs w:val="20"/>
              </w:rPr>
            </w:pPr>
            <w:r>
              <w:rPr>
                <w:sz w:val="20"/>
                <w:szCs w:val="20"/>
              </w:rPr>
              <w:t>First lie</w:t>
            </w:r>
            <w:r>
              <w:rPr>
                <w:sz w:val="20"/>
                <w:szCs w:val="20"/>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442,349,69</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439,871,96</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ind w:left="300"/>
              <w:rPr>
                <w:sz w:val="20"/>
                <w:szCs w:val="20"/>
              </w:rPr>
            </w:pPr>
            <w:r>
              <w:rPr>
                <w:sz w:val="20"/>
                <w:szCs w:val="20"/>
              </w:rPr>
              <w:t>Second/other priority lie</w:t>
            </w:r>
            <w:r>
              <w:rPr>
                <w:sz w:val="20"/>
                <w:szCs w:val="20"/>
              </w:rPr>
              <w:t>n</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102,677,81</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97,576,49</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senior secured loan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545,027,51</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537,448,45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Preferred stoc</w:t>
            </w:r>
            <w:r>
              <w:rPr>
                <w:sz w:val="20"/>
                <w:szCs w:val="20"/>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40,443,49</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2,391,24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Common stoc</w:t>
            </w:r>
            <w:r>
              <w:rPr>
                <w:sz w:val="20"/>
                <w:szCs w:val="20"/>
              </w:rPr>
              <w:t>k</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10,611,54</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Limited partnership/limited liability company interest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8,511,83</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6,980,79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Equity warrants/option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115,34</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2,795,14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hideMark/>
          </w:tcPr>
          <w:p w:rsidR="00000000" w:rsidRDefault="003D51DE">
            <w:pPr>
              <w:pStyle w:val="a3"/>
              <w:spacing w:before="0" w:beforeAutospacing="0" w:after="0" w:afterAutospacing="0"/>
              <w:ind w:left="300"/>
              <w:rPr>
                <w:sz w:val="20"/>
                <w:szCs w:val="20"/>
              </w:rPr>
            </w:pPr>
            <w:r>
              <w:rPr>
                <w:sz w:val="20"/>
                <w:szCs w:val="20"/>
              </w:rPr>
              <w:t>Total investment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hideMark/>
          </w:tcPr>
          <w:p w:rsidR="00000000" w:rsidRDefault="003D51DE">
            <w:pPr>
              <w:pStyle w:val="a3"/>
              <w:spacing w:before="0" w:beforeAutospacing="0" w:after="0" w:afterAutospacing="0"/>
              <w:rPr>
                <w:sz w:val="20"/>
                <w:szCs w:val="20"/>
              </w:rPr>
            </w:pPr>
            <w:r>
              <w:rPr>
                <w:sz w:val="20"/>
                <w:szCs w:val="20"/>
              </w:rPr>
              <w:t>$</w:t>
            </w:r>
          </w:p>
        </w:tc>
        <w:tc>
          <w:tcPr>
            <w:tcW w:w="0" w:type="auto"/>
            <w:hideMark/>
          </w:tcPr>
          <w:p w:rsidR="00000000" w:rsidRDefault="003D51DE">
            <w:pPr>
              <w:pStyle w:val="a3"/>
              <w:spacing w:before="0" w:beforeAutospacing="0" w:after="0" w:afterAutospacing="0"/>
              <w:jc w:val="right"/>
              <w:rPr>
                <w:sz w:val="20"/>
                <w:szCs w:val="20"/>
              </w:rPr>
            </w:pPr>
            <w:r>
              <w:rPr>
                <w:sz w:val="20"/>
                <w:szCs w:val="20"/>
              </w:rPr>
              <w:t>649,314,63</w:t>
            </w:r>
            <w:r>
              <w:rPr>
                <w:sz w:val="20"/>
                <w:szCs w:val="20"/>
              </w:rPr>
              <w:t>1</w:t>
            </w:r>
          </w:p>
        </w:tc>
        <w:tc>
          <w:tcPr>
            <w:tcW w:w="0" w:type="auto"/>
            <w:noWrap/>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574,581,13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180" w:beforeAutospacing="0" w:after="120" w:afterAutospacing="0"/>
        <w:ind w:firstLine="694"/>
        <w:jc w:val="both"/>
        <w:divId w:val="1673143554"/>
        <w:rPr>
          <w:sz w:val="20"/>
          <w:szCs w:val="20"/>
        </w:rPr>
      </w:pPr>
      <w:r>
        <w:rPr>
          <w:sz w:val="19"/>
          <w:szCs w:val="19"/>
        </w:rPr>
        <w:t>At December 31, 2021, investments consisted of the following</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758"/>
        <w:gridCol w:w="109"/>
        <w:gridCol w:w="159"/>
        <w:gridCol w:w="1059"/>
        <w:gridCol w:w="109"/>
        <w:gridCol w:w="109"/>
        <w:gridCol w:w="159"/>
        <w:gridCol w:w="1059"/>
        <w:gridCol w:w="124"/>
      </w:tblGrid>
      <w:tr w:rsidR="00000000">
        <w:trPr>
          <w:divId w:val="1673143554"/>
          <w:tblCellSpacing w:w="15" w:type="dxa"/>
        </w:trPr>
        <w:tc>
          <w:tcPr>
            <w:tcW w:w="2969" w:type="pct"/>
            <w:vAlign w:val="center"/>
            <w:hideMark/>
          </w:tcPr>
          <w:p w:rsidR="00000000" w:rsidRDefault="003D51DE">
            <w:pPr>
              <w:rPr>
                <w:sz w:val="20"/>
                <w:szCs w:val="20"/>
              </w:rPr>
            </w:pPr>
          </w:p>
        </w:tc>
        <w:tc>
          <w:tcPr>
            <w:tcW w:w="62" w:type="pct"/>
            <w:vAlign w:val="center"/>
            <w:hideMark/>
          </w:tcPr>
          <w:p w:rsidR="00000000" w:rsidRDefault="003D51DE">
            <w:pPr>
              <w:rPr>
                <w:rFonts w:eastAsia="Times New Roman"/>
                <w:sz w:val="20"/>
                <w:szCs w:val="20"/>
              </w:rPr>
            </w:pPr>
          </w:p>
        </w:tc>
        <w:tc>
          <w:tcPr>
            <w:tcW w:w="78" w:type="pct"/>
            <w:vAlign w:val="center"/>
            <w:hideMark/>
          </w:tcPr>
          <w:p w:rsidR="00000000" w:rsidRDefault="003D51DE">
            <w:pPr>
              <w:rPr>
                <w:rFonts w:eastAsia="Times New Roman"/>
                <w:sz w:val="20"/>
                <w:szCs w:val="20"/>
              </w:rPr>
            </w:pPr>
          </w:p>
        </w:tc>
        <w:tc>
          <w:tcPr>
            <w:tcW w:w="812" w:type="pct"/>
            <w:vAlign w:val="center"/>
            <w:hideMark/>
          </w:tcPr>
          <w:p w:rsidR="00000000" w:rsidRDefault="003D51DE">
            <w:pPr>
              <w:rPr>
                <w:rFonts w:eastAsia="Times New Roman"/>
                <w:sz w:val="20"/>
                <w:szCs w:val="20"/>
              </w:rPr>
            </w:pPr>
          </w:p>
        </w:tc>
        <w:tc>
          <w:tcPr>
            <w:tcW w:w="62" w:type="pct"/>
            <w:vAlign w:val="center"/>
            <w:hideMark/>
          </w:tcPr>
          <w:p w:rsidR="00000000" w:rsidRDefault="003D51DE">
            <w:pPr>
              <w:rPr>
                <w:rFonts w:eastAsia="Times New Roman"/>
                <w:sz w:val="20"/>
                <w:szCs w:val="20"/>
              </w:rPr>
            </w:pPr>
          </w:p>
        </w:tc>
        <w:tc>
          <w:tcPr>
            <w:tcW w:w="62" w:type="pct"/>
            <w:vAlign w:val="center"/>
            <w:hideMark/>
          </w:tcPr>
          <w:p w:rsidR="00000000" w:rsidRDefault="003D51DE">
            <w:pPr>
              <w:rPr>
                <w:rFonts w:eastAsia="Times New Roman"/>
                <w:sz w:val="20"/>
                <w:szCs w:val="20"/>
              </w:rPr>
            </w:pPr>
          </w:p>
        </w:tc>
        <w:tc>
          <w:tcPr>
            <w:tcW w:w="78" w:type="pct"/>
            <w:vAlign w:val="center"/>
            <w:hideMark/>
          </w:tcPr>
          <w:p w:rsidR="00000000" w:rsidRDefault="003D51DE">
            <w:pPr>
              <w:rPr>
                <w:rFonts w:eastAsia="Times New Roman"/>
                <w:sz w:val="20"/>
                <w:szCs w:val="20"/>
              </w:rPr>
            </w:pPr>
          </w:p>
        </w:tc>
        <w:tc>
          <w:tcPr>
            <w:tcW w:w="812" w:type="pct"/>
            <w:vAlign w:val="center"/>
            <w:hideMark/>
          </w:tcPr>
          <w:p w:rsidR="00000000" w:rsidRDefault="003D51DE">
            <w:pPr>
              <w:rPr>
                <w:rFonts w:eastAsia="Times New Roman"/>
                <w:sz w:val="20"/>
                <w:szCs w:val="20"/>
              </w:rPr>
            </w:pPr>
          </w:p>
        </w:tc>
        <w:tc>
          <w:tcPr>
            <w:tcW w:w="62" w:type="pct"/>
            <w:vAlign w:val="center"/>
            <w:hideMark/>
          </w:tcPr>
          <w:p w:rsidR="00000000" w:rsidRDefault="003D51DE">
            <w:pPr>
              <w:rPr>
                <w:rFonts w:eastAsia="Times New Roman"/>
                <w:sz w:val="20"/>
                <w:szCs w:val="20"/>
              </w:rPr>
            </w:pPr>
          </w:p>
        </w:tc>
      </w:tr>
      <w:tr w:rsidR="00000000">
        <w:trPr>
          <w:divId w:val="1673143554"/>
          <w:trHeight w:val="220"/>
          <w:tblCellSpacing w:w="15" w:type="dxa"/>
        </w:trPr>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center"/>
              <w:rPr>
                <w:sz w:val="23"/>
                <w:szCs w:val="23"/>
              </w:rPr>
            </w:pPr>
            <w:r>
              <w:rPr>
                <w:sz w:val="23"/>
                <w:szCs w:val="23"/>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tcMar>
              <w:top w:w="14" w:type="dxa"/>
              <w:left w:w="15" w:type="dxa"/>
              <w:bottom w:w="15" w:type="dxa"/>
              <w:right w:w="14" w:type="dxa"/>
            </w:tcMar>
            <w:vAlign w:val="bottom"/>
            <w:hideMark/>
          </w:tcPr>
          <w:p w:rsidR="00000000" w:rsidRDefault="003D51DE">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tcMar>
              <w:top w:w="14" w:type="dxa"/>
              <w:left w:w="15" w:type="dxa"/>
              <w:bottom w:w="15" w:type="dxa"/>
              <w:right w:w="14" w:type="dxa"/>
            </w:tcMar>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Senior secured note</w:t>
            </w:r>
            <w:r>
              <w:rPr>
                <w:sz w:val="20"/>
                <w:szCs w:val="20"/>
              </w:rPr>
              <w:t>s</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1,914,34</w:t>
            </w:r>
            <w:r>
              <w:rPr>
                <w:sz w:val="20"/>
                <w:szCs w:val="20"/>
              </w:rPr>
              <w:t>6</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1,641,80</w:t>
            </w:r>
            <w:r>
              <w:rPr>
                <w:sz w:val="20"/>
                <w:szCs w:val="20"/>
              </w:rPr>
              <w:t>0</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Unsecured deb</w:t>
            </w:r>
            <w:r>
              <w:rPr>
                <w:sz w:val="20"/>
                <w:szCs w:val="20"/>
              </w:rPr>
              <w:t>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41,861,53</w:t>
            </w:r>
            <w:r>
              <w:rPr>
                <w:sz w:val="20"/>
                <w:szCs w:val="20"/>
              </w:rPr>
              <w:t>3</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21,927,07</w:t>
            </w:r>
            <w:r>
              <w:rPr>
                <w:sz w:val="20"/>
                <w:szCs w:val="20"/>
              </w:rPr>
              <w:t>1</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Subordinated deb</w:t>
            </w:r>
            <w:r>
              <w:rPr>
                <w:sz w:val="20"/>
                <w:szCs w:val="20"/>
              </w:rPr>
              <w:t>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5,000,00</w:t>
            </w:r>
            <w:r>
              <w:rPr>
                <w:sz w:val="20"/>
                <w:szCs w:val="20"/>
              </w:rPr>
              <w:t>0</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5,000,00</w:t>
            </w:r>
            <w:r>
              <w:rPr>
                <w:sz w:val="20"/>
                <w:szCs w:val="20"/>
              </w:rPr>
              <w:t>0</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Senior secured loans</w:t>
            </w: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ind w:left="274"/>
              <w:rPr>
                <w:sz w:val="20"/>
                <w:szCs w:val="20"/>
              </w:rPr>
            </w:pPr>
            <w:r>
              <w:rPr>
                <w:sz w:val="20"/>
                <w:szCs w:val="20"/>
              </w:rPr>
              <w:t>First lie</w:t>
            </w:r>
            <w:r>
              <w:rPr>
                <w:sz w:val="20"/>
                <w:szCs w:val="20"/>
              </w:rPr>
              <w:t>n</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405,193,48</w:t>
            </w:r>
            <w:r>
              <w:rPr>
                <w:sz w:val="20"/>
                <w:szCs w:val="20"/>
              </w:rPr>
              <w:t>6</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409,626,94</w:t>
            </w:r>
            <w:r>
              <w:rPr>
                <w:sz w:val="20"/>
                <w:szCs w:val="20"/>
              </w:rPr>
              <w:t>2</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ind w:left="274"/>
              <w:rPr>
                <w:sz w:val="20"/>
                <w:szCs w:val="20"/>
              </w:rPr>
            </w:pPr>
            <w:r>
              <w:rPr>
                <w:sz w:val="20"/>
                <w:szCs w:val="20"/>
              </w:rPr>
              <w:t>Second/other priority lie</w:t>
            </w:r>
            <w:r>
              <w:rPr>
                <w:sz w:val="20"/>
                <w:szCs w:val="20"/>
              </w:rPr>
              <w:t>n</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100,726,03</w:t>
            </w:r>
            <w:r>
              <w:rPr>
                <w:sz w:val="20"/>
                <w:szCs w:val="20"/>
              </w:rPr>
              <w:t>6</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101,878,92</w:t>
            </w:r>
            <w:r>
              <w:rPr>
                <w:sz w:val="20"/>
                <w:szCs w:val="20"/>
              </w:rPr>
              <w:t>4</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Total senior secured loan</w:t>
            </w:r>
            <w:r>
              <w:rPr>
                <w:sz w:val="20"/>
                <w:szCs w:val="20"/>
              </w:rPr>
              <w:t>s</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505,919,52</w:t>
            </w:r>
            <w:r>
              <w:rPr>
                <w:sz w:val="20"/>
                <w:szCs w:val="20"/>
              </w:rPr>
              <w:t>2</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511,505,86</w:t>
            </w:r>
            <w:r>
              <w:rPr>
                <w:sz w:val="20"/>
                <w:szCs w:val="20"/>
              </w:rPr>
              <w:t>6</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Preferred stoc</w:t>
            </w:r>
            <w:r>
              <w:rPr>
                <w:sz w:val="20"/>
                <w:szCs w:val="20"/>
              </w:rPr>
              <w:t>k</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40,192,52</w:t>
            </w:r>
            <w:r>
              <w:rPr>
                <w:sz w:val="20"/>
                <w:szCs w:val="20"/>
              </w:rPr>
              <w:t>1</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2,680,42</w:t>
            </w:r>
            <w:r>
              <w:rPr>
                <w:sz w:val="20"/>
                <w:szCs w:val="20"/>
              </w:rPr>
              <w:t>4</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Common stoc</w:t>
            </w:r>
            <w:r>
              <w:rPr>
                <w:sz w:val="20"/>
                <w:szCs w:val="20"/>
              </w:rPr>
              <w:t>k</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10,611,54</w:t>
            </w:r>
            <w:r>
              <w:rPr>
                <w:sz w:val="20"/>
                <w:szCs w:val="20"/>
              </w:rPr>
              <w:t>8</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Limited partnership/limited liability company interest</w:t>
            </w:r>
            <w:r>
              <w:rPr>
                <w:sz w:val="20"/>
                <w:szCs w:val="20"/>
              </w:rPr>
              <w:t>s</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9,011,83</w:t>
            </w:r>
            <w:r>
              <w:rPr>
                <w:sz w:val="20"/>
                <w:szCs w:val="20"/>
              </w:rPr>
              <w:t>7</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7,475,57</w:t>
            </w:r>
            <w:r>
              <w:rPr>
                <w:sz w:val="20"/>
                <w:szCs w:val="20"/>
              </w:rPr>
              <w:t>6</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rPr>
                <w:sz w:val="20"/>
                <w:szCs w:val="20"/>
              </w:rPr>
            </w:pPr>
            <w:r>
              <w:rPr>
                <w:sz w:val="20"/>
                <w:szCs w:val="20"/>
              </w:rPr>
              <w:t>Equity warrants/option</w:t>
            </w:r>
            <w:r>
              <w:rPr>
                <w:sz w:val="20"/>
                <w:szCs w:val="20"/>
              </w:rPr>
              <w:t>s</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115,34</w:t>
            </w:r>
            <w:r>
              <w:rPr>
                <w:sz w:val="20"/>
                <w:szCs w:val="20"/>
              </w:rPr>
              <w:t>8</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2,333,25</w:t>
            </w:r>
            <w:r>
              <w:rPr>
                <w:sz w:val="20"/>
                <w:szCs w:val="20"/>
              </w:rPr>
              <w:t>7</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673143554"/>
          <w:trHeight w:val="200"/>
          <w:tblCellSpacing w:w="15" w:type="dxa"/>
        </w:trPr>
        <w:tc>
          <w:tcPr>
            <w:tcW w:w="0" w:type="auto"/>
            <w:tcMar>
              <w:top w:w="14" w:type="dxa"/>
              <w:left w:w="15" w:type="dxa"/>
              <w:bottom w:w="15" w:type="dxa"/>
              <w:right w:w="14" w:type="dxa"/>
            </w:tcMar>
            <w:hideMark/>
          </w:tcPr>
          <w:p w:rsidR="00000000" w:rsidRDefault="003D51DE">
            <w:pPr>
              <w:pStyle w:val="a3"/>
              <w:spacing w:before="0" w:beforeAutospacing="0" w:after="0" w:afterAutospacing="0"/>
              <w:ind w:left="274"/>
              <w:rPr>
                <w:sz w:val="20"/>
                <w:szCs w:val="20"/>
              </w:rPr>
            </w:pPr>
            <w:r>
              <w:rPr>
                <w:sz w:val="20"/>
                <w:szCs w:val="20"/>
              </w:rPr>
              <w:t>Total investment</w:t>
            </w:r>
            <w:r>
              <w:rPr>
                <w:sz w:val="20"/>
                <w:szCs w:val="20"/>
              </w:rPr>
              <w:t>s</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614,626,65</w:t>
            </w:r>
            <w:r>
              <w:rPr>
                <w:sz w:val="20"/>
                <w:szCs w:val="20"/>
              </w:rPr>
              <w:t>5</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jc w:val="right"/>
              <w:rPr>
                <w:sz w:val="20"/>
                <w:szCs w:val="20"/>
              </w:rPr>
            </w:pPr>
            <w:r>
              <w:rPr>
                <w:sz w:val="20"/>
                <w:szCs w:val="20"/>
              </w:rPr>
              <w:t>552,563,99</w:t>
            </w:r>
            <w:r>
              <w:rPr>
                <w:sz w:val="20"/>
                <w:szCs w:val="20"/>
              </w:rPr>
              <w:t>4</w:t>
            </w:r>
          </w:p>
        </w:tc>
        <w:tc>
          <w:tcPr>
            <w:tcW w:w="0" w:type="auto"/>
            <w:tcMar>
              <w:top w:w="14" w:type="dxa"/>
              <w:left w:w="15" w:type="dxa"/>
              <w:bottom w:w="15" w:type="dxa"/>
              <w:right w:w="14" w:type="dxa"/>
            </w:tcMar>
            <w:vAlign w:val="bottom"/>
            <w:hideMark/>
          </w:tcPr>
          <w:p w:rsidR="00000000" w:rsidRDefault="003D51DE">
            <w:pPr>
              <w:pStyle w:val="a3"/>
              <w:spacing w:before="0" w:beforeAutospacing="0" w:after="0" w:afterAutospacing="0"/>
              <w:rPr>
                <w:sz w:val="2"/>
                <w:szCs w:val="2"/>
              </w:rPr>
            </w:pPr>
            <w:r>
              <w:rPr>
                <w:sz w:val="2"/>
                <w:szCs w:val="2"/>
              </w:rPr>
              <w:t> </w:t>
            </w:r>
          </w:p>
        </w:tc>
      </w:tr>
    </w:tbl>
    <w:p w:rsidR="00000000" w:rsidRDefault="003D51DE">
      <w:pPr>
        <w:pStyle w:val="a3"/>
        <w:spacing w:before="0" w:beforeAutospacing="0" w:after="0" w:afterAutospacing="0"/>
        <w:divId w:val="1673143554"/>
        <w:rPr>
          <w:sz w:val="20"/>
          <w:szCs w:val="20"/>
        </w:rPr>
      </w:pPr>
      <w:r>
        <w:rPr>
          <w:sz w:val="20"/>
          <w:szCs w:val="20"/>
        </w:rPr>
        <w:t> </w:t>
      </w:r>
    </w:p>
    <w:p w:rsidR="00000000" w:rsidRDefault="003D51DE">
      <w:pPr>
        <w:pStyle w:val="a3"/>
        <w:spacing w:before="0" w:beforeAutospacing="0" w:after="0" w:afterAutospacing="0"/>
        <w:jc w:val="center"/>
        <w:divId w:val="1673143554"/>
        <w:rPr>
          <w:sz w:val="20"/>
          <w:szCs w:val="20"/>
        </w:rPr>
      </w:pPr>
      <w:r>
        <w:rPr>
          <w:sz w:val="20"/>
          <w:szCs w:val="20"/>
        </w:rPr>
        <w:t> </w:t>
      </w:r>
    </w:p>
    <w:p w:rsidR="00000000" w:rsidRDefault="003D51DE">
      <w:pPr>
        <w:pStyle w:val="a3"/>
        <w:spacing w:before="0" w:beforeAutospacing="0" w:after="0" w:afterAutospacing="0"/>
        <w:jc w:val="center"/>
        <w:divId w:val="1673143554"/>
        <w:rPr>
          <w:sz w:val="20"/>
          <w:szCs w:val="20"/>
        </w:rPr>
      </w:pPr>
      <w:r>
        <w:rPr>
          <w:sz w:val="19"/>
          <w:szCs w:val="19"/>
        </w:rPr>
        <w:t>3</w:t>
      </w:r>
      <w:r>
        <w:rPr>
          <w:sz w:val="19"/>
          <w:szCs w:val="19"/>
        </w:rPr>
        <w:t>6</w:t>
      </w:r>
    </w:p>
    <w:p w:rsidR="00000000" w:rsidRDefault="003D51DE">
      <w:pPr>
        <w:divId w:val="1673143554"/>
        <w:rPr>
          <w:rFonts w:eastAsia="Times New Roman"/>
          <w:sz w:val="23"/>
          <w:szCs w:val="23"/>
        </w:rPr>
      </w:pPr>
      <w:r>
        <w:rPr>
          <w:rFonts w:eastAsia="Times New Roman"/>
          <w:sz w:val="23"/>
          <w:szCs w:val="23"/>
        </w:rPr>
        <w:pict>
          <v:rect id="_x0000_i1060" style="width:0;height:1.5pt" o:hralign="center" o:hrstd="t" o:hr="t" fillcolor="#a0a0a0" stroked="f"/>
        </w:pict>
      </w:r>
    </w:p>
    <w:p w:rsidR="00000000" w:rsidRDefault="003D51DE">
      <w:pPr>
        <w:pStyle w:val="a3"/>
        <w:spacing w:before="0" w:beforeAutospacing="0" w:after="0" w:afterAutospacing="0"/>
        <w:divId w:val="1673143554"/>
        <w:rPr>
          <w:sz w:val="20"/>
          <w:szCs w:val="20"/>
        </w:rPr>
      </w:pPr>
      <w:r>
        <w:rPr>
          <w:sz w:val="20"/>
          <w:szCs w:val="20"/>
        </w:rPr>
        <w:t> </w:t>
      </w:r>
    </w:p>
    <w:p w:rsidR="00000000" w:rsidRDefault="003D51DE">
      <w:pPr>
        <w:pStyle w:val="a3"/>
        <w:spacing w:before="240" w:beforeAutospacing="0" w:after="0" w:afterAutospacing="0"/>
        <w:ind w:left="595"/>
        <w:jc w:val="both"/>
        <w:divId w:val="1941600175"/>
        <w:rPr>
          <w:sz w:val="20"/>
          <w:szCs w:val="20"/>
        </w:rPr>
      </w:pPr>
      <w:r>
        <w:rPr>
          <w:b/>
          <w:bCs/>
          <w:i/>
          <w:iCs/>
          <w:sz w:val="19"/>
          <w:szCs w:val="19"/>
        </w:rPr>
        <w:t>Industry Compositio</w:t>
      </w:r>
      <w:r>
        <w:rPr>
          <w:b/>
          <w:bCs/>
          <w:i/>
          <w:iCs/>
          <w:sz w:val="19"/>
          <w:szCs w:val="19"/>
        </w:rPr>
        <w:t>n</w:t>
      </w:r>
      <w:r>
        <w:rPr>
          <w:b/>
          <w:bCs/>
          <w:i/>
          <w:iCs/>
          <w:sz w:val="19"/>
          <w:szCs w:val="19"/>
        </w:rPr>
        <w:t xml:space="preserve"> </w:t>
      </w:r>
    </w:p>
    <w:p w:rsidR="00000000" w:rsidRDefault="003D51DE">
      <w:pPr>
        <w:pStyle w:val="a3"/>
        <w:spacing w:before="240" w:beforeAutospacing="0" w:after="120" w:afterAutospacing="0"/>
        <w:ind w:firstLine="694"/>
        <w:jc w:val="both"/>
        <w:divId w:val="2005234551"/>
        <w:rPr>
          <w:sz w:val="20"/>
          <w:szCs w:val="20"/>
        </w:rPr>
      </w:pPr>
      <w:r>
        <w:rPr>
          <w:sz w:val="19"/>
          <w:szCs w:val="19"/>
        </w:rPr>
        <w:t>As of</w:t>
      </w:r>
      <w:r>
        <w:rPr>
          <w:sz w:val="19"/>
          <w:szCs w:val="19"/>
        </w:rPr>
        <w:t xml:space="preserve"> </w:t>
      </w:r>
      <w:r>
        <w:rPr>
          <w:sz w:val="19"/>
          <w:szCs w:val="19"/>
        </w:rPr>
        <w:t>September 30, 2022, the Company generally uses GICS to classify the industries of its portfolio companies. The following table shows the industry composition of the portfolio, at fair value, at September 30, 2022 and December 31, 2021 by GICS</w:t>
      </w:r>
      <w:r>
        <w:rPr>
          <w:sz w:val="19"/>
          <w:szCs w:val="19"/>
        </w:rPr>
        <w: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50"/>
        <w:gridCol w:w="110"/>
        <w:gridCol w:w="111"/>
        <w:gridCol w:w="1044"/>
        <w:gridCol w:w="227"/>
        <w:gridCol w:w="110"/>
        <w:gridCol w:w="111"/>
        <w:gridCol w:w="1040"/>
        <w:gridCol w:w="242"/>
      </w:tblGrid>
      <w:tr w:rsidR="00000000">
        <w:trPr>
          <w:divId w:val="2005234551"/>
          <w:tblCellSpacing w:w="15" w:type="dxa"/>
        </w:trPr>
        <w:tc>
          <w:tcPr>
            <w:tcW w:w="2929" w:type="pct"/>
            <w:vAlign w:val="center"/>
            <w:hideMark/>
          </w:tcPr>
          <w:p w:rsidR="00000000" w:rsidRDefault="003D51DE">
            <w:pPr>
              <w:rPr>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2005234551"/>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Industr</w:t>
            </w:r>
            <w:r>
              <w:rPr>
                <w:b/>
                <w:bCs/>
                <w:sz w:val="16"/>
                <w:szCs w:val="16"/>
              </w:rPr>
              <w:t>y</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Diversified Financial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Softwar</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Internet Software &amp;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Diversified Consumer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r>
              <w:rPr>
                <w:sz w:val="20"/>
                <w:szCs w:val="20"/>
              </w:rPr>
              <w:t>Professional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Health Care Technolog</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Health Care Providers &amp;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Consumer Financ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Road &amp; Rai</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Construction &amp; Engineerin</w:t>
            </w:r>
            <w:r>
              <w:rPr>
                <w:sz w:val="20"/>
                <w:szCs w:val="20"/>
              </w:rPr>
              <w:t>g</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Containers &amp; Packagin</w:t>
            </w:r>
            <w:r>
              <w:rPr>
                <w:sz w:val="20"/>
                <w:szCs w:val="20"/>
              </w:rPr>
              <w:t>g</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Health Care Equipment &amp; Supplie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Specialty Retai</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Technology Hardware, Storage &amp; Peripheral</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Paper &amp; Forest Product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Textiles, Apparel &amp; Luxury Good</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Aerospace &amp; Defens</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Insuranc</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Medi</w:t>
            </w:r>
            <w:r>
              <w:rPr>
                <w:sz w:val="20"/>
                <w:szCs w:val="20"/>
              </w:rPr>
              <w:t>a</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IT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Real Estate Management &amp; Developmen</w:t>
            </w:r>
            <w:r>
              <w:rPr>
                <w:sz w:val="20"/>
                <w:szCs w:val="20"/>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r>
              <w:rPr>
                <w:sz w:val="20"/>
                <w:szCs w:val="20"/>
              </w:rPr>
              <w:t>Commercial Services &amp; Supplie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Trading Companies &amp; Distributor</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Machiner</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Hotels, Restaurants &amp; Leisur</w:t>
            </w:r>
            <w:r>
              <w:rPr>
                <w:sz w:val="20"/>
                <w:szCs w:val="20"/>
              </w:rPr>
              <w:t>e</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Household Durable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r>
              <w:rPr>
                <w:sz w:val="20"/>
                <w:szCs w:val="20"/>
              </w:rPr>
              <w:t>Wireless Telecommunication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Metals &amp; Minin</w:t>
            </w:r>
            <w:r>
              <w:rPr>
                <w:sz w:val="20"/>
                <w:szCs w:val="20"/>
              </w:rPr>
              <w:t>g</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Diversified Telecommunication Service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Internet &amp; Catalog Retai</w:t>
            </w:r>
            <w:r>
              <w:rPr>
                <w:sz w:val="20"/>
                <w:szCs w:val="20"/>
              </w:rPr>
              <w:t>l</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Leisure Product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r>
              <w:rPr>
                <w:sz w:val="20"/>
                <w:szCs w:val="20"/>
              </w:rPr>
              <w:t>Automobile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Building Product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Distributor</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Semiconductors &amp; Semiconductor Equipmen</w:t>
            </w:r>
            <w:r>
              <w:rPr>
                <w:sz w:val="20"/>
                <w:szCs w:val="20"/>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Capital Market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Electrical Equipmen</w:t>
            </w:r>
            <w:r>
              <w:rPr>
                <w:sz w:val="20"/>
                <w:szCs w:val="20"/>
              </w:rPr>
              <w:t>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w:t>
            </w:r>
            <w:r>
              <w:rPr>
                <w:sz w:val="20"/>
                <w:szCs w:val="20"/>
              </w:rPr>
              <w:t>Tobacco Relate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Chemical</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Oil, Gas &amp; Consumable Fuel</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005234551"/>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Total</w:t>
            </w:r>
            <w:r>
              <w:rPr>
                <w:b/>
                <w:bCs/>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spacing w:before="0" w:beforeAutospacing="0" w:after="0" w:afterAutospacing="0"/>
        <w:divId w:val="2005234551"/>
        <w:rPr>
          <w:sz w:val="20"/>
          <w:szCs w:val="20"/>
        </w:rPr>
      </w:pPr>
      <w:r>
        <w:rPr>
          <w:sz w:val="20"/>
          <w:szCs w:val="20"/>
        </w:rPr>
        <w:t> </w:t>
      </w:r>
    </w:p>
    <w:p w:rsidR="00000000" w:rsidRDefault="003D51DE">
      <w:pPr>
        <w:pStyle w:val="a3"/>
        <w:spacing w:before="0" w:beforeAutospacing="0" w:after="0" w:afterAutospacing="0"/>
        <w:jc w:val="center"/>
        <w:divId w:val="2005234551"/>
        <w:rPr>
          <w:sz w:val="20"/>
          <w:szCs w:val="20"/>
        </w:rPr>
      </w:pPr>
      <w:r>
        <w:rPr>
          <w:sz w:val="20"/>
          <w:szCs w:val="20"/>
        </w:rPr>
        <w:t> </w:t>
      </w:r>
    </w:p>
    <w:p w:rsidR="00000000" w:rsidRDefault="003D51DE">
      <w:pPr>
        <w:pStyle w:val="a3"/>
        <w:spacing w:before="0" w:beforeAutospacing="0" w:after="0" w:afterAutospacing="0"/>
        <w:jc w:val="center"/>
        <w:divId w:val="2005234551"/>
        <w:rPr>
          <w:sz w:val="20"/>
          <w:szCs w:val="20"/>
        </w:rPr>
      </w:pPr>
      <w:r>
        <w:rPr>
          <w:sz w:val="19"/>
          <w:szCs w:val="19"/>
        </w:rPr>
        <w:t>3</w:t>
      </w:r>
      <w:r>
        <w:rPr>
          <w:sz w:val="19"/>
          <w:szCs w:val="19"/>
        </w:rPr>
        <w:t>7</w:t>
      </w:r>
    </w:p>
    <w:p w:rsidR="00000000" w:rsidRDefault="003D51DE">
      <w:pPr>
        <w:divId w:val="2005234551"/>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3D51DE">
      <w:pPr>
        <w:pStyle w:val="a3"/>
        <w:spacing w:before="0" w:beforeAutospacing="0" w:after="0" w:afterAutospacing="0"/>
        <w:divId w:val="2005234551"/>
        <w:rPr>
          <w:sz w:val="20"/>
          <w:szCs w:val="20"/>
        </w:rPr>
      </w:pPr>
      <w:r>
        <w:rPr>
          <w:sz w:val="20"/>
          <w:szCs w:val="20"/>
        </w:rPr>
        <w:t> </w:t>
      </w:r>
    </w:p>
    <w:p w:rsidR="00000000" w:rsidRDefault="003D51DE">
      <w:pPr>
        <w:pStyle w:val="a3"/>
        <w:spacing w:before="180" w:beforeAutospacing="0" w:after="40" w:afterAutospacing="0"/>
        <w:ind w:firstLine="694"/>
        <w:jc w:val="both"/>
        <w:divId w:val="1041367211"/>
        <w:rPr>
          <w:sz w:val="20"/>
          <w:szCs w:val="20"/>
        </w:rPr>
      </w:pPr>
      <w:r>
        <w:rPr>
          <w:sz w:val="19"/>
          <w:szCs w:val="19"/>
        </w:rPr>
        <w:t>The following table shows the geographic composition of the portfolio at fair value at</w:t>
      </w:r>
      <w:r>
        <w:rPr>
          <w:sz w:val="19"/>
          <w:szCs w:val="19"/>
        </w:rPr>
        <w:t xml:space="preserve"> </w:t>
      </w:r>
      <w:r>
        <w:rPr>
          <w:sz w:val="19"/>
          <w:szCs w:val="19"/>
        </w:rPr>
        <w:t>September 30, 2022 and December 31, 2021. The geographic composition is determined by several factors including the location of the</w:t>
      </w:r>
      <w:r>
        <w:rPr>
          <w:sz w:val="19"/>
          <w:szCs w:val="19"/>
        </w:rPr>
        <w:t xml:space="preserve"> corporate headquarters and the country of registration of the portfolio company</w:t>
      </w:r>
      <w:r>
        <w:rPr>
          <w:sz w:val="19"/>
          <w:szCs w:val="19"/>
        </w:rPr>
        <w:t>.</w:t>
      </w:r>
      <w:r>
        <w:rPr>
          <w:sz w:val="19"/>
          <w:szCs w:val="19"/>
        </w:rPr>
        <w:t xml:space="preserve">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671"/>
        <w:gridCol w:w="110"/>
        <w:gridCol w:w="111"/>
        <w:gridCol w:w="1034"/>
        <w:gridCol w:w="227"/>
        <w:gridCol w:w="110"/>
        <w:gridCol w:w="111"/>
        <w:gridCol w:w="1029"/>
        <w:gridCol w:w="242"/>
      </w:tblGrid>
      <w:tr w:rsidR="00000000">
        <w:trPr>
          <w:divId w:val="1041367211"/>
          <w:tblCellSpacing w:w="15" w:type="dxa"/>
        </w:trPr>
        <w:tc>
          <w:tcPr>
            <w:tcW w:w="2939" w:type="pct"/>
            <w:vAlign w:val="center"/>
            <w:hideMark/>
          </w:tcPr>
          <w:p w:rsidR="00000000" w:rsidRDefault="003D51DE">
            <w:pPr>
              <w:rPr>
                <w:sz w:val="20"/>
                <w:szCs w:val="20"/>
              </w:rPr>
            </w:pPr>
          </w:p>
        </w:tc>
        <w:tc>
          <w:tcPr>
            <w:tcW w:w="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7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7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041367211"/>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Geograph</w:t>
            </w:r>
            <w:r>
              <w:rPr>
                <w:b/>
                <w:bCs/>
                <w:sz w:val="16"/>
                <w:szCs w:val="16"/>
              </w:rPr>
              <w:t>y</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United State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85.</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88.</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United Kingdo</w:t>
            </w:r>
            <w:r>
              <w:rPr>
                <w:sz w:val="20"/>
                <w:szCs w:val="20"/>
              </w:rPr>
              <w:t>m</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German</w:t>
            </w:r>
            <w:r>
              <w:rPr>
                <w:sz w:val="20"/>
                <w:szCs w:val="20"/>
              </w:rPr>
              <w:t>y</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Canad</w:t>
            </w:r>
            <w:r>
              <w:rPr>
                <w:sz w:val="20"/>
                <w:szCs w:val="20"/>
              </w:rPr>
              <w:t>a</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Switzerlan</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Sloveni</w:t>
            </w:r>
            <w:r>
              <w:rPr>
                <w:sz w:val="20"/>
                <w:szCs w:val="20"/>
              </w:rPr>
              <w:t>a</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Australi</w:t>
            </w:r>
            <w:r>
              <w:rPr>
                <w:sz w:val="20"/>
                <w:szCs w:val="20"/>
              </w:rPr>
              <w:t>a</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041367211"/>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Total</w:t>
            </w:r>
            <w:r>
              <w:rPr>
                <w:b/>
                <w:bCs/>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spacing w:before="240" w:beforeAutospacing="0" w:after="0" w:afterAutospacing="0"/>
        <w:ind w:left="595"/>
        <w:jc w:val="both"/>
        <w:divId w:val="864906564"/>
        <w:rPr>
          <w:sz w:val="20"/>
          <w:szCs w:val="20"/>
        </w:rPr>
      </w:pPr>
      <w:r>
        <w:rPr>
          <w:b/>
          <w:bCs/>
          <w:i/>
          <w:iCs/>
          <w:sz w:val="19"/>
          <w:szCs w:val="19"/>
        </w:rPr>
        <w:t>Market and Credit Ris</w:t>
      </w:r>
      <w:r>
        <w:rPr>
          <w:b/>
          <w:bCs/>
          <w:i/>
          <w:iCs/>
          <w:sz w:val="19"/>
          <w:szCs w:val="19"/>
        </w:rPr>
        <w:t>k</w:t>
      </w:r>
      <w:r>
        <w:rPr>
          <w:b/>
          <w:bCs/>
          <w:i/>
          <w:iCs/>
          <w:sz w:val="19"/>
          <w:szCs w:val="19"/>
        </w:rPr>
        <w:t xml:space="preserve"> </w:t>
      </w:r>
    </w:p>
    <w:p w:rsidR="00000000" w:rsidRDefault="003D51DE">
      <w:pPr>
        <w:pStyle w:val="a3"/>
        <w:spacing w:before="240" w:beforeAutospacing="0" w:after="0" w:afterAutospacing="0"/>
        <w:ind w:firstLine="702"/>
        <w:jc w:val="both"/>
        <w:divId w:val="864906564"/>
        <w:rPr>
          <w:sz w:val="20"/>
          <w:szCs w:val="20"/>
        </w:rPr>
      </w:pPr>
      <w:r>
        <w:rPr>
          <w:sz w:val="19"/>
          <w:szCs w:val="19"/>
        </w:rPr>
        <w:t xml:space="preserve">The Company has investments in lower rated and comparable quality unrated senior and junior secured, unsecured and subordinated debt securities and loans, which are subject to a greater degree of credit risk than more highly rated investments. The risk of </w:t>
      </w:r>
      <w:r>
        <w:rPr>
          <w:sz w:val="19"/>
          <w:szCs w:val="19"/>
        </w:rPr>
        <w:t>loss due to default by the issuer is significantly greater for holders of such securities and loans, particularly in cases where the investment is unsecured or subordinated to other creditors of the issuer</w:t>
      </w:r>
      <w:r>
        <w:rPr>
          <w:sz w:val="19"/>
          <w:szCs w:val="19"/>
        </w:rPr>
        <w:t>.</w:t>
      </w:r>
    </w:p>
    <w:p w:rsidR="00000000" w:rsidRDefault="003D51DE">
      <w:pPr>
        <w:pStyle w:val="a3"/>
        <w:spacing w:before="180" w:beforeAutospacing="0" w:after="0" w:afterAutospacing="0"/>
        <w:ind w:firstLine="702"/>
        <w:jc w:val="both"/>
        <w:divId w:val="864906564"/>
        <w:rPr>
          <w:sz w:val="20"/>
          <w:szCs w:val="20"/>
        </w:rPr>
      </w:pPr>
      <w:r>
        <w:rPr>
          <w:sz w:val="19"/>
          <w:szCs w:val="19"/>
        </w:rPr>
        <w:t>In the normal course of business, the Company inv</w:t>
      </w:r>
      <w:r>
        <w:rPr>
          <w:sz w:val="19"/>
          <w:szCs w:val="19"/>
        </w:rPr>
        <w:t>ests in securities and enters into transactions where risks exist due to fluctuations in the market (market risk) or failure of the issuer of a security to meet all its obligations (issuer credit risk). The value of securities held by the Company may decli</w:t>
      </w:r>
      <w:r>
        <w:rPr>
          <w:sz w:val="19"/>
          <w:szCs w:val="19"/>
        </w:rPr>
        <w:t>ne in response to certain events, including those directly involving the issuers whose securities are owned by the Company; conditions affecting the general economy; overall market changes; local, regional or global political, social or economic instabilit</w:t>
      </w:r>
      <w:r>
        <w:rPr>
          <w:sz w:val="19"/>
          <w:szCs w:val="19"/>
        </w:rPr>
        <w:t>y; and currency and interest rate and price fluctuations (see Item 1A. Risk Factors for further details). The impact of epidemics and pandemics such as the coronavirus, could affect the economies of many nations, individual companies and the market in gene</w:t>
      </w:r>
      <w:r>
        <w:rPr>
          <w:sz w:val="19"/>
          <w:szCs w:val="19"/>
        </w:rPr>
        <w:t xml:space="preserve">ral in ways that cannot necessarily be foreseen at the present time. Similar to issuer credit risk, the Company may be exposed to counterparty credit risk, or the risk that an entity with which the Company has unsettled or open transactions may fail to or </w:t>
      </w:r>
      <w:r>
        <w:rPr>
          <w:sz w:val="19"/>
          <w:szCs w:val="19"/>
        </w:rPr>
        <w:t>be unable to perform on its commitments. The Company manages counterparty risk by entering into transactions only with counterparties that they believe have the financial resources to honor their obligations and by monitoring the financial stability of tho</w:t>
      </w:r>
      <w:r>
        <w:rPr>
          <w:sz w:val="19"/>
          <w:szCs w:val="19"/>
        </w:rPr>
        <w:t>se counterparties. Financial assets, which potentially expose the Company to market, issuer and counterparty credit risks, consist principally of investments in portfolio companies. The extent of the Company’s exposure to market, issuer and counterparty cr</w:t>
      </w:r>
      <w:r>
        <w:rPr>
          <w:sz w:val="19"/>
          <w:szCs w:val="19"/>
        </w:rPr>
        <w:t xml:space="preserve">edit risks with respect to these financial assets is generally approximated by their fair value recorded in the Consolidated Statements of Assets and Liabilities. The Company is also exposed to credit risk related to maintaining all of its cash at a major </w:t>
      </w:r>
      <w:r>
        <w:rPr>
          <w:sz w:val="19"/>
          <w:szCs w:val="19"/>
        </w:rPr>
        <w:t>financial institution</w:t>
      </w:r>
      <w:r>
        <w:rPr>
          <w:sz w:val="19"/>
          <w:szCs w:val="19"/>
        </w:rPr>
        <w:t>.</w:t>
      </w:r>
      <w:r>
        <w:rPr>
          <w:sz w:val="19"/>
          <w:szCs w:val="19"/>
        </w:rPr>
        <w:t xml:space="preserve"> </w:t>
      </w:r>
    </w:p>
    <w:p w:rsidR="00000000" w:rsidRDefault="003D51DE">
      <w:pPr>
        <w:pStyle w:val="a3"/>
        <w:spacing w:before="240" w:beforeAutospacing="0" w:after="0" w:afterAutospacing="0"/>
        <w:jc w:val="both"/>
        <w:divId w:val="746995804"/>
        <w:rPr>
          <w:sz w:val="20"/>
          <w:szCs w:val="20"/>
        </w:rPr>
      </w:pPr>
      <w:r>
        <w:rPr>
          <w:b/>
          <w:bCs/>
          <w:sz w:val="19"/>
          <w:szCs w:val="19"/>
        </w:rPr>
        <w:t>6. Other Related Party Transaction</w:t>
      </w:r>
      <w:r>
        <w:rPr>
          <w:b/>
          <w:bCs/>
          <w:sz w:val="19"/>
          <w:szCs w:val="19"/>
        </w:rPr>
        <w:t>s</w:t>
      </w:r>
    </w:p>
    <w:p w:rsidR="00000000" w:rsidRDefault="003D51DE">
      <w:pPr>
        <w:pStyle w:val="a3"/>
        <w:spacing w:before="240" w:beforeAutospacing="0" w:after="0" w:afterAutospacing="0"/>
        <w:ind w:left="595"/>
        <w:jc w:val="both"/>
        <w:divId w:val="746995804"/>
        <w:rPr>
          <w:sz w:val="20"/>
          <w:szCs w:val="20"/>
        </w:rPr>
      </w:pPr>
      <w:r>
        <w:rPr>
          <w:b/>
          <w:bCs/>
          <w:i/>
          <w:iCs/>
          <w:sz w:val="19"/>
          <w:szCs w:val="19"/>
        </w:rPr>
        <w:t>Advisor Reimbursement</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746995804"/>
        <w:rPr>
          <w:sz w:val="20"/>
          <w:szCs w:val="20"/>
        </w:rPr>
      </w:pPr>
      <w:r>
        <w:rPr>
          <w:sz w:val="19"/>
          <w:szCs w:val="19"/>
        </w:rPr>
        <w:t>The Current Management Agreement provides that the Company will reimburse the Advisor for costs and expenses incurred by the Advisor for administrative or operating services, office space rental, office equipment and utilities allocable to the Advisor unde</w:t>
      </w:r>
      <w:r>
        <w:rPr>
          <w:sz w:val="19"/>
          <w:szCs w:val="19"/>
        </w:rPr>
        <w:t>r the investment management agreement, as well as any costs and expenses incurred by the Advisor relating to any non-investment advisory, administrative or operating services provided by the Advisor to the Company. For the three and nine months ended Septe</w:t>
      </w:r>
      <w:r>
        <w:rPr>
          <w:sz w:val="19"/>
          <w:szCs w:val="19"/>
        </w:rPr>
        <w:t xml:space="preserve">mber 30, 2022, the Company incurred </w:t>
      </w:r>
      <w:r>
        <w:rPr>
          <w:sz w:val="19"/>
          <w:szCs w:val="19"/>
        </w:rPr>
        <w:t>$</w:t>
      </w:r>
      <w:r>
        <w:rPr>
          <w:sz w:val="19"/>
          <w:szCs w:val="19"/>
        </w:rPr>
        <w:t>25,81</w:t>
      </w:r>
      <w:r>
        <w:rPr>
          <w:sz w:val="19"/>
          <w:szCs w:val="19"/>
        </w:rPr>
        <w:t>9</w:t>
      </w:r>
      <w:r>
        <w:rPr>
          <w:sz w:val="19"/>
          <w:szCs w:val="19"/>
        </w:rPr>
        <w:t xml:space="preserve"> and </w:t>
      </w:r>
      <w:r>
        <w:rPr>
          <w:sz w:val="19"/>
          <w:szCs w:val="19"/>
        </w:rPr>
        <w:t>$</w:t>
      </w:r>
      <w:r>
        <w:rPr>
          <w:sz w:val="19"/>
          <w:szCs w:val="19"/>
        </w:rPr>
        <w:t>77,45</w:t>
      </w:r>
      <w:r>
        <w:rPr>
          <w:sz w:val="19"/>
          <w:szCs w:val="19"/>
        </w:rPr>
        <w:t>7</w:t>
      </w:r>
      <w:r>
        <w:rPr>
          <w:sz w:val="19"/>
          <w:szCs w:val="19"/>
        </w:rPr>
        <w:t xml:space="preserve">, respectively, for such investment advisor expenses. For the three and nine months ended September 30, 2021, the Company incurred </w:t>
      </w:r>
      <w:r>
        <w:rPr>
          <w:sz w:val="19"/>
          <w:szCs w:val="19"/>
        </w:rPr>
        <w:t>$</w:t>
      </w:r>
      <w:r>
        <w:rPr>
          <w:sz w:val="19"/>
          <w:szCs w:val="19"/>
        </w:rPr>
        <w:t>87,50</w:t>
      </w:r>
      <w:r>
        <w:rPr>
          <w:sz w:val="19"/>
          <w:szCs w:val="19"/>
        </w:rPr>
        <w:t>0</w:t>
      </w:r>
      <w:r>
        <w:rPr>
          <w:sz w:val="19"/>
          <w:szCs w:val="19"/>
        </w:rPr>
        <w:t xml:space="preserve"> and </w:t>
      </w:r>
      <w:r>
        <w:rPr>
          <w:sz w:val="19"/>
          <w:szCs w:val="19"/>
        </w:rPr>
        <w:t>$</w:t>
      </w:r>
      <w:r>
        <w:rPr>
          <w:sz w:val="19"/>
          <w:szCs w:val="19"/>
        </w:rPr>
        <w:t>262,50</w:t>
      </w:r>
      <w:r>
        <w:rPr>
          <w:sz w:val="19"/>
          <w:szCs w:val="19"/>
        </w:rPr>
        <w:t>0</w:t>
      </w:r>
      <w:r>
        <w:rPr>
          <w:sz w:val="19"/>
          <w:szCs w:val="19"/>
        </w:rPr>
        <w:t>, respectively, for such investment advisor expens</w:t>
      </w:r>
      <w:r>
        <w:rPr>
          <w:sz w:val="19"/>
          <w:szCs w:val="19"/>
        </w:rPr>
        <w:t>es</w:t>
      </w:r>
      <w:r>
        <w:rPr>
          <w:sz w:val="19"/>
          <w:szCs w:val="19"/>
        </w:rPr>
        <w:t>.</w:t>
      </w:r>
    </w:p>
    <w:p w:rsidR="00000000" w:rsidRDefault="003D51DE">
      <w:pPr>
        <w:pStyle w:val="a3"/>
        <w:spacing w:before="180" w:beforeAutospacing="0" w:after="0" w:afterAutospacing="0"/>
        <w:ind w:firstLine="702"/>
        <w:jc w:val="both"/>
        <w:divId w:val="746995804"/>
        <w:rPr>
          <w:sz w:val="20"/>
          <w:szCs w:val="20"/>
        </w:rPr>
      </w:pPr>
      <w:r>
        <w:rPr>
          <w:sz w:val="19"/>
          <w:szCs w:val="19"/>
        </w:rPr>
        <w:t xml:space="preserve">From time to time, the Advisor and its affiliates may pay third party providers for goods or services utilized by the Company. The Company will subsequently reimburse the Advisor and its affiliates for such amounts. Reimbursements to the Advisor and their </w:t>
      </w:r>
      <w:r>
        <w:rPr>
          <w:sz w:val="19"/>
          <w:szCs w:val="19"/>
        </w:rPr>
        <w:t>affiliates for such purposes during the three and nine months ended September 30, 2022 were</w:t>
      </w:r>
      <w:r>
        <w:rPr>
          <w:sz w:val="19"/>
          <w:szCs w:val="19"/>
        </w:rPr>
        <w:t xml:space="preserve"> </w:t>
      </w:r>
      <w:r>
        <w:rPr>
          <w:sz w:val="19"/>
          <w:szCs w:val="19"/>
        </w:rPr>
        <w:t>zer</w:t>
      </w:r>
      <w:r>
        <w:rPr>
          <w:sz w:val="19"/>
          <w:szCs w:val="19"/>
        </w:rPr>
        <w:t>o</w:t>
      </w:r>
      <w:r>
        <w:rPr>
          <w:sz w:val="19"/>
          <w:szCs w:val="19"/>
        </w:rPr>
        <w:t xml:space="preserve"> and </w:t>
      </w:r>
      <w:r>
        <w:rPr>
          <w:sz w:val="19"/>
          <w:szCs w:val="19"/>
        </w:rPr>
        <w:t>$</w:t>
      </w:r>
      <w:r>
        <w:rPr>
          <w:sz w:val="19"/>
          <w:szCs w:val="19"/>
        </w:rPr>
        <w:t>161,89</w:t>
      </w:r>
      <w:r>
        <w:rPr>
          <w:sz w:val="19"/>
          <w:szCs w:val="19"/>
        </w:rPr>
        <w:t>5</w:t>
      </w:r>
      <w:r>
        <w:rPr>
          <w:sz w:val="19"/>
          <w:szCs w:val="19"/>
        </w:rPr>
        <w:t>, respectively. Reimbursements to the Advisor and their affiliates for such purposes during the three and nine months ended September 30, 2021 were</w:t>
      </w:r>
      <w:r>
        <w:rPr>
          <w:sz w:val="19"/>
          <w:szCs w:val="19"/>
        </w:rPr>
        <w:t xml:space="preserve"> </w:t>
      </w:r>
      <w:r>
        <w:rPr>
          <w:sz w:val="19"/>
          <w:szCs w:val="19"/>
        </w:rPr>
        <w:t>$</w:t>
      </w:r>
      <w:r>
        <w:rPr>
          <w:sz w:val="19"/>
          <w:szCs w:val="19"/>
        </w:rPr>
        <w:t>160,95</w:t>
      </w:r>
      <w:r>
        <w:rPr>
          <w:sz w:val="19"/>
          <w:szCs w:val="19"/>
        </w:rPr>
        <w:t>8</w:t>
      </w:r>
      <w:r>
        <w:rPr>
          <w:sz w:val="19"/>
          <w:szCs w:val="19"/>
        </w:rPr>
        <w:t xml:space="preserve"> and </w:t>
      </w:r>
      <w:r>
        <w:rPr>
          <w:sz w:val="19"/>
          <w:szCs w:val="19"/>
        </w:rPr>
        <w:t>$</w:t>
      </w:r>
      <w:r>
        <w:rPr>
          <w:sz w:val="19"/>
          <w:szCs w:val="19"/>
        </w:rPr>
        <w:t>298,59</w:t>
      </w:r>
      <w:r>
        <w:rPr>
          <w:sz w:val="19"/>
          <w:szCs w:val="19"/>
        </w:rPr>
        <w:t>2</w:t>
      </w:r>
      <w:r>
        <w:rPr>
          <w:sz w:val="19"/>
          <w:szCs w:val="19"/>
        </w:rPr>
        <w:t>, respectively</w:t>
      </w:r>
      <w:r>
        <w:rPr>
          <w:sz w:val="19"/>
          <w:szCs w:val="19"/>
        </w:rPr>
        <w:t>.</w:t>
      </w:r>
    </w:p>
    <w:p w:rsidR="00000000" w:rsidRDefault="003D51DE">
      <w:pPr>
        <w:pStyle w:val="a3"/>
        <w:spacing w:before="180" w:beforeAutospacing="0" w:after="0" w:afterAutospacing="0"/>
        <w:ind w:firstLine="694"/>
        <w:jc w:val="both"/>
        <w:divId w:val="746995804"/>
        <w:rPr>
          <w:sz w:val="20"/>
          <w:szCs w:val="20"/>
        </w:rPr>
      </w:pPr>
      <w:r>
        <w:rPr>
          <w:sz w:val="19"/>
          <w:szCs w:val="19"/>
        </w:rPr>
        <w:t>No person who is an officer, director or employee of the Advisor and who serves as a director of the Company receives any compensation from the Company for such services. Directors who are not affiliated with the Advis</w:t>
      </w:r>
      <w:r>
        <w:rPr>
          <w:sz w:val="19"/>
          <w:szCs w:val="19"/>
        </w:rPr>
        <w:t>or receive compensation for their services and reimbursement of expenses incurred to attend meetings</w:t>
      </w:r>
      <w:r>
        <w:rPr>
          <w:sz w:val="19"/>
          <w:szCs w:val="19"/>
        </w:rPr>
        <w:t>.</w:t>
      </w:r>
      <w:r>
        <w:rPr>
          <w:sz w:val="19"/>
          <w:szCs w:val="19"/>
        </w:rPr>
        <w:t xml:space="preserve"> </w:t>
      </w:r>
    </w:p>
    <w:p w:rsidR="00000000" w:rsidRDefault="003D51DE">
      <w:pPr>
        <w:pStyle w:val="a3"/>
        <w:spacing w:before="240" w:beforeAutospacing="0" w:after="0" w:afterAutospacing="0"/>
        <w:ind w:left="595"/>
        <w:jc w:val="both"/>
        <w:divId w:val="746995804"/>
        <w:rPr>
          <w:sz w:val="20"/>
          <w:szCs w:val="20"/>
        </w:rPr>
      </w:pPr>
      <w:r>
        <w:rPr>
          <w:b/>
          <w:bCs/>
          <w:i/>
          <w:iCs/>
          <w:sz w:val="19"/>
          <w:szCs w:val="19"/>
        </w:rPr>
        <w:t>Administratio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divId w:val="746995804"/>
        <w:rPr>
          <w:sz w:val="20"/>
          <w:szCs w:val="20"/>
        </w:rPr>
      </w:pPr>
      <w:r>
        <w:rPr>
          <w:sz w:val="19"/>
          <w:szCs w:val="19"/>
        </w:rPr>
        <w:t>The Company also has entered into an administration agreement with BlackRock Financial Management, Inc. (the “Administrator”) under which</w:t>
      </w:r>
      <w:r>
        <w:rPr>
          <w:sz w:val="19"/>
          <w:szCs w:val="19"/>
        </w:rPr>
        <w:t xml:space="preserve"> the Administrator provides certain administrative services to the Company. For providing these services, facilities and personnel, the Company reimburses the Administrator for the Company’s allocable portion of overhead and other expenses incurred by the </w:t>
      </w:r>
      <w:r>
        <w:rPr>
          <w:sz w:val="19"/>
          <w:szCs w:val="19"/>
        </w:rPr>
        <w:t>Administrato</w:t>
      </w:r>
      <w:r>
        <w:rPr>
          <w:sz w:val="19"/>
          <w:szCs w:val="19"/>
        </w:rPr>
        <w:t>r</w:t>
      </w:r>
      <w:r>
        <w:rPr>
          <w:sz w:val="19"/>
          <w:szCs w:val="19"/>
        </w:rPr>
        <w:t xml:space="preserve"> </w:t>
      </w:r>
    </w:p>
    <w:p w:rsidR="00000000" w:rsidRDefault="003D51DE">
      <w:pPr>
        <w:pStyle w:val="a3"/>
        <w:spacing w:before="0" w:beforeAutospacing="0" w:after="0" w:afterAutospacing="0"/>
        <w:jc w:val="center"/>
        <w:divId w:val="746995804"/>
        <w:rPr>
          <w:sz w:val="20"/>
          <w:szCs w:val="20"/>
        </w:rPr>
      </w:pPr>
      <w:r>
        <w:rPr>
          <w:sz w:val="20"/>
          <w:szCs w:val="20"/>
        </w:rPr>
        <w:t> </w:t>
      </w:r>
    </w:p>
    <w:p w:rsidR="00000000" w:rsidRDefault="003D51DE">
      <w:pPr>
        <w:pStyle w:val="a3"/>
        <w:spacing w:before="0" w:beforeAutospacing="0" w:after="0" w:afterAutospacing="0"/>
        <w:jc w:val="center"/>
        <w:divId w:val="746995804"/>
        <w:rPr>
          <w:sz w:val="20"/>
          <w:szCs w:val="20"/>
        </w:rPr>
      </w:pPr>
      <w:r>
        <w:rPr>
          <w:sz w:val="19"/>
          <w:szCs w:val="19"/>
        </w:rPr>
        <w:t>3</w:t>
      </w:r>
      <w:r>
        <w:rPr>
          <w:sz w:val="19"/>
          <w:szCs w:val="19"/>
        </w:rPr>
        <w:t>8</w:t>
      </w:r>
    </w:p>
    <w:p w:rsidR="00000000" w:rsidRDefault="003D51DE">
      <w:pPr>
        <w:divId w:val="746995804"/>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3D51DE">
      <w:pPr>
        <w:pStyle w:val="a3"/>
        <w:spacing w:before="0" w:beforeAutospacing="0" w:after="0" w:afterAutospacing="0"/>
        <w:divId w:val="746995804"/>
        <w:rPr>
          <w:sz w:val="20"/>
          <w:szCs w:val="20"/>
        </w:rPr>
      </w:pPr>
      <w:r>
        <w:rPr>
          <w:sz w:val="20"/>
          <w:szCs w:val="20"/>
        </w:rPr>
        <w:t> </w:t>
      </w:r>
    </w:p>
    <w:p w:rsidR="00000000" w:rsidRDefault="003D51DE">
      <w:pPr>
        <w:pStyle w:val="a3"/>
        <w:spacing w:before="240" w:beforeAutospacing="0" w:after="0" w:afterAutospacing="0"/>
        <w:jc w:val="both"/>
        <w:divId w:val="746995804"/>
        <w:rPr>
          <w:sz w:val="20"/>
          <w:szCs w:val="20"/>
        </w:rPr>
      </w:pPr>
      <w:r>
        <w:rPr>
          <w:sz w:val="19"/>
          <w:szCs w:val="19"/>
        </w:rPr>
        <w:t>in performing its obligations under the administration agreement, including rent and the Company’s allocable portion of the cost of certain of the Company’s officers and their respective staffs. For</w:t>
      </w:r>
      <w:r>
        <w:rPr>
          <w:sz w:val="19"/>
          <w:szCs w:val="19"/>
        </w:rPr>
        <w:t xml:space="preserve"> the three and nine months ended September 30, 2022, the Company incurred </w:t>
      </w:r>
      <w:r>
        <w:rPr>
          <w:sz w:val="19"/>
          <w:szCs w:val="19"/>
        </w:rPr>
        <w:t>$</w:t>
      </w:r>
      <w:r>
        <w:rPr>
          <w:sz w:val="19"/>
          <w:szCs w:val="19"/>
        </w:rPr>
        <w:t>345,70</w:t>
      </w:r>
      <w:r>
        <w:rPr>
          <w:sz w:val="19"/>
          <w:szCs w:val="19"/>
        </w:rPr>
        <w:t>7</w:t>
      </w:r>
      <w:r>
        <w:rPr>
          <w:sz w:val="19"/>
          <w:szCs w:val="19"/>
        </w:rPr>
        <w:t xml:space="preserve"> and </w:t>
      </w:r>
      <w:r>
        <w:rPr>
          <w:sz w:val="19"/>
          <w:szCs w:val="19"/>
        </w:rPr>
        <w:t>$</w:t>
      </w:r>
      <w:r>
        <w:rPr>
          <w:sz w:val="19"/>
          <w:szCs w:val="19"/>
        </w:rPr>
        <w:t>1,010,47</w:t>
      </w:r>
      <w:r>
        <w:rPr>
          <w:sz w:val="19"/>
          <w:szCs w:val="19"/>
        </w:rPr>
        <w:t>6</w:t>
      </w:r>
      <w:r>
        <w:rPr>
          <w:sz w:val="19"/>
          <w:szCs w:val="19"/>
        </w:rPr>
        <w:t xml:space="preserve">, respectively, for such administrative services expenses. For the three and nine months ended September 30, 2021, the Company incurred </w:t>
      </w:r>
      <w:r>
        <w:rPr>
          <w:sz w:val="19"/>
          <w:szCs w:val="19"/>
        </w:rPr>
        <w:t>$</w:t>
      </w:r>
      <w:r>
        <w:rPr>
          <w:sz w:val="19"/>
          <w:szCs w:val="19"/>
        </w:rPr>
        <w:t>333,05</w:t>
      </w:r>
      <w:r>
        <w:rPr>
          <w:sz w:val="19"/>
          <w:szCs w:val="19"/>
        </w:rPr>
        <w:t>7</w:t>
      </w:r>
      <w:r>
        <w:rPr>
          <w:sz w:val="19"/>
          <w:szCs w:val="19"/>
        </w:rPr>
        <w:t xml:space="preserve"> and </w:t>
      </w:r>
      <w:r>
        <w:rPr>
          <w:sz w:val="19"/>
          <w:szCs w:val="19"/>
        </w:rPr>
        <w:t>$</w:t>
      </w:r>
      <w:r>
        <w:rPr>
          <w:sz w:val="19"/>
          <w:szCs w:val="19"/>
        </w:rPr>
        <w:t>970,05</w:t>
      </w:r>
      <w:r>
        <w:rPr>
          <w:sz w:val="19"/>
          <w:szCs w:val="19"/>
        </w:rPr>
        <w:t>8</w:t>
      </w:r>
      <w:r>
        <w:rPr>
          <w:sz w:val="19"/>
          <w:szCs w:val="19"/>
        </w:rPr>
        <w:t xml:space="preserve">, </w:t>
      </w:r>
      <w:r>
        <w:rPr>
          <w:sz w:val="19"/>
          <w:szCs w:val="19"/>
        </w:rPr>
        <w:t>respectively, for such administrative services expenses</w:t>
      </w:r>
      <w:r>
        <w:rPr>
          <w:sz w:val="19"/>
          <w:szCs w:val="19"/>
        </w:rPr>
        <w:t>.</w:t>
      </w:r>
    </w:p>
    <w:p w:rsidR="00000000" w:rsidRDefault="003D51DE">
      <w:pPr>
        <w:pStyle w:val="a3"/>
        <w:spacing w:before="240" w:beforeAutospacing="0" w:after="0" w:afterAutospacing="0"/>
        <w:ind w:left="595"/>
        <w:jc w:val="both"/>
        <w:divId w:val="746995804"/>
        <w:rPr>
          <w:sz w:val="20"/>
          <w:szCs w:val="20"/>
        </w:rPr>
      </w:pPr>
      <w:r>
        <w:rPr>
          <w:b/>
          <w:bCs/>
          <w:i/>
          <w:iCs/>
          <w:sz w:val="19"/>
          <w:szCs w:val="19"/>
        </w:rPr>
        <w:t>Advisor Stock Transaction</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divId w:val="746995804"/>
        <w:rPr>
          <w:sz w:val="20"/>
          <w:szCs w:val="20"/>
        </w:rPr>
      </w:pPr>
      <w:r>
        <w:rPr>
          <w:sz w:val="19"/>
          <w:szCs w:val="19"/>
        </w:rPr>
        <w:t>At September 30, 2022 and December 31, 202</w:t>
      </w:r>
      <w:r>
        <w:rPr>
          <w:sz w:val="19"/>
          <w:szCs w:val="19"/>
        </w:rPr>
        <w:t>1</w:t>
      </w:r>
      <w:r>
        <w:rPr>
          <w:sz w:val="19"/>
          <w:szCs w:val="19"/>
        </w:rPr>
        <w:t>, BCIA did</w:t>
      </w:r>
      <w:r>
        <w:rPr>
          <w:sz w:val="19"/>
          <w:szCs w:val="19"/>
        </w:rPr>
        <w:t xml:space="preserve"> </w:t>
      </w:r>
      <w:r>
        <w:rPr>
          <w:sz w:val="19"/>
          <w:szCs w:val="19"/>
        </w:rPr>
        <w:t>n</w:t>
      </w:r>
      <w:r>
        <w:rPr>
          <w:sz w:val="19"/>
          <w:szCs w:val="19"/>
        </w:rPr>
        <w:t>o</w:t>
      </w:r>
      <w:r>
        <w:rPr>
          <w:sz w:val="19"/>
          <w:szCs w:val="19"/>
        </w:rPr>
        <w:t>t own any shares of the Company. At both</w:t>
      </w:r>
      <w:r>
        <w:rPr>
          <w:sz w:val="19"/>
          <w:szCs w:val="19"/>
        </w:rPr>
        <w:t xml:space="preserve"> </w:t>
      </w:r>
      <w:r>
        <w:rPr>
          <w:sz w:val="19"/>
          <w:szCs w:val="19"/>
        </w:rPr>
        <w:t>September 30, 2022 and December 31, 202</w:t>
      </w:r>
      <w:r>
        <w:rPr>
          <w:sz w:val="19"/>
          <w:szCs w:val="19"/>
        </w:rPr>
        <w:t>1</w:t>
      </w:r>
      <w:r>
        <w:rPr>
          <w:sz w:val="19"/>
          <w:szCs w:val="19"/>
        </w:rPr>
        <w:t>, other entities affiliated with t</w:t>
      </w:r>
      <w:r>
        <w:rPr>
          <w:sz w:val="19"/>
          <w:szCs w:val="19"/>
        </w:rPr>
        <w:t>he Administrator and Advisor beneficially owned less than</w:t>
      </w:r>
      <w:r>
        <w:rPr>
          <w:sz w:val="19"/>
          <w:szCs w:val="19"/>
        </w:rPr>
        <w:t xml:space="preserve"> </w:t>
      </w:r>
      <w:r>
        <w:rPr>
          <w:sz w:val="19"/>
          <w:szCs w:val="19"/>
        </w:rPr>
        <w:t>1</w:t>
      </w:r>
      <w:r>
        <w:rPr>
          <w:sz w:val="19"/>
          <w:szCs w:val="19"/>
        </w:rPr>
        <w:t>% of the Company’s total shares of common stock outstanding</w:t>
      </w:r>
      <w:r>
        <w:rPr>
          <w:sz w:val="19"/>
          <w:szCs w:val="19"/>
        </w:rPr>
        <w:t>.</w:t>
      </w:r>
      <w:r>
        <w:rPr>
          <w:b/>
          <w:bCs/>
          <w:sz w:val="19"/>
          <w:szCs w:val="19"/>
        </w:rPr>
        <w:t xml:space="preserve"> </w:t>
      </w:r>
    </w:p>
    <w:p w:rsidR="00000000" w:rsidRDefault="003D51DE">
      <w:pPr>
        <w:pStyle w:val="a3"/>
        <w:spacing w:before="240" w:beforeAutospacing="0" w:after="0" w:afterAutospacing="0"/>
        <w:jc w:val="both"/>
        <w:divId w:val="926618065"/>
        <w:rPr>
          <w:sz w:val="20"/>
          <w:szCs w:val="20"/>
        </w:rPr>
      </w:pPr>
      <w:r>
        <w:rPr>
          <w:b/>
          <w:bCs/>
          <w:sz w:val="19"/>
          <w:szCs w:val="19"/>
        </w:rPr>
        <w:t>7. Stockholders’ Equity and Dividend</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divId w:val="926618065"/>
        <w:rPr>
          <w:sz w:val="20"/>
          <w:szCs w:val="20"/>
        </w:rPr>
      </w:pPr>
      <w:r>
        <w:rPr>
          <w:sz w:val="19"/>
          <w:szCs w:val="19"/>
        </w:rPr>
        <w:t>Dividends to common stockholders are recorded on the ex-dividend date. The amount to be paid out</w:t>
      </w:r>
      <w:r>
        <w:rPr>
          <w:sz w:val="19"/>
          <w:szCs w:val="19"/>
        </w:rPr>
        <w:t xml:space="preserve"> as a dividend is determined by the Board. Net realized capital gains, if any, generally are distributed at least annually, although the Company may decide to retain such capital gains for investment</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926618065"/>
        <w:rPr>
          <w:sz w:val="20"/>
          <w:szCs w:val="20"/>
        </w:rPr>
      </w:pPr>
      <w:r>
        <w:rPr>
          <w:sz w:val="19"/>
          <w:szCs w:val="19"/>
        </w:rPr>
        <w:t>The Company has adopted a dividend reinvestment plan (</w:t>
      </w:r>
      <w:r>
        <w:rPr>
          <w:sz w:val="19"/>
          <w:szCs w:val="19"/>
        </w:rPr>
        <w:t>the “Plan”) that provides for reinvestment of dividends on behalf of stockholders, unless a stockholder elects to receive cash. As a result, if the Board authorizes, and the Company declares, a cash dividend, then stockholders who have not “opted out” of t</w:t>
      </w:r>
      <w:r>
        <w:rPr>
          <w:sz w:val="19"/>
          <w:szCs w:val="19"/>
        </w:rPr>
        <w:t>he dividend reinvestment plan will have their cash dividends automatically reinvested in additional shares of Common Stock, rather than receiving the cash dividends. Additionally, if the Company makes a dividend to be paid in cash or in stock at the electi</w:t>
      </w:r>
      <w:r>
        <w:rPr>
          <w:sz w:val="19"/>
          <w:szCs w:val="19"/>
        </w:rPr>
        <w:t>on of stockholders as of the applicable dividend record date (a “Cash/Stock Dividend”), the terms are subject to the amended Plan dated May 13, 2020 described below</w:t>
      </w:r>
      <w:r>
        <w:rPr>
          <w:sz w:val="19"/>
          <w:szCs w:val="19"/>
        </w:rPr>
        <w:t>.</w:t>
      </w:r>
    </w:p>
    <w:p w:rsidR="00000000" w:rsidRDefault="003D51DE">
      <w:pPr>
        <w:pStyle w:val="a3"/>
        <w:spacing w:before="180" w:beforeAutospacing="0" w:after="120" w:afterAutospacing="0"/>
        <w:ind w:firstLine="694"/>
        <w:jc w:val="both"/>
        <w:divId w:val="285625083"/>
        <w:rPr>
          <w:sz w:val="20"/>
          <w:szCs w:val="20"/>
        </w:rPr>
      </w:pPr>
      <w:r>
        <w:rPr>
          <w:sz w:val="19"/>
          <w:szCs w:val="19"/>
        </w:rPr>
        <w:t>For the three and nine months ended</w:t>
      </w:r>
      <w:r>
        <w:rPr>
          <w:sz w:val="19"/>
          <w:szCs w:val="19"/>
        </w:rPr>
        <w:t xml:space="preserve"> </w:t>
      </w:r>
      <w:r>
        <w:rPr>
          <w:sz w:val="19"/>
          <w:szCs w:val="19"/>
        </w:rPr>
        <w:t>September 30, 2022 and 2021, declared dividends to com</w:t>
      </w:r>
      <w:r>
        <w:rPr>
          <w:sz w:val="19"/>
          <w:szCs w:val="19"/>
        </w:rPr>
        <w:t>mon stockholders were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0"/>
        <w:gridCol w:w="179"/>
        <w:gridCol w:w="1195"/>
        <w:gridCol w:w="110"/>
        <w:gridCol w:w="985"/>
        <w:gridCol w:w="110"/>
        <w:gridCol w:w="929"/>
        <w:gridCol w:w="121"/>
        <w:gridCol w:w="161"/>
        <w:gridCol w:w="806"/>
        <w:gridCol w:w="110"/>
        <w:gridCol w:w="160"/>
        <w:gridCol w:w="960"/>
        <w:gridCol w:w="110"/>
        <w:gridCol w:w="160"/>
        <w:gridCol w:w="965"/>
        <w:gridCol w:w="125"/>
      </w:tblGrid>
      <w:tr w:rsidR="00000000">
        <w:trPr>
          <w:divId w:val="285625083"/>
          <w:tblCellSpacing w:w="15" w:type="dxa"/>
        </w:trPr>
        <w:tc>
          <w:tcPr>
            <w:tcW w:w="716" w:type="pct"/>
            <w:vAlign w:val="center"/>
            <w:hideMark/>
          </w:tcPr>
          <w:p w:rsidR="00000000" w:rsidRDefault="003D51DE">
            <w:pPr>
              <w:rPr>
                <w:sz w:val="20"/>
                <w:szCs w:val="20"/>
              </w:rPr>
            </w:pPr>
          </w:p>
        </w:tc>
        <w:tc>
          <w:tcPr>
            <w:tcW w:w="121" w:type="pct"/>
            <w:vAlign w:val="center"/>
            <w:hideMark/>
          </w:tcPr>
          <w:p w:rsidR="00000000" w:rsidRDefault="003D51DE">
            <w:pPr>
              <w:rPr>
                <w:rFonts w:eastAsia="Times New Roman"/>
                <w:sz w:val="20"/>
                <w:szCs w:val="20"/>
              </w:rPr>
            </w:pPr>
          </w:p>
        </w:tc>
        <w:tc>
          <w:tcPr>
            <w:tcW w:w="77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3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03" w:type="pct"/>
            <w:vAlign w:val="center"/>
            <w:hideMark/>
          </w:tcPr>
          <w:p w:rsidR="00000000" w:rsidRDefault="003D51DE">
            <w:pPr>
              <w:rPr>
                <w:rFonts w:eastAsia="Times New Roman"/>
                <w:sz w:val="20"/>
                <w:szCs w:val="20"/>
              </w:rPr>
            </w:pPr>
          </w:p>
        </w:tc>
        <w:tc>
          <w:tcPr>
            <w:tcW w:w="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2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2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285625083"/>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Date Declare</w:t>
            </w:r>
            <w:r>
              <w:rPr>
                <w:b/>
                <w:bCs/>
                <w:sz w:val="16"/>
                <w:szCs w:val="16"/>
              </w:rPr>
              <w:t>d</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Payment Dat</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Typ</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Amount Per Shar</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Amoun</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Reinvested dividends paid during quarter</w:t>
            </w:r>
            <w:r>
              <w:rPr>
                <w:b/>
                <w:bCs/>
                <w:sz w:val="16"/>
                <w:szCs w:val="16"/>
              </w:rPr>
              <w:t xml:space="preserve"> </w:t>
            </w:r>
            <w:r>
              <w:rPr>
                <w:b/>
                <w:bCs/>
                <w:sz w:val="11"/>
                <w:szCs w:val="11"/>
              </w:rPr>
              <w:t>(1) (2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March 1,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March 17,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April 7,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7,380,27</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698,26</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April 27,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June 16,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July 7,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7,363,18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744,84</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August 2,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September 15,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October 6, 202</w:t>
            </w:r>
            <w:r>
              <w:rPr>
                <w:sz w:val="20"/>
                <w:szCs w:val="20"/>
              </w:rPr>
              <w:t>2</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7,312,23</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691,65</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b/>
                <w:bCs/>
                <w:sz w:val="20"/>
                <w:szCs w:val="20"/>
              </w:rPr>
              <w:t>Tota</w:t>
            </w:r>
            <w:r>
              <w:rPr>
                <w:b/>
                <w:bCs/>
                <w:sz w:val="20"/>
                <w:szCs w:val="20"/>
              </w:rPr>
              <w:t>l</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22,055,69</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2,134,75</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285625083"/>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Date Declare</w:t>
            </w:r>
            <w:r>
              <w:rPr>
                <w:b/>
                <w:bCs/>
                <w:sz w:val="16"/>
                <w:szCs w:val="16"/>
              </w:rPr>
              <w:t>d</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Payment Dat</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Typ</w:t>
            </w:r>
            <w:r>
              <w:rPr>
                <w:b/>
                <w:bCs/>
                <w:sz w:val="16"/>
                <w:szCs w:val="16"/>
              </w:rPr>
              <w:t>e</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Amount Per Shar</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Amoun</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Reinvested dividends paid during quarter</w:t>
            </w:r>
            <w:r>
              <w:rPr>
                <w:b/>
                <w:bCs/>
                <w:sz w:val="16"/>
                <w:szCs w:val="16"/>
              </w:rPr>
              <w:t xml:space="preserve"> </w:t>
            </w:r>
            <w:r>
              <w:rPr>
                <w:b/>
                <w:bCs/>
                <w:sz w:val="11"/>
                <w:szCs w:val="11"/>
              </w:rPr>
              <w:t>(1) (2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March 2,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March 17,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April 7,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7,441,59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April 28,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June 16,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July 7,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7,413,59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541,77</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July 28,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September 15,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October 6, 202</w:t>
            </w:r>
            <w:r>
              <w:rPr>
                <w:sz w:val="20"/>
                <w:szCs w:val="20"/>
              </w:rPr>
              <w:t>1</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Regula</w:t>
            </w:r>
            <w:r>
              <w:rPr>
                <w:sz w:val="20"/>
                <w:szCs w:val="20"/>
              </w:rPr>
              <w:t>r</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7,405,84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593,07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285625083"/>
          <w:trHeight w:val="200"/>
          <w:tblCellSpacing w:w="15" w:type="dxa"/>
        </w:trPr>
        <w:tc>
          <w:tcPr>
            <w:tcW w:w="0" w:type="auto"/>
            <w:vAlign w:val="bottom"/>
            <w:hideMark/>
          </w:tcPr>
          <w:p w:rsidR="00000000" w:rsidRDefault="003D51DE">
            <w:pPr>
              <w:pStyle w:val="a3"/>
              <w:spacing w:before="0" w:beforeAutospacing="0" w:after="0" w:afterAutospacing="0"/>
              <w:jc w:val="right"/>
              <w:rPr>
                <w:sz w:val="20"/>
                <w:szCs w:val="20"/>
              </w:rPr>
            </w:pPr>
            <w:r>
              <w:rPr>
                <w:b/>
                <w:bCs/>
                <w:sz w:val="20"/>
                <w:szCs w:val="20"/>
              </w:rPr>
              <w:t>Tota</w:t>
            </w:r>
            <w:r>
              <w:rPr>
                <w:b/>
                <w:bCs/>
                <w:sz w:val="20"/>
                <w:szCs w:val="20"/>
              </w:rPr>
              <w:t>l</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center"/>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0.3</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22,261,03</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1,134,84</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0" w:beforeAutospacing="0" w:after="0" w:afterAutospacing="0"/>
        <w:divId w:val="285625083"/>
        <w:rPr>
          <w:sz w:val="20"/>
          <w:szCs w:val="20"/>
        </w:rPr>
      </w:pPr>
      <w:r>
        <w:rPr>
          <w:sz w:val="20"/>
          <w:szCs w:val="20"/>
        </w:rPr>
        <w:t> </w:t>
      </w:r>
    </w:p>
    <w:p w:rsidR="00000000" w:rsidRDefault="003D51DE">
      <w:pPr>
        <w:jc w:val="both"/>
        <w:divId w:val="19137056"/>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3D51DE">
      <w:pPr>
        <w:jc w:val="both"/>
        <w:divId w:val="111022381"/>
        <w:rPr>
          <w:rFonts w:eastAsia="Times New Roman"/>
          <w:sz w:val="20"/>
          <w:szCs w:val="20"/>
        </w:rPr>
      </w:pPr>
      <w:r>
        <w:rPr>
          <w:rFonts w:eastAsia="Times New Roman"/>
          <w:sz w:val="16"/>
          <w:szCs w:val="16"/>
        </w:rPr>
        <w:t>The Company has adopted a dividend reinvestment plan that provides for reinvestment of dividends on behalf of stockholders, unless a stockholder elects to receive cash</w:t>
      </w:r>
      <w:r>
        <w:rPr>
          <w:rFonts w:eastAsia="Times New Roman"/>
          <w:sz w:val="16"/>
          <w:szCs w:val="16"/>
        </w:rPr>
        <w:t>.</w:t>
      </w:r>
    </w:p>
    <w:p w:rsidR="00000000" w:rsidRDefault="003D51DE">
      <w:pPr>
        <w:jc w:val="both"/>
        <w:divId w:val="578951450"/>
        <w:rPr>
          <w:rFonts w:eastAsia="Times New Roman"/>
          <w:sz w:val="20"/>
          <w:szCs w:val="20"/>
        </w:rPr>
      </w:pPr>
      <w:r>
        <w:rPr>
          <w:rFonts w:eastAsia="Times New Roman"/>
          <w:sz w:val="16"/>
          <w:szCs w:val="16"/>
          <w:vertAlign w:val="superscript"/>
        </w:rPr>
        <w:t>(2</w:t>
      </w:r>
      <w:r>
        <w:rPr>
          <w:rFonts w:eastAsia="Times New Roman"/>
          <w:sz w:val="16"/>
          <w:szCs w:val="16"/>
          <w:vertAlign w:val="superscript"/>
        </w:rPr>
        <w:t>)</w:t>
      </w:r>
    </w:p>
    <w:p w:rsidR="00000000" w:rsidRDefault="003D51DE">
      <w:pPr>
        <w:jc w:val="both"/>
        <w:divId w:val="315302522"/>
        <w:rPr>
          <w:rFonts w:eastAsia="Times New Roman"/>
          <w:sz w:val="20"/>
          <w:szCs w:val="20"/>
        </w:rPr>
      </w:pPr>
      <w:r>
        <w:rPr>
          <w:rFonts w:eastAsia="Times New Roman"/>
          <w:sz w:val="16"/>
          <w:szCs w:val="16"/>
        </w:rPr>
        <w:t>Dividends reinvested through purchase of shares in the open market</w:t>
      </w:r>
      <w:r>
        <w:rPr>
          <w:rFonts w:eastAsia="Times New Roman"/>
          <w:sz w:val="16"/>
          <w:szCs w:val="16"/>
        </w:rPr>
        <w:t>.</w:t>
      </w:r>
    </w:p>
    <w:p w:rsidR="00000000" w:rsidRDefault="003D51DE">
      <w:pPr>
        <w:pStyle w:val="a3"/>
        <w:spacing w:before="180" w:beforeAutospacing="0" w:after="0" w:afterAutospacing="0"/>
        <w:ind w:firstLine="694"/>
        <w:jc w:val="both"/>
        <w:divId w:val="926618065"/>
        <w:rPr>
          <w:sz w:val="20"/>
          <w:szCs w:val="20"/>
        </w:rPr>
      </w:pPr>
      <w:r>
        <w:rPr>
          <w:sz w:val="19"/>
          <w:szCs w:val="19"/>
        </w:rPr>
        <w:t>On March 6, 201</w:t>
      </w:r>
      <w:r>
        <w:rPr>
          <w:sz w:val="19"/>
          <w:szCs w:val="19"/>
        </w:rPr>
        <w:t>8, the Company's Board adopted amendments to the Plan. Under the terms of the amended Plan, if the Company declares a dividend or determines to make a capital gain or other distribution, the reinvestment plan agent will acquire shares for the participants’</w:t>
      </w:r>
      <w:r>
        <w:rPr>
          <w:sz w:val="19"/>
          <w:szCs w:val="19"/>
        </w:rPr>
        <w:t xml:space="preserve"> accounts, depending upon the following circumstances, (i) through receipt of additional unissued but authorized shares from the Company (“newly issued shares”) and/or (ii) by purchase of outstanding shares on the open market (“open-market purchases”). If,</w:t>
      </w:r>
      <w:r>
        <w:rPr>
          <w:sz w:val="19"/>
          <w:szCs w:val="19"/>
        </w:rPr>
        <w:t xml:space="preserve"> on the dividend payment date, the last quarterly net asset value per share (“NAV”) is equal to or less than the closing market price per share on such dividend payment date (such condition often referred to as a “market premium”), the reinvestment plan ag</w:t>
      </w:r>
      <w:r>
        <w:rPr>
          <w:sz w:val="19"/>
          <w:szCs w:val="19"/>
        </w:rPr>
        <w:t xml:space="preserve">ent will invest the dividend amount in newly issued shares on behalf of the participants. The number of newly issued shares to be credited to each participant’s account will be determined by dividing the dollar amount of the dividend by the greater of (i) </w:t>
      </w:r>
      <w:r>
        <w:rPr>
          <w:sz w:val="19"/>
          <w:szCs w:val="19"/>
        </w:rPr>
        <w:t>the NAV or (ii)</w:t>
      </w:r>
      <w:r>
        <w:rPr>
          <w:sz w:val="19"/>
          <w:szCs w:val="19"/>
        </w:rPr>
        <w:t xml:space="preserve"> </w:t>
      </w:r>
      <w:r>
        <w:rPr>
          <w:sz w:val="19"/>
          <w:szCs w:val="19"/>
        </w:rPr>
        <w:t>9</w:t>
      </w:r>
      <w:r>
        <w:rPr>
          <w:sz w:val="19"/>
          <w:szCs w:val="19"/>
        </w:rPr>
        <w:t>5</w:t>
      </w:r>
      <w:r>
        <w:rPr>
          <w:sz w:val="19"/>
          <w:szCs w:val="19"/>
        </w:rPr>
        <w:t>% of the closing market price on the dividend payment date. If, on the dividend payment date, the NAV is greater than the closing market price per share on such dividend payment date (such condition often referred to as a “market discount</w:t>
      </w:r>
      <w:r>
        <w:rPr>
          <w:sz w:val="19"/>
          <w:szCs w:val="19"/>
        </w:rPr>
        <w:t>”), the reinvestment plan agent may, upon notice from the Company, either (a) invest the divided amount in newly issued shares on behalf of the participants or (b) invest the dividend amount in shares acquired on behalf of the participants in open-market p</w:t>
      </w:r>
      <w:r>
        <w:rPr>
          <w:sz w:val="19"/>
          <w:szCs w:val="19"/>
        </w:rPr>
        <w:t>urchases</w:t>
      </w:r>
      <w:r>
        <w:rPr>
          <w:sz w:val="19"/>
          <w:szCs w:val="19"/>
        </w:rPr>
        <w:t>.</w:t>
      </w:r>
      <w:r>
        <w:rPr>
          <w:sz w:val="19"/>
          <w:szCs w:val="19"/>
        </w:rPr>
        <w:t xml:space="preserve"> </w:t>
      </w:r>
    </w:p>
    <w:p w:rsidR="00000000" w:rsidRDefault="003D51DE">
      <w:pPr>
        <w:pStyle w:val="a3"/>
        <w:spacing w:before="180" w:beforeAutospacing="0" w:after="0" w:afterAutospacing="0"/>
        <w:ind w:firstLine="694"/>
        <w:jc w:val="both"/>
        <w:divId w:val="926618065"/>
        <w:rPr>
          <w:sz w:val="20"/>
          <w:szCs w:val="20"/>
        </w:rPr>
      </w:pPr>
      <w:r>
        <w:rPr>
          <w:sz w:val="19"/>
          <w:szCs w:val="19"/>
        </w:rPr>
        <w:t>On May 13, 2020, the Company's Board adopted further amendments to the Plan. Under the terms of the amended Plan, if the Company makes a Cash/Stock Dividend, each stockholder will be required to elect whether to receive the dividend in cash or i</w:t>
      </w:r>
      <w:r>
        <w:rPr>
          <w:sz w:val="19"/>
          <w:szCs w:val="19"/>
        </w:rPr>
        <w:t>n shares of the Company's common stock (“Common Shares”), pursuant to such notices, forms or other documentation as may be provided to the stockholder by the Company (the “Election Forms”). If the stockholder is a Plan participant and elects to receive the</w:t>
      </w:r>
      <w:r>
        <w:rPr>
          <w:sz w:val="19"/>
          <w:szCs w:val="19"/>
        </w:rPr>
        <w:t xml:space="preserve"> Cash/Stock Dividend in cash, the stockholder will be deemed to have elected not to participate in the Plan solely with respect to such Cash/Stock Dividend and will receive the dividend i</w:t>
      </w:r>
      <w:r>
        <w:rPr>
          <w:sz w:val="19"/>
          <w:szCs w:val="19"/>
        </w:rPr>
        <w:t>n</w:t>
      </w:r>
      <w:r>
        <w:rPr>
          <w:sz w:val="19"/>
          <w:szCs w:val="19"/>
        </w:rPr>
        <w:t xml:space="preserve"> </w:t>
      </w:r>
    </w:p>
    <w:p w:rsidR="00000000" w:rsidRDefault="003D51DE">
      <w:pPr>
        <w:pStyle w:val="a3"/>
        <w:spacing w:before="0" w:beforeAutospacing="0" w:after="0" w:afterAutospacing="0"/>
        <w:jc w:val="center"/>
        <w:divId w:val="926618065"/>
        <w:rPr>
          <w:sz w:val="20"/>
          <w:szCs w:val="20"/>
        </w:rPr>
      </w:pPr>
      <w:r>
        <w:rPr>
          <w:sz w:val="20"/>
          <w:szCs w:val="20"/>
        </w:rPr>
        <w:t> </w:t>
      </w:r>
    </w:p>
    <w:p w:rsidR="00000000" w:rsidRDefault="003D51DE">
      <w:pPr>
        <w:pStyle w:val="a3"/>
        <w:spacing w:before="0" w:beforeAutospacing="0" w:after="0" w:afterAutospacing="0"/>
        <w:jc w:val="center"/>
        <w:divId w:val="926618065"/>
        <w:rPr>
          <w:sz w:val="20"/>
          <w:szCs w:val="20"/>
        </w:rPr>
      </w:pPr>
      <w:r>
        <w:rPr>
          <w:sz w:val="19"/>
          <w:szCs w:val="19"/>
        </w:rPr>
        <w:t>3</w:t>
      </w:r>
      <w:r>
        <w:rPr>
          <w:sz w:val="19"/>
          <w:szCs w:val="19"/>
        </w:rPr>
        <w:t>9</w:t>
      </w:r>
    </w:p>
    <w:p w:rsidR="00000000" w:rsidRDefault="003D51DE">
      <w:pPr>
        <w:divId w:val="926618065"/>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3D51DE">
      <w:pPr>
        <w:pStyle w:val="a3"/>
        <w:spacing w:before="0" w:beforeAutospacing="0" w:after="0" w:afterAutospacing="0"/>
        <w:divId w:val="926618065"/>
        <w:rPr>
          <w:sz w:val="20"/>
          <w:szCs w:val="20"/>
        </w:rPr>
      </w:pPr>
      <w:r>
        <w:rPr>
          <w:sz w:val="20"/>
          <w:szCs w:val="20"/>
        </w:rPr>
        <w:t> </w:t>
      </w:r>
    </w:p>
    <w:p w:rsidR="00000000" w:rsidRDefault="003D51DE">
      <w:pPr>
        <w:pStyle w:val="a3"/>
        <w:spacing w:before="180" w:beforeAutospacing="0" w:after="0" w:afterAutospacing="0"/>
        <w:jc w:val="both"/>
        <w:divId w:val="926618065"/>
        <w:rPr>
          <w:sz w:val="20"/>
          <w:szCs w:val="20"/>
        </w:rPr>
      </w:pPr>
      <w:r>
        <w:rPr>
          <w:sz w:val="19"/>
          <w:szCs w:val="19"/>
        </w:rPr>
        <w:t>cash subject to any ru</w:t>
      </w:r>
      <w:r>
        <w:rPr>
          <w:sz w:val="19"/>
          <w:szCs w:val="19"/>
        </w:rPr>
        <w:t xml:space="preserve">les applicable to the dividend that may limit the portion of the dividend the Company is required to pay in cash. If the stockholder is a Plan participant and elects to receive the Cash/Stock Dividend in stock, the stockholder will receive the dividend in </w:t>
      </w:r>
      <w:r>
        <w:rPr>
          <w:sz w:val="19"/>
          <w:szCs w:val="19"/>
        </w:rPr>
        <w:t>newly issued Common Shares. The number of newly issued Common Shares credited to the stockholders' account in either case will be determined by dividing the dollar amount of the dividend (or portion of the dividend to be paid in Common Shares) by the price</w:t>
      </w:r>
      <w:r>
        <w:rPr>
          <w:sz w:val="19"/>
          <w:szCs w:val="19"/>
        </w:rPr>
        <w:t xml:space="preserve"> per Common Share determined in accordance with the Election Forms rather than pursuant to the formula(s) otherwise applicable under the Plan</w:t>
      </w:r>
      <w:r>
        <w:rPr>
          <w:sz w:val="19"/>
          <w:szCs w:val="19"/>
        </w:rPr>
        <w:t>.</w:t>
      </w:r>
    </w:p>
    <w:p w:rsidR="00000000" w:rsidRDefault="003D51DE">
      <w:pPr>
        <w:pStyle w:val="a3"/>
        <w:spacing w:before="180" w:beforeAutospacing="0" w:after="0" w:afterAutospacing="0"/>
        <w:ind w:firstLine="694"/>
        <w:jc w:val="both"/>
        <w:divId w:val="926618065"/>
        <w:rPr>
          <w:sz w:val="20"/>
          <w:szCs w:val="20"/>
        </w:rPr>
      </w:pPr>
      <w:r>
        <w:rPr>
          <w:sz w:val="19"/>
          <w:szCs w:val="19"/>
        </w:rPr>
        <w:t>On November 2, 2021, the Company’s Board authorized the Company to purchase up to a total of</w:t>
      </w:r>
      <w:r>
        <w:rPr>
          <w:sz w:val="19"/>
          <w:szCs w:val="19"/>
        </w:rPr>
        <w:t xml:space="preserve"> </w:t>
      </w:r>
      <w:r>
        <w:rPr>
          <w:sz w:val="19"/>
          <w:szCs w:val="19"/>
        </w:rPr>
        <w:t>8,000,00</w:t>
      </w:r>
      <w:r>
        <w:rPr>
          <w:sz w:val="19"/>
          <w:szCs w:val="19"/>
        </w:rPr>
        <w:t>0</w:t>
      </w:r>
      <w:r>
        <w:rPr>
          <w:sz w:val="19"/>
          <w:szCs w:val="19"/>
        </w:rPr>
        <w:t xml:space="preserve"> shares, ef</w:t>
      </w:r>
      <w:r>
        <w:rPr>
          <w:sz w:val="19"/>
          <w:szCs w:val="19"/>
        </w:rPr>
        <w:t>fective until the earlier of November 2, 2022 or such time that all of the authorized shares have been repurchased (the “Company Repurchase Plan”), in accordance with the guidelines specified in Rule 10b-18 and Rule 10b5-1 of the Securities Exchange Act of</w:t>
      </w:r>
      <w:r>
        <w:rPr>
          <w:sz w:val="19"/>
          <w:szCs w:val="19"/>
        </w:rPr>
        <w:t xml:space="preserve"> 1934 (the “Exchange Act”). As of</w:t>
      </w:r>
      <w:r>
        <w:rPr>
          <w:sz w:val="19"/>
          <w:szCs w:val="19"/>
        </w:rPr>
        <w:t xml:space="preserve"> </w:t>
      </w:r>
      <w:r>
        <w:rPr>
          <w:sz w:val="19"/>
          <w:szCs w:val="19"/>
        </w:rPr>
        <w:t>September 30, 202</w:t>
      </w:r>
      <w:r>
        <w:rPr>
          <w:sz w:val="19"/>
          <w:szCs w:val="19"/>
        </w:rPr>
        <w:t>2</w:t>
      </w:r>
      <w:r>
        <w:rPr>
          <w:sz w:val="19"/>
          <w:szCs w:val="19"/>
        </w:rPr>
        <w:t>,</w:t>
      </w:r>
      <w:r>
        <w:rPr>
          <w:sz w:val="19"/>
          <w:szCs w:val="19"/>
        </w:rPr>
        <w:t xml:space="preserve"> </w:t>
      </w:r>
      <w:r>
        <w:rPr>
          <w:sz w:val="19"/>
          <w:szCs w:val="19"/>
        </w:rPr>
        <w:t>6,916,59</w:t>
      </w:r>
      <w:r>
        <w:rPr>
          <w:sz w:val="19"/>
          <w:szCs w:val="19"/>
        </w:rPr>
        <w:t>2</w:t>
      </w:r>
      <w:r>
        <w:rPr>
          <w:sz w:val="19"/>
          <w:szCs w:val="19"/>
        </w:rPr>
        <w:t xml:space="preserve"> shares remained available for repurchase. On Nove</w:t>
      </w:r>
      <w:r>
        <w:rPr>
          <w:sz w:val="19"/>
          <w:szCs w:val="19"/>
        </w:rPr>
        <w:t>m</w:t>
      </w:r>
      <w:r>
        <w:rPr>
          <w:sz w:val="20"/>
          <w:szCs w:val="20"/>
        </w:rPr>
        <w:t>ber 2, 2022, authorization to repurchase the remaining</w:t>
      </w:r>
      <w:r>
        <w:rPr>
          <w:sz w:val="20"/>
          <w:szCs w:val="20"/>
        </w:rPr>
        <w:t xml:space="preserve"> </w:t>
      </w:r>
      <w:r>
        <w:rPr>
          <w:sz w:val="20"/>
          <w:szCs w:val="20"/>
        </w:rPr>
        <w:t>6,598,26</w:t>
      </w:r>
      <w:r>
        <w:rPr>
          <w:sz w:val="20"/>
          <w:szCs w:val="20"/>
        </w:rPr>
        <w:t>8</w:t>
      </w:r>
      <w:r>
        <w:rPr>
          <w:sz w:val="20"/>
          <w:szCs w:val="20"/>
        </w:rPr>
        <w:t xml:space="preserve"> shares expired. On October 28, 2022, the Company’s Board authorized the Compa</w:t>
      </w:r>
      <w:r>
        <w:rPr>
          <w:sz w:val="20"/>
          <w:szCs w:val="20"/>
        </w:rPr>
        <w:t>ny to purchase up to a total of</w:t>
      </w:r>
      <w:r>
        <w:rPr>
          <w:sz w:val="20"/>
          <w:szCs w:val="20"/>
        </w:rPr>
        <w:t xml:space="preserve"> </w:t>
      </w:r>
      <w:r>
        <w:rPr>
          <w:sz w:val="20"/>
          <w:szCs w:val="20"/>
        </w:rPr>
        <w:t>8,000,00</w:t>
      </w:r>
      <w:r>
        <w:rPr>
          <w:sz w:val="20"/>
          <w:szCs w:val="20"/>
        </w:rPr>
        <w:t>0</w:t>
      </w:r>
      <w:r>
        <w:rPr>
          <w:sz w:val="20"/>
          <w:szCs w:val="20"/>
        </w:rPr>
        <w:t xml:space="preserve"> shares, commencing on November 7, 2022 and effective until the earlier of</w:t>
      </w:r>
      <w:r>
        <w:rPr>
          <w:sz w:val="20"/>
          <w:szCs w:val="20"/>
        </w:rPr>
        <w:t xml:space="preserve"> </w:t>
      </w:r>
      <w:r>
        <w:rPr>
          <w:sz w:val="20"/>
          <w:szCs w:val="20"/>
        </w:rPr>
        <w:t>November 6, 202</w:t>
      </w:r>
      <w:r>
        <w:rPr>
          <w:sz w:val="20"/>
          <w:szCs w:val="20"/>
        </w:rPr>
        <w:t>3</w:t>
      </w:r>
      <w:r>
        <w:rPr>
          <w:sz w:val="20"/>
          <w:szCs w:val="20"/>
        </w:rPr>
        <w:t xml:space="preserve"> or such time that all of the authorized shares have been repurchased, subject to the terms of a share repurchase program, i</w:t>
      </w:r>
      <w:r>
        <w:rPr>
          <w:sz w:val="20"/>
          <w:szCs w:val="20"/>
        </w:rPr>
        <w:t>f in effect</w:t>
      </w:r>
      <w:r>
        <w:rPr>
          <w:sz w:val="20"/>
          <w:szCs w:val="20"/>
        </w:rPr>
        <w:t>.</w:t>
      </w:r>
    </w:p>
    <w:p w:rsidR="00000000" w:rsidRDefault="003D51DE">
      <w:pPr>
        <w:pStyle w:val="a3"/>
        <w:spacing w:before="180" w:beforeAutospacing="0" w:after="120" w:afterAutospacing="0"/>
        <w:ind w:firstLine="702"/>
        <w:jc w:val="both"/>
        <w:divId w:val="712971123"/>
        <w:rPr>
          <w:sz w:val="20"/>
          <w:szCs w:val="20"/>
        </w:rPr>
      </w:pPr>
      <w:r>
        <w:rPr>
          <w:sz w:val="19"/>
          <w:szCs w:val="19"/>
        </w:rPr>
        <w:t>The following table summarizes the total shares repurchased and amounts paid by the Company under the Company Repurchase Plan, including broker fees, for the three and nine months ended</w:t>
      </w:r>
      <w:r>
        <w:rPr>
          <w:sz w:val="19"/>
          <w:szCs w:val="19"/>
        </w:rPr>
        <w:t xml:space="preserve"> </w:t>
      </w:r>
      <w:r>
        <w:rPr>
          <w:sz w:val="19"/>
          <w:szCs w:val="19"/>
        </w:rPr>
        <w:t>September 30, 2022</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1"/>
        <w:gridCol w:w="145"/>
        <w:gridCol w:w="111"/>
        <w:gridCol w:w="1378"/>
        <w:gridCol w:w="110"/>
        <w:gridCol w:w="183"/>
        <w:gridCol w:w="160"/>
        <w:gridCol w:w="1369"/>
        <w:gridCol w:w="110"/>
        <w:gridCol w:w="184"/>
        <w:gridCol w:w="160"/>
        <w:gridCol w:w="1370"/>
        <w:gridCol w:w="125"/>
      </w:tblGrid>
      <w:tr w:rsidR="00000000">
        <w:trPr>
          <w:divId w:val="712971123"/>
          <w:tblCellSpacing w:w="15" w:type="dxa"/>
        </w:trPr>
        <w:tc>
          <w:tcPr>
            <w:tcW w:w="1820" w:type="pct"/>
            <w:vAlign w:val="center"/>
            <w:hideMark/>
          </w:tcPr>
          <w:p w:rsidR="00000000" w:rsidRDefault="003D51DE">
            <w:pPr>
              <w:rPr>
                <w:sz w:val="20"/>
                <w:szCs w:val="20"/>
              </w:rPr>
            </w:pPr>
          </w:p>
        </w:tc>
        <w:tc>
          <w:tcPr>
            <w:tcW w:w="8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6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5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712971123"/>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Shares</w:t>
            </w:r>
            <w:r>
              <w:rPr>
                <w:b/>
                <w:bCs/>
                <w:sz w:val="16"/>
                <w:szCs w:val="16"/>
              </w:rPr>
              <w:br/>
              <w:t>Repurchase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Price Per</w:t>
            </w:r>
            <w:r>
              <w:rPr>
                <w:b/>
                <w:bCs/>
                <w:sz w:val="16"/>
                <w:szCs w:val="16"/>
              </w:rPr>
              <w:br/>
              <w:t>Shar</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Cos</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712971123"/>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Three Months Ende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463,91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3.6</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1,705,87</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712971123"/>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Nine Months Ende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990,30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3.7</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3,732,56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180" w:beforeAutospacing="0" w:after="120" w:afterAutospacing="0"/>
        <w:ind w:firstLine="694"/>
        <w:jc w:val="both"/>
        <w:divId w:val="712971123"/>
        <w:rPr>
          <w:sz w:val="20"/>
          <w:szCs w:val="20"/>
        </w:rPr>
      </w:pPr>
      <w:r>
        <w:rPr>
          <w:sz w:val="19"/>
          <w:szCs w:val="19"/>
        </w:rPr>
        <w:t>The following table summarizes the total shares repurchased and amounts paid by the Company under the Company Repurchase Plan, including broker fees, for the three and nine months ended September 30, 2021</w:t>
      </w:r>
      <w:r>
        <w:rPr>
          <w:sz w:val="19"/>
          <w:szCs w:val="19"/>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04"/>
        <w:gridCol w:w="182"/>
        <w:gridCol w:w="111"/>
        <w:gridCol w:w="1338"/>
        <w:gridCol w:w="110"/>
        <w:gridCol w:w="182"/>
        <w:gridCol w:w="160"/>
        <w:gridCol w:w="1371"/>
        <w:gridCol w:w="110"/>
        <w:gridCol w:w="182"/>
        <w:gridCol w:w="160"/>
        <w:gridCol w:w="1371"/>
        <w:gridCol w:w="125"/>
      </w:tblGrid>
      <w:tr w:rsidR="00000000">
        <w:trPr>
          <w:divId w:val="712971123"/>
          <w:tblCellSpacing w:w="15" w:type="dxa"/>
        </w:trPr>
        <w:tc>
          <w:tcPr>
            <w:tcW w:w="1821" w:type="pct"/>
            <w:vAlign w:val="center"/>
            <w:hideMark/>
          </w:tcPr>
          <w:p w:rsidR="00000000" w:rsidRDefault="003D51DE">
            <w:pPr>
              <w:rPr>
                <w:sz w:val="20"/>
                <w:szCs w:val="20"/>
              </w:rPr>
            </w:pPr>
          </w:p>
        </w:tc>
        <w:tc>
          <w:tcPr>
            <w:tcW w:w="1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3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712971123"/>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Shares</w:t>
            </w:r>
            <w:r>
              <w:rPr>
                <w:b/>
                <w:bCs/>
                <w:sz w:val="16"/>
                <w:szCs w:val="16"/>
              </w:rPr>
              <w:br/>
            </w:r>
            <w:r>
              <w:rPr>
                <w:b/>
                <w:bCs/>
                <w:sz w:val="16"/>
                <w:szCs w:val="16"/>
              </w:rPr>
              <w:t>Repurchase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Price Per</w:t>
            </w:r>
            <w:r>
              <w:rPr>
                <w:b/>
                <w:bCs/>
                <w:sz w:val="16"/>
                <w:szCs w:val="16"/>
              </w:rPr>
              <w:br/>
              <w:t>Shar</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Cos</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712971123"/>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Three Months Ende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133,03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532,28</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712971123"/>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Nine Months Ende</w:t>
            </w:r>
            <w:r>
              <w:rPr>
                <w:sz w:val="20"/>
                <w:szCs w:val="20"/>
              </w:rPr>
              <w:t>d</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470,04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3.6</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1,703,71</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spacing w:before="180" w:beforeAutospacing="0" w:after="0" w:afterAutospacing="0"/>
        <w:ind w:firstLine="694"/>
        <w:jc w:val="both"/>
        <w:divId w:val="926618065"/>
        <w:rPr>
          <w:sz w:val="20"/>
          <w:szCs w:val="20"/>
        </w:rPr>
      </w:pPr>
      <w:r>
        <w:rPr>
          <w:sz w:val="19"/>
          <w:szCs w:val="19"/>
        </w:rPr>
        <w:t>Since inception of the original repurchase plan through September 30, 202</w:t>
      </w:r>
      <w:r>
        <w:rPr>
          <w:sz w:val="19"/>
          <w:szCs w:val="19"/>
        </w:rPr>
        <w:t>2</w:t>
      </w:r>
      <w:r>
        <w:rPr>
          <w:sz w:val="19"/>
          <w:szCs w:val="19"/>
        </w:rPr>
        <w:t>, the Company has purchased</w:t>
      </w:r>
      <w:r>
        <w:rPr>
          <w:sz w:val="19"/>
          <w:szCs w:val="19"/>
        </w:rPr>
        <w:t xml:space="preserve"> </w:t>
      </w:r>
      <w:r>
        <w:rPr>
          <w:sz w:val="19"/>
          <w:szCs w:val="19"/>
        </w:rPr>
        <w:t>11,591,56</w:t>
      </w:r>
      <w:r>
        <w:rPr>
          <w:sz w:val="19"/>
          <w:szCs w:val="19"/>
        </w:rPr>
        <w:t>6</w:t>
      </w:r>
      <w:r>
        <w:rPr>
          <w:sz w:val="19"/>
          <w:szCs w:val="19"/>
        </w:rPr>
        <w:t xml:space="preserve"> shares of its common stock on the open market for </w:t>
      </w:r>
      <w:r>
        <w:rPr>
          <w:sz w:val="19"/>
          <w:szCs w:val="19"/>
        </w:rPr>
        <w:t>$</w:t>
      </w:r>
      <w:r>
        <w:rPr>
          <w:sz w:val="19"/>
          <w:szCs w:val="19"/>
        </w:rPr>
        <w:t>72,221,95</w:t>
      </w:r>
      <w:r>
        <w:rPr>
          <w:sz w:val="19"/>
          <w:szCs w:val="19"/>
        </w:rPr>
        <w:t>2</w:t>
      </w:r>
      <w:r>
        <w:rPr>
          <w:sz w:val="19"/>
          <w:szCs w:val="19"/>
        </w:rPr>
        <w:t>, including brokerage commissions through the repurchase plan. The Company current</w:t>
      </w:r>
      <w:r>
        <w:rPr>
          <w:sz w:val="19"/>
          <w:szCs w:val="19"/>
        </w:rPr>
        <w:t>ly holds the shares it repurchased in treasury stock</w:t>
      </w:r>
      <w:r>
        <w:rPr>
          <w:sz w:val="19"/>
          <w:szCs w:val="19"/>
        </w:rPr>
        <w:t>.</w:t>
      </w:r>
    </w:p>
    <w:p w:rsidR="00000000" w:rsidRDefault="003D51DE">
      <w:pPr>
        <w:pStyle w:val="a3"/>
        <w:spacing w:before="240" w:beforeAutospacing="0" w:after="0" w:afterAutospacing="0"/>
        <w:jc w:val="both"/>
        <w:divId w:val="936449180"/>
        <w:rPr>
          <w:sz w:val="20"/>
          <w:szCs w:val="20"/>
        </w:rPr>
      </w:pPr>
      <w:r>
        <w:rPr>
          <w:b/>
          <w:bCs/>
          <w:sz w:val="19"/>
          <w:szCs w:val="19"/>
        </w:rPr>
        <w:t>8. Earnings per shar</w:t>
      </w:r>
      <w:r>
        <w:rPr>
          <w:b/>
          <w:bCs/>
          <w:sz w:val="19"/>
          <w:szCs w:val="19"/>
        </w:rPr>
        <w:t>e</w:t>
      </w:r>
      <w:r>
        <w:rPr>
          <w:b/>
          <w:bCs/>
          <w:sz w:val="19"/>
          <w:szCs w:val="19"/>
        </w:rPr>
        <w:t xml:space="preserve"> </w:t>
      </w:r>
    </w:p>
    <w:p w:rsidR="00000000" w:rsidRDefault="003D51DE">
      <w:pPr>
        <w:pStyle w:val="a3"/>
        <w:spacing w:before="240" w:beforeAutospacing="0" w:after="0" w:afterAutospacing="0"/>
        <w:ind w:firstLine="694"/>
        <w:jc w:val="both"/>
        <w:divId w:val="1032462817"/>
        <w:rPr>
          <w:sz w:val="20"/>
          <w:szCs w:val="20"/>
        </w:rPr>
      </w:pPr>
      <w:r>
        <w:rPr>
          <w:sz w:val="19"/>
          <w:szCs w:val="19"/>
        </w:rPr>
        <w:t>The following information sets forth the computation of basic and diluted net increase in net assets from operations per share (earnings per share) for the three and nine months e</w:t>
      </w:r>
      <w:r>
        <w:rPr>
          <w:sz w:val="19"/>
          <w:szCs w:val="19"/>
        </w:rPr>
        <w:t>nded</w:t>
      </w:r>
      <w:r>
        <w:rPr>
          <w:sz w:val="19"/>
          <w:szCs w:val="19"/>
        </w:rPr>
        <w:t xml:space="preserve"> </w:t>
      </w:r>
      <w:r>
        <w:rPr>
          <w:sz w:val="19"/>
          <w:szCs w:val="19"/>
        </w:rPr>
        <w:t>September 30, 2022 and 2021</w:t>
      </w:r>
      <w:r>
        <w:rPr>
          <w:sz w:val="19"/>
          <w:szCs w:val="19"/>
        </w:rPr>
        <w:t>.</w:t>
      </w:r>
      <w:r>
        <w:rPr>
          <w:sz w:val="19"/>
          <w:szCs w:val="19"/>
        </w:rPr>
        <w:t xml:space="preserve"> </w:t>
      </w:r>
    </w:p>
    <w:p w:rsidR="00000000" w:rsidRDefault="003D51DE">
      <w:pPr>
        <w:pStyle w:val="a3"/>
        <w:spacing w:before="0" w:beforeAutospacing="0" w:after="0" w:afterAutospacing="0"/>
        <w:jc w:val="both"/>
        <w:divId w:val="103246281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1"/>
        <w:gridCol w:w="105"/>
        <w:gridCol w:w="150"/>
        <w:gridCol w:w="870"/>
        <w:gridCol w:w="105"/>
        <w:gridCol w:w="105"/>
        <w:gridCol w:w="150"/>
        <w:gridCol w:w="870"/>
        <w:gridCol w:w="105"/>
        <w:gridCol w:w="105"/>
        <w:gridCol w:w="150"/>
        <w:gridCol w:w="870"/>
        <w:gridCol w:w="105"/>
        <w:gridCol w:w="105"/>
        <w:gridCol w:w="150"/>
        <w:gridCol w:w="870"/>
        <w:gridCol w:w="120"/>
      </w:tblGrid>
      <w:tr w:rsidR="00000000">
        <w:trPr>
          <w:divId w:val="1032462817"/>
          <w:tblCellSpacing w:w="15" w:type="dxa"/>
        </w:trPr>
        <w:tc>
          <w:tcPr>
            <w:tcW w:w="2406"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032462817"/>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032462817"/>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Earnings per share – basic</w:t>
            </w:r>
            <w:r>
              <w:rPr>
                <w:b/>
                <w:bCs/>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increase in net assets resulting from operation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5,607,21</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11,602,29</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8,589,42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59,829,02</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Weighted average shares outstanding – basi</w:t>
            </w:r>
            <w:r>
              <w:rPr>
                <w:sz w:val="18"/>
                <w:szCs w:val="18"/>
              </w:rPr>
              <w:t>c</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73,170,32</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74,081,69</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73,551,05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74,221,55</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Earnings per share – basi</w:t>
            </w:r>
            <w:r>
              <w:rPr>
                <w:b/>
                <w:bCs/>
                <w:sz w:val="18"/>
                <w:szCs w:val="18"/>
              </w:rPr>
              <w:t>c</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0.0</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0.1</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0.1</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0.8</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Earnings per share – diluted</w:t>
            </w:r>
            <w:r>
              <w:rPr>
                <w:b/>
                <w:bCs/>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increase in net assets resulting from operations, before adjustment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5,607,21</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11,602,29</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8,589,42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59,829,02</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Adjustments for interest on unsecured convertible senior note</w:t>
            </w:r>
            <w:r>
              <w:rPr>
                <w:sz w:val="18"/>
                <w:szCs w:val="18"/>
              </w:rPr>
              <w:t>s</w:t>
            </w:r>
            <w:r>
              <w:rPr>
                <w:sz w:val="12"/>
                <w:szCs w:val="12"/>
              </w:rPr>
              <w:t>(1</w:t>
            </w:r>
            <w:r>
              <w:rPr>
                <w:sz w:val="12"/>
                <w:szCs w:val="12"/>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2,270,86</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6,792,79</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sz w:val="18"/>
                <w:szCs w:val="18"/>
              </w:rPr>
              <w:t>Net increase in net assets resulting from operations, as adjuste</w:t>
            </w:r>
            <w:r>
              <w:rPr>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5,607,21</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13,873,16</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8,589,42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66,621,81</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Weighted average shares outstanding – dilute</w:t>
            </w:r>
            <w:r>
              <w:rPr>
                <w:sz w:val="18"/>
                <w:szCs w:val="18"/>
              </w:rPr>
              <w:t>d</w:t>
            </w:r>
            <w:r>
              <w:rPr>
                <w:sz w:val="12"/>
                <w:szCs w:val="12"/>
              </w:rPr>
              <w:t>(1</w:t>
            </w:r>
            <w:r>
              <w:rPr>
                <w:sz w:val="12"/>
                <w:szCs w:val="12"/>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73,170,32</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91,075,43</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73,551,05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91,215,28</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divId w:val="1032462817"/>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Earnings per share – dilute</w:t>
            </w:r>
            <w:r>
              <w:rPr>
                <w:b/>
                <w:bCs/>
                <w:sz w:val="18"/>
                <w:szCs w:val="18"/>
              </w:rPr>
              <w:t>d</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0.0</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0.1</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0.1</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8"/>
                <w:szCs w:val="18"/>
              </w:rPr>
              <w:t>0.7</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pBdr>
          <w:bottom w:val="single" w:sz="4" w:space="1" w:color="auto"/>
        </w:pBdr>
        <w:spacing w:before="0" w:beforeAutospacing="0" w:after="0" w:afterAutospacing="0"/>
        <w:ind w:right="8691"/>
        <w:divId w:val="1032462817"/>
        <w:rPr>
          <w:sz w:val="20"/>
          <w:szCs w:val="20"/>
        </w:rPr>
      </w:pPr>
      <w:r>
        <w:rPr>
          <w:sz w:val="20"/>
          <w:szCs w:val="20"/>
        </w:rPr>
        <w:t> </w:t>
      </w:r>
    </w:p>
    <w:p w:rsidR="00000000" w:rsidRDefault="003D51DE">
      <w:pPr>
        <w:jc w:val="both"/>
        <w:divId w:val="1370838097"/>
        <w:rPr>
          <w:rFonts w:eastAsia="Times New Roman"/>
          <w:sz w:val="20"/>
          <w:szCs w:val="20"/>
        </w:rPr>
      </w:pPr>
      <w:r>
        <w:rPr>
          <w:rFonts w:eastAsia="Times New Roman"/>
          <w:sz w:val="16"/>
          <w:szCs w:val="16"/>
          <w:vertAlign w:val="superscript"/>
        </w:rPr>
        <w:t>(1</w:t>
      </w:r>
      <w:r>
        <w:rPr>
          <w:rFonts w:eastAsia="Times New Roman"/>
          <w:sz w:val="16"/>
          <w:szCs w:val="16"/>
          <w:vertAlign w:val="superscript"/>
        </w:rPr>
        <w:t>)</w:t>
      </w:r>
    </w:p>
    <w:p w:rsidR="00000000" w:rsidRDefault="003D51DE">
      <w:pPr>
        <w:jc w:val="both"/>
        <w:divId w:val="152648583"/>
        <w:rPr>
          <w:rFonts w:eastAsia="Times New Roman"/>
          <w:sz w:val="20"/>
          <w:szCs w:val="20"/>
        </w:rPr>
      </w:pPr>
      <w:r>
        <w:rPr>
          <w:rFonts w:eastAsia="Times New Roman"/>
          <w:sz w:val="16"/>
          <w:szCs w:val="16"/>
        </w:rPr>
        <w:t>The Company’</w:t>
      </w:r>
      <w:r>
        <w:rPr>
          <w:rFonts w:eastAsia="Times New Roman"/>
          <w:sz w:val="16"/>
          <w:szCs w:val="16"/>
        </w:rPr>
        <w:t>s 2022 Convertible Notes were repaid on their June 15, 2022 maturity (see Note 4). No adjustments for interest or incremental shares were included for the nine month period ended September 30, 2022 because the effect would be antidilutiv</w:t>
      </w:r>
      <w:r>
        <w:rPr>
          <w:rFonts w:eastAsia="Times New Roman"/>
          <w:sz w:val="16"/>
          <w:szCs w:val="16"/>
        </w:rPr>
        <w:t>e</w:t>
      </w:r>
      <w:r>
        <w:rPr>
          <w:rFonts w:eastAsia="Times New Roman"/>
          <w:sz w:val="16"/>
          <w:szCs w:val="16"/>
        </w:rPr>
        <w:t>.</w:t>
      </w:r>
    </w:p>
    <w:p w:rsidR="00000000" w:rsidRDefault="003D51DE">
      <w:pPr>
        <w:pStyle w:val="a3"/>
        <w:spacing w:before="180" w:beforeAutospacing="0" w:after="0" w:afterAutospacing="0"/>
        <w:ind w:firstLine="702"/>
        <w:jc w:val="both"/>
        <w:divId w:val="936449180"/>
        <w:rPr>
          <w:sz w:val="20"/>
          <w:szCs w:val="20"/>
        </w:rPr>
      </w:pPr>
      <w:r>
        <w:rPr>
          <w:sz w:val="19"/>
          <w:szCs w:val="19"/>
        </w:rPr>
        <w:t>Diluted earnings</w:t>
      </w:r>
      <w:r>
        <w:rPr>
          <w:sz w:val="19"/>
          <w:szCs w:val="19"/>
        </w:rPr>
        <w:t xml:space="preserve"> per share is computed using the if-converted method, which assumes conversion of convertible securities at the beginning of the reporting period and is intended to show the maximum dilution effect to common stockholders regardless of how the conversion ca</w:t>
      </w:r>
      <w:r>
        <w:rPr>
          <w:sz w:val="19"/>
          <w:szCs w:val="19"/>
        </w:rPr>
        <w:t>n occur</w:t>
      </w:r>
      <w:r>
        <w:rPr>
          <w:sz w:val="19"/>
          <w:szCs w:val="19"/>
        </w:rPr>
        <w:t>.</w:t>
      </w:r>
      <w:r>
        <w:rPr>
          <w:sz w:val="19"/>
          <w:szCs w:val="19"/>
        </w:rPr>
        <w:t xml:space="preserve"> </w:t>
      </w:r>
    </w:p>
    <w:p w:rsidR="00000000" w:rsidRDefault="003D51DE">
      <w:pPr>
        <w:pStyle w:val="a3"/>
        <w:spacing w:before="240" w:beforeAutospacing="0" w:after="0" w:afterAutospacing="0"/>
        <w:jc w:val="both"/>
        <w:divId w:val="1093550386"/>
        <w:rPr>
          <w:sz w:val="20"/>
          <w:szCs w:val="20"/>
        </w:rPr>
      </w:pPr>
      <w:r>
        <w:rPr>
          <w:b/>
          <w:bCs/>
          <w:sz w:val="19"/>
          <w:szCs w:val="19"/>
        </w:rPr>
        <w:t>9. Commitments and contingencie</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divId w:val="1093550386"/>
        <w:rPr>
          <w:sz w:val="20"/>
          <w:szCs w:val="20"/>
        </w:rPr>
      </w:pPr>
      <w:r>
        <w:rPr>
          <w:sz w:val="19"/>
          <w:szCs w:val="19"/>
        </w:rPr>
        <w:t xml:space="preserve">In the normal course of business, the Company may enter into guarantees on behalf of portfolio companies. Under these arrangements, the Company would be required to make payments to third parties if the portfolio companies were to default on their related </w:t>
      </w:r>
      <w:r>
        <w:rPr>
          <w:sz w:val="19"/>
          <w:szCs w:val="19"/>
        </w:rPr>
        <w:t>payment obligations. There were</w:t>
      </w:r>
      <w:r>
        <w:rPr>
          <w:sz w:val="19"/>
          <w:szCs w:val="19"/>
        </w:rPr>
        <w:t xml:space="preserve"> </w:t>
      </w:r>
      <w:r>
        <w:rPr>
          <w:sz w:val="19"/>
          <w:szCs w:val="19"/>
        </w:rPr>
        <w:t>n</w:t>
      </w:r>
      <w:r>
        <w:rPr>
          <w:sz w:val="19"/>
          <w:szCs w:val="19"/>
        </w:rPr>
        <w:t>o</w:t>
      </w:r>
      <w:r>
        <w:rPr>
          <w:sz w:val="19"/>
          <w:szCs w:val="19"/>
        </w:rPr>
        <w:t xml:space="preserve"> such guarantees outstanding at</w:t>
      </w:r>
      <w:r>
        <w:rPr>
          <w:sz w:val="19"/>
          <w:szCs w:val="19"/>
        </w:rPr>
        <w:t xml:space="preserve"> </w:t>
      </w:r>
      <w:r>
        <w:rPr>
          <w:sz w:val="19"/>
          <w:szCs w:val="19"/>
        </w:rPr>
        <w:t>September 30, 2022 and December 31, 2021. In addition, from time to time, th</w:t>
      </w:r>
      <w:r>
        <w:rPr>
          <w:sz w:val="19"/>
          <w:szCs w:val="19"/>
        </w:rPr>
        <w:t>e</w:t>
      </w:r>
      <w:r>
        <w:rPr>
          <w:sz w:val="19"/>
          <w:szCs w:val="19"/>
        </w:rPr>
        <w:t xml:space="preserve"> </w:t>
      </w:r>
    </w:p>
    <w:p w:rsidR="00000000" w:rsidRDefault="003D51DE">
      <w:pPr>
        <w:pStyle w:val="a3"/>
        <w:spacing w:before="0" w:beforeAutospacing="0" w:after="0" w:afterAutospacing="0"/>
        <w:jc w:val="center"/>
        <w:divId w:val="1093550386"/>
        <w:rPr>
          <w:sz w:val="20"/>
          <w:szCs w:val="20"/>
        </w:rPr>
      </w:pPr>
      <w:r>
        <w:rPr>
          <w:sz w:val="20"/>
          <w:szCs w:val="20"/>
        </w:rPr>
        <w:t> </w:t>
      </w:r>
    </w:p>
    <w:p w:rsidR="00000000" w:rsidRDefault="003D51DE">
      <w:pPr>
        <w:pStyle w:val="a3"/>
        <w:spacing w:before="0" w:beforeAutospacing="0" w:after="0" w:afterAutospacing="0"/>
        <w:jc w:val="center"/>
        <w:divId w:val="1093550386"/>
        <w:rPr>
          <w:sz w:val="20"/>
          <w:szCs w:val="20"/>
        </w:rPr>
      </w:pPr>
      <w:r>
        <w:rPr>
          <w:sz w:val="19"/>
          <w:szCs w:val="19"/>
        </w:rPr>
        <w:t>4</w:t>
      </w:r>
      <w:r>
        <w:rPr>
          <w:sz w:val="19"/>
          <w:szCs w:val="19"/>
        </w:rPr>
        <w:t>0</w:t>
      </w:r>
    </w:p>
    <w:p w:rsidR="00000000" w:rsidRDefault="003D51DE">
      <w:pPr>
        <w:divId w:val="1093550386"/>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3D51DE">
      <w:pPr>
        <w:pStyle w:val="a3"/>
        <w:spacing w:before="0" w:beforeAutospacing="0" w:after="0" w:afterAutospacing="0"/>
        <w:divId w:val="1093550386"/>
        <w:rPr>
          <w:sz w:val="20"/>
          <w:szCs w:val="20"/>
        </w:rPr>
      </w:pPr>
      <w:r>
        <w:rPr>
          <w:sz w:val="20"/>
          <w:szCs w:val="20"/>
        </w:rPr>
        <w:t> </w:t>
      </w:r>
    </w:p>
    <w:p w:rsidR="00000000" w:rsidRDefault="003D51DE">
      <w:pPr>
        <w:pStyle w:val="a3"/>
        <w:spacing w:before="240" w:beforeAutospacing="0" w:after="0" w:afterAutospacing="0"/>
        <w:jc w:val="both"/>
        <w:divId w:val="1093550386"/>
        <w:rPr>
          <w:sz w:val="20"/>
          <w:szCs w:val="20"/>
        </w:rPr>
      </w:pPr>
      <w:r>
        <w:rPr>
          <w:sz w:val="19"/>
          <w:szCs w:val="19"/>
        </w:rPr>
        <w:t>Company may provide for a commitment to a portfolio company for inve</w:t>
      </w:r>
      <w:r>
        <w:rPr>
          <w:sz w:val="19"/>
          <w:szCs w:val="19"/>
        </w:rPr>
        <w:t>stment in an existing or new security. At September 30, 2022 and December 31, 202</w:t>
      </w:r>
      <w:r>
        <w:rPr>
          <w:sz w:val="19"/>
          <w:szCs w:val="19"/>
        </w:rPr>
        <w:t>1</w:t>
      </w:r>
      <w:r>
        <w:rPr>
          <w:sz w:val="19"/>
          <w:szCs w:val="19"/>
        </w:rPr>
        <w:t xml:space="preserve">, the Company had unfunded commitments of </w:t>
      </w:r>
      <w:r>
        <w:rPr>
          <w:sz w:val="19"/>
          <w:szCs w:val="19"/>
        </w:rPr>
        <w:t>$</w:t>
      </w:r>
      <w:r>
        <w:rPr>
          <w:sz w:val="19"/>
          <w:szCs w:val="19"/>
        </w:rPr>
        <w:t>70.</w:t>
      </w:r>
      <w:r>
        <w:rPr>
          <w:sz w:val="19"/>
          <w:szCs w:val="19"/>
        </w:rPr>
        <w:t>9</w:t>
      </w:r>
      <w:r>
        <w:rPr>
          <w:sz w:val="19"/>
          <w:szCs w:val="19"/>
        </w:rPr>
        <w:t xml:space="preserve"> million across</w:t>
      </w:r>
      <w:r>
        <w:rPr>
          <w:sz w:val="19"/>
          <w:szCs w:val="19"/>
        </w:rPr>
        <w:t xml:space="preserve"> </w:t>
      </w:r>
      <w:r>
        <w:rPr>
          <w:sz w:val="19"/>
          <w:szCs w:val="19"/>
        </w:rPr>
        <w:t>4</w:t>
      </w:r>
      <w:r>
        <w:rPr>
          <w:sz w:val="19"/>
          <w:szCs w:val="19"/>
        </w:rPr>
        <w:t>7</w:t>
      </w:r>
      <w:r>
        <w:rPr>
          <w:sz w:val="19"/>
          <w:szCs w:val="19"/>
        </w:rPr>
        <w:t xml:space="preserve"> portfolio companies and </w:t>
      </w:r>
      <w:r>
        <w:rPr>
          <w:sz w:val="19"/>
          <w:szCs w:val="19"/>
        </w:rPr>
        <w:t>$</w:t>
      </w:r>
      <w:r>
        <w:rPr>
          <w:sz w:val="19"/>
          <w:szCs w:val="19"/>
        </w:rPr>
        <w:t>49.</w:t>
      </w:r>
      <w:r>
        <w:rPr>
          <w:sz w:val="19"/>
          <w:szCs w:val="19"/>
        </w:rPr>
        <w:t>4</w:t>
      </w:r>
      <w:r>
        <w:rPr>
          <w:sz w:val="19"/>
          <w:szCs w:val="19"/>
        </w:rPr>
        <w:t xml:space="preserve"> million across</w:t>
      </w:r>
      <w:r>
        <w:rPr>
          <w:sz w:val="19"/>
          <w:szCs w:val="19"/>
        </w:rPr>
        <w:t xml:space="preserve"> </w:t>
      </w:r>
      <w:r>
        <w:rPr>
          <w:sz w:val="19"/>
          <w:szCs w:val="19"/>
        </w:rPr>
        <w:t>3</w:t>
      </w:r>
      <w:r>
        <w:rPr>
          <w:sz w:val="19"/>
          <w:szCs w:val="19"/>
        </w:rPr>
        <w:t>5</w:t>
      </w:r>
      <w:r>
        <w:rPr>
          <w:sz w:val="19"/>
          <w:szCs w:val="19"/>
        </w:rPr>
        <w:t xml:space="preserve"> portfolio companies, respectively. The aggregate fair value </w:t>
      </w:r>
      <w:r>
        <w:rPr>
          <w:sz w:val="19"/>
          <w:szCs w:val="19"/>
        </w:rPr>
        <w:t>of unfunded commitments at</w:t>
      </w:r>
      <w:r>
        <w:rPr>
          <w:sz w:val="19"/>
          <w:szCs w:val="19"/>
        </w:rPr>
        <w:t xml:space="preserve"> </w:t>
      </w:r>
      <w:r>
        <w:rPr>
          <w:sz w:val="19"/>
          <w:szCs w:val="19"/>
        </w:rPr>
        <w:t>September 30, 2022 and December 31, 202</w:t>
      </w:r>
      <w:r>
        <w:rPr>
          <w:sz w:val="19"/>
          <w:szCs w:val="19"/>
        </w:rPr>
        <w:t>1</w:t>
      </w:r>
      <w:r>
        <w:rPr>
          <w:sz w:val="19"/>
          <w:szCs w:val="19"/>
        </w:rPr>
        <w:t xml:space="preserve"> was </w:t>
      </w:r>
      <w:r>
        <w:rPr>
          <w:sz w:val="19"/>
          <w:szCs w:val="19"/>
        </w:rPr>
        <w:t>$</w:t>
      </w:r>
      <w:r>
        <w:rPr>
          <w:sz w:val="19"/>
          <w:szCs w:val="19"/>
        </w:rPr>
        <w:t>69.</w:t>
      </w:r>
      <w:r>
        <w:rPr>
          <w:sz w:val="19"/>
          <w:szCs w:val="19"/>
        </w:rPr>
        <w:t>1</w:t>
      </w:r>
      <w:r>
        <w:rPr>
          <w:sz w:val="19"/>
          <w:szCs w:val="19"/>
        </w:rPr>
        <w:t xml:space="preserve"> million and </w:t>
      </w:r>
      <w:r>
        <w:rPr>
          <w:sz w:val="19"/>
          <w:szCs w:val="19"/>
        </w:rPr>
        <w:t>$</w:t>
      </w:r>
      <w:r>
        <w:rPr>
          <w:sz w:val="19"/>
          <w:szCs w:val="19"/>
        </w:rPr>
        <w:t>49.</w:t>
      </w:r>
      <w:r>
        <w:rPr>
          <w:sz w:val="19"/>
          <w:szCs w:val="19"/>
        </w:rPr>
        <w:t>1</w:t>
      </w:r>
      <w:r>
        <w:rPr>
          <w:sz w:val="19"/>
          <w:szCs w:val="19"/>
        </w:rPr>
        <w:t xml:space="preserve"> million, respectively. We maintain sufficient cash on hand and available borrowings to fund such unfunded commitments should the need arise</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1093550386"/>
        <w:rPr>
          <w:sz w:val="20"/>
          <w:szCs w:val="20"/>
        </w:rPr>
      </w:pPr>
      <w:r>
        <w:rPr>
          <w:sz w:val="19"/>
          <w:szCs w:val="19"/>
        </w:rPr>
        <w:t>In the normal cour</w:t>
      </w:r>
      <w:r>
        <w:rPr>
          <w:sz w:val="19"/>
          <w:szCs w:val="19"/>
        </w:rPr>
        <w:t>se of business, the Company enters into contractual agreements that provide general indemnifications against losses, costs, claims and liabilities arising from the performance of individual obligations under such agreements. The Company’s individual maximu</w:t>
      </w:r>
      <w:r>
        <w:rPr>
          <w:sz w:val="19"/>
          <w:szCs w:val="19"/>
        </w:rPr>
        <w:t>m exposure under these arrangements is unknown, as this would involve future claims that may be made against the Company that have not yet occurred. However, based on management’s experience, the Company expects the risk of loss to be remote</w:t>
      </w:r>
      <w:r>
        <w:rPr>
          <w:sz w:val="19"/>
          <w:szCs w:val="19"/>
        </w:rPr>
        <w:t>.</w:t>
      </w:r>
    </w:p>
    <w:p w:rsidR="00000000" w:rsidRDefault="003D51DE">
      <w:pPr>
        <w:pStyle w:val="a3"/>
        <w:spacing w:before="180" w:beforeAutospacing="0" w:after="0" w:afterAutospacing="0"/>
        <w:ind w:firstLine="702"/>
        <w:jc w:val="both"/>
        <w:divId w:val="1093550386"/>
        <w:rPr>
          <w:sz w:val="20"/>
          <w:szCs w:val="20"/>
        </w:rPr>
      </w:pPr>
      <w:r>
        <w:rPr>
          <w:sz w:val="19"/>
          <w:szCs w:val="19"/>
        </w:rPr>
        <w:t xml:space="preserve">From time to </w:t>
      </w:r>
      <w:r>
        <w:rPr>
          <w:sz w:val="19"/>
          <w:szCs w:val="19"/>
        </w:rPr>
        <w:t>time, the Company and the Advisor may be a party to certain legal proceedings incidental to the normal course of its business, including the enforcement of its rights under contracts with our portfolio companies. Further, third parties may try to seek to i</w:t>
      </w:r>
      <w:r>
        <w:rPr>
          <w:sz w:val="19"/>
          <w:szCs w:val="19"/>
        </w:rPr>
        <w:t xml:space="preserve">mpose liability on the Company in connection with the activities of its portfolio companies. While the Company cannot predict the outcome of these legal proceedings with certainty, we do not expect that these proceedings will have a material effect on its </w:t>
      </w:r>
      <w:r>
        <w:rPr>
          <w:sz w:val="19"/>
          <w:szCs w:val="19"/>
        </w:rPr>
        <w:t>consolidated financial statements</w:t>
      </w:r>
      <w:r>
        <w:rPr>
          <w:sz w:val="19"/>
          <w:szCs w:val="19"/>
        </w:rPr>
        <w:t>.</w:t>
      </w:r>
      <w:r>
        <w:rPr>
          <w:sz w:val="19"/>
          <w:szCs w:val="19"/>
        </w:rPr>
        <w:t xml:space="preserve"> </w:t>
      </w:r>
    </w:p>
    <w:p w:rsidR="00000000" w:rsidRDefault="003D51DE">
      <w:pPr>
        <w:pStyle w:val="a3"/>
        <w:spacing w:before="240" w:beforeAutospacing="0" w:after="0" w:afterAutospacing="0"/>
        <w:jc w:val="both"/>
        <w:divId w:val="334579785"/>
        <w:rPr>
          <w:sz w:val="20"/>
          <w:szCs w:val="20"/>
        </w:rPr>
      </w:pPr>
      <w:r>
        <w:rPr>
          <w:b/>
          <w:bCs/>
          <w:sz w:val="19"/>
          <w:szCs w:val="19"/>
        </w:rPr>
        <w:t>10. Financial highlight</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divId w:val="1605531453"/>
        <w:rPr>
          <w:sz w:val="20"/>
          <w:szCs w:val="20"/>
        </w:rPr>
      </w:pPr>
      <w:r>
        <w:rPr>
          <w:sz w:val="19"/>
          <w:szCs w:val="19"/>
        </w:rPr>
        <w:t>The following per share data and ratios have been derived from information provided in the consolidated financial statements. The following is a schedule of financial highlights for a common sha</w:t>
      </w:r>
      <w:r>
        <w:rPr>
          <w:sz w:val="19"/>
          <w:szCs w:val="19"/>
        </w:rPr>
        <w:t>re outstanding for the nine months ended</w:t>
      </w:r>
      <w:r>
        <w:rPr>
          <w:sz w:val="19"/>
          <w:szCs w:val="19"/>
        </w:rPr>
        <w:t xml:space="preserve"> </w:t>
      </w:r>
      <w:r>
        <w:rPr>
          <w:sz w:val="19"/>
          <w:szCs w:val="19"/>
        </w:rPr>
        <w:t>September 30, 2022 and 2021</w:t>
      </w:r>
      <w:r>
        <w:rPr>
          <w:sz w:val="19"/>
          <w:szCs w:val="19"/>
        </w:rPr>
        <w:t>:</w:t>
      </w:r>
      <w:r>
        <w:rPr>
          <w:sz w:val="19"/>
          <w:szCs w:val="19"/>
        </w:rPr>
        <w:t xml:space="preserve"> </w:t>
      </w:r>
    </w:p>
    <w:p w:rsidR="00000000" w:rsidRDefault="003D51DE">
      <w:pPr>
        <w:pStyle w:val="a3"/>
        <w:spacing w:before="0" w:beforeAutospacing="0" w:after="0" w:afterAutospacing="0"/>
        <w:jc w:val="both"/>
        <w:divId w:val="160553145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1"/>
        <w:gridCol w:w="100"/>
        <w:gridCol w:w="140"/>
        <w:gridCol w:w="1023"/>
        <w:gridCol w:w="247"/>
        <w:gridCol w:w="100"/>
        <w:gridCol w:w="140"/>
        <w:gridCol w:w="1036"/>
        <w:gridCol w:w="209"/>
      </w:tblGrid>
      <w:tr w:rsidR="00000000">
        <w:trPr>
          <w:divId w:val="1605531453"/>
          <w:tblCellSpacing w:w="15" w:type="dxa"/>
        </w:trPr>
        <w:tc>
          <w:tcPr>
            <w:tcW w:w="3323"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Per Share Data</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Net asset value, beginning of perio</w:t>
            </w:r>
            <w:r>
              <w:rPr>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4.7</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4.2</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Investment Operations</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Net investment income, before incentive fee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0.2</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0.2</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Incentive fee</w:t>
            </w:r>
            <w:r>
              <w:rPr>
                <w:sz w:val="16"/>
                <w:szCs w:val="16"/>
              </w:rPr>
              <w:t>s</w:t>
            </w:r>
            <w:r>
              <w:rPr>
                <w:sz w:val="11"/>
                <w:szCs w:val="11"/>
              </w:rPr>
              <w:t>(1</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0.0</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r>
              <w:rPr>
                <w:sz w:val="16"/>
                <w:szCs w:val="16"/>
              </w:rPr>
              <w:t>Net investment incom</w:t>
            </w:r>
            <w:r>
              <w:rPr>
                <w:sz w:val="16"/>
                <w:szCs w:val="16"/>
              </w:rPr>
              <w:t>e</w:t>
            </w:r>
            <w:r>
              <w:rPr>
                <w:sz w:val="11"/>
                <w:szCs w:val="11"/>
              </w:rPr>
              <w:t>(1</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0.2</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0.1</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Net realized and unrealized gain (loss</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0.1</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0.6</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Total from investment operation</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0.1</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0.8</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Cumulative effect of adjustment for the adoption of</w:t>
            </w:r>
            <w:r>
              <w:rPr>
                <w:sz w:val="16"/>
                <w:szCs w:val="16"/>
              </w:rPr>
              <w:t xml:space="preserve"> </w:t>
            </w:r>
            <w:r>
              <w:rPr>
                <w:sz w:val="16"/>
                <w:szCs w:val="16"/>
              </w:rPr>
              <w:t>ASU 2020-0</w:t>
            </w:r>
            <w:r>
              <w:rPr>
                <w:sz w:val="16"/>
                <w:szCs w:val="16"/>
              </w:rPr>
              <w:t>6</w:t>
            </w:r>
            <w:r>
              <w:rPr>
                <w:sz w:val="11"/>
                <w:szCs w:val="11"/>
              </w:rPr>
              <w:t>(2</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0.0</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Repurchase of common stoc</w:t>
            </w:r>
            <w:r>
              <w:rPr>
                <w:sz w:val="16"/>
                <w:szCs w:val="16"/>
              </w:rPr>
              <w:t>k</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0.0</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Dividends to stockholder</w:t>
            </w:r>
            <w:r>
              <w:rPr>
                <w:sz w:val="16"/>
                <w:szCs w:val="16"/>
              </w:rPr>
              <w:t>s</w:t>
            </w:r>
            <w:r>
              <w:rPr>
                <w:sz w:val="11"/>
                <w:szCs w:val="11"/>
              </w:rPr>
              <w:t>(3</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0.3</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0.3</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Net asset value, end of perio</w:t>
            </w:r>
            <w:r>
              <w:rPr>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4.5</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4.7</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Market price at end of perio</w:t>
            </w:r>
            <w:r>
              <w:rPr>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3.3</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3.8</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Total return based on market pric</w:t>
            </w:r>
            <w:r>
              <w:rPr>
                <w:sz w:val="16"/>
                <w:szCs w:val="16"/>
              </w:rPr>
              <w:t>e</w:t>
            </w:r>
            <w:r>
              <w:rPr>
                <w:sz w:val="11"/>
                <w:szCs w:val="11"/>
              </w:rPr>
              <w:t>(4</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w:t>
            </w:r>
            <w:r>
              <w:rPr>
                <w:sz w:val="16"/>
                <w:szCs w:val="16"/>
              </w:rPr>
              <w:t>8.5</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54.4</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Total return based on net asset valu</w:t>
            </w:r>
            <w:r>
              <w:rPr>
                <w:sz w:val="16"/>
                <w:szCs w:val="16"/>
              </w:rPr>
              <w:t>e</w:t>
            </w:r>
            <w:r>
              <w:rPr>
                <w:sz w:val="11"/>
                <w:szCs w:val="11"/>
              </w:rPr>
              <w:t>(5</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3.9</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20.9</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Shares outstanding at end of perio</w:t>
            </w:r>
            <w:r>
              <w:rPr>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72,890,23</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73,996,62</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Ratios to average net asset</w:t>
            </w:r>
            <w:r>
              <w:rPr>
                <w:sz w:val="16"/>
                <w:szCs w:val="16"/>
              </w:rPr>
              <w:t>s</w:t>
            </w:r>
            <w:r>
              <w:rPr>
                <w:sz w:val="11"/>
                <w:szCs w:val="11"/>
              </w:rPr>
              <w:t>(6</w:t>
            </w:r>
            <w:r>
              <w:rPr>
                <w:sz w:val="11"/>
                <w:szCs w:val="11"/>
              </w:rPr>
              <w:t>)</w:t>
            </w: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r>
              <w:rPr>
                <w:sz w:val="16"/>
                <w:szCs w:val="16"/>
              </w:rPr>
              <w:t>Operating expenses, before incentive fee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3.9</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3.9</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Interest and other debt related expense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3.4</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3.5</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Total expenses, before incentive fee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Incentive fee</w:t>
            </w:r>
            <w:r>
              <w:rPr>
                <w:sz w:val="16"/>
                <w:szCs w:val="16"/>
              </w:rPr>
              <w:t>s</w:t>
            </w:r>
            <w:r>
              <w:rPr>
                <w:sz w:val="11"/>
                <w:szCs w:val="11"/>
              </w:rPr>
              <w:t>(1</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0.0</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0.3</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r>
              <w:rPr>
                <w:sz w:val="16"/>
                <w:szCs w:val="16"/>
              </w:rPr>
              <w:t>Total expenses, after incentive fee</w:t>
            </w:r>
            <w:r>
              <w:rPr>
                <w:sz w:val="16"/>
                <w:szCs w:val="16"/>
              </w:rPr>
              <w:t>s</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7.8</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Net investment incom</w:t>
            </w:r>
            <w:r>
              <w:rPr>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8.3</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5.7</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Net assets at end of perio</w:t>
            </w:r>
            <w:r>
              <w:rPr>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332,033,74</w:t>
            </w:r>
            <w:r>
              <w:rPr>
                <w:sz w:val="16"/>
                <w:szCs w:val="16"/>
              </w:rPr>
              <w:t>3</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350,874,55</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Portfolio turnover rat</w:t>
            </w:r>
            <w:r>
              <w:rPr>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w:t>
            </w:r>
            <w:r>
              <w:rPr>
                <w:sz w:val="16"/>
                <w:szCs w:val="16"/>
              </w:rPr>
              <w:t>5</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Weighted average interest rate on deb</w:t>
            </w:r>
            <w:r>
              <w:rPr>
                <w:sz w:val="16"/>
                <w:szCs w:val="16"/>
              </w:rPr>
              <w:t>t</w:t>
            </w:r>
            <w:r>
              <w:rPr>
                <w:sz w:val="11"/>
                <w:szCs w:val="11"/>
              </w:rPr>
              <w:t>(7</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4.9</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5.9</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Weighted average debt outstandin</w:t>
            </w:r>
            <w:r>
              <w:rPr>
                <w:sz w:val="16"/>
                <w:szCs w:val="16"/>
              </w:rPr>
              <w:t>g</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224,779,55</w:t>
            </w:r>
            <w:r>
              <w:rPr>
                <w:sz w:val="16"/>
                <w:szCs w:val="16"/>
              </w:rPr>
              <w:t>1</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176,776,41</w:t>
            </w:r>
            <w:r>
              <w:rPr>
                <w:sz w:val="16"/>
                <w:szCs w:val="16"/>
              </w:rPr>
              <w:t>4</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Weighted average shares outstandin</w:t>
            </w:r>
            <w:r>
              <w:rPr>
                <w:sz w:val="16"/>
                <w:szCs w:val="16"/>
              </w:rPr>
              <w:t>g</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73,551,05</w:t>
            </w:r>
            <w:r>
              <w:rPr>
                <w:sz w:val="16"/>
                <w:szCs w:val="16"/>
              </w:rPr>
              <w:t>7</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74,221,55</w:t>
            </w:r>
            <w:r>
              <w:rPr>
                <w:sz w:val="16"/>
                <w:szCs w:val="16"/>
              </w:rPr>
              <w:t>0</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divId w:val="1605531453"/>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sz w:val="16"/>
                <w:szCs w:val="16"/>
              </w:rPr>
              <w:t>Weighted average debt per shar</w:t>
            </w:r>
            <w:r>
              <w:rPr>
                <w:sz w:val="16"/>
                <w:szCs w:val="16"/>
              </w:rPr>
              <w:t>e</w:t>
            </w:r>
            <w:r>
              <w:rPr>
                <w:sz w:val="11"/>
                <w:szCs w:val="11"/>
              </w:rPr>
              <w:t>(8</w:t>
            </w:r>
            <w:r>
              <w:rPr>
                <w:sz w:val="11"/>
                <w:szCs w:val="11"/>
              </w:rPr>
              <w:t>)</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3.0</w:t>
            </w:r>
            <w:r>
              <w:rPr>
                <w:sz w:val="16"/>
                <w:szCs w:val="16"/>
              </w:rPr>
              <w:t>6</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20"/>
                <w:szCs w:val="20"/>
              </w:rPr>
            </w:pPr>
            <w:r>
              <w:rPr>
                <w:sz w:val="16"/>
                <w:szCs w:val="16"/>
              </w:rPr>
              <w:t>2.3</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bl>
    <w:p w:rsidR="00000000" w:rsidRDefault="003D51DE">
      <w:pPr>
        <w:pStyle w:val="a3"/>
        <w:pBdr>
          <w:bottom w:val="single" w:sz="4" w:space="1" w:color="auto"/>
        </w:pBdr>
        <w:spacing w:before="0" w:beforeAutospacing="0" w:after="0" w:afterAutospacing="0"/>
        <w:ind w:right="9881"/>
        <w:jc w:val="both"/>
        <w:divId w:val="1605531453"/>
        <w:rPr>
          <w:sz w:val="20"/>
          <w:szCs w:val="20"/>
        </w:rPr>
      </w:pPr>
      <w:r>
        <w:rPr>
          <w:sz w:val="20"/>
          <w:szCs w:val="20"/>
        </w:rPr>
        <w:t> </w:t>
      </w:r>
    </w:p>
    <w:p w:rsidR="00000000" w:rsidRDefault="003D51DE">
      <w:pPr>
        <w:jc w:val="both"/>
        <w:divId w:val="1605531453"/>
        <w:rPr>
          <w:rFonts w:eastAsia="Times New Roman"/>
          <w:sz w:val="23"/>
          <w:szCs w:val="23"/>
        </w:rPr>
      </w:pPr>
      <w:r>
        <w:rPr>
          <w:rFonts w:eastAsia="Times New Roman"/>
          <w:sz w:val="15"/>
          <w:szCs w:val="15"/>
        </w:rPr>
        <w:t>(1</w:t>
      </w:r>
      <w:r>
        <w:rPr>
          <w:rFonts w:eastAsia="Times New Roman"/>
          <w:sz w:val="15"/>
          <w:szCs w:val="15"/>
        </w:rPr>
        <w:t>)</w:t>
      </w:r>
    </w:p>
    <w:p w:rsidR="00000000" w:rsidRDefault="003D51DE">
      <w:pPr>
        <w:jc w:val="both"/>
        <w:divId w:val="49428946"/>
        <w:rPr>
          <w:rFonts w:eastAsia="Times New Roman"/>
          <w:sz w:val="23"/>
          <w:szCs w:val="23"/>
        </w:rPr>
      </w:pPr>
      <w:r>
        <w:rPr>
          <w:rFonts w:eastAsia="Times New Roman"/>
          <w:sz w:val="15"/>
          <w:szCs w:val="15"/>
        </w:rPr>
        <w:t>For the nine months ended September 30, 2022, net investment income per share amount displayed above is net of a reversal of hypothetical liquidation basis GAAP incentive fees on capital gains of $</w:t>
      </w:r>
      <w:r>
        <w:rPr>
          <w:rFonts w:eastAsia="Times New Roman"/>
          <w:sz w:val="15"/>
          <w:szCs w:val="15"/>
        </w:rPr>
        <w:t>(</w:t>
      </w:r>
      <w:r>
        <w:rPr>
          <w:rFonts w:eastAsia="Times New Roman"/>
          <w:sz w:val="15"/>
          <w:szCs w:val="15"/>
        </w:rPr>
        <w:t>0.0</w:t>
      </w:r>
      <w:r>
        <w:rPr>
          <w:rFonts w:eastAsia="Times New Roman"/>
          <w:sz w:val="15"/>
          <w:szCs w:val="15"/>
        </w:rPr>
        <w:t>2</w:t>
      </w:r>
      <w:r>
        <w:rPr>
          <w:rFonts w:eastAsia="Times New Roman"/>
          <w:sz w:val="15"/>
          <w:szCs w:val="15"/>
        </w:rPr>
        <w:t xml:space="preserve">) per share, or </w:t>
      </w:r>
      <w:r>
        <w:rPr>
          <w:rFonts w:eastAsia="Times New Roman"/>
          <w:sz w:val="15"/>
          <w:szCs w:val="15"/>
        </w:rPr>
        <w:t>(</w:t>
      </w:r>
      <w:r>
        <w:rPr>
          <w:rFonts w:eastAsia="Times New Roman"/>
          <w:sz w:val="15"/>
          <w:szCs w:val="15"/>
        </w:rPr>
        <w:t>0.4</w:t>
      </w:r>
      <w:r>
        <w:rPr>
          <w:rFonts w:eastAsia="Times New Roman"/>
          <w:sz w:val="15"/>
          <w:szCs w:val="15"/>
        </w:rPr>
        <w:t>5</w:t>
      </w:r>
      <w:r>
        <w:rPr>
          <w:rFonts w:eastAsia="Times New Roman"/>
          <w:sz w:val="15"/>
          <w:szCs w:val="15"/>
        </w:rPr>
        <w:t>)% of average net assets for such</w:t>
      </w:r>
      <w:r>
        <w:rPr>
          <w:rFonts w:eastAsia="Times New Roman"/>
          <w:sz w:val="15"/>
          <w:szCs w:val="15"/>
        </w:rPr>
        <w:t xml:space="preserve"> period</w:t>
      </w:r>
      <w:r>
        <w:rPr>
          <w:rFonts w:eastAsia="Times New Roman"/>
          <w:sz w:val="15"/>
          <w:szCs w:val="15"/>
        </w:rPr>
        <w:t>.</w:t>
      </w:r>
    </w:p>
    <w:p w:rsidR="00000000" w:rsidRDefault="003D51DE">
      <w:pPr>
        <w:jc w:val="both"/>
        <w:divId w:val="1605531453"/>
        <w:rPr>
          <w:rFonts w:eastAsia="Times New Roman"/>
          <w:sz w:val="23"/>
          <w:szCs w:val="23"/>
        </w:rPr>
      </w:pPr>
      <w:r>
        <w:rPr>
          <w:rFonts w:eastAsia="Times New Roman"/>
          <w:sz w:val="15"/>
          <w:szCs w:val="15"/>
        </w:rPr>
        <w:t>(2</w:t>
      </w:r>
      <w:r>
        <w:rPr>
          <w:rFonts w:eastAsia="Times New Roman"/>
          <w:sz w:val="15"/>
          <w:szCs w:val="15"/>
        </w:rPr>
        <w:t>)</w:t>
      </w:r>
    </w:p>
    <w:p w:rsidR="00000000" w:rsidRDefault="003D51DE">
      <w:pPr>
        <w:jc w:val="both"/>
        <w:divId w:val="1325354181"/>
        <w:rPr>
          <w:rFonts w:eastAsia="Times New Roman"/>
          <w:sz w:val="23"/>
          <w:szCs w:val="23"/>
        </w:rPr>
      </w:pPr>
      <w:r>
        <w:rPr>
          <w:rFonts w:eastAsia="Times New Roman"/>
          <w:sz w:val="15"/>
          <w:szCs w:val="15"/>
        </w:rPr>
        <w:t>The Company adopted ASU 2020-06 under the modified retrospective basis as of January 1, 2022 (see Notes 2 and 4)</w:t>
      </w:r>
      <w:r>
        <w:rPr>
          <w:rFonts w:eastAsia="Times New Roman"/>
          <w:sz w:val="15"/>
          <w:szCs w:val="15"/>
        </w:rPr>
        <w:t>.</w:t>
      </w:r>
    </w:p>
    <w:p w:rsidR="00000000" w:rsidRDefault="003D51DE">
      <w:pPr>
        <w:jc w:val="both"/>
        <w:divId w:val="1605531453"/>
        <w:rPr>
          <w:rFonts w:eastAsia="Times New Roman"/>
          <w:sz w:val="23"/>
          <w:szCs w:val="23"/>
        </w:rPr>
      </w:pPr>
      <w:r>
        <w:rPr>
          <w:rFonts w:eastAsia="Times New Roman"/>
          <w:sz w:val="15"/>
          <w:szCs w:val="15"/>
        </w:rPr>
        <w:t>(3</w:t>
      </w:r>
      <w:r>
        <w:rPr>
          <w:rFonts w:eastAsia="Times New Roman"/>
          <w:sz w:val="15"/>
          <w:szCs w:val="15"/>
        </w:rPr>
        <w:t>)</w:t>
      </w:r>
    </w:p>
    <w:p w:rsidR="00000000" w:rsidRDefault="003D51DE">
      <w:pPr>
        <w:jc w:val="both"/>
        <w:divId w:val="1379474323"/>
        <w:rPr>
          <w:rFonts w:eastAsia="Times New Roman"/>
          <w:sz w:val="23"/>
          <w:szCs w:val="23"/>
        </w:rPr>
      </w:pPr>
      <w:r>
        <w:rPr>
          <w:rFonts w:eastAsia="Times New Roman"/>
          <w:sz w:val="15"/>
          <w:szCs w:val="15"/>
        </w:rPr>
        <w:t xml:space="preserve">For the nine months ended September 30, 2022, </w:t>
      </w:r>
      <w:r>
        <w:rPr>
          <w:rFonts w:eastAsia="Times New Roman"/>
          <w:sz w:val="15"/>
          <w:szCs w:val="15"/>
        </w:rPr>
        <w:t>$</w:t>
      </w:r>
      <w:r>
        <w:rPr>
          <w:rFonts w:eastAsia="Times New Roman"/>
          <w:sz w:val="15"/>
          <w:szCs w:val="15"/>
        </w:rPr>
        <w:t>20.</w:t>
      </w:r>
      <w:r>
        <w:rPr>
          <w:rFonts w:eastAsia="Times New Roman"/>
          <w:sz w:val="15"/>
          <w:szCs w:val="15"/>
        </w:rPr>
        <w:t>9</w:t>
      </w:r>
      <w:r>
        <w:rPr>
          <w:rFonts w:eastAsia="Times New Roman"/>
          <w:sz w:val="15"/>
          <w:szCs w:val="15"/>
        </w:rPr>
        <w:t xml:space="preserve"> million out of the total </w:t>
      </w:r>
      <w:r>
        <w:rPr>
          <w:rFonts w:eastAsia="Times New Roman"/>
          <w:sz w:val="15"/>
          <w:szCs w:val="15"/>
        </w:rPr>
        <w:t>$</w:t>
      </w:r>
      <w:r>
        <w:rPr>
          <w:rFonts w:eastAsia="Times New Roman"/>
          <w:sz w:val="15"/>
          <w:szCs w:val="15"/>
        </w:rPr>
        <w:t>22.</w:t>
      </w:r>
      <w:r>
        <w:rPr>
          <w:rFonts w:eastAsia="Times New Roman"/>
          <w:sz w:val="15"/>
          <w:szCs w:val="15"/>
        </w:rPr>
        <w:t>1</w:t>
      </w:r>
      <w:r>
        <w:rPr>
          <w:rFonts w:eastAsia="Times New Roman"/>
          <w:sz w:val="15"/>
          <w:szCs w:val="15"/>
        </w:rPr>
        <w:t xml:space="preserve"> million declared dividends were from net i</w:t>
      </w:r>
      <w:r>
        <w:rPr>
          <w:rFonts w:eastAsia="Times New Roman"/>
          <w:sz w:val="15"/>
          <w:szCs w:val="15"/>
        </w:rPr>
        <w:t>nvestment income based on book income. The amount of dividend related to a return of capital will be adjusted on an annual basis if necessary, and calculated in accordance with federal income tax regulations (see Note 2)</w:t>
      </w:r>
      <w:r>
        <w:rPr>
          <w:rFonts w:eastAsia="Times New Roman"/>
          <w:sz w:val="15"/>
          <w:szCs w:val="15"/>
        </w:rPr>
        <w:t>.</w:t>
      </w:r>
    </w:p>
    <w:p w:rsidR="00000000" w:rsidRDefault="003D51DE">
      <w:pPr>
        <w:jc w:val="both"/>
        <w:divId w:val="1605531453"/>
        <w:rPr>
          <w:rFonts w:eastAsia="Times New Roman"/>
          <w:sz w:val="23"/>
          <w:szCs w:val="23"/>
        </w:rPr>
      </w:pPr>
      <w:r>
        <w:rPr>
          <w:rFonts w:eastAsia="Times New Roman"/>
          <w:sz w:val="15"/>
          <w:szCs w:val="15"/>
        </w:rPr>
        <w:t>(4</w:t>
      </w:r>
      <w:r>
        <w:rPr>
          <w:rFonts w:eastAsia="Times New Roman"/>
          <w:sz w:val="15"/>
          <w:szCs w:val="15"/>
        </w:rPr>
        <w:t>)</w:t>
      </w:r>
    </w:p>
    <w:p w:rsidR="00000000" w:rsidRDefault="003D51DE">
      <w:pPr>
        <w:jc w:val="both"/>
        <w:divId w:val="1685546041"/>
        <w:rPr>
          <w:rFonts w:eastAsia="Times New Roman"/>
          <w:sz w:val="23"/>
          <w:szCs w:val="23"/>
        </w:rPr>
      </w:pPr>
      <w:r>
        <w:rPr>
          <w:rFonts w:eastAsia="Times New Roman"/>
          <w:sz w:val="15"/>
          <w:szCs w:val="15"/>
        </w:rPr>
        <w:t>Total return based on market v</w:t>
      </w:r>
      <w:r>
        <w:rPr>
          <w:rFonts w:eastAsia="Times New Roman"/>
          <w:sz w:val="15"/>
          <w:szCs w:val="15"/>
        </w:rPr>
        <w:t>alue is calculated by determining the percentage change in market value per share during the period and assuming that the dividends are reinvested in accordance with the Company’s dividend reinvestment plan. Not annualized</w:t>
      </w:r>
      <w:r>
        <w:rPr>
          <w:rFonts w:eastAsia="Times New Roman"/>
          <w:sz w:val="15"/>
          <w:szCs w:val="15"/>
        </w:rPr>
        <w:t>.</w:t>
      </w:r>
    </w:p>
    <w:p w:rsidR="00000000" w:rsidRDefault="003D51DE">
      <w:pPr>
        <w:pStyle w:val="a3"/>
        <w:spacing w:before="0" w:beforeAutospacing="0" w:after="0" w:afterAutospacing="0"/>
        <w:jc w:val="center"/>
        <w:divId w:val="1605531453"/>
        <w:rPr>
          <w:sz w:val="20"/>
          <w:szCs w:val="20"/>
        </w:rPr>
      </w:pPr>
      <w:r>
        <w:rPr>
          <w:sz w:val="20"/>
          <w:szCs w:val="20"/>
        </w:rPr>
        <w:t> </w:t>
      </w:r>
    </w:p>
    <w:p w:rsidR="00000000" w:rsidRDefault="003D51DE">
      <w:pPr>
        <w:pStyle w:val="a3"/>
        <w:spacing w:before="0" w:beforeAutospacing="0" w:after="0" w:afterAutospacing="0"/>
        <w:jc w:val="center"/>
        <w:divId w:val="1605531453"/>
        <w:rPr>
          <w:sz w:val="20"/>
          <w:szCs w:val="20"/>
        </w:rPr>
      </w:pPr>
      <w:r>
        <w:rPr>
          <w:sz w:val="19"/>
          <w:szCs w:val="19"/>
        </w:rPr>
        <w:t>4</w:t>
      </w:r>
      <w:r>
        <w:rPr>
          <w:sz w:val="19"/>
          <w:szCs w:val="19"/>
        </w:rPr>
        <w:t>1</w:t>
      </w:r>
    </w:p>
    <w:p w:rsidR="00000000" w:rsidRDefault="003D51DE">
      <w:pPr>
        <w:divId w:val="1605531453"/>
        <w:rPr>
          <w:rFonts w:eastAsia="Times New Roman"/>
          <w:sz w:val="23"/>
          <w:szCs w:val="23"/>
        </w:rPr>
      </w:pPr>
      <w:r>
        <w:rPr>
          <w:rFonts w:eastAsia="Times New Roman"/>
          <w:sz w:val="23"/>
          <w:szCs w:val="23"/>
        </w:rPr>
        <w:pict>
          <v:rect id="_x0000_i1065" style="width:0;height:1.5pt" o:hralign="center" o:hrstd="t" o:hr="t" fillcolor="#a0a0a0" stroked="f"/>
        </w:pict>
      </w:r>
    </w:p>
    <w:p w:rsidR="00000000" w:rsidRDefault="003D51DE">
      <w:pPr>
        <w:pStyle w:val="a3"/>
        <w:spacing w:before="0" w:beforeAutospacing="0" w:after="0" w:afterAutospacing="0"/>
        <w:divId w:val="1605531453"/>
        <w:rPr>
          <w:sz w:val="20"/>
          <w:szCs w:val="20"/>
        </w:rPr>
      </w:pPr>
      <w:r>
        <w:rPr>
          <w:sz w:val="20"/>
          <w:szCs w:val="20"/>
        </w:rPr>
        <w:t> </w:t>
      </w:r>
    </w:p>
    <w:p w:rsidR="00000000" w:rsidRDefault="003D51DE">
      <w:pPr>
        <w:jc w:val="both"/>
        <w:divId w:val="1605531453"/>
        <w:rPr>
          <w:rFonts w:eastAsia="Times New Roman"/>
          <w:sz w:val="23"/>
          <w:szCs w:val="23"/>
        </w:rPr>
      </w:pPr>
      <w:r>
        <w:rPr>
          <w:rFonts w:eastAsia="Times New Roman"/>
          <w:sz w:val="15"/>
          <w:szCs w:val="15"/>
        </w:rPr>
        <w:t>(5</w:t>
      </w:r>
      <w:r>
        <w:rPr>
          <w:rFonts w:eastAsia="Times New Roman"/>
          <w:sz w:val="15"/>
          <w:szCs w:val="15"/>
        </w:rPr>
        <w:t>)</w:t>
      </w:r>
    </w:p>
    <w:p w:rsidR="00000000" w:rsidRDefault="003D51DE">
      <w:pPr>
        <w:jc w:val="both"/>
        <w:divId w:val="127089893"/>
        <w:rPr>
          <w:rFonts w:eastAsia="Times New Roman"/>
          <w:sz w:val="23"/>
          <w:szCs w:val="23"/>
        </w:rPr>
      </w:pPr>
      <w:r>
        <w:rPr>
          <w:rFonts w:eastAsia="Times New Roman"/>
          <w:sz w:val="15"/>
          <w:szCs w:val="15"/>
        </w:rPr>
        <w:t>Total return based on net asset value is calculated by determining the percentage change in net asset value per share during the period and assuming that the dividends are reinvested in accordance with the Company’s dividend reinvestment pl</w:t>
      </w:r>
      <w:r>
        <w:rPr>
          <w:rFonts w:eastAsia="Times New Roman"/>
          <w:sz w:val="15"/>
          <w:szCs w:val="15"/>
        </w:rPr>
        <w:t>an. Not annualized.</w:t>
      </w:r>
      <w:r>
        <w:rPr>
          <w:rFonts w:eastAsia="Times New Roman"/>
          <w:sz w:val="15"/>
          <w:szCs w:val="15"/>
        </w:rPr>
        <w:t xml:space="preserve"> </w:t>
      </w:r>
    </w:p>
    <w:p w:rsidR="00000000" w:rsidRDefault="003D51DE">
      <w:pPr>
        <w:jc w:val="both"/>
        <w:divId w:val="1605531453"/>
        <w:rPr>
          <w:rFonts w:eastAsia="Times New Roman"/>
          <w:sz w:val="23"/>
          <w:szCs w:val="23"/>
        </w:rPr>
      </w:pPr>
      <w:r>
        <w:rPr>
          <w:rFonts w:eastAsia="Times New Roman"/>
          <w:sz w:val="15"/>
          <w:szCs w:val="15"/>
        </w:rPr>
        <w:t>(6</w:t>
      </w:r>
      <w:r>
        <w:rPr>
          <w:rFonts w:eastAsia="Times New Roman"/>
          <w:sz w:val="15"/>
          <w:szCs w:val="15"/>
        </w:rPr>
        <w:t>)</w:t>
      </w:r>
    </w:p>
    <w:p w:rsidR="00000000" w:rsidRDefault="003D51DE">
      <w:pPr>
        <w:jc w:val="both"/>
        <w:divId w:val="990332585"/>
        <w:rPr>
          <w:rFonts w:eastAsia="Times New Roman"/>
          <w:sz w:val="23"/>
          <w:szCs w:val="23"/>
        </w:rPr>
      </w:pPr>
      <w:r>
        <w:rPr>
          <w:rFonts w:eastAsia="Times New Roman"/>
          <w:sz w:val="15"/>
          <w:szCs w:val="15"/>
        </w:rPr>
        <w:t>Annualized, except for incentive fees.</w:t>
      </w:r>
      <w:r>
        <w:rPr>
          <w:rFonts w:eastAsia="Times New Roman"/>
          <w:sz w:val="15"/>
          <w:szCs w:val="15"/>
        </w:rPr>
        <w:t xml:space="preserve"> </w:t>
      </w:r>
    </w:p>
    <w:p w:rsidR="00000000" w:rsidRDefault="003D51DE">
      <w:pPr>
        <w:jc w:val="both"/>
        <w:divId w:val="1605531453"/>
        <w:rPr>
          <w:rFonts w:eastAsia="Times New Roman"/>
          <w:sz w:val="23"/>
          <w:szCs w:val="23"/>
        </w:rPr>
      </w:pPr>
      <w:r>
        <w:rPr>
          <w:rFonts w:eastAsia="Times New Roman"/>
          <w:sz w:val="15"/>
          <w:szCs w:val="15"/>
        </w:rPr>
        <w:t>(7</w:t>
      </w:r>
      <w:r>
        <w:rPr>
          <w:rFonts w:eastAsia="Times New Roman"/>
          <w:sz w:val="15"/>
          <w:szCs w:val="15"/>
        </w:rPr>
        <w:t>)</w:t>
      </w:r>
    </w:p>
    <w:p w:rsidR="00000000" w:rsidRDefault="003D51DE">
      <w:pPr>
        <w:jc w:val="both"/>
        <w:divId w:val="1271400211"/>
        <w:rPr>
          <w:rFonts w:eastAsia="Times New Roman"/>
          <w:sz w:val="23"/>
          <w:szCs w:val="23"/>
        </w:rPr>
      </w:pPr>
      <w:r>
        <w:rPr>
          <w:rFonts w:eastAsia="Times New Roman"/>
          <w:sz w:val="15"/>
          <w:szCs w:val="15"/>
        </w:rPr>
        <w:t>Weighted average interest rate on debt includes contractual interest, amortization of original issue discount, for periods prior to January 1, 2022 (refer to the adoption of ASU 2020-06 i</w:t>
      </w:r>
      <w:r>
        <w:rPr>
          <w:rFonts w:eastAsia="Times New Roman"/>
          <w:sz w:val="15"/>
          <w:szCs w:val="15"/>
        </w:rPr>
        <w:t>n Note 2) and amortization of debt issuance costs (see Note 4)</w:t>
      </w:r>
      <w:r>
        <w:rPr>
          <w:rFonts w:eastAsia="Times New Roman"/>
          <w:sz w:val="15"/>
          <w:szCs w:val="15"/>
        </w:rPr>
        <w:t>.</w:t>
      </w:r>
    </w:p>
    <w:p w:rsidR="00000000" w:rsidRDefault="003D51DE">
      <w:pPr>
        <w:jc w:val="both"/>
        <w:divId w:val="1605531453"/>
        <w:rPr>
          <w:rFonts w:eastAsia="Times New Roman"/>
          <w:sz w:val="23"/>
          <w:szCs w:val="23"/>
        </w:rPr>
      </w:pPr>
      <w:r>
        <w:rPr>
          <w:rFonts w:eastAsia="Times New Roman"/>
          <w:sz w:val="15"/>
          <w:szCs w:val="15"/>
        </w:rPr>
        <w:t>(8</w:t>
      </w:r>
      <w:r>
        <w:rPr>
          <w:rFonts w:eastAsia="Times New Roman"/>
          <w:sz w:val="15"/>
          <w:szCs w:val="15"/>
        </w:rPr>
        <w:t>)</w:t>
      </w:r>
    </w:p>
    <w:p w:rsidR="00000000" w:rsidRDefault="003D51DE">
      <w:pPr>
        <w:jc w:val="both"/>
        <w:divId w:val="2035184180"/>
        <w:rPr>
          <w:rFonts w:eastAsia="Times New Roman"/>
          <w:sz w:val="23"/>
          <w:szCs w:val="23"/>
        </w:rPr>
      </w:pPr>
      <w:r>
        <w:rPr>
          <w:rFonts w:eastAsia="Times New Roman"/>
          <w:sz w:val="15"/>
          <w:szCs w:val="15"/>
        </w:rPr>
        <w:t>Weighted average debt per share is calculated as weighted average debt outstanding divided by the weighted average shares outstanding during the applicable period.</w:t>
      </w:r>
      <w:r>
        <w:rPr>
          <w:rFonts w:eastAsia="Times New Roman"/>
          <w:sz w:val="15"/>
          <w:szCs w:val="15"/>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2</w:t>
      </w:r>
    </w:p>
    <w:p w:rsidR="00000000" w:rsidRDefault="003D51DE">
      <w:pPr>
        <w:rPr>
          <w:rFonts w:eastAsia="Times New Roman"/>
        </w:rPr>
      </w:pPr>
      <w:r>
        <w:rPr>
          <w:rFonts w:eastAsia="Times New Roman"/>
        </w:rPr>
        <w:pict>
          <v:rect id="_x0000_i106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divId w:val="721635883"/>
        <w:rPr>
          <w:sz w:val="20"/>
          <w:szCs w:val="20"/>
        </w:rPr>
      </w:pPr>
      <w:r>
        <w:rPr>
          <w:b/>
          <w:bCs/>
          <w:sz w:val="19"/>
          <w:szCs w:val="19"/>
        </w:rPr>
        <w:t>11. Subsequent event</w:t>
      </w:r>
      <w:r>
        <w:rPr>
          <w:b/>
          <w:bCs/>
          <w:sz w:val="19"/>
          <w:szCs w:val="19"/>
        </w:rPr>
        <w:t>s</w:t>
      </w:r>
      <w:r>
        <w:rPr>
          <w:b/>
          <w:bCs/>
          <w:sz w:val="19"/>
          <w:szCs w:val="19"/>
        </w:rPr>
        <w:t xml:space="preserve"> </w:t>
      </w:r>
    </w:p>
    <w:p w:rsidR="00000000" w:rsidRDefault="003D51DE">
      <w:pPr>
        <w:pStyle w:val="a3"/>
        <w:spacing w:before="240" w:beforeAutospacing="0" w:after="0" w:afterAutospacing="0"/>
        <w:ind w:firstLine="702"/>
        <w:jc w:val="both"/>
        <w:divId w:val="721635883"/>
        <w:rPr>
          <w:sz w:val="20"/>
          <w:szCs w:val="20"/>
        </w:rPr>
      </w:pPr>
      <w:r>
        <w:rPr>
          <w:sz w:val="19"/>
          <w:szCs w:val="19"/>
        </w:rPr>
        <w:t>On</w:t>
      </w:r>
      <w:r>
        <w:rPr>
          <w:sz w:val="19"/>
          <w:szCs w:val="19"/>
        </w:rPr>
        <w:t xml:space="preserve"> </w:t>
      </w:r>
      <w:r>
        <w:rPr>
          <w:sz w:val="19"/>
          <w:szCs w:val="19"/>
        </w:rPr>
        <w:t>October 28, 202</w:t>
      </w:r>
      <w:r>
        <w:rPr>
          <w:sz w:val="19"/>
          <w:szCs w:val="19"/>
        </w:rPr>
        <w:t>2</w:t>
      </w:r>
      <w:r>
        <w:rPr>
          <w:sz w:val="19"/>
          <w:szCs w:val="19"/>
        </w:rPr>
        <w:t xml:space="preserve">, the Company’s Board declared a dividend of </w:t>
      </w:r>
      <w:r>
        <w:rPr>
          <w:sz w:val="19"/>
          <w:szCs w:val="19"/>
        </w:rPr>
        <w:t>$</w:t>
      </w:r>
      <w:r>
        <w:rPr>
          <w:sz w:val="19"/>
          <w:szCs w:val="19"/>
        </w:rPr>
        <w:t>0.1</w:t>
      </w:r>
      <w:r>
        <w:rPr>
          <w:sz w:val="19"/>
          <w:szCs w:val="19"/>
        </w:rPr>
        <w:t>0</w:t>
      </w:r>
      <w:r>
        <w:rPr>
          <w:sz w:val="19"/>
          <w:szCs w:val="19"/>
        </w:rPr>
        <w:t xml:space="preserve"> per share, payable on</w:t>
      </w:r>
      <w:r>
        <w:rPr>
          <w:sz w:val="19"/>
          <w:szCs w:val="19"/>
        </w:rPr>
        <w:t xml:space="preserve"> </w:t>
      </w:r>
      <w:r>
        <w:rPr>
          <w:sz w:val="19"/>
          <w:szCs w:val="19"/>
        </w:rPr>
        <w:t>January 6, 202</w:t>
      </w:r>
      <w:r>
        <w:rPr>
          <w:sz w:val="19"/>
          <w:szCs w:val="19"/>
        </w:rPr>
        <w:t>3</w:t>
      </w:r>
      <w:r>
        <w:rPr>
          <w:sz w:val="19"/>
          <w:szCs w:val="19"/>
        </w:rPr>
        <w:t xml:space="preserve"> </w:t>
      </w:r>
      <w:r>
        <w:rPr>
          <w:sz w:val="19"/>
          <w:szCs w:val="19"/>
        </w:rPr>
        <w:t>to stockholders of record at the close of business on</w:t>
      </w:r>
      <w:r>
        <w:rPr>
          <w:sz w:val="19"/>
          <w:szCs w:val="19"/>
        </w:rPr>
        <w:t xml:space="preserve"> </w:t>
      </w:r>
      <w:r>
        <w:rPr>
          <w:sz w:val="19"/>
          <w:szCs w:val="19"/>
        </w:rPr>
        <w:t>December 16, 202</w:t>
      </w:r>
      <w:r>
        <w:rPr>
          <w:sz w:val="19"/>
          <w:szCs w:val="19"/>
        </w:rPr>
        <w:t>2</w:t>
      </w:r>
      <w:r>
        <w:rPr>
          <w:sz w:val="19"/>
          <w:szCs w:val="19"/>
        </w:rPr>
        <w:t>.</w:t>
      </w:r>
    </w:p>
    <w:p w:rsidR="00000000" w:rsidRDefault="003D51DE">
      <w:pPr>
        <w:pStyle w:val="a3"/>
        <w:spacing w:before="180" w:beforeAutospacing="0" w:after="0" w:afterAutospacing="0"/>
        <w:ind w:firstLine="702"/>
        <w:jc w:val="both"/>
        <w:divId w:val="721635883"/>
        <w:rPr>
          <w:sz w:val="20"/>
          <w:szCs w:val="20"/>
        </w:rPr>
      </w:pPr>
      <w:r>
        <w:rPr>
          <w:sz w:val="19"/>
          <w:szCs w:val="19"/>
        </w:rPr>
        <w:t>On</w:t>
      </w:r>
      <w:r>
        <w:rPr>
          <w:sz w:val="19"/>
          <w:szCs w:val="19"/>
        </w:rPr>
        <w:t xml:space="preserve"> </w:t>
      </w:r>
      <w:r>
        <w:rPr>
          <w:sz w:val="19"/>
          <w:szCs w:val="19"/>
        </w:rPr>
        <w:t>November 2, 202</w:t>
      </w:r>
      <w:r>
        <w:rPr>
          <w:sz w:val="19"/>
          <w:szCs w:val="19"/>
        </w:rPr>
        <w:t>2</w:t>
      </w:r>
      <w:r>
        <w:rPr>
          <w:sz w:val="19"/>
          <w:szCs w:val="19"/>
        </w:rPr>
        <w:t>, authorization to repurchase the remaining</w:t>
      </w:r>
      <w:r>
        <w:rPr>
          <w:sz w:val="19"/>
          <w:szCs w:val="19"/>
        </w:rPr>
        <w:t xml:space="preserve"> </w:t>
      </w:r>
      <w:r>
        <w:rPr>
          <w:sz w:val="19"/>
          <w:szCs w:val="19"/>
        </w:rPr>
        <w:t>6,598,26</w:t>
      </w:r>
      <w:r>
        <w:rPr>
          <w:sz w:val="19"/>
          <w:szCs w:val="19"/>
        </w:rPr>
        <w:t>8</w:t>
      </w:r>
      <w:r>
        <w:rPr>
          <w:sz w:val="19"/>
          <w:szCs w:val="19"/>
        </w:rPr>
        <w:t xml:space="preserve"> shares expired. On October 28, 2022, the Company’s Board authorized the Company to purchase up to a total of</w:t>
      </w:r>
      <w:r>
        <w:rPr>
          <w:sz w:val="19"/>
          <w:szCs w:val="19"/>
        </w:rPr>
        <w:t xml:space="preserve"> </w:t>
      </w:r>
      <w:r>
        <w:rPr>
          <w:sz w:val="19"/>
          <w:szCs w:val="19"/>
        </w:rPr>
        <w:t>8</w:t>
      </w:r>
      <w:r>
        <w:rPr>
          <w:sz w:val="19"/>
          <w:szCs w:val="19"/>
        </w:rPr>
        <w:t>,000,00</w:t>
      </w:r>
      <w:r>
        <w:rPr>
          <w:sz w:val="19"/>
          <w:szCs w:val="19"/>
        </w:rPr>
        <w:t>0</w:t>
      </w:r>
      <w:r>
        <w:rPr>
          <w:sz w:val="19"/>
          <w:szCs w:val="19"/>
        </w:rPr>
        <w:t xml:space="preserve"> shares, commencing on November 7, 2022 and effective until the earlier of November 6, 2023 or such time that all of the authorized shares have been repurchased, subject to the terms of a share repurchase program, if in effect</w:t>
      </w:r>
      <w:r>
        <w:rPr>
          <w:sz w:val="19"/>
          <w:szCs w:val="19"/>
        </w:rPr>
        <w:t>.</w:t>
      </w:r>
    </w:p>
    <w:p w:rsidR="00000000" w:rsidRDefault="003D51DE">
      <w:pPr>
        <w:pStyle w:val="a3"/>
        <w:spacing w:before="180" w:beforeAutospacing="0" w:after="0" w:afterAutospacing="0"/>
        <w:ind w:firstLine="694"/>
        <w:jc w:val="both"/>
        <w:divId w:val="721635883"/>
        <w:rPr>
          <w:sz w:val="20"/>
          <w:szCs w:val="20"/>
        </w:rPr>
      </w:pPr>
      <w:r>
        <w:rPr>
          <w:sz w:val="19"/>
          <w:szCs w:val="19"/>
        </w:rPr>
        <w:t>The Company has revi</w:t>
      </w:r>
      <w:r>
        <w:rPr>
          <w:sz w:val="19"/>
          <w:szCs w:val="19"/>
        </w:rPr>
        <w:t>ewed subsequent events occurring through the date that these consolidated financial statements were available to be issued and determined that no subsequent events occurred requiring accrual or disclosure, except as disclosed above and elsewhere in these n</w:t>
      </w:r>
      <w:r>
        <w:rPr>
          <w:sz w:val="19"/>
          <w:szCs w:val="19"/>
        </w:rPr>
        <w:t>otes to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3</w:t>
      </w:r>
    </w:p>
    <w:p w:rsidR="00000000" w:rsidRDefault="003D51DE">
      <w:pPr>
        <w:rPr>
          <w:rFonts w:eastAsia="Times New Roman"/>
        </w:rPr>
      </w:pPr>
      <w:r>
        <w:rPr>
          <w:rFonts w:eastAsia="Times New Roman"/>
        </w:rPr>
        <w:pict>
          <v:rect id="_x0000_i1067"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both"/>
        <w:rPr>
          <w:sz w:val="20"/>
          <w:szCs w:val="20"/>
        </w:rPr>
      </w:pPr>
      <w:r>
        <w:rPr>
          <w:b/>
          <w:bCs/>
          <w:sz w:val="19"/>
          <w:szCs w:val="19"/>
        </w:rPr>
        <w:t>Item 2. Management’s Discussion and Analysis o</w:t>
      </w:r>
      <w:r>
        <w:rPr>
          <w:b/>
          <w:bCs/>
          <w:sz w:val="19"/>
          <w:szCs w:val="19"/>
        </w:rPr>
        <w:t>f</w:t>
      </w:r>
      <w:r>
        <w:rPr>
          <w:b/>
          <w:bCs/>
          <w:sz w:val="19"/>
          <w:szCs w:val="19"/>
        </w:rPr>
        <w:t xml:space="preserve"> Financial Condition and Results of Operation</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i/>
          <w:iCs/>
          <w:sz w:val="19"/>
          <w:szCs w:val="19"/>
        </w:rPr>
        <w:t>The information contained in this section should be read in conjunction wit</w:t>
      </w:r>
      <w:r>
        <w:rPr>
          <w:i/>
          <w:iCs/>
          <w:sz w:val="19"/>
          <w:szCs w:val="19"/>
        </w:rPr>
        <w:t>h the consolidated financial statements and notes thereto appearing elsewhere in this report</w:t>
      </w:r>
      <w:r>
        <w:rPr>
          <w:i/>
          <w:iCs/>
          <w:sz w:val="19"/>
          <w:szCs w:val="19"/>
        </w:rPr>
        <w:t>.</w:t>
      </w:r>
      <w:r>
        <w:rPr>
          <w:i/>
          <w:iCs/>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Forward-looking statement</w:t>
      </w:r>
      <w:r>
        <w:rPr>
          <w:b/>
          <w:bCs/>
          <w:sz w:val="19"/>
          <w:szCs w:val="19"/>
        </w:rPr>
        <w:t>s</w:t>
      </w:r>
    </w:p>
    <w:p w:rsidR="00000000" w:rsidRDefault="003D51DE">
      <w:pPr>
        <w:pStyle w:val="a3"/>
        <w:spacing w:before="240" w:beforeAutospacing="0" w:after="0" w:afterAutospacing="0"/>
        <w:ind w:firstLine="694"/>
        <w:jc w:val="both"/>
        <w:rPr>
          <w:sz w:val="20"/>
          <w:szCs w:val="20"/>
        </w:rPr>
      </w:pPr>
      <w:r>
        <w:rPr>
          <w:sz w:val="19"/>
          <w:szCs w:val="19"/>
        </w:rPr>
        <w:t>This report, and other statements that we may make, may contain forward-looking statements with respect to future financial or busines</w:t>
      </w:r>
      <w:r>
        <w:rPr>
          <w:sz w:val="19"/>
          <w:szCs w:val="19"/>
        </w:rPr>
        <w:t>s performance, strategies or expectations. Forward-looking statements are typically identified by words or phrases such as “trend,” “opportunity,” “pipeline,” “believe,” “comfortable,” “expect,” “anticipate,” “current,” “intention,” “estimate,” “position,”</w:t>
      </w:r>
      <w:r>
        <w:rPr>
          <w:sz w:val="19"/>
          <w:szCs w:val="19"/>
        </w:rPr>
        <w:t xml:space="preserve"> “assume,” “potential,” “outlook,” “continue,” “remain,” “maintain,” “sustain,” “seek,” “achieve” and similar expressions, or future or conditional verbs such as “will,” “would,” “should,” “could,” “may” or similar expressions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 xml:space="preserve">Forward-looking statements </w:t>
      </w:r>
      <w:r>
        <w:rPr>
          <w:sz w:val="19"/>
          <w:szCs w:val="19"/>
        </w:rPr>
        <w:t>are subject to numerous assumptions, risks and uncertainties, which change over time. Forward-looking statements speak only as of the date they are made, and we assume no duty to and do not undertake to update forward-looking statements. Actual results cou</w:t>
      </w:r>
      <w:r>
        <w:rPr>
          <w:sz w:val="19"/>
          <w:szCs w:val="19"/>
        </w:rPr>
        <w:t>ld differ materially from those anticipated in forward-looking statements and future results could differ materially from historical performance</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In addition to factors previously identified elsewhere in the reports BlackRock Capital Investment Corporatio</w:t>
      </w:r>
      <w:r>
        <w:rPr>
          <w:sz w:val="19"/>
          <w:szCs w:val="19"/>
        </w:rPr>
        <w:t>n has filed with the Securities and Exchange Commission (the “SEC”), the following factors, among others, could cause actual results to differ materially from forward-looking statements or historical performance</w:t>
      </w:r>
      <w:r>
        <w:rPr>
          <w:sz w:val="19"/>
          <w:szCs w:val="19"/>
        </w:rPr>
        <w:t>:</w:t>
      </w:r>
      <w:r>
        <w:rPr>
          <w:sz w:val="19"/>
          <w:szCs w:val="19"/>
        </w:rPr>
        <w:t xml:space="preserve"> </w:t>
      </w:r>
    </w:p>
    <w:p w:rsidR="00000000" w:rsidRDefault="003D51DE">
      <w:pPr>
        <w:jc w:val="both"/>
        <w:divId w:val="707992635"/>
        <w:rPr>
          <w:rFonts w:eastAsia="Times New Roman"/>
        </w:rPr>
      </w:pPr>
      <w:r>
        <w:rPr>
          <w:rFonts w:eastAsia="Times New Roman"/>
          <w:sz w:val="19"/>
          <w:szCs w:val="19"/>
        </w:rPr>
        <w:t>•</w:t>
      </w:r>
    </w:p>
    <w:p w:rsidR="00000000" w:rsidRDefault="003D51DE">
      <w:pPr>
        <w:jc w:val="both"/>
        <w:divId w:val="1591351912"/>
        <w:rPr>
          <w:rFonts w:eastAsia="Times New Roman"/>
        </w:rPr>
      </w:pPr>
      <w:r>
        <w:rPr>
          <w:rFonts w:eastAsia="Times New Roman"/>
          <w:sz w:val="19"/>
          <w:szCs w:val="19"/>
        </w:rPr>
        <w:t>our future operating results;</w:t>
      </w:r>
      <w:r>
        <w:rPr>
          <w:rFonts w:eastAsia="Times New Roman"/>
          <w:sz w:val="19"/>
          <w:szCs w:val="19"/>
        </w:rPr>
        <w:t xml:space="preserve"> </w:t>
      </w:r>
    </w:p>
    <w:p w:rsidR="00000000" w:rsidRDefault="003D51DE">
      <w:pPr>
        <w:jc w:val="both"/>
        <w:divId w:val="2092659845"/>
        <w:rPr>
          <w:rFonts w:eastAsia="Times New Roman"/>
        </w:rPr>
      </w:pPr>
      <w:r>
        <w:rPr>
          <w:rFonts w:eastAsia="Times New Roman"/>
          <w:sz w:val="19"/>
          <w:szCs w:val="19"/>
        </w:rPr>
        <w:t>•</w:t>
      </w:r>
    </w:p>
    <w:p w:rsidR="00000000" w:rsidRDefault="003D51DE">
      <w:pPr>
        <w:jc w:val="both"/>
        <w:divId w:val="68428992"/>
        <w:rPr>
          <w:rFonts w:eastAsia="Times New Roman"/>
        </w:rPr>
      </w:pPr>
      <w:r>
        <w:rPr>
          <w:rFonts w:eastAsia="Times New Roman"/>
          <w:sz w:val="19"/>
          <w:szCs w:val="19"/>
        </w:rPr>
        <w:t>our business prospects and the prospects of our portfolio companies;</w:t>
      </w:r>
      <w:r>
        <w:rPr>
          <w:rFonts w:eastAsia="Times New Roman"/>
          <w:sz w:val="19"/>
          <w:szCs w:val="19"/>
        </w:rPr>
        <w:t xml:space="preserve"> </w:t>
      </w:r>
    </w:p>
    <w:p w:rsidR="00000000" w:rsidRDefault="003D51DE">
      <w:pPr>
        <w:jc w:val="both"/>
        <w:divId w:val="485586756"/>
        <w:rPr>
          <w:rFonts w:eastAsia="Times New Roman"/>
        </w:rPr>
      </w:pPr>
      <w:r>
        <w:rPr>
          <w:rFonts w:eastAsia="Times New Roman"/>
          <w:sz w:val="19"/>
          <w:szCs w:val="19"/>
        </w:rPr>
        <w:t>•</w:t>
      </w:r>
    </w:p>
    <w:p w:rsidR="00000000" w:rsidRDefault="003D51DE">
      <w:pPr>
        <w:jc w:val="both"/>
        <w:divId w:val="921331720"/>
        <w:rPr>
          <w:rFonts w:eastAsia="Times New Roman"/>
        </w:rPr>
      </w:pPr>
      <w:r>
        <w:rPr>
          <w:rFonts w:eastAsia="Times New Roman"/>
          <w:sz w:val="19"/>
          <w:szCs w:val="19"/>
        </w:rPr>
        <w:t>the impact of investments that we expect to make;</w:t>
      </w:r>
      <w:r>
        <w:rPr>
          <w:rFonts w:eastAsia="Times New Roman"/>
          <w:sz w:val="19"/>
          <w:szCs w:val="19"/>
        </w:rPr>
        <w:t xml:space="preserve"> </w:t>
      </w:r>
    </w:p>
    <w:p w:rsidR="00000000" w:rsidRDefault="003D51DE">
      <w:pPr>
        <w:jc w:val="both"/>
        <w:divId w:val="804734008"/>
        <w:rPr>
          <w:rFonts w:eastAsia="Times New Roman"/>
        </w:rPr>
      </w:pPr>
      <w:r>
        <w:rPr>
          <w:rFonts w:eastAsia="Times New Roman"/>
          <w:sz w:val="19"/>
          <w:szCs w:val="19"/>
        </w:rPr>
        <w:t>•</w:t>
      </w:r>
    </w:p>
    <w:p w:rsidR="00000000" w:rsidRDefault="003D51DE">
      <w:pPr>
        <w:jc w:val="both"/>
        <w:divId w:val="157423335"/>
        <w:rPr>
          <w:rFonts w:eastAsia="Times New Roman"/>
        </w:rPr>
      </w:pPr>
      <w:r>
        <w:rPr>
          <w:rFonts w:eastAsia="Times New Roman"/>
          <w:sz w:val="19"/>
          <w:szCs w:val="19"/>
        </w:rPr>
        <w:t>our contractual arrangements and relationships with third parties;</w:t>
      </w:r>
      <w:r>
        <w:rPr>
          <w:rFonts w:eastAsia="Times New Roman"/>
          <w:sz w:val="19"/>
          <w:szCs w:val="19"/>
        </w:rPr>
        <w:t xml:space="preserve"> </w:t>
      </w:r>
    </w:p>
    <w:p w:rsidR="00000000" w:rsidRDefault="003D51DE">
      <w:pPr>
        <w:jc w:val="both"/>
        <w:divId w:val="1443955536"/>
        <w:rPr>
          <w:rFonts w:eastAsia="Times New Roman"/>
        </w:rPr>
      </w:pPr>
      <w:r>
        <w:rPr>
          <w:rFonts w:eastAsia="Times New Roman"/>
          <w:sz w:val="19"/>
          <w:szCs w:val="19"/>
        </w:rPr>
        <w:t>•</w:t>
      </w:r>
    </w:p>
    <w:p w:rsidR="00000000" w:rsidRDefault="003D51DE">
      <w:pPr>
        <w:jc w:val="both"/>
        <w:divId w:val="938172191"/>
        <w:rPr>
          <w:rFonts w:eastAsia="Times New Roman"/>
        </w:rPr>
      </w:pPr>
      <w:r>
        <w:rPr>
          <w:rFonts w:eastAsia="Times New Roman"/>
          <w:sz w:val="19"/>
          <w:szCs w:val="19"/>
        </w:rPr>
        <w:t>the dependence of our future</w:t>
      </w:r>
      <w:r>
        <w:rPr>
          <w:rFonts w:eastAsia="Times New Roman"/>
          <w:sz w:val="19"/>
          <w:szCs w:val="19"/>
        </w:rPr>
        <w:t xml:space="preserve"> success on the general economy and its impact on the industries in which we invest;</w:t>
      </w:r>
      <w:r>
        <w:rPr>
          <w:rFonts w:eastAsia="Times New Roman"/>
          <w:sz w:val="19"/>
          <w:szCs w:val="19"/>
        </w:rPr>
        <w:t xml:space="preserve"> </w:t>
      </w:r>
    </w:p>
    <w:p w:rsidR="00000000" w:rsidRDefault="003D51DE">
      <w:pPr>
        <w:jc w:val="both"/>
        <w:divId w:val="1650938414"/>
        <w:rPr>
          <w:rFonts w:eastAsia="Times New Roman"/>
        </w:rPr>
      </w:pPr>
      <w:r>
        <w:rPr>
          <w:rFonts w:eastAsia="Times New Roman"/>
          <w:sz w:val="19"/>
          <w:szCs w:val="19"/>
        </w:rPr>
        <w:t>•</w:t>
      </w:r>
    </w:p>
    <w:p w:rsidR="00000000" w:rsidRDefault="003D51DE">
      <w:pPr>
        <w:jc w:val="both"/>
        <w:divId w:val="713694349"/>
        <w:rPr>
          <w:rFonts w:eastAsia="Times New Roman"/>
        </w:rPr>
      </w:pPr>
      <w:r>
        <w:rPr>
          <w:rFonts w:eastAsia="Times New Roman"/>
          <w:sz w:val="19"/>
          <w:szCs w:val="19"/>
        </w:rPr>
        <w:t>the financial condition of and ability of our current and prospective portfolio companies to achieve their objectives;</w:t>
      </w:r>
      <w:r>
        <w:rPr>
          <w:rFonts w:eastAsia="Times New Roman"/>
          <w:sz w:val="19"/>
          <w:szCs w:val="19"/>
        </w:rPr>
        <w:t xml:space="preserve"> </w:t>
      </w:r>
    </w:p>
    <w:p w:rsidR="00000000" w:rsidRDefault="003D51DE">
      <w:pPr>
        <w:jc w:val="both"/>
        <w:divId w:val="1135566795"/>
        <w:rPr>
          <w:rFonts w:eastAsia="Times New Roman"/>
        </w:rPr>
      </w:pPr>
      <w:r>
        <w:rPr>
          <w:rFonts w:eastAsia="Times New Roman"/>
          <w:sz w:val="19"/>
          <w:szCs w:val="19"/>
        </w:rPr>
        <w:t>•</w:t>
      </w:r>
    </w:p>
    <w:p w:rsidR="00000000" w:rsidRDefault="003D51DE">
      <w:pPr>
        <w:jc w:val="both"/>
        <w:divId w:val="1222863664"/>
        <w:rPr>
          <w:rFonts w:eastAsia="Times New Roman"/>
        </w:rPr>
      </w:pPr>
      <w:r>
        <w:rPr>
          <w:rFonts w:eastAsia="Times New Roman"/>
          <w:sz w:val="19"/>
          <w:szCs w:val="19"/>
        </w:rPr>
        <w:t>our expected financings and investments;</w:t>
      </w:r>
      <w:r>
        <w:rPr>
          <w:rFonts w:eastAsia="Times New Roman"/>
          <w:sz w:val="19"/>
          <w:szCs w:val="19"/>
        </w:rPr>
        <w:t xml:space="preserve"> </w:t>
      </w:r>
    </w:p>
    <w:p w:rsidR="00000000" w:rsidRDefault="003D51DE">
      <w:pPr>
        <w:jc w:val="both"/>
        <w:divId w:val="758406338"/>
        <w:rPr>
          <w:rFonts w:eastAsia="Times New Roman"/>
        </w:rPr>
      </w:pPr>
      <w:r>
        <w:rPr>
          <w:rFonts w:eastAsia="Times New Roman"/>
          <w:sz w:val="19"/>
          <w:szCs w:val="19"/>
        </w:rPr>
        <w:t>•</w:t>
      </w:r>
    </w:p>
    <w:p w:rsidR="00000000" w:rsidRDefault="003D51DE">
      <w:pPr>
        <w:jc w:val="both"/>
        <w:divId w:val="293757907"/>
        <w:rPr>
          <w:rFonts w:eastAsia="Times New Roman"/>
        </w:rPr>
      </w:pPr>
      <w:r>
        <w:rPr>
          <w:rFonts w:eastAsia="Times New Roman"/>
          <w:sz w:val="19"/>
          <w:szCs w:val="19"/>
        </w:rPr>
        <w:t>th</w:t>
      </w:r>
      <w:r>
        <w:rPr>
          <w:rFonts w:eastAsia="Times New Roman"/>
          <w:sz w:val="19"/>
          <w:szCs w:val="19"/>
        </w:rPr>
        <w:t>e adequacy of our cash resources and working capital, including our ability to obtain continued financing on favorable terms;</w:t>
      </w:r>
      <w:r>
        <w:rPr>
          <w:rFonts w:eastAsia="Times New Roman"/>
          <w:sz w:val="19"/>
          <w:szCs w:val="19"/>
        </w:rPr>
        <w:t xml:space="preserve"> </w:t>
      </w:r>
    </w:p>
    <w:p w:rsidR="00000000" w:rsidRDefault="003D51DE">
      <w:pPr>
        <w:jc w:val="both"/>
        <w:divId w:val="1212691356"/>
        <w:rPr>
          <w:rFonts w:eastAsia="Times New Roman"/>
        </w:rPr>
      </w:pPr>
      <w:r>
        <w:rPr>
          <w:rFonts w:eastAsia="Times New Roman"/>
          <w:sz w:val="19"/>
          <w:szCs w:val="19"/>
        </w:rPr>
        <w:t>•</w:t>
      </w:r>
    </w:p>
    <w:p w:rsidR="00000000" w:rsidRDefault="003D51DE">
      <w:pPr>
        <w:jc w:val="both"/>
        <w:divId w:val="678048376"/>
        <w:rPr>
          <w:rFonts w:eastAsia="Times New Roman"/>
        </w:rPr>
      </w:pPr>
      <w:r>
        <w:rPr>
          <w:rFonts w:eastAsia="Times New Roman"/>
          <w:sz w:val="19"/>
          <w:szCs w:val="19"/>
        </w:rPr>
        <w:t>the timing of cash flows, if any, from the operations of our portfolio companies;</w:t>
      </w:r>
      <w:r>
        <w:rPr>
          <w:rFonts w:eastAsia="Times New Roman"/>
          <w:sz w:val="19"/>
          <w:szCs w:val="19"/>
        </w:rPr>
        <w:t xml:space="preserve"> </w:t>
      </w:r>
    </w:p>
    <w:p w:rsidR="00000000" w:rsidRDefault="003D51DE">
      <w:pPr>
        <w:jc w:val="both"/>
        <w:divId w:val="2025130663"/>
        <w:rPr>
          <w:rFonts w:eastAsia="Times New Roman"/>
        </w:rPr>
      </w:pPr>
      <w:r>
        <w:rPr>
          <w:rFonts w:eastAsia="Times New Roman"/>
          <w:sz w:val="19"/>
          <w:szCs w:val="19"/>
        </w:rPr>
        <w:t>•</w:t>
      </w:r>
    </w:p>
    <w:p w:rsidR="00000000" w:rsidRDefault="003D51DE">
      <w:pPr>
        <w:jc w:val="both"/>
        <w:divId w:val="1993170233"/>
        <w:rPr>
          <w:rFonts w:eastAsia="Times New Roman"/>
        </w:rPr>
      </w:pPr>
      <w:r>
        <w:rPr>
          <w:rFonts w:eastAsia="Times New Roman"/>
          <w:sz w:val="19"/>
          <w:szCs w:val="19"/>
        </w:rPr>
        <w:t>the impact of increased competition;</w:t>
      </w:r>
      <w:r>
        <w:rPr>
          <w:rFonts w:eastAsia="Times New Roman"/>
          <w:sz w:val="19"/>
          <w:szCs w:val="19"/>
        </w:rPr>
        <w:t xml:space="preserve"> </w:t>
      </w:r>
    </w:p>
    <w:p w:rsidR="00000000" w:rsidRDefault="003D51DE">
      <w:pPr>
        <w:jc w:val="both"/>
        <w:divId w:val="957445685"/>
        <w:rPr>
          <w:rFonts w:eastAsia="Times New Roman"/>
        </w:rPr>
      </w:pPr>
      <w:r>
        <w:rPr>
          <w:rFonts w:eastAsia="Times New Roman"/>
          <w:sz w:val="19"/>
          <w:szCs w:val="19"/>
        </w:rPr>
        <w:t>•</w:t>
      </w:r>
    </w:p>
    <w:p w:rsidR="00000000" w:rsidRDefault="003D51DE">
      <w:pPr>
        <w:jc w:val="both"/>
        <w:divId w:val="808016060"/>
        <w:rPr>
          <w:rFonts w:eastAsia="Times New Roman"/>
        </w:rPr>
      </w:pPr>
      <w:r>
        <w:rPr>
          <w:rFonts w:eastAsia="Times New Roman"/>
          <w:sz w:val="19"/>
          <w:szCs w:val="19"/>
        </w:rPr>
        <w:t>th</w:t>
      </w:r>
      <w:r>
        <w:rPr>
          <w:rFonts w:eastAsia="Times New Roman"/>
          <w:sz w:val="19"/>
          <w:szCs w:val="19"/>
        </w:rPr>
        <w:t>e impact of COVID-19 on our portfolio companies and the markets in which they operate, interest rates and the economy in general</w:t>
      </w:r>
      <w:r>
        <w:rPr>
          <w:rFonts w:eastAsia="Times New Roman"/>
          <w:sz w:val="19"/>
          <w:szCs w:val="19"/>
        </w:rPr>
        <w:t>;</w:t>
      </w:r>
    </w:p>
    <w:p w:rsidR="00000000" w:rsidRDefault="003D51DE">
      <w:pPr>
        <w:jc w:val="both"/>
        <w:divId w:val="100809191"/>
        <w:rPr>
          <w:rFonts w:eastAsia="Times New Roman"/>
        </w:rPr>
      </w:pPr>
      <w:r>
        <w:rPr>
          <w:rFonts w:eastAsia="Times New Roman"/>
          <w:sz w:val="19"/>
          <w:szCs w:val="19"/>
        </w:rPr>
        <w:t>•</w:t>
      </w:r>
    </w:p>
    <w:p w:rsidR="00000000" w:rsidRDefault="003D51DE">
      <w:pPr>
        <w:jc w:val="both"/>
        <w:divId w:val="18551282"/>
        <w:rPr>
          <w:rFonts w:eastAsia="Times New Roman"/>
        </w:rPr>
      </w:pPr>
      <w:r>
        <w:rPr>
          <w:rFonts w:eastAsia="Times New Roman"/>
          <w:sz w:val="19"/>
          <w:szCs w:val="19"/>
        </w:rPr>
        <w:t>the ability of the Advisor to locate suitable investments for us and to monitor and administer our investments;</w:t>
      </w:r>
      <w:r>
        <w:rPr>
          <w:rFonts w:eastAsia="Times New Roman"/>
          <w:sz w:val="19"/>
          <w:szCs w:val="19"/>
        </w:rPr>
        <w:t xml:space="preserve"> </w:t>
      </w:r>
    </w:p>
    <w:p w:rsidR="00000000" w:rsidRDefault="003D51DE">
      <w:pPr>
        <w:jc w:val="both"/>
        <w:divId w:val="348140168"/>
        <w:rPr>
          <w:rFonts w:eastAsia="Times New Roman"/>
        </w:rPr>
      </w:pPr>
      <w:r>
        <w:rPr>
          <w:rFonts w:eastAsia="Times New Roman"/>
          <w:sz w:val="19"/>
          <w:szCs w:val="19"/>
        </w:rPr>
        <w:t>•</w:t>
      </w:r>
    </w:p>
    <w:p w:rsidR="00000000" w:rsidRDefault="003D51DE">
      <w:pPr>
        <w:jc w:val="both"/>
        <w:divId w:val="1716463282"/>
        <w:rPr>
          <w:rFonts w:eastAsia="Times New Roman"/>
        </w:rPr>
      </w:pPr>
      <w:r>
        <w:rPr>
          <w:rFonts w:eastAsia="Times New Roman"/>
          <w:sz w:val="19"/>
          <w:szCs w:val="19"/>
        </w:rPr>
        <w:t>changes i</w:t>
      </w:r>
      <w:r>
        <w:rPr>
          <w:rFonts w:eastAsia="Times New Roman"/>
          <w:sz w:val="19"/>
          <w:szCs w:val="19"/>
        </w:rPr>
        <w:t>n law and policy accompanying the new administration and uncertainty pending any such changes;</w:t>
      </w:r>
      <w:r>
        <w:rPr>
          <w:rFonts w:eastAsia="Times New Roman"/>
          <w:sz w:val="19"/>
          <w:szCs w:val="19"/>
        </w:rPr>
        <w:t xml:space="preserve"> </w:t>
      </w:r>
    </w:p>
    <w:p w:rsidR="00000000" w:rsidRDefault="003D51DE">
      <w:pPr>
        <w:jc w:val="both"/>
        <w:divId w:val="134876073"/>
        <w:rPr>
          <w:rFonts w:eastAsia="Times New Roman"/>
        </w:rPr>
      </w:pPr>
      <w:r>
        <w:rPr>
          <w:rFonts w:eastAsia="Times New Roman"/>
          <w:sz w:val="19"/>
          <w:szCs w:val="19"/>
        </w:rPr>
        <w:t>•</w:t>
      </w:r>
    </w:p>
    <w:p w:rsidR="00000000" w:rsidRDefault="003D51DE">
      <w:pPr>
        <w:jc w:val="both"/>
        <w:divId w:val="848522208"/>
        <w:rPr>
          <w:rFonts w:eastAsia="Times New Roman"/>
        </w:rPr>
      </w:pPr>
      <w:r>
        <w:rPr>
          <w:rFonts w:eastAsia="Times New Roman"/>
          <w:sz w:val="19"/>
          <w:szCs w:val="19"/>
        </w:rPr>
        <w:t>increased geopolitical unrest, terrorist attacks or acts of war, which may adversely affect the general economy, domestic and local financial and capital mark</w:t>
      </w:r>
      <w:r>
        <w:rPr>
          <w:rFonts w:eastAsia="Times New Roman"/>
          <w:sz w:val="19"/>
          <w:szCs w:val="19"/>
        </w:rPr>
        <w:t>ets, or the specific industries of our portfolio companies;</w:t>
      </w:r>
      <w:r>
        <w:rPr>
          <w:rFonts w:eastAsia="Times New Roman"/>
          <w:sz w:val="19"/>
          <w:szCs w:val="19"/>
        </w:rPr>
        <w:t xml:space="preserve"> </w:t>
      </w:r>
    </w:p>
    <w:p w:rsidR="00000000" w:rsidRDefault="003D51DE">
      <w:pPr>
        <w:jc w:val="both"/>
        <w:divId w:val="515920089"/>
        <w:rPr>
          <w:rFonts w:eastAsia="Times New Roman"/>
        </w:rPr>
      </w:pPr>
      <w:r>
        <w:rPr>
          <w:rFonts w:eastAsia="Times New Roman"/>
          <w:sz w:val="19"/>
          <w:szCs w:val="19"/>
        </w:rPr>
        <w:t>•</w:t>
      </w:r>
    </w:p>
    <w:p w:rsidR="00000000" w:rsidRDefault="003D51DE">
      <w:pPr>
        <w:jc w:val="both"/>
        <w:divId w:val="1287389188"/>
        <w:rPr>
          <w:rFonts w:eastAsia="Times New Roman"/>
        </w:rPr>
      </w:pPr>
      <w:r>
        <w:rPr>
          <w:rFonts w:eastAsia="Times New Roman"/>
          <w:sz w:val="19"/>
          <w:szCs w:val="19"/>
        </w:rPr>
        <w:t>changes and volatility in political, economic or industry conditions, the interest rate environment, inflation, foreign exchange rates or financial and capital markets;</w:t>
      </w:r>
      <w:r>
        <w:rPr>
          <w:rFonts w:eastAsia="Times New Roman"/>
          <w:sz w:val="19"/>
          <w:szCs w:val="19"/>
        </w:rPr>
        <w:t xml:space="preserve"> </w:t>
      </w:r>
    </w:p>
    <w:p w:rsidR="00000000" w:rsidRDefault="003D51DE">
      <w:pPr>
        <w:jc w:val="both"/>
        <w:divId w:val="218443332"/>
        <w:rPr>
          <w:rFonts w:eastAsia="Times New Roman"/>
        </w:rPr>
      </w:pPr>
      <w:r>
        <w:rPr>
          <w:rFonts w:eastAsia="Times New Roman"/>
          <w:sz w:val="19"/>
          <w:szCs w:val="19"/>
        </w:rPr>
        <w:t>•</w:t>
      </w:r>
    </w:p>
    <w:p w:rsidR="00000000" w:rsidRDefault="003D51DE">
      <w:pPr>
        <w:jc w:val="both"/>
        <w:divId w:val="1191839454"/>
        <w:rPr>
          <w:rFonts w:eastAsia="Times New Roman"/>
        </w:rPr>
      </w:pPr>
      <w:r>
        <w:rPr>
          <w:rFonts w:eastAsia="Times New Roman"/>
          <w:sz w:val="19"/>
          <w:szCs w:val="19"/>
        </w:rPr>
        <w:t>the unfavorable resolution of legal proceedings; and</w:t>
      </w:r>
      <w:r>
        <w:rPr>
          <w:rFonts w:eastAsia="Times New Roman"/>
          <w:sz w:val="19"/>
          <w:szCs w:val="19"/>
        </w:rPr>
        <w:t xml:space="preserve"> </w:t>
      </w:r>
    </w:p>
    <w:p w:rsidR="00000000" w:rsidRDefault="003D51DE">
      <w:pPr>
        <w:jc w:val="both"/>
        <w:divId w:val="1268580420"/>
        <w:rPr>
          <w:rFonts w:eastAsia="Times New Roman"/>
        </w:rPr>
      </w:pPr>
      <w:r>
        <w:rPr>
          <w:rFonts w:eastAsia="Times New Roman"/>
          <w:sz w:val="19"/>
          <w:szCs w:val="19"/>
        </w:rPr>
        <w:t>•</w:t>
      </w:r>
    </w:p>
    <w:p w:rsidR="00000000" w:rsidRDefault="003D51DE">
      <w:pPr>
        <w:jc w:val="both"/>
        <w:divId w:val="189228408"/>
        <w:rPr>
          <w:rFonts w:eastAsia="Times New Roman"/>
        </w:rPr>
      </w:pPr>
      <w:r>
        <w:rPr>
          <w:rFonts w:eastAsia="Times New Roman"/>
          <w:sz w:val="19"/>
          <w:szCs w:val="19"/>
        </w:rPr>
        <w:t>the impact of changes to tax legislation and, generally, our tax position.</w:t>
      </w:r>
      <w:r>
        <w:rPr>
          <w:rFonts w:eastAsia="Times New Roman"/>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Overvie</w:t>
      </w:r>
      <w:r>
        <w:rPr>
          <w:b/>
          <w:bCs/>
          <w:sz w:val="19"/>
          <w:szCs w:val="19"/>
        </w:rPr>
        <w:t>w</w:t>
      </w:r>
      <w:r>
        <w:rPr>
          <w:b/>
          <w:bCs/>
          <w:sz w:val="19"/>
          <w:szCs w:val="19"/>
        </w:rPr>
        <w:t xml:space="preserve"> </w:t>
      </w:r>
    </w:p>
    <w:p w:rsidR="00000000" w:rsidRDefault="003D51DE">
      <w:pPr>
        <w:pStyle w:val="a3"/>
        <w:spacing w:before="240" w:beforeAutospacing="0" w:after="0" w:afterAutospacing="0"/>
        <w:ind w:firstLine="694"/>
        <w:jc w:val="both"/>
        <w:divId w:val="1012760208"/>
        <w:rPr>
          <w:sz w:val="20"/>
          <w:szCs w:val="20"/>
        </w:rPr>
      </w:pPr>
      <w:r>
        <w:rPr>
          <w:sz w:val="19"/>
          <w:szCs w:val="19"/>
        </w:rPr>
        <w:t>We were incorporated in Delaware on April 13, 2005 and commenced operations with private funding on July 25, 2005,</w:t>
      </w:r>
      <w:r>
        <w:rPr>
          <w:sz w:val="19"/>
          <w:szCs w:val="19"/>
        </w:rPr>
        <w:t xml:space="preserve"> and completed our initial public offering on July 2, 2007. Our investment objective is to generate both current income and capital appreciation through debt and equity investments. We invest primarily in middle-market companies in the form of senior debt </w:t>
      </w:r>
      <w:r>
        <w:rPr>
          <w:sz w:val="19"/>
          <w:szCs w:val="19"/>
        </w:rPr>
        <w:t>securities and loans, and our investment portfolio may include junior secured and unsecured debt securities and loans, each of which may include an equity component</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We are externally managed and have elected to be regulated as a BDC under the 1940 Act. As</w:t>
      </w:r>
      <w:r>
        <w:rPr>
          <w:sz w:val="19"/>
          <w:szCs w:val="19"/>
        </w:rPr>
        <w:t xml:space="preserve"> a BDC, we are required to comply with certain regulatory requirements. For instance, we generally have to invest at least 70% of our total assets in “qualifying assets,” including securities of private or thinly traded public U.S. companies, cash, cash eq</w:t>
      </w:r>
      <w:r>
        <w:rPr>
          <w:sz w:val="19"/>
          <w:szCs w:val="19"/>
        </w:rPr>
        <w:t>uivalents, U.S. Government securities and high-quality debt investments that mature in one year or less</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4</w:t>
      </w:r>
    </w:p>
    <w:p w:rsidR="00000000" w:rsidRDefault="003D51DE">
      <w:pPr>
        <w:rPr>
          <w:rFonts w:eastAsia="Times New Roman"/>
        </w:rPr>
      </w:pPr>
      <w:r>
        <w:rPr>
          <w:rFonts w:eastAsia="Times New Roman"/>
        </w:rPr>
        <w:pict>
          <v:rect id="_x0000_i1068"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0" w:afterAutospacing="0"/>
        <w:ind w:firstLine="694"/>
        <w:jc w:val="both"/>
        <w:rPr>
          <w:sz w:val="20"/>
          <w:szCs w:val="20"/>
        </w:rPr>
      </w:pPr>
      <w:r>
        <w:rPr>
          <w:sz w:val="19"/>
          <w:szCs w:val="19"/>
        </w:rPr>
        <w:t>Certain items previously reported may have been reclassified to conform to the current year presentation</w:t>
      </w:r>
      <w:r>
        <w:rPr>
          <w:sz w:val="19"/>
          <w:szCs w:val="19"/>
        </w:rPr>
        <w:t>.</w:t>
      </w:r>
      <w:r>
        <w:rPr>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Investment</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Our level of investment activity can and does vary substantially from period to period depending on many factors, including the amount of debt and equity capital available to middle-market companies, the level of merger and acquisition activi</w:t>
      </w:r>
      <w:r>
        <w:rPr>
          <w:sz w:val="19"/>
          <w:szCs w:val="19"/>
        </w:rPr>
        <w:t>ty, the general economic environment, the competitive environment for the types of investments we make and the level of repayment activity from our portfolio companies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As a BDC, we generally do not acquire any assets other than “qualifying assets” specif</w:t>
      </w:r>
      <w:r>
        <w:rPr>
          <w:sz w:val="19"/>
          <w:szCs w:val="19"/>
        </w:rPr>
        <w:t>ied in the 1940 Act unless, at the time the acquisition is made, at least 70% of our total assets are qualifying assets (with certain limited exceptions). Qualifying assets include investments in “eligible portfolio companies.” Under the relevant SEC rules</w:t>
      </w:r>
      <w:r>
        <w:rPr>
          <w:sz w:val="19"/>
          <w:szCs w:val="19"/>
        </w:rPr>
        <w:t xml:space="preserve">, the term “eligible portfolio company” includes most private companies, companies whose securities are not listed on a national securities exchange, and certain public companies that have listed their securities on a national securities exchange and have </w:t>
      </w:r>
      <w:r>
        <w:rPr>
          <w:sz w:val="19"/>
          <w:szCs w:val="19"/>
        </w:rPr>
        <w:t>a market capitalization of less than $250 million. These rules also permit us to include as qualifying assets certain follow-on investments in companies that were eligible portfolio companies at the time of initial investment but that no longer meet the de</w:t>
      </w:r>
      <w:r>
        <w:rPr>
          <w:sz w:val="19"/>
          <w:szCs w:val="19"/>
        </w:rPr>
        <w:t>finition</w:t>
      </w:r>
      <w:r>
        <w:rPr>
          <w:sz w:val="19"/>
          <w:szCs w:val="19"/>
        </w:rPr>
        <w:t>.</w:t>
      </w:r>
      <w:r>
        <w:rPr>
          <w:sz w:val="15"/>
          <w:szCs w:val="15"/>
        </w:rPr>
        <w:t xml:space="preserve"> </w:t>
      </w:r>
      <w:r>
        <w:rPr>
          <w:sz w:val="19"/>
          <w:szCs w:val="19"/>
        </w:rPr>
        <w:t>As of September 30, 2022, approximately 14.6% of the total assets of the Company were not qualifying assets under Section 55(a) of the 1940 Act</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Revenue</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We generate revenues primarily in the form of interest on the debt we hold, dividends on ou</w:t>
      </w:r>
      <w:r>
        <w:rPr>
          <w:sz w:val="19"/>
          <w:szCs w:val="19"/>
        </w:rPr>
        <w:t xml:space="preserve">r equity interests and capital gains on the sale of warrants and other debt or equity interests that we acquire in portfolio companies. Our investments in fixed income instruments generally have an expected maturity of three to ten years, although we have </w:t>
      </w:r>
      <w:r>
        <w:rPr>
          <w:sz w:val="19"/>
          <w:szCs w:val="19"/>
        </w:rPr>
        <w:t>no lower or upper constraint on maturity, and typically bear interest at a fixed or floating rate. Interest on our debt securities is generally payable monthly, quarterly or semi-annually. In some cases, our debt instruments and preferred stock investments</w:t>
      </w:r>
      <w:r>
        <w:rPr>
          <w:sz w:val="19"/>
          <w:szCs w:val="19"/>
        </w:rPr>
        <w:t xml:space="preserve"> may defer payments of cash interest or dividends or pay interest or dividends in-kind. Any outstanding principal amount of our debt securities and any accrued but unpaid interest will generally become due at the maturity date. In addition, we may generate</w:t>
      </w:r>
      <w:r>
        <w:rPr>
          <w:sz w:val="19"/>
          <w:szCs w:val="19"/>
        </w:rPr>
        <w:t xml:space="preserve"> revenue in the form of prepayment fees, commitment, origination, capital structuring fees, end-of-term or exit fees, for providing significant managerial assistance, and other investment related income</w:t>
      </w:r>
      <w:r>
        <w:rPr>
          <w:sz w:val="19"/>
          <w:szCs w:val="19"/>
        </w:rPr>
        <w:t>.</w:t>
      </w:r>
      <w:r>
        <w:rPr>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Expense</w:t>
      </w:r>
      <w:r>
        <w:rPr>
          <w:b/>
          <w:bCs/>
          <w:i/>
          <w:iCs/>
          <w:sz w:val="19"/>
          <w:szCs w:val="19"/>
        </w:rPr>
        <w:t>s</w:t>
      </w:r>
    </w:p>
    <w:p w:rsidR="00000000" w:rsidRDefault="003D51DE">
      <w:pPr>
        <w:pStyle w:val="a3"/>
        <w:spacing w:before="240" w:beforeAutospacing="0" w:after="0" w:afterAutospacing="0"/>
        <w:ind w:firstLine="694"/>
        <w:jc w:val="both"/>
        <w:rPr>
          <w:sz w:val="20"/>
          <w:szCs w:val="20"/>
        </w:rPr>
      </w:pPr>
      <w:r>
        <w:rPr>
          <w:sz w:val="19"/>
          <w:szCs w:val="19"/>
        </w:rPr>
        <w:t>Our primary operating expenses include the</w:t>
      </w:r>
      <w:r>
        <w:rPr>
          <w:sz w:val="19"/>
          <w:szCs w:val="19"/>
        </w:rPr>
        <w:t xml:space="preserve"> payment of a Management Fee and, depending on our operating results, Incentive Fees, interest and credit facility fees, expenses reimbursable under the Current Management Agreement, professional fees, administration fees and the allocable portion of overh</w:t>
      </w:r>
      <w:r>
        <w:rPr>
          <w:sz w:val="19"/>
          <w:szCs w:val="19"/>
        </w:rPr>
        <w:t>ead under the administration agreement. The Management Fee and Incentive Fee compensate the Advisor for work in identifying, evaluating, negotiating, closing and monitoring our investments. Our Current Management Agreement with the Advisor provides that we</w:t>
      </w:r>
      <w:r>
        <w:rPr>
          <w:sz w:val="19"/>
          <w:szCs w:val="19"/>
        </w:rPr>
        <w:t xml:space="preserve"> will reimburse the Advisor for costs and expenses incurred by the Advisor for office space rental, office equipment and utilities allocable to the Advisor under the Current Management Agreement, as well as any costs and expenses incurred by the Advisor re</w:t>
      </w:r>
      <w:r>
        <w:rPr>
          <w:sz w:val="19"/>
          <w:szCs w:val="19"/>
        </w:rPr>
        <w:t>lating to any non-investment advisory, administrative or operating services provided by the Advisor to us. We bear all other costs and expenses of our operations and transactions</w:t>
      </w:r>
      <w:r>
        <w:rPr>
          <w:sz w:val="19"/>
          <w:szCs w:val="19"/>
        </w:rPr>
        <w:t>.</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Critical accounting policies and estimate</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Our discussion and analysis of our financial condition and results of operations are based upon our consolidated financial statements, which have been prepared in accordance with GAAP. The preparation of these co</w:t>
      </w:r>
      <w:r>
        <w:rPr>
          <w:sz w:val="19"/>
          <w:szCs w:val="19"/>
        </w:rPr>
        <w:t>nsolidated financial statements in conformity with GAAP requires management to make estimates and assumptions that affect the reported amounts of assets and liabilities and disclosure of contingent assets and liabilities at the date of the consolidated fin</w:t>
      </w:r>
      <w:r>
        <w:rPr>
          <w:sz w:val="19"/>
          <w:szCs w:val="19"/>
        </w:rPr>
        <w:t>ancial statements, as well as the reported amounts of revenues and expenses during the reporting periods presented. Although management believes these estimates and assumptions to be reasonable, actual results could differ from those estimates and such dif</w:t>
      </w:r>
      <w:r>
        <w:rPr>
          <w:sz w:val="19"/>
          <w:szCs w:val="19"/>
        </w:rPr>
        <w:t>ferences could be material</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Management considers the significant accounting policies important to understanding the consolidated financial statements. In addition to the discussion below, our significant accounting policies are further described in the not</w:t>
      </w:r>
      <w:r>
        <w:rPr>
          <w:sz w:val="19"/>
          <w:szCs w:val="19"/>
        </w:rPr>
        <w:t>es to the consolidated financial statements. See Note 2 to the consolidated financial statements for a description of significant accounting policies and of recently adopted accounting pronouncements. Management considers Investments to be an area deemed a</w:t>
      </w:r>
      <w:r>
        <w:rPr>
          <w:sz w:val="19"/>
          <w:szCs w:val="19"/>
        </w:rPr>
        <w:t xml:space="preserve"> critical accounting policy as a result of the judgments necessary for management to select valuation methodologies and to select significant unobservable inputs to estimate fair value. Pursuant to Rule 2a-5 (the "Rule") under the 1940 Act, the Company’s B</w:t>
      </w:r>
      <w:r>
        <w:rPr>
          <w:sz w:val="19"/>
          <w:szCs w:val="19"/>
        </w:rPr>
        <w:t>oard has designated the Advisor as the Company’s Valuation Designee to perform certain fair value functions, including performing fair value determinations, and has reviewed and approved amended policies and procedures adopted by BCIA to seek to ensure com</w:t>
      </w:r>
      <w:r>
        <w:rPr>
          <w:sz w:val="19"/>
          <w:szCs w:val="19"/>
        </w:rPr>
        <w:t>pliance with the requirements of the Rule as part of such designation. The Valuation Designee will provide quarterly valuation reporting and notifications on any material valuation matters to the Board as required under the Rule (see Note 2 to the consolid</w:t>
      </w:r>
      <w:r>
        <w:rPr>
          <w:sz w:val="19"/>
          <w:szCs w:val="19"/>
        </w:rPr>
        <w:t>ated financial statements)</w:t>
      </w:r>
      <w:r>
        <w:rPr>
          <w:sz w:val="19"/>
          <w:szCs w:val="19"/>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5</w:t>
      </w:r>
    </w:p>
    <w:p w:rsidR="00000000" w:rsidRDefault="003D51DE">
      <w:pPr>
        <w:rPr>
          <w:rFonts w:eastAsia="Times New Roman"/>
        </w:rPr>
      </w:pPr>
      <w:r>
        <w:rPr>
          <w:rFonts w:eastAsia="Times New Roman"/>
        </w:rPr>
        <w:pict>
          <v:rect id="_x0000_i1069"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rPr>
          <w:sz w:val="20"/>
          <w:szCs w:val="20"/>
        </w:rPr>
      </w:pPr>
      <w:r>
        <w:rPr>
          <w:b/>
          <w:bCs/>
          <w:sz w:val="19"/>
          <w:szCs w:val="19"/>
        </w:rPr>
        <w:t>Financial and operating highlight</w:t>
      </w:r>
      <w:r>
        <w:rPr>
          <w:b/>
          <w:bCs/>
          <w:sz w:val="19"/>
          <w:szCs w:val="19"/>
        </w:rPr>
        <w:t>s</w:t>
      </w:r>
      <w:r>
        <w:rPr>
          <w:b/>
          <w:bCs/>
          <w:sz w:val="19"/>
          <w:szCs w:val="19"/>
        </w:rPr>
        <w:t xml:space="preserve"> </w:t>
      </w:r>
    </w:p>
    <w:p w:rsidR="00000000" w:rsidRDefault="003D51DE">
      <w:pPr>
        <w:pStyle w:val="a3"/>
        <w:spacing w:before="240" w:beforeAutospacing="0" w:after="0" w:afterAutospacing="0"/>
        <w:jc w:val="both"/>
        <w:rPr>
          <w:sz w:val="20"/>
          <w:szCs w:val="20"/>
        </w:rPr>
      </w:pPr>
      <w:r>
        <w:rPr>
          <w:sz w:val="19"/>
          <w:szCs w:val="19"/>
        </w:rPr>
        <w:t>At September 30, 2022</w:t>
      </w:r>
      <w:r>
        <w:rPr>
          <w:sz w:val="19"/>
          <w:szCs w:val="19"/>
        </w:rPr>
        <w:t>:</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Investment portfolio, at fair value: $574.6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Net assets: $332.0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Indebtedness, excluding deferred issuance c</w:t>
      </w:r>
      <w:r>
        <w:rPr>
          <w:sz w:val="19"/>
          <w:szCs w:val="19"/>
        </w:rPr>
        <w:t>osts: $262.0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Net asset value per share: $4.5</w:t>
      </w:r>
      <w:r>
        <w:rPr>
          <w:sz w:val="19"/>
          <w:szCs w:val="19"/>
        </w:rPr>
        <w:t>6</w:t>
      </w:r>
    </w:p>
    <w:p w:rsidR="00000000" w:rsidRDefault="003D51DE">
      <w:pPr>
        <w:pStyle w:val="a3"/>
        <w:spacing w:before="240" w:beforeAutospacing="0" w:after="0" w:afterAutospacing="0"/>
        <w:jc w:val="both"/>
        <w:rPr>
          <w:sz w:val="20"/>
          <w:szCs w:val="20"/>
        </w:rPr>
      </w:pPr>
      <w:r>
        <w:rPr>
          <w:sz w:val="19"/>
          <w:szCs w:val="19"/>
        </w:rPr>
        <w:t>Portfolio Activity for the Three Months Ended September 30, 2022</w:t>
      </w:r>
      <w:r>
        <w:rPr>
          <w:sz w:val="19"/>
          <w:szCs w:val="19"/>
        </w:rPr>
        <w:t>:</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Cost of investments during period, including PIK: $78.0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Sales, repayments and other exits during period: $60.8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Numbe</w:t>
      </w:r>
      <w:r>
        <w:rPr>
          <w:sz w:val="19"/>
          <w:szCs w:val="19"/>
        </w:rPr>
        <w:t>r of portfolio companies at end of period: 11</w:t>
      </w:r>
      <w:r>
        <w:rPr>
          <w:sz w:val="19"/>
          <w:szCs w:val="19"/>
        </w:rPr>
        <w:t>1</w:t>
      </w:r>
    </w:p>
    <w:p w:rsidR="00000000" w:rsidRDefault="003D51DE">
      <w:pPr>
        <w:pStyle w:val="a3"/>
        <w:spacing w:before="240" w:beforeAutospacing="0" w:after="0" w:afterAutospacing="0"/>
        <w:jc w:val="both"/>
        <w:rPr>
          <w:sz w:val="20"/>
          <w:szCs w:val="20"/>
        </w:rPr>
      </w:pPr>
      <w:r>
        <w:rPr>
          <w:sz w:val="19"/>
          <w:szCs w:val="19"/>
        </w:rPr>
        <w:t>Operating Results for the Three Months Ended September 30, 2022</w:t>
      </w:r>
      <w:r>
        <w:rPr>
          <w:sz w:val="19"/>
          <w:szCs w:val="19"/>
        </w:rPr>
        <w:t>:</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Net investment income per share: $0.1</w:t>
      </w:r>
      <w:r>
        <w:rPr>
          <w:sz w:val="19"/>
          <w:szCs w:val="19"/>
        </w:rPr>
        <w:t>0</w:t>
      </w:r>
    </w:p>
    <w:p w:rsidR="00000000" w:rsidRDefault="003D51DE">
      <w:pPr>
        <w:pStyle w:val="a3"/>
        <w:spacing w:before="0" w:beforeAutospacing="0" w:after="0" w:afterAutospacing="0"/>
        <w:ind w:firstLine="694"/>
        <w:jc w:val="both"/>
        <w:rPr>
          <w:sz w:val="20"/>
          <w:szCs w:val="20"/>
        </w:rPr>
      </w:pPr>
      <w:r>
        <w:rPr>
          <w:sz w:val="19"/>
          <w:szCs w:val="19"/>
        </w:rPr>
        <w:t>Dividends declared per share: $0.1</w:t>
      </w:r>
      <w:r>
        <w:rPr>
          <w:sz w:val="19"/>
          <w:szCs w:val="19"/>
        </w:rPr>
        <w:t>0</w:t>
      </w:r>
    </w:p>
    <w:p w:rsidR="00000000" w:rsidRDefault="003D51DE">
      <w:pPr>
        <w:pStyle w:val="a3"/>
        <w:spacing w:before="0" w:beforeAutospacing="0" w:after="0" w:afterAutospacing="0"/>
        <w:ind w:firstLine="694"/>
        <w:jc w:val="both"/>
        <w:rPr>
          <w:sz w:val="20"/>
          <w:szCs w:val="20"/>
        </w:rPr>
      </w:pPr>
      <w:r>
        <w:rPr>
          <w:sz w:val="19"/>
          <w:szCs w:val="19"/>
        </w:rPr>
        <w:t>Basic earnings (loss) per share: $0.0</w:t>
      </w:r>
      <w:r>
        <w:rPr>
          <w:sz w:val="19"/>
          <w:szCs w:val="19"/>
        </w:rPr>
        <w:t>8</w:t>
      </w:r>
    </w:p>
    <w:p w:rsidR="00000000" w:rsidRDefault="003D51DE">
      <w:pPr>
        <w:pStyle w:val="a3"/>
        <w:spacing w:before="0" w:beforeAutospacing="0" w:after="0" w:afterAutospacing="0"/>
        <w:ind w:firstLine="694"/>
        <w:jc w:val="both"/>
        <w:rPr>
          <w:sz w:val="20"/>
          <w:szCs w:val="20"/>
        </w:rPr>
      </w:pPr>
      <w:r>
        <w:rPr>
          <w:sz w:val="19"/>
          <w:szCs w:val="19"/>
        </w:rPr>
        <w:t>Net investment income: $7.7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Net realized and unrealized gain (loss): $(2.1) millio</w:t>
      </w:r>
      <w:r>
        <w:rPr>
          <w:sz w:val="19"/>
          <w:szCs w:val="19"/>
        </w:rPr>
        <w:t>n</w:t>
      </w:r>
    </w:p>
    <w:p w:rsidR="00000000" w:rsidRDefault="003D51DE">
      <w:pPr>
        <w:pStyle w:val="a3"/>
        <w:spacing w:before="0" w:beforeAutospacing="0" w:after="0" w:afterAutospacing="0"/>
        <w:ind w:firstLine="694"/>
        <w:jc w:val="both"/>
        <w:rPr>
          <w:sz w:val="20"/>
          <w:szCs w:val="20"/>
        </w:rPr>
      </w:pPr>
      <w:r>
        <w:rPr>
          <w:sz w:val="19"/>
          <w:szCs w:val="19"/>
        </w:rPr>
        <w:t>Net increase (decrease) in net assets from operations: $5.6 millio</w:t>
      </w:r>
      <w:r>
        <w:rPr>
          <w:sz w:val="19"/>
          <w:szCs w:val="19"/>
        </w:rPr>
        <w:t>n</w:t>
      </w:r>
      <w:r>
        <w:rPr>
          <w:sz w:val="19"/>
          <w:szCs w:val="19"/>
        </w:rPr>
        <w:t xml:space="preserve"> </w:t>
      </w:r>
    </w:p>
    <w:p w:rsidR="00000000" w:rsidRDefault="003D51DE">
      <w:pPr>
        <w:pStyle w:val="a3"/>
        <w:spacing w:before="0" w:beforeAutospacing="0" w:after="0" w:afterAutospacing="0"/>
        <w:ind w:firstLine="694"/>
        <w:jc w:val="both"/>
        <w:rPr>
          <w:sz w:val="20"/>
          <w:szCs w:val="20"/>
        </w:rPr>
      </w:pPr>
      <w:r>
        <w:rPr>
          <w:sz w:val="19"/>
          <w:szCs w:val="19"/>
        </w:rPr>
        <w:t>Net investment income per share, as adjuste</w:t>
      </w:r>
      <w:r>
        <w:rPr>
          <w:sz w:val="19"/>
          <w:szCs w:val="19"/>
        </w:rPr>
        <w:t>d</w:t>
      </w:r>
      <w:r>
        <w:rPr>
          <w:sz w:val="13"/>
          <w:szCs w:val="13"/>
          <w:vertAlign w:val="superscript"/>
        </w:rPr>
        <w:t>1</w:t>
      </w:r>
      <w:r>
        <w:rPr>
          <w:sz w:val="19"/>
          <w:szCs w:val="19"/>
        </w:rPr>
        <w:t>: $0.1</w:t>
      </w:r>
      <w:r>
        <w:rPr>
          <w:sz w:val="19"/>
          <w:szCs w:val="19"/>
        </w:rPr>
        <w:t>0</w:t>
      </w:r>
    </w:p>
    <w:p w:rsidR="00000000" w:rsidRDefault="003D51DE">
      <w:pPr>
        <w:pStyle w:val="a3"/>
        <w:spacing w:before="0" w:beforeAutospacing="0" w:after="0" w:afterAutospacing="0"/>
        <w:ind w:firstLine="694"/>
        <w:jc w:val="both"/>
        <w:rPr>
          <w:sz w:val="20"/>
          <w:szCs w:val="20"/>
        </w:rPr>
      </w:pPr>
      <w:r>
        <w:rPr>
          <w:sz w:val="19"/>
          <w:szCs w:val="19"/>
        </w:rPr>
        <w:t>Basic earnings (loss) per share, as adjuste</w:t>
      </w:r>
      <w:r>
        <w:rPr>
          <w:sz w:val="19"/>
          <w:szCs w:val="19"/>
        </w:rPr>
        <w:t>d</w:t>
      </w:r>
      <w:r>
        <w:rPr>
          <w:sz w:val="13"/>
          <w:szCs w:val="13"/>
          <w:vertAlign w:val="superscript"/>
        </w:rPr>
        <w:t>1</w:t>
      </w:r>
      <w:r>
        <w:rPr>
          <w:sz w:val="19"/>
          <w:szCs w:val="19"/>
        </w:rPr>
        <w:t>: $0.0</w:t>
      </w:r>
      <w:r>
        <w:rPr>
          <w:sz w:val="19"/>
          <w:szCs w:val="19"/>
        </w:rPr>
        <w:t>8</w:t>
      </w:r>
    </w:p>
    <w:p w:rsidR="00000000" w:rsidRDefault="003D51DE">
      <w:pPr>
        <w:pStyle w:val="a3"/>
        <w:spacing w:before="0" w:beforeAutospacing="0" w:after="0" w:afterAutospacing="0"/>
        <w:ind w:firstLine="694"/>
        <w:jc w:val="both"/>
        <w:rPr>
          <w:sz w:val="20"/>
          <w:szCs w:val="20"/>
        </w:rPr>
      </w:pPr>
      <w:r>
        <w:rPr>
          <w:sz w:val="19"/>
          <w:szCs w:val="19"/>
        </w:rPr>
        <w:t>Net investment income, as adjuste</w:t>
      </w:r>
      <w:r>
        <w:rPr>
          <w:sz w:val="19"/>
          <w:szCs w:val="19"/>
        </w:rPr>
        <w:t>d</w:t>
      </w:r>
      <w:r>
        <w:rPr>
          <w:sz w:val="13"/>
          <w:szCs w:val="13"/>
          <w:vertAlign w:val="superscript"/>
        </w:rPr>
        <w:t>1</w:t>
      </w:r>
      <w:r>
        <w:rPr>
          <w:sz w:val="19"/>
          <w:szCs w:val="19"/>
        </w:rPr>
        <w:t>: $7.7 millio</w:t>
      </w:r>
      <w:r>
        <w:rPr>
          <w:sz w:val="19"/>
          <w:szCs w:val="19"/>
        </w:rPr>
        <w:t>n</w:t>
      </w:r>
    </w:p>
    <w:p w:rsidR="00000000" w:rsidRDefault="003D51DE">
      <w:pPr>
        <w:pStyle w:val="a3"/>
        <w:spacing w:before="0" w:beforeAutospacing="0" w:after="0" w:afterAutospacing="0"/>
        <w:ind w:firstLine="694"/>
        <w:jc w:val="both"/>
        <w:rPr>
          <w:sz w:val="20"/>
          <w:szCs w:val="20"/>
        </w:rPr>
      </w:pPr>
      <w:r>
        <w:rPr>
          <w:sz w:val="19"/>
          <w:szCs w:val="19"/>
        </w:rPr>
        <w:t xml:space="preserve">Net increase (decrease) in net </w:t>
      </w:r>
      <w:r>
        <w:rPr>
          <w:sz w:val="19"/>
          <w:szCs w:val="19"/>
        </w:rPr>
        <w:t>assets from operations, as adjuste</w:t>
      </w:r>
      <w:r>
        <w:rPr>
          <w:sz w:val="19"/>
          <w:szCs w:val="19"/>
        </w:rPr>
        <w:t>d</w:t>
      </w:r>
      <w:r>
        <w:rPr>
          <w:sz w:val="13"/>
          <w:szCs w:val="13"/>
          <w:vertAlign w:val="superscript"/>
        </w:rPr>
        <w:t>1</w:t>
      </w:r>
      <w:r>
        <w:rPr>
          <w:sz w:val="19"/>
          <w:szCs w:val="19"/>
        </w:rPr>
        <w:t>: $5.6 millio</w:t>
      </w:r>
      <w:r>
        <w:rPr>
          <w:sz w:val="19"/>
          <w:szCs w:val="19"/>
        </w:rPr>
        <w:t>n</w:t>
      </w:r>
    </w:p>
    <w:p w:rsidR="00000000" w:rsidRDefault="003D51DE">
      <w:pPr>
        <w:pStyle w:val="a3"/>
        <w:spacing w:before="180" w:beforeAutospacing="0" w:after="0" w:afterAutospacing="0"/>
        <w:ind w:firstLine="694"/>
        <w:jc w:val="both"/>
        <w:rPr>
          <w:sz w:val="20"/>
          <w:szCs w:val="20"/>
        </w:rPr>
      </w:pPr>
      <w:r>
        <w:rPr>
          <w:b/>
          <w:bCs/>
          <w:sz w:val="19"/>
          <w:szCs w:val="19"/>
        </w:rPr>
        <w:t>As Adjuste</w:t>
      </w:r>
      <w:r>
        <w:rPr>
          <w:b/>
          <w:bCs/>
          <w:sz w:val="19"/>
          <w:szCs w:val="19"/>
        </w:rPr>
        <w:t>d</w:t>
      </w:r>
      <w:r>
        <w:rPr>
          <w:sz w:val="13"/>
          <w:szCs w:val="13"/>
          <w:vertAlign w:val="superscript"/>
        </w:rPr>
        <w:t>1</w:t>
      </w:r>
      <w:r>
        <w:rPr>
          <w:sz w:val="19"/>
          <w:szCs w:val="19"/>
        </w:rPr>
        <w:t>: The Company reports its financial results in accordance with GAAP; however, management believes evaluating the Company’s ongoing operating results may be enhanced if investors have additional</w:t>
      </w:r>
      <w:r>
        <w:rPr>
          <w:sz w:val="19"/>
          <w:szCs w:val="19"/>
        </w:rPr>
        <w:t xml:space="preserve"> non-GAAP financial measures. See “Supplemental Non-GAAP information” for further information on non-GAAP financial measures and for as adjusted items, which are adjusted to remove the impact of the accrued hypothetical liquidation basis incentive fee expe</w:t>
      </w:r>
      <w:r>
        <w:rPr>
          <w:sz w:val="19"/>
          <w:szCs w:val="19"/>
        </w:rPr>
        <w:t>nse reversal based on capital gains that was recorded, as required by GAAP, and to include only the incremental incentive fee based on income. Under the Current Management Agreement, incentive fee expense based on income is calculated for each calendar qua</w:t>
      </w:r>
      <w:r>
        <w:rPr>
          <w:sz w:val="19"/>
          <w:szCs w:val="19"/>
        </w:rPr>
        <w:t>rter and may be paid on a quarterly basis if certain thresholds are met. Adjusted amounts reflect the fact that no Incentive Fee on capital gains was realized and payable to the Advisor during the three months ended September 30, 2022</w:t>
      </w:r>
      <w:r>
        <w:rPr>
          <w:sz w:val="19"/>
          <w:szCs w:val="19"/>
        </w:rPr>
        <w:t>.</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Portfolio and inves</w:t>
      </w:r>
      <w:r>
        <w:rPr>
          <w:b/>
          <w:bCs/>
          <w:sz w:val="19"/>
          <w:szCs w:val="19"/>
        </w:rPr>
        <w:t>tment activit</w:t>
      </w:r>
      <w:r>
        <w:rPr>
          <w:b/>
          <w:bCs/>
          <w:sz w:val="19"/>
          <w:szCs w:val="19"/>
        </w:rPr>
        <w:t>y</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We invested approximately $78.0 million, including PIK, during the three months ended September 30, 2022. The new investments consisted of senior secured loans secured by first lien ($77.9 million, or 99.9%) and equity securities ($0.1 mill</w:t>
      </w:r>
      <w:r>
        <w:rPr>
          <w:sz w:val="19"/>
          <w:szCs w:val="19"/>
        </w:rPr>
        <w:t>ion, or 0.1%). Additionally, we received proceeds from sales, repayments and other exits of approximately $60.8 million during the three months ended September 30, 2022</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Concentration of our assets in an issuer, industry or sector may present certain risk</w:t>
      </w:r>
      <w:r>
        <w:rPr>
          <w:sz w:val="19"/>
          <w:szCs w:val="19"/>
        </w:rPr>
        <w:t>s. To the extent that we assume large positions in the securities of a small number of issuers, our net asset value may fluctuate to a greater extent than that of a diversified investment company as a result of changes in the financial condition or the mar</w:t>
      </w:r>
      <w:r>
        <w:rPr>
          <w:sz w:val="19"/>
          <w:szCs w:val="19"/>
        </w:rPr>
        <w:t>ket’s assessment of the issuer. At September 30, 2022, our portfolio of $574.6 million (at fair value) consisted of 111 portfolio companies and was invested approximately 94% in senior secured loans, 4% in unsecured or subordinated debt securities, 2% in e</w:t>
      </w:r>
      <w:r>
        <w:rPr>
          <w:sz w:val="19"/>
          <w:szCs w:val="19"/>
        </w:rPr>
        <w:t xml:space="preserve">quity investments, and less than 1% in senior secured notes. Our average investment by portfolio company at amortized cost was approximately $5.8 million at September 30, 2022. Our largest portfolio company investment at fair value was approximately $24.9 </w:t>
      </w:r>
      <w:r>
        <w:rPr>
          <w:sz w:val="19"/>
          <w:szCs w:val="19"/>
        </w:rPr>
        <w:t>million and our five largest portfolio company investments at fair value comprised approximately 15% of our portfolio at September 30, 2022. At December 31, 2021, our portfolio of $552.6 million (at fair value) consisted of 86 portfolio companies and was i</w:t>
      </w:r>
      <w:r>
        <w:rPr>
          <w:sz w:val="19"/>
          <w:szCs w:val="19"/>
        </w:rPr>
        <w:t>nvested 93% in senior secured loans, 5% in unsecured or subordinated debt securities, 2% in equity investments and less than 1% in senior secured notes. Our average investment by portfolio company at amortized cost was approximately $7.1 million at Decembe</w:t>
      </w:r>
      <w:r>
        <w:rPr>
          <w:sz w:val="19"/>
          <w:szCs w:val="19"/>
        </w:rPr>
        <w:t>r 31, 2021. Our largest portfolio company investment at fair value was approximately $37.3 million and our five largest portfolio company investments by value comprised approximately 21% of our portfolio at December 31, 2021</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In addition, we may, from tim</w:t>
      </w:r>
      <w:r>
        <w:rPr>
          <w:sz w:val="19"/>
          <w:szCs w:val="19"/>
        </w:rPr>
        <w:t>e to time, invest a substantial portion of our assets in the securities of issuers in any single industry or sector of the economy or in only a few issuers. A downturn in an industry or sector in which we are concentrated could have a larger impact on us t</w:t>
      </w:r>
      <w:r>
        <w:rPr>
          <w:sz w:val="19"/>
          <w:szCs w:val="19"/>
        </w:rPr>
        <w:t>han on a company that does not concentrate in that particular industry or sector. Our Advisor monitors industry and sector uncertainties on an ongoing basis, including substantial regulatory challenges in the healthcare sector, volatility and extensive gov</w:t>
      </w:r>
      <w:r>
        <w:rPr>
          <w:sz w:val="19"/>
          <w:szCs w:val="19"/>
        </w:rPr>
        <w:t>ernment regulation in the financial services sector, cyclical risks associated with the overall economy and events outside of our control, including public health crises such as COVID-19, or other geopolitical or macroeconomic events (see Item 1A. Risk Fac</w:t>
      </w:r>
      <w:r>
        <w:rPr>
          <w:sz w:val="19"/>
          <w:szCs w:val="19"/>
        </w:rPr>
        <w:t>tors for further details), which may have resulted in a negative impact to certain industries, including significant reductions in demand for certain goods and services, reductions in business activity and financial transactions, supply chain interruptions</w:t>
      </w:r>
      <w:r>
        <w:rPr>
          <w:sz w:val="19"/>
          <w:szCs w:val="19"/>
        </w:rPr>
        <w:t xml:space="preserve"> and overall economic and financial market instability both globally and in the United States (see Note 5 to the consolidated financial statements), among various other industry and sector uncertainties due to certain exposures. At September 30, 2022, our </w:t>
      </w:r>
      <w:r>
        <w:rPr>
          <w:sz w:val="19"/>
          <w:szCs w:val="19"/>
        </w:rPr>
        <w:t>top three industry concentrations at fair value consisted of Diversified Financial Services (14.6%), Software (13.3%), and Internet Software &amp; Services (11.1%). At December 31, 2021, our top three industry concentrations at fair value consisted of Diversif</w:t>
      </w:r>
      <w:r>
        <w:rPr>
          <w:sz w:val="19"/>
          <w:szCs w:val="19"/>
        </w:rPr>
        <w:t>ied Financial Services (13.6%), Internet Software &amp; Services (11.2%) and Road &amp; Rail (10.5%) (see Note 5 to the consolidated financial statements)</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6</w:t>
      </w:r>
    </w:p>
    <w:p w:rsidR="00000000" w:rsidRDefault="003D51DE">
      <w:pPr>
        <w:rPr>
          <w:rFonts w:eastAsia="Times New Roman"/>
        </w:rPr>
      </w:pPr>
      <w:r>
        <w:rPr>
          <w:rFonts w:eastAsia="Times New Roman"/>
        </w:rPr>
        <w:pict>
          <v:rect id="_x0000_i1070"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40" w:afterAutospacing="0"/>
        <w:ind w:firstLine="694"/>
        <w:jc w:val="both"/>
        <w:rPr>
          <w:sz w:val="20"/>
          <w:szCs w:val="20"/>
        </w:rPr>
      </w:pPr>
      <w:r>
        <w:rPr>
          <w:sz w:val="19"/>
          <w:szCs w:val="19"/>
        </w:rPr>
        <w:t xml:space="preserve">The weighted average portfolio yields at fair value and cost as </w:t>
      </w:r>
      <w:r>
        <w:rPr>
          <w:sz w:val="19"/>
          <w:szCs w:val="19"/>
        </w:rPr>
        <w:t>of September 30, 2022 and December 31, 2021 were as follows</w:t>
      </w:r>
      <w:r>
        <w:rPr>
          <w:sz w:val="19"/>
          <w:szCs w:val="19"/>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683"/>
        <w:gridCol w:w="110"/>
        <w:gridCol w:w="110"/>
        <w:gridCol w:w="728"/>
        <w:gridCol w:w="227"/>
        <w:gridCol w:w="110"/>
        <w:gridCol w:w="110"/>
        <w:gridCol w:w="738"/>
        <w:gridCol w:w="227"/>
        <w:gridCol w:w="110"/>
        <w:gridCol w:w="111"/>
        <w:gridCol w:w="752"/>
        <w:gridCol w:w="227"/>
        <w:gridCol w:w="110"/>
        <w:gridCol w:w="110"/>
        <w:gridCol w:w="770"/>
        <w:gridCol w:w="242"/>
      </w:tblGrid>
      <w:tr w:rsidR="00000000">
        <w:trPr>
          <w:tblCellSpacing w:w="15" w:type="dxa"/>
        </w:trPr>
        <w:tc>
          <w:tcPr>
            <w:tcW w:w="1986"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8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0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19"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Cos</w:t>
            </w:r>
            <w:r>
              <w:rPr>
                <w:b/>
                <w:bCs/>
                <w:sz w:val="16"/>
                <w:szCs w:val="16"/>
              </w:rPr>
              <w:t>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b/>
                <w:bCs/>
                <w:sz w:val="20"/>
                <w:szCs w:val="20"/>
              </w:rPr>
              <w:t>Weighted Average Yiel</w:t>
            </w:r>
            <w:r>
              <w:rPr>
                <w:b/>
                <w:bCs/>
                <w:sz w:val="20"/>
                <w:szCs w:val="20"/>
              </w:rPr>
              <w:t>d</w:t>
            </w:r>
            <w:r>
              <w:rPr>
                <w:b/>
                <w:bCs/>
                <w:sz w:val="13"/>
                <w:szCs w:val="13"/>
              </w:rPr>
              <w:t>(1</w:t>
            </w:r>
            <w:r>
              <w:rPr>
                <w:b/>
                <w:bCs/>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Total portfoli</w:t>
            </w:r>
            <w:r>
              <w:rPr>
                <w:sz w:val="20"/>
                <w:szCs w:val="20"/>
              </w:rPr>
              <w:t>o</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Senior secured loan</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Other debt securitie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Debt and income producing equity securitie</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10.</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r>
    </w:tbl>
    <w:p w:rsidR="00000000" w:rsidRDefault="003D51DE">
      <w:pPr>
        <w:pStyle w:val="a3"/>
        <w:pBdr>
          <w:bottom w:val="single" w:sz="4" w:space="1" w:color="auto"/>
        </w:pBdr>
        <w:spacing w:before="0" w:beforeAutospacing="0" w:after="0" w:afterAutospacing="0"/>
        <w:ind w:left="595" w:right="8810"/>
        <w:jc w:val="both"/>
        <w:rPr>
          <w:sz w:val="20"/>
          <w:szCs w:val="20"/>
        </w:rPr>
      </w:pPr>
      <w:r>
        <w:rPr>
          <w:sz w:val="20"/>
          <w:szCs w:val="20"/>
        </w:rPr>
        <w:t> </w:t>
      </w:r>
    </w:p>
    <w:p w:rsidR="00000000" w:rsidRDefault="003D51DE">
      <w:pPr>
        <w:jc w:val="both"/>
        <w:divId w:val="703600562"/>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515079154"/>
        <w:rPr>
          <w:rFonts w:eastAsia="Times New Roman"/>
        </w:rPr>
      </w:pPr>
      <w:r>
        <w:rPr>
          <w:rFonts w:eastAsia="Times New Roman"/>
          <w:sz w:val="15"/>
          <w:szCs w:val="15"/>
        </w:rPr>
        <w:t>Computed as (a) the annual stated interest rate or yield earned plus the net annual amortization of original issue discount, divided by (b) the amortized cost or at fair value of each category, as applicable. The calculation excludes exit fees that are rec</w:t>
      </w:r>
      <w:r>
        <w:rPr>
          <w:rFonts w:eastAsia="Times New Roman"/>
          <w:sz w:val="15"/>
          <w:szCs w:val="15"/>
        </w:rPr>
        <w:t>eivable upon repayment of certain loan investments.</w:t>
      </w:r>
      <w:r>
        <w:rPr>
          <w:rFonts w:eastAsia="Times New Roman"/>
          <w:sz w:val="15"/>
          <w:szCs w:val="15"/>
        </w:rPr>
        <w:t xml:space="preserve"> </w:t>
      </w:r>
    </w:p>
    <w:p w:rsidR="00000000" w:rsidRDefault="003D51DE">
      <w:pPr>
        <w:pStyle w:val="a3"/>
        <w:spacing w:before="40" w:beforeAutospacing="0" w:after="0" w:afterAutospacing="0"/>
        <w:jc w:val="both"/>
        <w:rPr>
          <w:sz w:val="20"/>
          <w:szCs w:val="20"/>
        </w:rPr>
      </w:pPr>
      <w:r>
        <w:rPr>
          <w:sz w:val="20"/>
          <w:szCs w:val="20"/>
        </w:rPr>
        <w:t> </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ind w:firstLine="694"/>
        <w:jc w:val="both"/>
        <w:rPr>
          <w:sz w:val="20"/>
          <w:szCs w:val="20"/>
        </w:rPr>
      </w:pPr>
      <w:r>
        <w:rPr>
          <w:sz w:val="19"/>
          <w:szCs w:val="19"/>
        </w:rPr>
        <w:t>For the three and nine months ended September 30, 2022, the total return based on net asset value was 2.5% and 4.0%, respectively. For the three and nine months ended September 30, 2022, the total return based on market price was (5.1)% and (8.6)%, respect</w:t>
      </w:r>
      <w:r>
        <w:rPr>
          <w:sz w:val="19"/>
          <w:szCs w:val="19"/>
        </w:rPr>
        <w:t>ively. For the three and nine months ended September 30, 2021, the total return based on net asset value was 3.9% and 20.9%, respectively. For the three and nine months ended September 30, 2021, the total return based on market price was 0.5% and 54.5%, re</w:t>
      </w:r>
      <w:r>
        <w:rPr>
          <w:sz w:val="19"/>
          <w:szCs w:val="19"/>
        </w:rPr>
        <w:t xml:space="preserve">spectively. Total returns are historical and are calculated by determining the percentage change in the net asset value or market price with all dividends reinvested, if any. Dividends are assumed to be reinvested in accordance with the Company’s dividend </w:t>
      </w:r>
      <w:r>
        <w:rPr>
          <w:sz w:val="19"/>
          <w:szCs w:val="19"/>
        </w:rPr>
        <w:t>reinvestment plan and do not reflect brokerage commissions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The Advisor generally employs a grading system for our entire portfolio. The Advisor grades all loans on a scale of 1 to 4. This system is intended to reflect the performance of the borrower’s bu</w:t>
      </w:r>
      <w:r>
        <w:rPr>
          <w:sz w:val="19"/>
          <w:szCs w:val="19"/>
        </w:rPr>
        <w:t>siness, the collateral coverage of the loans and other factors considered relevant. Generally, the Advisor assigns only one loan grade to each portfolio company for all loan investments in that portfolio company; however, the Advisor will assign multiple r</w:t>
      </w:r>
      <w:r>
        <w:rPr>
          <w:sz w:val="19"/>
          <w:szCs w:val="19"/>
        </w:rPr>
        <w:t>atings when appropriate for different investments in one portfolio company. The following is a description of the conditions associated with each investment rating</w:t>
      </w:r>
      <w:r>
        <w:rPr>
          <w:sz w:val="19"/>
          <w:szCs w:val="19"/>
        </w:rPr>
        <w:t>:</w:t>
      </w:r>
      <w:r>
        <w:rPr>
          <w:sz w:val="19"/>
          <w:szCs w:val="19"/>
        </w:rPr>
        <w:t xml:space="preserve"> </w:t>
      </w:r>
    </w:p>
    <w:p w:rsidR="00000000" w:rsidRDefault="003D51DE">
      <w:pPr>
        <w:pStyle w:val="a3"/>
        <w:spacing w:before="120" w:beforeAutospacing="0" w:after="0" w:afterAutospacing="0"/>
        <w:ind w:left="595"/>
        <w:jc w:val="both"/>
        <w:rPr>
          <w:sz w:val="20"/>
          <w:szCs w:val="20"/>
        </w:rPr>
      </w:pPr>
      <w:r>
        <w:rPr>
          <w:b/>
          <w:bCs/>
          <w:sz w:val="19"/>
          <w:szCs w:val="19"/>
        </w:rPr>
        <w:t>Grade 1:</w:t>
      </w:r>
      <w:r>
        <w:rPr>
          <w:b/>
          <w:bCs/>
          <w:sz w:val="19"/>
          <w:szCs w:val="19"/>
        </w:rPr>
        <w:t xml:space="preserve"> </w:t>
      </w:r>
      <w:r>
        <w:rPr>
          <w:sz w:val="19"/>
          <w:szCs w:val="19"/>
        </w:rPr>
        <w:t>Investments in portfolio companies whose performance is substantially within or a</w:t>
      </w:r>
      <w:r>
        <w:rPr>
          <w:sz w:val="19"/>
          <w:szCs w:val="19"/>
        </w:rPr>
        <w:t>bove the Advisor’s original base case expectations and whose risk factors are neutral to favorable to those at the time of the original investment or subsequent restructuring</w:t>
      </w:r>
      <w:r>
        <w:rPr>
          <w:sz w:val="19"/>
          <w:szCs w:val="19"/>
        </w:rPr>
        <w:t>.</w:t>
      </w:r>
    </w:p>
    <w:p w:rsidR="00000000" w:rsidRDefault="003D51DE">
      <w:pPr>
        <w:pStyle w:val="a3"/>
        <w:spacing w:before="120" w:beforeAutospacing="0" w:after="0" w:afterAutospacing="0"/>
        <w:ind w:left="595"/>
        <w:jc w:val="both"/>
        <w:rPr>
          <w:sz w:val="20"/>
          <w:szCs w:val="20"/>
        </w:rPr>
      </w:pPr>
      <w:r>
        <w:rPr>
          <w:b/>
          <w:bCs/>
          <w:sz w:val="19"/>
          <w:szCs w:val="19"/>
        </w:rPr>
        <w:t>Grade 2:</w:t>
      </w:r>
      <w:r>
        <w:rPr>
          <w:b/>
          <w:bCs/>
          <w:sz w:val="19"/>
          <w:szCs w:val="19"/>
        </w:rPr>
        <w:t xml:space="preserve"> </w:t>
      </w:r>
      <w:r>
        <w:rPr>
          <w:sz w:val="19"/>
          <w:szCs w:val="19"/>
        </w:rPr>
        <w:t>Investments in portfolio companies whose performance is materially belo</w:t>
      </w:r>
      <w:r>
        <w:rPr>
          <w:sz w:val="19"/>
          <w:szCs w:val="19"/>
        </w:rPr>
        <w:t>w the Advisor’s original base case expectations or risk factors have increased since the time of original investment or subsequent restructuring. No loss of investment return or principal (or invested capital) is expected</w:t>
      </w:r>
      <w:r>
        <w:rPr>
          <w:sz w:val="19"/>
          <w:szCs w:val="19"/>
        </w:rPr>
        <w:t>.</w:t>
      </w:r>
    </w:p>
    <w:p w:rsidR="00000000" w:rsidRDefault="003D51DE">
      <w:pPr>
        <w:pStyle w:val="a3"/>
        <w:spacing w:before="120" w:beforeAutospacing="0" w:after="0" w:afterAutospacing="0"/>
        <w:ind w:left="595"/>
        <w:jc w:val="both"/>
        <w:rPr>
          <w:sz w:val="20"/>
          <w:szCs w:val="20"/>
        </w:rPr>
      </w:pPr>
      <w:r>
        <w:rPr>
          <w:b/>
          <w:bCs/>
          <w:sz w:val="19"/>
          <w:szCs w:val="19"/>
        </w:rPr>
        <w:t>Grade 3:</w:t>
      </w:r>
      <w:r>
        <w:rPr>
          <w:b/>
          <w:bCs/>
          <w:sz w:val="19"/>
          <w:szCs w:val="19"/>
        </w:rPr>
        <w:t xml:space="preserve"> </w:t>
      </w:r>
      <w:r>
        <w:rPr>
          <w:sz w:val="19"/>
          <w:szCs w:val="19"/>
        </w:rPr>
        <w:t>Investments in portfolio</w:t>
      </w:r>
      <w:r>
        <w:rPr>
          <w:sz w:val="19"/>
          <w:szCs w:val="19"/>
        </w:rPr>
        <w:t xml:space="preserve"> companies whose performance is materially below the Advisor’s original base case expectations or risk factors have increased materially since the time of original investment or subsequent restructuring. Some loss of investment return is expected, but no l</w:t>
      </w:r>
      <w:r>
        <w:rPr>
          <w:sz w:val="19"/>
          <w:szCs w:val="19"/>
        </w:rPr>
        <w:t>oss of principal (or invested capital) is expected</w:t>
      </w:r>
      <w:r>
        <w:rPr>
          <w:sz w:val="19"/>
          <w:szCs w:val="19"/>
        </w:rPr>
        <w:t>.</w:t>
      </w:r>
      <w:r>
        <w:rPr>
          <w:sz w:val="19"/>
          <w:szCs w:val="19"/>
        </w:rPr>
        <w:t xml:space="preserve"> </w:t>
      </w:r>
    </w:p>
    <w:p w:rsidR="00000000" w:rsidRDefault="003D51DE">
      <w:pPr>
        <w:pStyle w:val="a3"/>
        <w:spacing w:before="120" w:beforeAutospacing="0" w:after="0" w:afterAutospacing="0"/>
        <w:ind w:left="595"/>
        <w:jc w:val="both"/>
        <w:rPr>
          <w:sz w:val="20"/>
          <w:szCs w:val="20"/>
        </w:rPr>
      </w:pPr>
      <w:r>
        <w:rPr>
          <w:b/>
          <w:bCs/>
          <w:sz w:val="19"/>
          <w:szCs w:val="19"/>
        </w:rPr>
        <w:t>Grade 4:</w:t>
      </w:r>
      <w:r>
        <w:rPr>
          <w:b/>
          <w:bCs/>
          <w:sz w:val="19"/>
          <w:szCs w:val="19"/>
        </w:rPr>
        <w:t xml:space="preserve"> </w:t>
      </w:r>
      <w:r>
        <w:rPr>
          <w:sz w:val="19"/>
          <w:szCs w:val="19"/>
        </w:rPr>
        <w:t>Investments in portfolio companies whose performance is materially below the Advisor’s original base case expectations or risk factors have increased substantially since the time of original inv</w:t>
      </w:r>
      <w:r>
        <w:rPr>
          <w:sz w:val="19"/>
          <w:szCs w:val="19"/>
        </w:rPr>
        <w:t>estment or subsequent restructuring. Some loss of principal (or invested capital) is expected</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The Advisor monitors and, when appropriate, changes the investment ratings assigned to each investment in our portfolio. In connection with our valuation process</w:t>
      </w:r>
      <w:r>
        <w:rPr>
          <w:sz w:val="19"/>
          <w:szCs w:val="19"/>
        </w:rPr>
        <w:t>, the Advisor and Board review these investment ratings on a quarterly basis. Our weighted average investment rating was 1.28 at September 30, 2022 and 1.21 at December 31, 2021. The following is a distribution of the investment ratings of our portfolio co</w:t>
      </w:r>
      <w:r>
        <w:rPr>
          <w:sz w:val="19"/>
          <w:szCs w:val="19"/>
        </w:rPr>
        <w:t>mpanies, at fair value, at September 30, 2022 and December 31, 2021</w:t>
      </w:r>
      <w:r>
        <w:rPr>
          <w:sz w:val="19"/>
          <w:szCs w:val="19"/>
        </w:rPr>
        <w:t>:</w:t>
      </w:r>
      <w:r>
        <w:rPr>
          <w:sz w:val="19"/>
          <w:szCs w:val="19"/>
        </w:rPr>
        <w:t xml:space="preserve"> </w:t>
      </w:r>
    </w:p>
    <w:p w:rsidR="00000000" w:rsidRDefault="003D51DE">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80"/>
        <w:gridCol w:w="110"/>
        <w:gridCol w:w="160"/>
        <w:gridCol w:w="1060"/>
        <w:gridCol w:w="110"/>
        <w:gridCol w:w="110"/>
        <w:gridCol w:w="160"/>
        <w:gridCol w:w="1060"/>
        <w:gridCol w:w="125"/>
      </w:tblGrid>
      <w:tr w:rsidR="00000000">
        <w:trPr>
          <w:tblCellSpacing w:w="15" w:type="dxa"/>
        </w:trPr>
        <w:tc>
          <w:tcPr>
            <w:tcW w:w="3387"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w:t>
            </w:r>
            <w:r>
              <w:rPr>
                <w:b/>
                <w:bCs/>
                <w:sz w:val="16"/>
                <w:szCs w:val="16"/>
              </w:rPr>
              <w:br/>
              <w:t>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December 31,</w:t>
            </w:r>
            <w:r>
              <w:rPr>
                <w:b/>
                <w:bCs/>
                <w:sz w:val="16"/>
                <w:szCs w:val="16"/>
              </w:rPr>
              <w:br/>
              <w:t>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Grade </w:t>
            </w:r>
            <w:r>
              <w:rPr>
                <w:sz w:val="20"/>
                <w:szCs w:val="20"/>
              </w:rPr>
              <w:t>1</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449,167,00</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474,466,65</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Grade </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98,522,48</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49,356,29</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Grade </w:t>
            </w:r>
            <w:r>
              <w:rPr>
                <w:sz w:val="20"/>
                <w:szCs w:val="20"/>
              </w:rPr>
              <w:t>3</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2,146,41</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 xml:space="preserve">Grade </w:t>
            </w:r>
            <w:r>
              <w:rPr>
                <w:sz w:val="20"/>
                <w:szCs w:val="20"/>
              </w:rPr>
              <w:t>4</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19,094,49</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22,579,31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rPr>
                <w:sz w:val="20"/>
                <w:szCs w:val="20"/>
              </w:rPr>
            </w:pPr>
            <w:r>
              <w:rPr>
                <w:sz w:val="20"/>
                <w:szCs w:val="20"/>
              </w:rPr>
              <w:t>Not Rate</w:t>
            </w:r>
            <w:r>
              <w:rPr>
                <w:sz w:val="20"/>
                <w:szCs w:val="20"/>
              </w:rPr>
              <w:t>d</w:t>
            </w:r>
            <w:r>
              <w:rPr>
                <w:sz w:val="13"/>
                <w:szCs w:val="13"/>
              </w:rPr>
              <w:t>(1</w:t>
            </w:r>
            <w:r>
              <w:rPr>
                <w:sz w:val="13"/>
                <w:szCs w:val="13"/>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5,650,72</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6,161,73</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3D51DE">
            <w:pPr>
              <w:pStyle w:val="a3"/>
              <w:spacing w:before="0" w:beforeAutospacing="0" w:after="0" w:afterAutospacing="0"/>
              <w:ind w:left="300"/>
              <w:rPr>
                <w:sz w:val="20"/>
                <w:szCs w:val="20"/>
              </w:rPr>
            </w:pPr>
            <w:r>
              <w:rPr>
                <w:sz w:val="20"/>
                <w:szCs w:val="20"/>
              </w:rPr>
              <w:t>Total investment</w:t>
            </w:r>
            <w:r>
              <w:rPr>
                <w:sz w:val="20"/>
                <w:szCs w:val="20"/>
              </w:rPr>
              <w:t>s</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574,581,13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552,563,99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left="595" w:right="8810"/>
        <w:jc w:val="both"/>
        <w:rPr>
          <w:sz w:val="20"/>
          <w:szCs w:val="20"/>
        </w:rPr>
      </w:pPr>
      <w:r>
        <w:rPr>
          <w:sz w:val="20"/>
          <w:szCs w:val="20"/>
        </w:rPr>
        <w:t> </w:t>
      </w:r>
    </w:p>
    <w:p w:rsidR="00000000" w:rsidRDefault="003D51DE">
      <w:pPr>
        <w:jc w:val="both"/>
        <w:divId w:val="2005237402"/>
        <w:rPr>
          <w:rFonts w:eastAsia="Times New Roman"/>
        </w:rPr>
      </w:pPr>
      <w:r>
        <w:rPr>
          <w:rFonts w:eastAsia="Times New Roman"/>
          <w:sz w:val="17"/>
          <w:szCs w:val="17"/>
          <w:vertAlign w:val="superscript"/>
        </w:rPr>
        <w:t>(1</w:t>
      </w:r>
      <w:r>
        <w:rPr>
          <w:rFonts w:eastAsia="Times New Roman"/>
          <w:sz w:val="17"/>
          <w:szCs w:val="17"/>
          <w:vertAlign w:val="superscript"/>
        </w:rPr>
        <w:t>)</w:t>
      </w:r>
    </w:p>
    <w:p w:rsidR="00000000" w:rsidRDefault="003D51DE">
      <w:pPr>
        <w:jc w:val="both"/>
        <w:divId w:val="473838445"/>
        <w:rPr>
          <w:rFonts w:eastAsia="Times New Roman"/>
        </w:rPr>
      </w:pPr>
      <w:r>
        <w:rPr>
          <w:rFonts w:eastAsia="Times New Roman"/>
          <w:sz w:val="15"/>
          <w:szCs w:val="15"/>
        </w:rPr>
        <w:t>The 'Not Rated' category at September 30, 2022 consists primarily of the Company’s residual equity investments in Stitch Holdings, L.P. and MBS Parent, LLC. Not Rated category as of December 31, 2021 consists primarily of the Company’s residual equity inve</w:t>
      </w:r>
      <w:r>
        <w:rPr>
          <w:rFonts w:eastAsia="Times New Roman"/>
          <w:sz w:val="15"/>
          <w:szCs w:val="15"/>
        </w:rPr>
        <w:t>stments in Stitch Holdings, L.P. and AGY Equity, LLC. For purposes of calculating our weighted average investment rating, the Not Rated category is excluded</w:t>
      </w:r>
      <w:r>
        <w:rPr>
          <w:rFonts w:eastAsia="Times New Roman"/>
          <w:sz w:val="15"/>
          <w:szCs w:val="15"/>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7</w:t>
      </w:r>
    </w:p>
    <w:p w:rsidR="00000000" w:rsidRDefault="003D51DE">
      <w:pPr>
        <w:rPr>
          <w:rFonts w:eastAsia="Times New Roman"/>
        </w:rPr>
      </w:pPr>
      <w:r>
        <w:rPr>
          <w:rFonts w:eastAsia="Times New Roman"/>
        </w:rPr>
        <w:pict>
          <v:rect id="_x0000_i1071"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rPr>
          <w:sz w:val="20"/>
          <w:szCs w:val="20"/>
        </w:rPr>
      </w:pPr>
      <w:r>
        <w:rPr>
          <w:b/>
          <w:bCs/>
          <w:sz w:val="19"/>
          <w:szCs w:val="19"/>
        </w:rPr>
        <w:t>Results of operation</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i/>
          <w:iCs/>
          <w:sz w:val="19"/>
          <w:szCs w:val="19"/>
        </w:rPr>
        <w:t>Results comparisons for the three months ended September 30, 2022 and 2021</w:t>
      </w:r>
      <w:r>
        <w:rPr>
          <w:i/>
          <w:iCs/>
          <w:sz w:val="19"/>
          <w:szCs w:val="19"/>
        </w:rPr>
        <w:t>.</w:t>
      </w:r>
      <w:r>
        <w:rPr>
          <w:i/>
          <w:iCs/>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Investment incom</w:t>
      </w:r>
      <w:r>
        <w:rPr>
          <w:b/>
          <w:bCs/>
          <w:i/>
          <w:iCs/>
          <w:sz w:val="19"/>
          <w:szCs w:val="19"/>
        </w:rPr>
        <w:t>e</w:t>
      </w:r>
      <w:r>
        <w:rPr>
          <w:b/>
          <w:bCs/>
          <w:i/>
          <w:iCs/>
          <w:sz w:val="19"/>
          <w:szCs w:val="19"/>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427"/>
        <w:gridCol w:w="110"/>
        <w:gridCol w:w="150"/>
        <w:gridCol w:w="1134"/>
        <w:gridCol w:w="105"/>
        <w:gridCol w:w="105"/>
        <w:gridCol w:w="150"/>
        <w:gridCol w:w="1174"/>
        <w:gridCol w:w="120"/>
      </w:tblGrid>
      <w:tr w:rsidR="00000000">
        <w:trPr>
          <w:tblCellSpacing w:w="15" w:type="dxa"/>
        </w:trPr>
        <w:tc>
          <w:tcPr>
            <w:tcW w:w="3067" w:type="pct"/>
            <w:vAlign w:val="center"/>
            <w:hideMark/>
          </w:tcPr>
          <w:p w:rsidR="00000000" w:rsidRDefault="003D51DE">
            <w:pPr>
              <w:rPr>
                <w:sz w:val="20"/>
                <w:szCs w:val="20"/>
              </w:rPr>
            </w:pPr>
          </w:p>
        </w:tc>
        <w:tc>
          <w:tcPr>
            <w:tcW w:w="5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9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2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Investment incom</w:t>
            </w:r>
            <w:r>
              <w:rPr>
                <w:b/>
                <w:bCs/>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fees on senior secured loan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15,726,74</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11,893,53</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fees on other debt securitie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168,52</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137,60</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earned on short-term investments, cash equivalent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48,94</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15</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Dividends and fees on equity securitie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81,18</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483,03</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investment incom</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16,025,39</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12,514,32</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spacing w:before="180" w:beforeAutospacing="0" w:after="0" w:afterAutospacing="0"/>
        <w:ind w:firstLine="694"/>
        <w:jc w:val="both"/>
        <w:rPr>
          <w:sz w:val="20"/>
          <w:szCs w:val="20"/>
        </w:rPr>
      </w:pPr>
      <w:r>
        <w:rPr>
          <w:sz w:val="19"/>
          <w:szCs w:val="19"/>
        </w:rPr>
        <w:t>Total investment income for the three months ended September 30, 2022 increased $3.5 million, or 28.1%, as compared to the three months ended September 30, 2021. The increase was primarily due to 1) a 13.6% higher average balance in senior secured loans, a</w:t>
      </w:r>
      <w:r>
        <w:rPr>
          <w:sz w:val="19"/>
          <w:szCs w:val="19"/>
        </w:rPr>
        <w:t>t amortized cost, during the three months ended September 30, 2022; 2) an 11.8% increase in the weighted average yield on senior secured loans period over period as a result of a higher interest rate environment; and 3) an increase in fee and other one-tim</w:t>
      </w:r>
      <w:r>
        <w:rPr>
          <w:sz w:val="19"/>
          <w:szCs w:val="19"/>
        </w:rPr>
        <w:t>e income of $0.6 million period over period as a result of certain exited investments during the quarter. The increased balance of senior secured loans is primarily due to net deployments during 2021 and the nine months ended September 30, 2022, which were</w:t>
      </w:r>
      <w:r>
        <w:rPr>
          <w:sz w:val="19"/>
          <w:szCs w:val="19"/>
        </w:rPr>
        <w:t xml:space="preserve"> substantially all in senior secured debt. These increases are partially offset by a decrease in dividend income of $0.4 million period over period, which is primarily attributable to the exit of BCIC Senior Loan Partners, LLC (“Senior Loan Partners”) duri</w:t>
      </w:r>
      <w:r>
        <w:rPr>
          <w:sz w:val="19"/>
          <w:szCs w:val="19"/>
        </w:rPr>
        <w:t>ng December 2021</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Expense</w:t>
      </w:r>
      <w:r>
        <w:rPr>
          <w:b/>
          <w:bCs/>
          <w:i/>
          <w:iCs/>
          <w:sz w:val="19"/>
          <w:szCs w:val="19"/>
        </w:rPr>
        <w:t>s</w:t>
      </w:r>
      <w:r>
        <w:rPr>
          <w:b/>
          <w:bCs/>
          <w:i/>
          <w:iCs/>
          <w:sz w:val="19"/>
          <w:szCs w:val="19"/>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56"/>
        <w:gridCol w:w="110"/>
        <w:gridCol w:w="150"/>
        <w:gridCol w:w="1364"/>
        <w:gridCol w:w="105"/>
        <w:gridCol w:w="105"/>
        <w:gridCol w:w="150"/>
        <w:gridCol w:w="1400"/>
        <w:gridCol w:w="135"/>
      </w:tblGrid>
      <w:tr w:rsidR="00000000">
        <w:trPr>
          <w:tblCellSpacing w:w="15" w:type="dxa"/>
        </w:trPr>
        <w:tc>
          <w:tcPr>
            <w:tcW w:w="2741" w:type="pct"/>
            <w:vAlign w:val="center"/>
            <w:hideMark/>
          </w:tcPr>
          <w:p w:rsidR="00000000" w:rsidRDefault="003D51DE">
            <w:pPr>
              <w:rPr>
                <w:sz w:val="20"/>
                <w:szCs w:val="20"/>
              </w:rPr>
            </w:pPr>
          </w:p>
        </w:tc>
        <w:tc>
          <w:tcPr>
            <w:tcW w:w="6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5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7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Operating expense</w:t>
            </w:r>
            <w:r>
              <w:rPr>
                <w:b/>
                <w:bCs/>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other debt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3,337,73</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2,973,40</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Management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2,118,11</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2,086,21</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fees on incom</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1,621,40</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79,38</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fees on capital gain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1,291,95</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Administrative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345,70</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333,05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Professional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214,02</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301,97</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Insurance expens</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187,02</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204,19</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Director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149,37</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158,12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Investment advisor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25,81</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87,50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Other operating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363,16</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167,73</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expenses, before 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8,362,35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7,683,55</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(79,38</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expenses, net of 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8,362,35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7,604,17</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spacing w:before="180" w:beforeAutospacing="0" w:after="0" w:afterAutospacing="0"/>
        <w:ind w:firstLine="694"/>
        <w:jc w:val="both"/>
        <w:rPr>
          <w:sz w:val="20"/>
          <w:szCs w:val="20"/>
        </w:rPr>
      </w:pPr>
      <w:r>
        <w:rPr>
          <w:sz w:val="19"/>
          <w:szCs w:val="19"/>
        </w:rPr>
        <w:t>Total expenses, net of incentive fee waiver, increased $0.8 million, or 10.0%, for the three months ended September 30, 2022 from the comparable period in 2021, primarily due to increases in Incentive Fees on income and interest and other debt expenses, wh</w:t>
      </w:r>
      <w:r>
        <w:rPr>
          <w:sz w:val="19"/>
          <w:szCs w:val="19"/>
        </w:rPr>
        <w:t>ich were partially offset by a decrease in accrued Incentive Fees on capital gains, as required by GAAP during the three months ended September 30, 2022</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For the three months ended September 30, 2022 and 2021, the Company incurred $1.6 million and $0.1 mil</w:t>
      </w:r>
      <w:r>
        <w:rPr>
          <w:sz w:val="19"/>
          <w:szCs w:val="19"/>
        </w:rPr>
        <w:t>lion, respectively, of Incentive Fees based on income. The increase is due to higher pre-incentive net investment income in excess of the hurdle period over period. For the three months ended September 30, 2021, the Advisor voluntarily waived Incentive Fee</w:t>
      </w:r>
      <w:r>
        <w:rPr>
          <w:sz w:val="19"/>
          <w:szCs w:val="19"/>
        </w:rPr>
        <w:t>s on income of $0.1 million, resulting in no net Incentive Fees for the period</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The Company is required under GAAP to accrue a hypothetical liquidation basis Incentive Fee on capital gains (if any), based upon net realized capital gains and unrealized capi</w:t>
      </w:r>
      <w:r>
        <w:rPr>
          <w:sz w:val="19"/>
          <w:szCs w:val="19"/>
        </w:rPr>
        <w:t>tal appreciation and depreciation on investments held at the end of each period. If the resulting calculation amount is negative, the accrual for GAAP in a given period may result in the reduction or reversal of Incentive Fees on capital gains accrued in a</w:t>
      </w:r>
      <w:r>
        <w:rPr>
          <w:sz w:val="19"/>
          <w:szCs w:val="19"/>
        </w:rPr>
        <w:t xml:space="preserve"> prior period (see Note 3 to the consolidated financial statements). The accrual (reversal) of Incentive Fees on capital gains was zero and $1.3 million during the three months ended September 30, 2022 and 2021, respectively. As of September 30, 2022 and D</w:t>
      </w:r>
      <w:r>
        <w:rPr>
          <w:sz w:val="19"/>
          <w:szCs w:val="19"/>
        </w:rPr>
        <w:t>ecember 31, 2021, the balance of accrued Incentive Fees on capital gains was zero and $1.5 million, respectively. However, as of December 31, 2021 no Incentive Fees on capital gains were realized and payable to the Advisor as of such date</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Interest and ot</w:t>
      </w:r>
      <w:r>
        <w:rPr>
          <w:sz w:val="19"/>
          <w:szCs w:val="19"/>
        </w:rPr>
        <w:t>her debt expenses increased approximately $0.4 million, or 12.3%, for the three months ended September 30, 2022 from the comparable period in 2021 due to an increase in the average debt outstanding period over period, and a higher interest rate environment</w:t>
      </w:r>
      <w:r>
        <w:rPr>
          <w:sz w:val="19"/>
          <w:szCs w:val="19"/>
        </w:rPr>
        <w:t xml:space="preserve"> (see Note 4 to the consolidated financial statements)</w:t>
      </w:r>
      <w:r>
        <w:rPr>
          <w:sz w:val="19"/>
          <w:szCs w:val="19"/>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8</w:t>
      </w:r>
    </w:p>
    <w:p w:rsidR="00000000" w:rsidRDefault="003D51DE">
      <w:pPr>
        <w:rPr>
          <w:rFonts w:eastAsia="Times New Roman"/>
        </w:rPr>
      </w:pPr>
      <w:r>
        <w:rPr>
          <w:rFonts w:eastAsia="Times New Roman"/>
        </w:rPr>
        <w:pict>
          <v:rect id="_x0000_i1072"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ind w:firstLine="694"/>
        <w:jc w:val="both"/>
        <w:rPr>
          <w:sz w:val="20"/>
          <w:szCs w:val="20"/>
        </w:rPr>
      </w:pPr>
      <w:r>
        <w:rPr>
          <w:b/>
          <w:bCs/>
          <w:i/>
          <w:iCs/>
          <w:sz w:val="19"/>
          <w:szCs w:val="19"/>
        </w:rPr>
        <w:t>Net investment incom</w:t>
      </w:r>
      <w:r>
        <w:rPr>
          <w:b/>
          <w:bCs/>
          <w:i/>
          <w:iCs/>
          <w:sz w:val="19"/>
          <w:szCs w:val="19"/>
        </w:rPr>
        <w:t>e</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Net investment income was $7.7 million and $4.9 million for the three months ended September 30, 2022 and 2021, respectively. The inc</w:t>
      </w:r>
      <w:r>
        <w:rPr>
          <w:sz w:val="19"/>
          <w:szCs w:val="19"/>
        </w:rPr>
        <w:t>rease of approximately $2.8 million, or 56.1%, was due to a $3.5 million increase in total investment income, partially offset by an $0.8 million increase in expenses described above</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Net realized gain or los</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Net realized gain (loss) recorded for the thr</w:t>
      </w:r>
      <w:r>
        <w:rPr>
          <w:sz w:val="19"/>
          <w:szCs w:val="19"/>
        </w:rPr>
        <w:t>ee months ended September 30, 2022 was $0.4 million, primarily due to escrow proceeds received from SVP - Singer Holdings, LP and</w:t>
      </w:r>
      <w:r>
        <w:rPr>
          <w:sz w:val="19"/>
          <w:szCs w:val="19"/>
        </w:rPr>
        <w:t xml:space="preserve"> </w:t>
      </w:r>
      <w:r>
        <w:rPr>
          <w:sz w:val="18"/>
          <w:szCs w:val="18"/>
        </w:rPr>
        <w:t>ECI Cayman Holdings, LP</w:t>
      </w:r>
      <w:r>
        <w:rPr>
          <w:sz w:val="18"/>
          <w:szCs w:val="18"/>
        </w:rPr>
        <w:t>,</w:t>
      </w:r>
      <w:r>
        <w:rPr>
          <w:sz w:val="19"/>
          <w:szCs w:val="19"/>
        </w:rPr>
        <w:t xml:space="preserve"> which were exited during 2021 and 2018, respectively. Net realized gain (loss) for the three months e</w:t>
      </w:r>
      <w:r>
        <w:rPr>
          <w:sz w:val="19"/>
          <w:szCs w:val="19"/>
        </w:rPr>
        <w:t>nded September 30, 2021 was approximately $22.6 million, primarily due to the sale of SVP – Singer Holdings, LP</w:t>
      </w:r>
      <w:r>
        <w:rPr>
          <w:sz w:val="19"/>
          <w:szCs w:val="19"/>
        </w:rPr>
        <w:t>.</w:t>
      </w:r>
      <w:r>
        <w:rPr>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Net unrealized appreciation or depreciatio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For the three months ended September 30, 2022 and 2021, the change in net unrealized appreciation or depreciation on our investments and Interest Rate Swap was an increase in net unrealized depreciation of $(2.4) million and an increase in net unrealized d</w:t>
      </w:r>
      <w:r>
        <w:rPr>
          <w:sz w:val="19"/>
          <w:szCs w:val="19"/>
        </w:rPr>
        <w:t>epreciation of $(15.9) million, respectively. The increase in net unrealized depreciation for the three months ended September 30, 2022 was primarily due to i) a $(2.7) million net increase in valuation depreciation across our portfolio during the period a</w:t>
      </w:r>
      <w:r>
        <w:rPr>
          <w:sz w:val="19"/>
          <w:szCs w:val="19"/>
        </w:rPr>
        <w:t>s a result of general market declines, partially offset by a $1.6 million reversal of previously recognized depreciation due to our exit from Juul Labs, Inc. at par during the period, and ii) a $(1.0) million increase in valuation depreciation related to o</w:t>
      </w:r>
      <w:r>
        <w:rPr>
          <w:sz w:val="19"/>
          <w:szCs w:val="19"/>
        </w:rPr>
        <w:t>ur Interest Rate Swap. The increase in net unrealized depreciation for the three months ended September 30, 2021 was primarily due to the reversal of previously recognized appreciation of $(22.4) million related to the sale of SVP – Singer Holdings, LP, an</w:t>
      </w:r>
      <w:r>
        <w:rPr>
          <w:sz w:val="19"/>
          <w:szCs w:val="19"/>
        </w:rPr>
        <w:t>d partially offset by an overall net increase in valuation appreciation across our portfolio</w:t>
      </w:r>
      <w:r>
        <w:rPr>
          <w:sz w:val="19"/>
          <w:szCs w:val="19"/>
        </w:rPr>
        <w:t>.</w:t>
      </w:r>
      <w:r>
        <w:rPr>
          <w:sz w:val="19"/>
          <w:szCs w:val="19"/>
        </w:rPr>
        <w:t xml:space="preserve"> </w:t>
      </w:r>
    </w:p>
    <w:p w:rsidR="00000000" w:rsidRDefault="003D51DE">
      <w:pPr>
        <w:pStyle w:val="a3"/>
        <w:spacing w:before="240" w:beforeAutospacing="0" w:after="0" w:afterAutospacing="0"/>
        <w:ind w:firstLine="694"/>
        <w:jc w:val="both"/>
        <w:rPr>
          <w:sz w:val="20"/>
          <w:szCs w:val="20"/>
        </w:rPr>
      </w:pPr>
      <w:r>
        <w:rPr>
          <w:b/>
          <w:bCs/>
          <w:i/>
          <w:iCs/>
          <w:sz w:val="19"/>
          <w:szCs w:val="19"/>
        </w:rPr>
        <w:t>Net increase or decrease in net assets resulting from operation</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The net increase or (decrease) in net assets resulting from operations for the three months end</w:t>
      </w:r>
      <w:r>
        <w:rPr>
          <w:sz w:val="19"/>
          <w:szCs w:val="19"/>
        </w:rPr>
        <w:t>ed September 30, 2022 and 2021 was approximately $5.6 million and $11.6 million, respectively. As compared to the prior period, the decrease is reflective of net realized and unrealized gain (loss) of approximately $(2.1) million for the current period, as</w:t>
      </w:r>
      <w:r>
        <w:rPr>
          <w:sz w:val="19"/>
          <w:szCs w:val="19"/>
        </w:rPr>
        <w:t xml:space="preserve"> compared to $6.7 million of net realized and unrealized gain (loss) for the three months ended September 30, 2021, the impact of which was partially offset by an increase in net investment income of $2.8 million period-over-period</w:t>
      </w:r>
      <w:r>
        <w:rPr>
          <w:sz w:val="19"/>
          <w:szCs w:val="19"/>
        </w:rPr>
        <w:t>.</w:t>
      </w:r>
    </w:p>
    <w:p w:rsidR="00000000" w:rsidRDefault="003D51DE">
      <w:pPr>
        <w:pStyle w:val="a3"/>
        <w:spacing w:before="240" w:beforeAutospacing="0" w:after="0" w:afterAutospacing="0"/>
        <w:ind w:firstLine="694"/>
        <w:jc w:val="both"/>
        <w:rPr>
          <w:sz w:val="20"/>
          <w:szCs w:val="20"/>
        </w:rPr>
      </w:pPr>
      <w:r>
        <w:rPr>
          <w:i/>
          <w:iCs/>
          <w:sz w:val="19"/>
          <w:szCs w:val="19"/>
        </w:rPr>
        <w:t>Results comparisons for</w:t>
      </w:r>
      <w:r>
        <w:rPr>
          <w:i/>
          <w:iCs/>
          <w:sz w:val="19"/>
          <w:szCs w:val="19"/>
        </w:rPr>
        <w:t xml:space="preserve"> the nine months ended September 30, 2022 and 2021</w:t>
      </w:r>
      <w:r>
        <w:rPr>
          <w:i/>
          <w:iCs/>
          <w:sz w:val="19"/>
          <w:szCs w:val="19"/>
        </w:rPr>
        <w:t>.</w:t>
      </w:r>
      <w:r>
        <w:rPr>
          <w:i/>
          <w:iCs/>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Investment incom</w:t>
      </w:r>
      <w:r>
        <w:rPr>
          <w:b/>
          <w:bCs/>
          <w:i/>
          <w:iCs/>
          <w:sz w:val="19"/>
          <w:szCs w:val="19"/>
        </w:rPr>
        <w:t>e</w:t>
      </w:r>
      <w:r>
        <w:rPr>
          <w:b/>
          <w:bCs/>
          <w:i/>
          <w:i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5"/>
        <w:gridCol w:w="110"/>
        <w:gridCol w:w="150"/>
        <w:gridCol w:w="1288"/>
        <w:gridCol w:w="105"/>
        <w:gridCol w:w="105"/>
        <w:gridCol w:w="150"/>
        <w:gridCol w:w="1323"/>
        <w:gridCol w:w="120"/>
      </w:tblGrid>
      <w:tr w:rsidR="00000000">
        <w:trPr>
          <w:tblCellSpacing w:w="15" w:type="dxa"/>
        </w:trPr>
        <w:tc>
          <w:tcPr>
            <w:tcW w:w="3074" w:type="pct"/>
            <w:vAlign w:val="center"/>
            <w:hideMark/>
          </w:tcPr>
          <w:p w:rsidR="00000000" w:rsidRDefault="003D51DE">
            <w:pPr>
              <w:rPr>
                <w:sz w:val="20"/>
                <w:szCs w:val="20"/>
              </w:rPr>
            </w:pPr>
          </w:p>
        </w:tc>
        <w:tc>
          <w:tcPr>
            <w:tcW w:w="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1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Investment incom</w:t>
            </w:r>
            <w:r>
              <w:rPr>
                <w:b/>
                <w:bCs/>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fees on senior secured loan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39,700,26</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31,469,10</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fees on other debt securitie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453,72</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571,50</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earned on short-term investments, cash equivalent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86,84</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1,58</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Dividends and fees on equity securitie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235,79</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1,602,51</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investment incom</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40,476,63</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33,644,70</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spacing w:before="180" w:beforeAutospacing="0" w:after="0" w:afterAutospacing="0"/>
        <w:ind w:firstLine="694"/>
        <w:jc w:val="both"/>
        <w:rPr>
          <w:sz w:val="20"/>
          <w:szCs w:val="20"/>
        </w:rPr>
      </w:pPr>
      <w:r>
        <w:rPr>
          <w:sz w:val="19"/>
          <w:szCs w:val="19"/>
        </w:rPr>
        <w:t>Total investment income for the nine months ended September 30, 2022 increased $6.8 million, or 20.3%, as compared to the nine months ended September 30, 2021. The increase was primarily due to a 21.8% higher average balance in senior secured loans, at amo</w:t>
      </w:r>
      <w:r>
        <w:rPr>
          <w:sz w:val="19"/>
          <w:szCs w:val="19"/>
        </w:rPr>
        <w:t xml:space="preserve">rtized cost, during the nine months ended September 30, 2022, and an increase in fee and other one-time income of $1.5 million period over period as a result of certain exited investments during the period. The increased balance of senior secured loans is </w:t>
      </w:r>
      <w:r>
        <w:rPr>
          <w:sz w:val="19"/>
          <w:szCs w:val="19"/>
        </w:rPr>
        <w:t xml:space="preserve">primarily due to net deployments during 2021 and the nine months ended September 30, 2022, which were substantially all in senior secured debt. These increases are partially offset by a decrease in dividend income of $1.4 million period over period, which </w:t>
      </w:r>
      <w:r>
        <w:rPr>
          <w:sz w:val="19"/>
          <w:szCs w:val="19"/>
        </w:rPr>
        <w:t>is primarily attributable to the exit of Senior Loan Partners during December 2021</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4</w:t>
      </w:r>
      <w:r>
        <w:rPr>
          <w:sz w:val="19"/>
          <w:szCs w:val="19"/>
        </w:rPr>
        <w:t>9</w:t>
      </w:r>
    </w:p>
    <w:p w:rsidR="00000000" w:rsidRDefault="003D51DE">
      <w:pPr>
        <w:rPr>
          <w:rFonts w:eastAsia="Times New Roman"/>
        </w:rPr>
      </w:pPr>
      <w:r>
        <w:rPr>
          <w:rFonts w:eastAsia="Times New Roman"/>
        </w:rPr>
        <w:pict>
          <v:rect id="_x0000_i1073"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0" w:afterAutospacing="0"/>
        <w:ind w:firstLine="702"/>
        <w:jc w:val="both"/>
        <w:rPr>
          <w:sz w:val="20"/>
          <w:szCs w:val="20"/>
        </w:rPr>
      </w:pPr>
      <w:r>
        <w:rPr>
          <w:b/>
          <w:bCs/>
          <w:i/>
          <w:iCs/>
          <w:sz w:val="19"/>
          <w:szCs w:val="19"/>
        </w:rPr>
        <w:t>Expense</w:t>
      </w:r>
      <w:r>
        <w:rPr>
          <w:b/>
          <w:bCs/>
          <w:i/>
          <w:iCs/>
          <w:sz w:val="19"/>
          <w:szCs w:val="19"/>
        </w:rPr>
        <w:t>s</w:t>
      </w:r>
      <w:r>
        <w:rPr>
          <w:b/>
          <w:bCs/>
          <w:i/>
          <w:iCs/>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0"/>
        <w:gridCol w:w="112"/>
        <w:gridCol w:w="150"/>
        <w:gridCol w:w="1542"/>
        <w:gridCol w:w="120"/>
        <w:gridCol w:w="112"/>
        <w:gridCol w:w="150"/>
        <w:gridCol w:w="1565"/>
        <w:gridCol w:w="135"/>
      </w:tblGrid>
      <w:tr w:rsidR="00000000">
        <w:trPr>
          <w:tblCellSpacing w:w="15" w:type="dxa"/>
        </w:trPr>
        <w:tc>
          <w:tcPr>
            <w:tcW w:w="2743" w:type="pct"/>
            <w:vAlign w:val="center"/>
            <w:hideMark/>
          </w:tcPr>
          <w:p w:rsidR="00000000" w:rsidRDefault="003D51DE">
            <w:pPr>
              <w:rPr>
                <w:sz w:val="20"/>
                <w:szCs w:val="20"/>
              </w:rPr>
            </w:pPr>
          </w:p>
        </w:tc>
        <w:tc>
          <w:tcPr>
            <w:tcW w:w="6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5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7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8"/>
                <w:szCs w:val="18"/>
              </w:rPr>
            </w:pPr>
            <w:r>
              <w:rPr>
                <w:b/>
                <w:bCs/>
                <w:sz w:val="18"/>
                <w:szCs w:val="18"/>
              </w:rPr>
              <w:t>Operating expense</w:t>
            </w:r>
            <w:r>
              <w:rPr>
                <w:b/>
                <w:bCs/>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Interest and other debt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8,927,37</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8,695,68</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Management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6,125,14</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5,661,66</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fees on incom</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1,709,75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79,38</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fees on capital gain</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(1,544,56</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1,291,95</w:t>
            </w:r>
            <w:r>
              <w:rPr>
                <w:sz w:val="18"/>
                <w:szCs w:val="18"/>
              </w:rPr>
              <w:t>2</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Administrative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1,010,47</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970,05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Professional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724,36</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968,96</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Insurance expens</w:t>
            </w:r>
            <w:r>
              <w:rPr>
                <w:sz w:val="18"/>
                <w:szCs w:val="18"/>
              </w:rPr>
              <w:t>e</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582,89</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605,15</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Director fee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455,62</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464,37</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Investment advisor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77,45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262,50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Other operating expense</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1,129,75</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781,25</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expenses, before 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19,198,28</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19,780,99</w:t>
            </w:r>
            <w:r>
              <w:rPr>
                <w:sz w:val="18"/>
                <w:szCs w:val="18"/>
              </w:rPr>
              <w:t>6</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3D51DE">
            <w:pPr>
              <w:pStyle w:val="a3"/>
              <w:spacing w:before="0" w:beforeAutospacing="0" w:after="0" w:afterAutospacing="0"/>
              <w:ind w:left="200"/>
              <w:rPr>
                <w:sz w:val="18"/>
                <w:szCs w:val="18"/>
              </w:rPr>
            </w:pPr>
            <w:r>
              <w:rPr>
                <w:sz w:val="18"/>
                <w:szCs w:val="18"/>
              </w:rPr>
              <w:t>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(79,38</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3D51DE">
            <w:pPr>
              <w:pStyle w:val="a3"/>
              <w:spacing w:before="0" w:beforeAutospacing="0" w:after="0" w:afterAutospacing="0"/>
              <w:ind w:left="600"/>
              <w:rPr>
                <w:sz w:val="18"/>
                <w:szCs w:val="18"/>
              </w:rPr>
            </w:pPr>
            <w:r>
              <w:rPr>
                <w:sz w:val="18"/>
                <w:szCs w:val="18"/>
              </w:rPr>
              <w:t>Total expenses, net of incentive fee waive</w:t>
            </w:r>
            <w:r>
              <w:rPr>
                <w:sz w:val="18"/>
                <w:szCs w:val="18"/>
              </w:rPr>
              <w:t>r</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19,198,28</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19,701,61</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bl>
    <w:p w:rsidR="00000000" w:rsidRDefault="003D51DE">
      <w:pPr>
        <w:pStyle w:val="a3"/>
        <w:spacing w:before="180" w:beforeAutospacing="0" w:after="0" w:afterAutospacing="0"/>
        <w:ind w:firstLine="694"/>
        <w:jc w:val="both"/>
        <w:rPr>
          <w:sz w:val="20"/>
          <w:szCs w:val="20"/>
        </w:rPr>
      </w:pPr>
      <w:r>
        <w:rPr>
          <w:sz w:val="19"/>
          <w:szCs w:val="19"/>
        </w:rPr>
        <w:t xml:space="preserve">Total expenses, net of incentive fee waiver, decreased $0.5 million, or 2.6%, for the nine months ended September 30, 2022 from the comparable period in 2021, primarily due to the reversal of previously accrued incentive fees on capital gains, as required </w:t>
      </w:r>
      <w:r>
        <w:rPr>
          <w:sz w:val="19"/>
          <w:szCs w:val="19"/>
        </w:rPr>
        <w:t>by GAAP during the nine months ended September 30, 2022, which was partially offset by an increase in Incentive Fees on income and management fees period over period</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The Company is required under GAAP to accrue a hypothetical liquidation basis incentive f</w:t>
      </w:r>
      <w:r>
        <w:rPr>
          <w:sz w:val="19"/>
          <w:szCs w:val="19"/>
        </w:rPr>
        <w:t xml:space="preserve">ee on capital gains (if any), based upon net realized capital gains and unrealized capital appreciation and depreciation on investments held at the end of each period. If the resulting calculation amount is negative, the accrual for GAAP in a given period </w:t>
      </w:r>
      <w:r>
        <w:rPr>
          <w:sz w:val="19"/>
          <w:szCs w:val="19"/>
        </w:rPr>
        <w:t xml:space="preserve">may result in the reduction or reversal of Incentive Fees on capital gains accrued in a prior period (see Note 3 to the consolidated financial statements). The accrual (reversal) of Incentive Fees on capital gains was approximately $(1.5) million and $1.3 </w:t>
      </w:r>
      <w:r>
        <w:rPr>
          <w:sz w:val="19"/>
          <w:szCs w:val="19"/>
        </w:rPr>
        <w:t>million during the nine months ended September 30, 2022 and 2021, respectively. As of September 30, 2022 and December 31, 2021, the balance of accrued Incentive Fees on capital gains was zero and $1.5 million, respectively. However, as of December 31, 2021</w:t>
      </w:r>
      <w:r>
        <w:rPr>
          <w:sz w:val="19"/>
          <w:szCs w:val="19"/>
        </w:rPr>
        <w:t xml:space="preserve"> no Incentive Fees on capital gains were realized and payable to the Advisor as of such date</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 xml:space="preserve">For the nine months ended September 30, 2022, and 2021, the Company incurred $1.7 million and $0.1 million, respectively, of Incentive Fees based on income. The </w:t>
      </w:r>
      <w:r>
        <w:rPr>
          <w:sz w:val="19"/>
          <w:szCs w:val="19"/>
        </w:rPr>
        <w:t>increase is due to higher pre-incentive net investment income in excess of the hurdle period over period. For the nine months ended September 30, 2021, the Advisor voluntarily waived incentive fees on income of $0.1 million, resulting in no net incentive f</w:t>
      </w:r>
      <w:r>
        <w:rPr>
          <w:sz w:val="19"/>
          <w:szCs w:val="19"/>
        </w:rPr>
        <w:t>ees for the period</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 xml:space="preserve">Management fees increased approximately $0.5 million, or 8.2%, for the nine months ended September 30, 2022 from the comparable period in 2021 due to an increase in the total assets on which management fees are calculated (in arrears). </w:t>
      </w:r>
      <w:r>
        <w:rPr>
          <w:sz w:val="19"/>
          <w:szCs w:val="19"/>
        </w:rPr>
        <w:t>The increase in total assets was primarily due to net deployments during 2021 and the first half of 2022</w:t>
      </w:r>
      <w:r>
        <w:rPr>
          <w:sz w:val="19"/>
          <w:szCs w:val="19"/>
        </w:rPr>
        <w:t>.</w:t>
      </w:r>
    </w:p>
    <w:p w:rsidR="00000000" w:rsidRDefault="003D51DE">
      <w:pPr>
        <w:pStyle w:val="a3"/>
        <w:spacing w:before="240" w:beforeAutospacing="0" w:after="0" w:afterAutospacing="0"/>
        <w:ind w:firstLine="694"/>
        <w:jc w:val="both"/>
        <w:rPr>
          <w:sz w:val="20"/>
          <w:szCs w:val="20"/>
        </w:rPr>
      </w:pPr>
      <w:r>
        <w:rPr>
          <w:b/>
          <w:bCs/>
          <w:i/>
          <w:iCs/>
          <w:sz w:val="19"/>
          <w:szCs w:val="19"/>
        </w:rPr>
        <w:t>Net investment incom</w:t>
      </w:r>
      <w:r>
        <w:rPr>
          <w:b/>
          <w:bCs/>
          <w:i/>
          <w:iCs/>
          <w:sz w:val="19"/>
          <w:szCs w:val="19"/>
        </w:rPr>
        <w:t>e</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 xml:space="preserve">Net investment income was $21.3 million and $13.9 million for the nine months ended September 30, 2022 and 2021, respectively. </w:t>
      </w:r>
      <w:r>
        <w:rPr>
          <w:sz w:val="19"/>
          <w:szCs w:val="19"/>
        </w:rPr>
        <w:t>The increase of approximately $7.3 million, or 52.6%, was due to a $6.8 million increase in total investment income, coupled with a $0.5 million decrease in expenses described above</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Net realized gain or los</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Net realized gain (loss) for the nine months e</w:t>
      </w:r>
      <w:r>
        <w:rPr>
          <w:sz w:val="19"/>
          <w:szCs w:val="19"/>
        </w:rPr>
        <w:t>nded September 30, 2022 was $1.2 million, primarily due to escrow proceeds received from SVP – Singer Holdings, LP and</w:t>
      </w:r>
      <w:r>
        <w:rPr>
          <w:sz w:val="19"/>
          <w:szCs w:val="19"/>
        </w:rPr>
        <w:t xml:space="preserve"> </w:t>
      </w:r>
      <w:r>
        <w:rPr>
          <w:sz w:val="18"/>
          <w:szCs w:val="18"/>
        </w:rPr>
        <w:t>ECI Cayman Holdings, LP</w:t>
      </w:r>
      <w:r>
        <w:rPr>
          <w:sz w:val="18"/>
          <w:szCs w:val="18"/>
        </w:rPr>
        <w:t>,</w:t>
      </w:r>
      <w:r>
        <w:rPr>
          <w:sz w:val="19"/>
          <w:szCs w:val="19"/>
        </w:rPr>
        <w:t xml:space="preserve"> which were exited during 2021 and 2018, respectively. Net realized gain (loss) for the nine months ended Septemb</w:t>
      </w:r>
      <w:r>
        <w:rPr>
          <w:sz w:val="19"/>
          <w:szCs w:val="19"/>
        </w:rPr>
        <w:t>er 30, 2021 was $2.9 million, primarily due to a $22.0 million realized gain on the sale of SVP – Singer Holdings, LP; partially offset by a realized loss of $(18.5) million on the restructure of Advanced Lighting Technologies, LLC, and exits of our invest</w:t>
      </w:r>
      <w:r>
        <w:rPr>
          <w:sz w:val="19"/>
          <w:szCs w:val="19"/>
        </w:rPr>
        <w:t>ments in Red Apple Stores Inc., First Boston Construction Holdings, LLC, and Advantage Insurance Inc</w:t>
      </w:r>
      <w:r>
        <w:rPr>
          <w:sz w:val="19"/>
          <w:szCs w:val="19"/>
        </w:rPr>
        <w:t>.</w:t>
      </w:r>
      <w:r>
        <w:rPr>
          <w:sz w:val="19"/>
          <w:szCs w:val="19"/>
        </w:rPr>
        <w:t xml:space="preserve"> </w:t>
      </w:r>
    </w:p>
    <w:p w:rsidR="00000000" w:rsidRDefault="003D51DE">
      <w:pPr>
        <w:pStyle w:val="a3"/>
        <w:spacing w:before="240" w:beforeAutospacing="0" w:after="0" w:afterAutospacing="0"/>
        <w:ind w:left="595"/>
        <w:jc w:val="both"/>
        <w:rPr>
          <w:sz w:val="20"/>
          <w:szCs w:val="20"/>
        </w:rPr>
      </w:pPr>
      <w:r>
        <w:rPr>
          <w:b/>
          <w:bCs/>
          <w:i/>
          <w:iCs/>
          <w:sz w:val="19"/>
          <w:szCs w:val="19"/>
        </w:rPr>
        <w:t>Net unrealized appreciation or depreciatio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For the nine months ended September 30, 2022 and 2021, the change in net unrealized appreciation or deprecia</w:t>
      </w:r>
      <w:r>
        <w:rPr>
          <w:sz w:val="19"/>
          <w:szCs w:val="19"/>
        </w:rPr>
        <w:t>tion on our investments, Interest Rate Swap, and foreign currency translation was an increase in net unrealized depreciation of $(13.9) million and a decrease in net unrealized depreciation of $43.0 million, respectively. The increase in net unrealized dep</w:t>
      </w:r>
      <w:r>
        <w:rPr>
          <w:sz w:val="19"/>
          <w:szCs w:val="19"/>
        </w:rPr>
        <w:t>reciation for the nine months ended September 30, 2022 was primarily due to i) an overall increase in valuation depreciation across our portfolio due to spread widening and general market declines during the period (see Item 1A. Risk Factors), out of which</w:t>
      </w:r>
      <w:r>
        <w:rPr>
          <w:sz w:val="19"/>
          <w:szCs w:val="19"/>
        </w:rPr>
        <w:t xml:space="preserve"> our investments in Zest Acquisition Corp., Thras.io, LLC, Stitch Holdings L.P., Astra Acquisition Corp., Syndigo, LLC</w:t>
      </w:r>
      <w:r>
        <w:rPr>
          <w:sz w:val="19"/>
          <w:szCs w:val="19"/>
        </w:rPr>
        <w:t>,</w:t>
      </w:r>
      <w:r>
        <w:rPr>
          <w:sz w:val="13"/>
          <w:szCs w:val="13"/>
        </w:rPr>
        <w:t xml:space="preserve"> </w:t>
      </w:r>
      <w:r>
        <w:rPr>
          <w:sz w:val="19"/>
          <w:szCs w:val="19"/>
        </w:rPr>
        <w:t>and Magenta Buyer, LLC contributed to $(4.8) million of that decrease; ii) a $(1.2) million increase in valuation depreciation related t</w:t>
      </w:r>
      <w:r>
        <w:rPr>
          <w:sz w:val="19"/>
          <w:szCs w:val="19"/>
        </w:rPr>
        <w:t>o our Interest Rate Swap; partially offset by iii) a $0.7 million decrease in unrealized depreciation i</w:t>
      </w:r>
      <w:r>
        <w:rPr>
          <w:sz w:val="19"/>
          <w:szCs w:val="19"/>
        </w:rPr>
        <w:t>n</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0</w:t>
      </w:r>
    </w:p>
    <w:p w:rsidR="00000000" w:rsidRDefault="003D51DE">
      <w:pPr>
        <w:rPr>
          <w:rFonts w:eastAsia="Times New Roman"/>
        </w:rPr>
      </w:pPr>
      <w:r>
        <w:rPr>
          <w:rFonts w:eastAsia="Times New Roman"/>
        </w:rPr>
        <w:pict>
          <v:rect id="_x0000_i1074"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rPr>
          <w:sz w:val="20"/>
          <w:szCs w:val="20"/>
        </w:rPr>
      </w:pPr>
      <w:r>
        <w:rPr>
          <w:sz w:val="19"/>
          <w:szCs w:val="19"/>
        </w:rPr>
        <w:t>Gordon Brothers Finance Company, including the reversal of $2.0 million of previously recognized depreciation on the position as a result of a paydown during the period, net of $(1.3) million of valuation depreciation on the position during the period. The</w:t>
      </w:r>
      <w:r>
        <w:rPr>
          <w:sz w:val="19"/>
          <w:szCs w:val="19"/>
        </w:rPr>
        <w:t xml:space="preserve"> decrease in net unrealized depreciation for the nine months ended September 30, 2021 was primarily due to i) the reversal of previously recognized depreciation of $24.3 million, including foreign currency translation, related to the exits of our investmen</w:t>
      </w:r>
      <w:r>
        <w:rPr>
          <w:sz w:val="19"/>
          <w:szCs w:val="19"/>
        </w:rPr>
        <w:t>ts in Red Apple Stores Inc., SVP – Singer Holdings, LP, First Boston Construction Holdings, LLC and Advantage Insurance Inc., and the restructure of Advanced Lighting Technologies, LLC; ii) decrease in valuation depreciation of $7.6 million in our investme</w:t>
      </w:r>
      <w:r>
        <w:rPr>
          <w:sz w:val="19"/>
          <w:szCs w:val="19"/>
        </w:rPr>
        <w:t>nts in Senior Loan Partners and St. George Warehousing &amp; Trucking Co. of California, Inc., as well as an overall increase in valuation across our portfolio</w:t>
      </w:r>
      <w:r>
        <w:rPr>
          <w:sz w:val="19"/>
          <w:szCs w:val="19"/>
        </w:rPr>
        <w:t>.</w:t>
      </w:r>
      <w:r>
        <w:rPr>
          <w:sz w:val="19"/>
          <w:szCs w:val="19"/>
        </w:rPr>
        <w:t xml:space="preserve"> </w:t>
      </w:r>
    </w:p>
    <w:p w:rsidR="00000000" w:rsidRDefault="003D51DE">
      <w:pPr>
        <w:pStyle w:val="a3"/>
        <w:spacing w:before="240" w:beforeAutospacing="0" w:after="0" w:afterAutospacing="0"/>
        <w:ind w:firstLine="694"/>
        <w:jc w:val="both"/>
        <w:rPr>
          <w:sz w:val="20"/>
          <w:szCs w:val="20"/>
        </w:rPr>
      </w:pPr>
      <w:r>
        <w:rPr>
          <w:b/>
          <w:bCs/>
          <w:i/>
          <w:iCs/>
          <w:sz w:val="19"/>
          <w:szCs w:val="19"/>
        </w:rPr>
        <w:t>Net increase or decrease in net assets resulting from operation</w:t>
      </w:r>
      <w:r>
        <w:rPr>
          <w:b/>
          <w:bCs/>
          <w:i/>
          <w:iCs/>
          <w:sz w:val="19"/>
          <w:szCs w:val="19"/>
        </w:rPr>
        <w:t>s</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The net increase or (decrease) i</w:t>
      </w:r>
      <w:r>
        <w:rPr>
          <w:sz w:val="19"/>
          <w:szCs w:val="19"/>
        </w:rPr>
        <w:t>n net assets resulting from operations for the nine months ended September 30, 2022 and 2021 was $8.6 million and $59.8 million, respectively. As compared to the prior period, the decrease is reflective of net realized and unrealized gain (loss) of $(12.7)</w:t>
      </w:r>
      <w:r>
        <w:rPr>
          <w:sz w:val="19"/>
          <w:szCs w:val="19"/>
        </w:rPr>
        <w:t xml:space="preserve"> million for the current period, as compared to $45.9 million of net realized and unrealized gain (loss) for the nine months ended September 30, 2021, the impact of which was partially offset by an increase in net investment income of approximately $7.3 mi</w:t>
      </w:r>
      <w:r>
        <w:rPr>
          <w:sz w:val="19"/>
          <w:szCs w:val="19"/>
        </w:rPr>
        <w:t>llion period-over-period</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Supplemental Non-GAAP informatio</w:t>
      </w:r>
      <w:r>
        <w:rPr>
          <w:b/>
          <w:bCs/>
          <w:i/>
          <w:iCs/>
          <w:sz w:val="19"/>
          <w:szCs w:val="19"/>
        </w:rPr>
        <w:t>n</w:t>
      </w:r>
      <w:r>
        <w:rPr>
          <w:b/>
          <w:bCs/>
          <w:i/>
          <w:i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We report our financial results on a GAAP basis; however, management believes that evaluating our ongoing operating results may be enhanced if investors have additional non-GAAP basis financial m</w:t>
      </w:r>
      <w:r>
        <w:rPr>
          <w:sz w:val="19"/>
          <w:szCs w:val="19"/>
        </w:rPr>
        <w:t>easures. Management reviews non-GAAP financial measures to assess ongoing operations and, for the reasons described below, considers them to be effective indicators, for both management and investors, of our financial performance over time. Management does</w:t>
      </w:r>
      <w:r>
        <w:rPr>
          <w:sz w:val="19"/>
          <w:szCs w:val="19"/>
        </w:rPr>
        <w:t xml:space="preserve"> not advocate that investors consider such non-GAAP financial measures in isolation from, or as a substitute for, financial information prepared in accordance with GAAP</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After March 6, 2017, Incentive Fees based on income are calculated for each calendar q</w:t>
      </w:r>
      <w:r>
        <w:rPr>
          <w:sz w:val="19"/>
          <w:szCs w:val="19"/>
        </w:rPr>
        <w:t xml:space="preserve">uarter and may be paid on a quarterly basis if certain thresholds are met. In addition, as previously disclosed, the Advisor, in consultation with the Company’s Board, had agreed to waive Incentive Fees based on income from March 7, 2017 to June 30, 2019. </w:t>
      </w:r>
      <w:r>
        <w:rPr>
          <w:sz w:val="19"/>
          <w:szCs w:val="19"/>
        </w:rPr>
        <w:t>BCIA had agreed to honor such waiver. The Advisor had voluntarily waived a portion of its Incentive Fees based on income from July 1, 2019 through September 30, 2021</w:t>
      </w:r>
      <w:r>
        <w:rPr>
          <w:sz w:val="19"/>
          <w:szCs w:val="19"/>
        </w:rPr>
        <w:t>.</w:t>
      </w:r>
      <w:r>
        <w:rPr>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We record our liability for Incentive Fee based on capital gains by performing a hypothe</w:t>
      </w:r>
      <w:r>
        <w:rPr>
          <w:sz w:val="19"/>
          <w:szCs w:val="19"/>
        </w:rPr>
        <w:t>tical liquidation basis calculation at the end of each reporting period, as required by GAAP, which assumes that all unrealized capital appreciation and depreciation is realized as of the reporting date. It should be noted that Incentive Fees based on capi</w:t>
      </w:r>
      <w:r>
        <w:rPr>
          <w:sz w:val="19"/>
          <w:szCs w:val="19"/>
        </w:rPr>
        <w:t>tal gains (if any) are not due and payable until the end of the annual measurement period, or every June 30. The incremental Incentive Fee disclosed for a given period is not necessarily indicative of actual full year results. Changes in the economic envir</w:t>
      </w:r>
      <w:r>
        <w:rPr>
          <w:sz w:val="19"/>
          <w:szCs w:val="19"/>
        </w:rPr>
        <w:t xml:space="preserve">onment, financial markets and other parameters used in determining such estimates could cause actual results to differ and such differences could be material. There can be no assurance that unrealized capital appreciation and depreciation will be realized </w:t>
      </w:r>
      <w:r>
        <w:rPr>
          <w:sz w:val="19"/>
          <w:szCs w:val="19"/>
        </w:rPr>
        <w:t>in the future, or that any accrued capital gains Incentive Fee will become payable. Incentive Fee amounts on capital gains actually paid by the Company will specifically exclude consideration of unrealized capital appreciation, consistent with requirements</w:t>
      </w:r>
      <w:r>
        <w:rPr>
          <w:sz w:val="19"/>
          <w:szCs w:val="19"/>
        </w:rPr>
        <w:t xml:space="preserve"> under the Advisers Act and the Current Management Agreement. See Note 3 to the consolidated financial statements for a more detailed description of the Company’s Incentive Fee</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Computations for all periods are derived from our consolidated financial state</w:t>
      </w:r>
      <w:r>
        <w:rPr>
          <w:sz w:val="19"/>
          <w:szCs w:val="19"/>
        </w:rPr>
        <w:t>ments as follows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9"/>
        <w:gridCol w:w="300"/>
        <w:gridCol w:w="140"/>
        <w:gridCol w:w="754"/>
        <w:gridCol w:w="114"/>
        <w:gridCol w:w="300"/>
        <w:gridCol w:w="140"/>
        <w:gridCol w:w="700"/>
        <w:gridCol w:w="100"/>
        <w:gridCol w:w="300"/>
        <w:gridCol w:w="140"/>
        <w:gridCol w:w="780"/>
        <w:gridCol w:w="114"/>
        <w:gridCol w:w="300"/>
        <w:gridCol w:w="140"/>
        <w:gridCol w:w="780"/>
        <w:gridCol w:w="115"/>
      </w:tblGrid>
      <w:tr w:rsidR="00000000">
        <w:trPr>
          <w:tblCellSpacing w:w="15" w:type="dxa"/>
        </w:trPr>
        <w:tc>
          <w:tcPr>
            <w:tcW w:w="2184" w:type="pct"/>
            <w:vAlign w:val="center"/>
            <w:hideMark/>
          </w:tcPr>
          <w:p w:rsidR="00000000" w:rsidRDefault="003D51DE">
            <w:pPr>
              <w:rPr>
                <w:sz w:val="20"/>
                <w:szCs w:val="20"/>
              </w:rPr>
            </w:pPr>
          </w:p>
        </w:tc>
        <w:tc>
          <w:tcPr>
            <w:tcW w:w="9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1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3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9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b/>
                <w:bCs/>
                <w:sz w:val="16"/>
                <w:szCs w:val="16"/>
              </w:rPr>
              <w:t>GAAP Basis</w:t>
            </w:r>
            <w:r>
              <w:rPr>
                <w:b/>
                <w:bCs/>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jc w:val="right"/>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w:t>
            </w:r>
            <w:r>
              <w:rPr>
                <w:sz w:val="16"/>
                <w:szCs w:val="16"/>
              </w:rPr>
              <w:t>e</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7,663,03</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4,910,15</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21,278,34</w:t>
            </w:r>
            <w:r>
              <w:rPr>
                <w:sz w:val="16"/>
                <w:szCs w:val="16"/>
              </w:rPr>
              <w:t>6</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13,943,09</w:t>
            </w:r>
            <w:r>
              <w:rPr>
                <w:sz w:val="16"/>
                <w:szCs w:val="16"/>
              </w:rPr>
              <w:t>6</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0.1</w:t>
            </w:r>
            <w:r>
              <w:rPr>
                <w:sz w:val="16"/>
                <w:szCs w:val="16"/>
              </w:rPr>
              <w:t>0</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0.0</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0.2</w:t>
            </w:r>
            <w:r>
              <w:rPr>
                <w:sz w:val="16"/>
                <w:szCs w:val="16"/>
              </w:rPr>
              <w:t>9</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0.1</w:t>
            </w:r>
            <w:r>
              <w:rPr>
                <w:sz w:val="16"/>
                <w:szCs w:val="16"/>
              </w:rPr>
              <w:t>9</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Addback: GAAP incentive fee (reversal) based on capital gain</w:t>
            </w:r>
            <w:r>
              <w:rPr>
                <w:sz w:val="16"/>
                <w:szCs w:val="16"/>
              </w:rPr>
              <w:t>s</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1,291,95</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(1,544,56</w:t>
            </w:r>
            <w:r>
              <w:rPr>
                <w:sz w:val="16"/>
                <w:szCs w:val="16"/>
              </w:rPr>
              <w:t>9</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1,291,95</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Addback: GAAP incentive fee based on Income net of incentive fee waiver (if any</w:t>
            </w:r>
            <w:r>
              <w:rPr>
                <w:sz w:val="16"/>
                <w:szCs w:val="16"/>
              </w:rPr>
              <w:t>)</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1,621,40</w:t>
            </w:r>
            <w:r>
              <w:rPr>
                <w:sz w:val="16"/>
                <w:szCs w:val="16"/>
              </w:rPr>
              <w:t>2</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1,709,75</w:t>
            </w:r>
            <w:r>
              <w:rPr>
                <w:sz w:val="16"/>
                <w:szCs w:val="16"/>
              </w:rPr>
              <w:t>8</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b/>
                <w:bCs/>
                <w:sz w:val="16"/>
                <w:szCs w:val="16"/>
              </w:rPr>
              <w:t>Pre-Incentive Fe</w:t>
            </w:r>
            <w:r>
              <w:rPr>
                <w:b/>
                <w:bCs/>
                <w:sz w:val="16"/>
                <w:szCs w:val="16"/>
              </w:rPr>
              <w:t>e</w:t>
            </w:r>
            <w:r>
              <w:rPr>
                <w:b/>
                <w:bCs/>
                <w:sz w:val="11"/>
                <w:szCs w:val="11"/>
              </w:rPr>
              <w:t>1</w:t>
            </w:r>
            <w:r>
              <w:rPr>
                <w:b/>
                <w:bCs/>
                <w:sz w:val="16"/>
                <w:szCs w:val="16"/>
              </w:rPr>
              <w:t>:</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9,284,43</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6,202,10</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21,443,53</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15,235,04</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0.1</w:t>
            </w:r>
            <w:r>
              <w:rPr>
                <w:sz w:val="16"/>
                <w:szCs w:val="16"/>
              </w:rPr>
              <w:t>3</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0.0</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0.2</w:t>
            </w:r>
            <w:r>
              <w:rPr>
                <w:sz w:val="16"/>
                <w:szCs w:val="16"/>
              </w:rPr>
              <w:t>9</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0.2</w:t>
            </w:r>
            <w:r>
              <w:rPr>
                <w:sz w:val="16"/>
                <w:szCs w:val="16"/>
              </w:rPr>
              <w:t>1</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ind w:left="200"/>
              <w:rPr>
                <w:sz w:val="16"/>
                <w:szCs w:val="16"/>
              </w:rPr>
            </w:pPr>
            <w:r>
              <w:rPr>
                <w:sz w:val="16"/>
                <w:szCs w:val="16"/>
              </w:rPr>
              <w:t>Less: Incremental incentive fee based on Income net of incentive fee waiver (if any</w:t>
            </w: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(1,621,40</w:t>
            </w:r>
            <w:r>
              <w:rPr>
                <w:sz w:val="16"/>
                <w:szCs w:val="16"/>
              </w:rPr>
              <w:t>2</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(1,709,75</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b/>
                <w:bCs/>
                <w:sz w:val="16"/>
                <w:szCs w:val="16"/>
              </w:rPr>
              <w:t>As Adjuste</w:t>
            </w:r>
            <w:r>
              <w:rPr>
                <w:b/>
                <w:bCs/>
                <w:sz w:val="16"/>
                <w:szCs w:val="16"/>
              </w:rPr>
              <w:t>d</w:t>
            </w:r>
            <w:r>
              <w:rPr>
                <w:b/>
                <w:bCs/>
                <w:sz w:val="11"/>
                <w:szCs w:val="11"/>
              </w:rPr>
              <w:t>2</w:t>
            </w:r>
            <w:r>
              <w:rPr>
                <w:b/>
                <w:bCs/>
                <w:sz w:val="16"/>
                <w:szCs w:val="16"/>
              </w:rPr>
              <w:t>:</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gridSpan w:val="2"/>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w:t>
            </w:r>
            <w:r>
              <w:rPr>
                <w:sz w:val="16"/>
                <w:szCs w:val="16"/>
              </w:rPr>
              <w:t>e</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7,663,03</w:t>
            </w:r>
            <w:r>
              <w:rPr>
                <w:sz w:val="16"/>
                <w:szCs w:val="16"/>
              </w:rPr>
              <w:t>5</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6,202,10</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19,733,77</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w:t>
            </w:r>
          </w:p>
        </w:tc>
        <w:tc>
          <w:tcPr>
            <w:tcW w:w="0" w:type="auto"/>
            <w:hideMark/>
          </w:tcPr>
          <w:p w:rsidR="00000000" w:rsidRDefault="003D51DE">
            <w:pPr>
              <w:pStyle w:val="a3"/>
              <w:spacing w:before="0" w:beforeAutospacing="0" w:after="0" w:afterAutospacing="0"/>
              <w:jc w:val="right"/>
              <w:rPr>
                <w:sz w:val="16"/>
                <w:szCs w:val="16"/>
              </w:rPr>
            </w:pPr>
            <w:r>
              <w:rPr>
                <w:sz w:val="16"/>
                <w:szCs w:val="16"/>
              </w:rPr>
              <w:t>15,235,04</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Net Investment Income per shar</w:t>
            </w:r>
            <w:r>
              <w:rPr>
                <w:sz w:val="16"/>
                <w:szCs w:val="16"/>
              </w:rPr>
              <w:t>e</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0.1</w:t>
            </w:r>
            <w:r>
              <w:rPr>
                <w:sz w:val="16"/>
                <w:szCs w:val="16"/>
              </w:rPr>
              <w:t>0</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0.0</w:t>
            </w:r>
            <w:r>
              <w:rPr>
                <w:sz w:val="16"/>
                <w:szCs w:val="16"/>
              </w:rPr>
              <w:t>8</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0.2</w:t>
            </w:r>
            <w:r>
              <w:rPr>
                <w:sz w:val="16"/>
                <w:szCs w:val="16"/>
              </w:rPr>
              <w:t>7</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ind w:left="200"/>
              <w:jc w:val="right"/>
              <w:rPr>
                <w:sz w:val="16"/>
                <w:szCs w:val="16"/>
              </w:rPr>
            </w:pPr>
            <w:r>
              <w:rPr>
                <w:sz w:val="16"/>
                <w:szCs w:val="16"/>
              </w:rPr>
              <w:t> </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c>
          <w:tcPr>
            <w:tcW w:w="0" w:type="auto"/>
            <w:hideMark/>
          </w:tcPr>
          <w:p w:rsidR="00000000" w:rsidRDefault="003D51DE">
            <w:pPr>
              <w:pStyle w:val="a3"/>
              <w:spacing w:before="0" w:beforeAutospacing="0" w:after="0" w:afterAutospacing="0"/>
              <w:jc w:val="right"/>
              <w:rPr>
                <w:sz w:val="16"/>
                <w:szCs w:val="16"/>
              </w:rPr>
            </w:pPr>
            <w:r>
              <w:rPr>
                <w:sz w:val="16"/>
                <w:szCs w:val="16"/>
              </w:rPr>
              <w:t>0.2</w:t>
            </w:r>
            <w:r>
              <w:rPr>
                <w:sz w:val="16"/>
                <w:szCs w:val="16"/>
              </w:rPr>
              <w:t>1</w:t>
            </w:r>
          </w:p>
        </w:tc>
        <w:tc>
          <w:tcPr>
            <w:tcW w:w="0" w:type="auto"/>
            <w:noWrap/>
            <w:hideMark/>
          </w:tcPr>
          <w:p w:rsidR="00000000" w:rsidRDefault="003D51DE">
            <w:pPr>
              <w:pStyle w:val="a3"/>
              <w:spacing w:before="0" w:beforeAutospacing="0" w:after="0" w:afterAutospacing="0"/>
              <w:rPr>
                <w:sz w:val="16"/>
                <w:szCs w:val="16"/>
              </w:rPr>
            </w:pPr>
            <w:r>
              <w:rPr>
                <w:sz w:val="16"/>
                <w:szCs w:val="16"/>
              </w:rPr>
              <w:t> </w:t>
            </w:r>
          </w:p>
        </w:tc>
      </w:tr>
    </w:tbl>
    <w:p w:rsidR="00000000" w:rsidRDefault="003D51DE">
      <w:pPr>
        <w:pStyle w:val="a3"/>
        <w:spacing w:before="0" w:beforeAutospacing="0" w:after="0" w:afterAutospacing="0"/>
        <w:ind w:firstLine="694"/>
        <w:jc w:val="both"/>
        <w:rPr>
          <w:sz w:val="20"/>
          <w:szCs w:val="20"/>
        </w:rPr>
      </w:pPr>
      <w:r>
        <w:rPr>
          <w:sz w:val="20"/>
          <w:szCs w:val="20"/>
        </w:rPr>
        <w:t> </w:t>
      </w:r>
    </w:p>
    <w:p w:rsidR="00000000" w:rsidRDefault="003D51DE">
      <w:pPr>
        <w:pStyle w:val="a3"/>
        <w:spacing w:before="0" w:beforeAutospacing="0" w:after="0" w:afterAutospacing="0"/>
        <w:ind w:firstLine="694"/>
        <w:jc w:val="both"/>
        <w:rPr>
          <w:sz w:val="20"/>
          <w:szCs w:val="20"/>
        </w:rPr>
      </w:pPr>
      <w:r>
        <w:rPr>
          <w:b/>
          <w:bCs/>
          <w:sz w:val="19"/>
          <w:szCs w:val="19"/>
        </w:rPr>
        <w:t>Pre-Incentive Fe</w:t>
      </w:r>
      <w:r>
        <w:rPr>
          <w:b/>
          <w:bCs/>
          <w:sz w:val="19"/>
          <w:szCs w:val="19"/>
        </w:rPr>
        <w:t>e</w:t>
      </w:r>
      <w:r>
        <w:rPr>
          <w:sz w:val="13"/>
          <w:szCs w:val="13"/>
          <w:vertAlign w:val="superscript"/>
        </w:rPr>
        <w:t>1</w:t>
      </w:r>
      <w:r>
        <w:rPr>
          <w:b/>
          <w:bCs/>
          <w:sz w:val="19"/>
          <w:szCs w:val="19"/>
        </w:rPr>
        <w:t>:</w:t>
      </w:r>
      <w:r>
        <w:rPr>
          <w:b/>
          <w:bCs/>
          <w:sz w:val="19"/>
          <w:szCs w:val="19"/>
        </w:rPr>
        <w:t xml:space="preserve"> </w:t>
      </w:r>
      <w:r>
        <w:rPr>
          <w:sz w:val="19"/>
          <w:szCs w:val="19"/>
        </w:rPr>
        <w:t>Amounts are adjusted to remove all incentive fees (if any). Such fees have been accrued (reversed) but are not due and payable at the reporting date</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1</w:t>
      </w:r>
    </w:p>
    <w:p w:rsidR="00000000" w:rsidRDefault="003D51DE">
      <w:pPr>
        <w:rPr>
          <w:rFonts w:eastAsia="Times New Roman"/>
        </w:rPr>
      </w:pPr>
      <w:r>
        <w:rPr>
          <w:rFonts w:eastAsia="Times New Roman"/>
        </w:rPr>
        <w:pict>
          <v:rect id="_x0000_i1075"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0" w:afterAutospacing="0"/>
        <w:ind w:firstLine="694"/>
        <w:jc w:val="both"/>
        <w:rPr>
          <w:sz w:val="20"/>
          <w:szCs w:val="20"/>
        </w:rPr>
      </w:pPr>
      <w:r>
        <w:rPr>
          <w:b/>
          <w:bCs/>
          <w:sz w:val="19"/>
          <w:szCs w:val="19"/>
        </w:rPr>
        <w:t>As Adjuste</w:t>
      </w:r>
      <w:r>
        <w:rPr>
          <w:b/>
          <w:bCs/>
          <w:sz w:val="19"/>
          <w:szCs w:val="19"/>
        </w:rPr>
        <w:t>d</w:t>
      </w:r>
      <w:r>
        <w:rPr>
          <w:sz w:val="13"/>
          <w:szCs w:val="13"/>
          <w:vertAlign w:val="superscript"/>
        </w:rPr>
        <w:t>2</w:t>
      </w:r>
      <w:r>
        <w:rPr>
          <w:b/>
          <w:bCs/>
          <w:sz w:val="19"/>
          <w:szCs w:val="19"/>
        </w:rPr>
        <w:t>:</w:t>
      </w:r>
      <w:r>
        <w:rPr>
          <w:sz w:val="19"/>
          <w:szCs w:val="19"/>
        </w:rPr>
        <w:t xml:space="preserve"> Amounts are adjusted to remove the GAAP accrual (reversal) for incentive fee based on capital gains (if any), and to include only the incremental incentive fee based on income (if any). Adjusted amounts r</w:t>
      </w:r>
      <w:r>
        <w:rPr>
          <w:sz w:val="19"/>
          <w:szCs w:val="19"/>
        </w:rPr>
        <w:t>eflect the fact that no Incentive Fee on capital gains was realized and payable to the Advisor during the three and nine month periods ended September 30, 2022 and 2021, respectively (see Note 3). Under the Current Management Agreement, incentive fee based</w:t>
      </w:r>
      <w:r>
        <w:rPr>
          <w:sz w:val="19"/>
          <w:szCs w:val="19"/>
        </w:rPr>
        <w:t xml:space="preserve"> on income is calculated for each calendar quarter and may be paid on a quarterly basis if certain thresholds are met. Amounts reflected the Company’s ongoing operating results and reflect the Company’s financial performance over time</w:t>
      </w:r>
      <w:r>
        <w:rPr>
          <w:sz w:val="19"/>
          <w:szCs w:val="19"/>
        </w:rPr>
        <w:t>.</w:t>
      </w:r>
    </w:p>
    <w:p w:rsidR="00000000" w:rsidRDefault="003D51DE">
      <w:pPr>
        <w:pStyle w:val="a3"/>
        <w:spacing w:before="240" w:beforeAutospacing="0" w:after="0" w:afterAutospacing="0"/>
        <w:jc w:val="both"/>
        <w:rPr>
          <w:sz w:val="20"/>
          <w:szCs w:val="20"/>
        </w:rPr>
      </w:pPr>
      <w:r>
        <w:rPr>
          <w:b/>
          <w:bCs/>
          <w:sz w:val="19"/>
          <w:szCs w:val="19"/>
        </w:rPr>
        <w:t>Financial condition,</w:t>
      </w:r>
      <w:r>
        <w:rPr>
          <w:b/>
          <w:bCs/>
          <w:sz w:val="19"/>
          <w:szCs w:val="19"/>
        </w:rPr>
        <w:t xml:space="preserve"> liquidity and capital resource</w:t>
      </w:r>
      <w:r>
        <w:rPr>
          <w:b/>
          <w:bCs/>
          <w:sz w:val="19"/>
          <w:szCs w:val="19"/>
        </w:rPr>
        <w:t>s</w:t>
      </w:r>
      <w:r>
        <w:rPr>
          <w:b/>
          <w:bCs/>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During the nine months ended September 30, 2022, we generated operating cash flows primarily from interest and fees received on senior secured loans and other debt securities, as well as from sales of selected portfolio co</w:t>
      </w:r>
      <w:r>
        <w:rPr>
          <w:sz w:val="19"/>
          <w:szCs w:val="19"/>
        </w:rPr>
        <w:t xml:space="preserve">mpany investments or repayments of principal. Net cash used in operating activities for the nine months ended September 30, 2022 was $(20.1) million. Our use of cash from operating activities during the period primarily consisted of $(29.8) million in net </w:t>
      </w:r>
      <w:r>
        <w:rPr>
          <w:sz w:val="19"/>
          <w:szCs w:val="19"/>
        </w:rPr>
        <w:t>purchases of investments, excluding PIK capitalization</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Net cash provided by financing activities during the nine months ended September 30, 2022 was $37.3 million. Our sources of cash from financing activities consisted of $116.0 million in net debt borro</w:t>
      </w:r>
      <w:r>
        <w:rPr>
          <w:sz w:val="19"/>
          <w:szCs w:val="19"/>
        </w:rPr>
        <w:t>wings under the Credit Facility and $92.0 million from the issuance of our 2025 Private Placement Notes. Our uses of cash consisted of the $(143.7) million repayment of our 2022 Convertible Notes, cash dividends paid to stockholders of $(22.1) million, pur</w:t>
      </w:r>
      <w:r>
        <w:rPr>
          <w:sz w:val="19"/>
          <w:szCs w:val="19"/>
        </w:rPr>
        <w:t>chases of treasury stock of $(3.7) million, and payments of debt issuance costs of $(1.2) million</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In the normal course of business, we may enter into guarantees on behalf of portfolio companies. Under these arrangements, we would be required to make payments to third parties if the portfolio companies were to default on their related payment obligation</w:t>
      </w:r>
      <w:r>
        <w:rPr>
          <w:sz w:val="19"/>
          <w:szCs w:val="19"/>
        </w:rPr>
        <w:t>s. There were no such guarantees outstanding at September 30, 2022 and December 31, 2021. In addition, from time to time, the Company may provide for a commitment to a portfolio company for investment in an existing or new security. At September 30, 2022 a</w:t>
      </w:r>
      <w:r>
        <w:rPr>
          <w:sz w:val="19"/>
          <w:szCs w:val="19"/>
        </w:rPr>
        <w:t>nd December 31, 2021, we were obligated to existing portfolio companies for unfunded commitments of $70.9 million across 47 portfolio companies and $49.4 million across 35 portfolio companies, respectively</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 xml:space="preserve">As of September 30, 2022, we have analyzed cash </w:t>
      </w:r>
      <w:r>
        <w:rPr>
          <w:sz w:val="19"/>
          <w:szCs w:val="19"/>
        </w:rPr>
        <w:t>and cash equivalents and availability under our Credit Facility and believe that there is sufficient liquidity to meet all of our obligations, fund unfunded commitments should the need arise, and deploy capital into new and existing portfolio companies</w:t>
      </w:r>
      <w:r>
        <w:rPr>
          <w:sz w:val="19"/>
          <w:szCs w:val="19"/>
        </w:rPr>
        <w:t>.</w:t>
      </w:r>
    </w:p>
    <w:p w:rsidR="00000000" w:rsidRDefault="003D51DE">
      <w:pPr>
        <w:pStyle w:val="a3"/>
        <w:spacing w:before="240" w:beforeAutospacing="0" w:after="0" w:afterAutospacing="0"/>
        <w:ind w:left="595"/>
        <w:jc w:val="both"/>
        <w:rPr>
          <w:sz w:val="20"/>
          <w:szCs w:val="20"/>
        </w:rPr>
      </w:pPr>
      <w:r>
        <w:rPr>
          <w:b/>
          <w:bCs/>
          <w:i/>
          <w:iCs/>
          <w:sz w:val="19"/>
          <w:szCs w:val="19"/>
        </w:rPr>
        <w:t>Co</w:t>
      </w:r>
      <w:r>
        <w:rPr>
          <w:b/>
          <w:bCs/>
          <w:i/>
          <w:iCs/>
          <w:sz w:val="19"/>
          <w:szCs w:val="19"/>
        </w:rPr>
        <w:t>ntractual obligation</w:t>
      </w:r>
      <w:r>
        <w:rPr>
          <w:b/>
          <w:bCs/>
          <w:i/>
          <w:iCs/>
          <w:sz w:val="19"/>
          <w:szCs w:val="19"/>
        </w:rPr>
        <w:t>s</w:t>
      </w:r>
    </w:p>
    <w:p w:rsidR="00000000" w:rsidRDefault="003D51DE">
      <w:pPr>
        <w:pStyle w:val="a3"/>
        <w:spacing w:before="180" w:beforeAutospacing="0" w:after="0" w:afterAutospacing="0"/>
        <w:ind w:firstLine="694"/>
        <w:jc w:val="both"/>
        <w:rPr>
          <w:sz w:val="20"/>
          <w:szCs w:val="20"/>
        </w:rPr>
      </w:pPr>
      <w:r>
        <w:rPr>
          <w:sz w:val="19"/>
          <w:szCs w:val="19"/>
        </w:rPr>
        <w:t>A summary of our significant contractual payment obligations for the repayment of outstanding borrowings at September 30, 2022 is as follows</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5"/>
        <w:gridCol w:w="103"/>
        <w:gridCol w:w="145"/>
        <w:gridCol w:w="566"/>
        <w:gridCol w:w="103"/>
        <w:gridCol w:w="103"/>
        <w:gridCol w:w="145"/>
        <w:gridCol w:w="838"/>
        <w:gridCol w:w="103"/>
        <w:gridCol w:w="103"/>
        <w:gridCol w:w="145"/>
        <w:gridCol w:w="558"/>
        <w:gridCol w:w="103"/>
        <w:gridCol w:w="103"/>
        <w:gridCol w:w="145"/>
        <w:gridCol w:w="558"/>
        <w:gridCol w:w="103"/>
        <w:gridCol w:w="103"/>
        <w:gridCol w:w="146"/>
        <w:gridCol w:w="630"/>
        <w:gridCol w:w="118"/>
      </w:tblGrid>
      <w:tr w:rsidR="00000000">
        <w:trPr>
          <w:tblCellSpacing w:w="15" w:type="dxa"/>
        </w:trPr>
        <w:tc>
          <w:tcPr>
            <w:tcW w:w="2191" w:type="pct"/>
            <w:vAlign w:val="center"/>
            <w:hideMark/>
          </w:tcPr>
          <w:p w:rsidR="00000000" w:rsidRDefault="003D51DE">
            <w:pPr>
              <w:rPr>
                <w:sz w:val="20"/>
                <w:szCs w:val="20"/>
              </w:rPr>
            </w:pPr>
          </w:p>
        </w:tc>
        <w:tc>
          <w:tcPr>
            <w:tcW w:w="55"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6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54"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0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18"/>
            <w:vAlign w:val="bottom"/>
            <w:hideMark/>
          </w:tcPr>
          <w:p w:rsidR="00000000" w:rsidRDefault="003D51DE">
            <w:pPr>
              <w:pStyle w:val="a3"/>
              <w:spacing w:before="0" w:beforeAutospacing="0" w:after="0" w:afterAutospacing="0"/>
              <w:jc w:val="center"/>
              <w:rPr>
                <w:sz w:val="17"/>
                <w:szCs w:val="17"/>
              </w:rPr>
            </w:pPr>
            <w:r>
              <w:rPr>
                <w:b/>
                <w:bCs/>
                <w:sz w:val="17"/>
                <w:szCs w:val="17"/>
              </w:rPr>
              <w:t>Payments Due By Period (dollars in millions</w:t>
            </w:r>
            <w:r>
              <w:rPr>
                <w:b/>
                <w:bCs/>
                <w:sz w:val="17"/>
                <w:szCs w:val="17"/>
              </w:rPr>
              <w:t>)</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3D51DE">
            <w:pPr>
              <w:pStyle w:val="a3"/>
              <w:spacing w:before="0" w:beforeAutospacing="0" w:after="0" w:afterAutospacing="0"/>
              <w:jc w:val="center"/>
              <w:rPr>
                <w:sz w:val="17"/>
                <w:szCs w:val="17"/>
              </w:rPr>
            </w:pPr>
            <w:r>
              <w:rPr>
                <w:b/>
                <w:bCs/>
                <w:sz w:val="17"/>
                <w:szCs w:val="17"/>
              </w:rPr>
              <w:t>Tota</w:t>
            </w:r>
            <w:r>
              <w:rPr>
                <w:b/>
                <w:bCs/>
                <w:sz w:val="17"/>
                <w:szCs w:val="17"/>
              </w:rPr>
              <w:t>l</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3D51DE">
            <w:pPr>
              <w:pStyle w:val="a3"/>
              <w:spacing w:before="0" w:beforeAutospacing="0" w:after="0" w:afterAutospacing="0"/>
              <w:jc w:val="center"/>
              <w:rPr>
                <w:sz w:val="17"/>
                <w:szCs w:val="17"/>
              </w:rPr>
            </w:pPr>
            <w:r>
              <w:rPr>
                <w:b/>
                <w:bCs/>
                <w:sz w:val="17"/>
                <w:szCs w:val="17"/>
              </w:rPr>
              <w:t>Less than 1 yea</w:t>
            </w:r>
            <w:r>
              <w:rPr>
                <w:b/>
                <w:bCs/>
                <w:sz w:val="17"/>
                <w:szCs w:val="17"/>
              </w:rPr>
              <w:t>r</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3D51DE">
            <w:pPr>
              <w:pStyle w:val="a3"/>
              <w:spacing w:before="0" w:beforeAutospacing="0" w:after="0" w:afterAutospacing="0"/>
              <w:jc w:val="center"/>
              <w:rPr>
                <w:sz w:val="17"/>
                <w:szCs w:val="17"/>
              </w:rPr>
            </w:pPr>
            <w:r>
              <w:rPr>
                <w:b/>
                <w:bCs/>
                <w:sz w:val="17"/>
                <w:szCs w:val="17"/>
              </w:rPr>
              <w:t>1-3 year</w:t>
            </w:r>
            <w:r>
              <w:rPr>
                <w:b/>
                <w:bCs/>
                <w:sz w:val="17"/>
                <w:szCs w:val="17"/>
              </w:rPr>
              <w:t>s</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3D51DE">
            <w:pPr>
              <w:pStyle w:val="a3"/>
              <w:spacing w:before="0" w:beforeAutospacing="0" w:after="0" w:afterAutospacing="0"/>
              <w:jc w:val="center"/>
              <w:rPr>
                <w:sz w:val="17"/>
                <w:szCs w:val="17"/>
              </w:rPr>
            </w:pPr>
            <w:r>
              <w:rPr>
                <w:b/>
                <w:bCs/>
                <w:sz w:val="17"/>
                <w:szCs w:val="17"/>
              </w:rPr>
              <w:t>3-5 year</w:t>
            </w:r>
            <w:r>
              <w:rPr>
                <w:b/>
                <w:bCs/>
                <w:sz w:val="17"/>
                <w:szCs w:val="17"/>
              </w:rPr>
              <w:t>s</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3D51DE">
            <w:pPr>
              <w:pStyle w:val="a3"/>
              <w:spacing w:before="0" w:beforeAutospacing="0" w:after="0" w:afterAutospacing="0"/>
              <w:jc w:val="center"/>
              <w:rPr>
                <w:sz w:val="17"/>
                <w:szCs w:val="17"/>
              </w:rPr>
            </w:pPr>
            <w:r>
              <w:rPr>
                <w:b/>
                <w:bCs/>
                <w:sz w:val="17"/>
                <w:szCs w:val="17"/>
              </w:rPr>
              <w:t>After 5 year</w:t>
            </w:r>
            <w:r>
              <w:rPr>
                <w:b/>
                <w:bCs/>
                <w:sz w:val="17"/>
                <w:szCs w:val="17"/>
              </w:rPr>
              <w:t>s</w:t>
            </w:r>
          </w:p>
        </w:tc>
        <w:tc>
          <w:tcPr>
            <w:tcW w:w="0" w:type="auto"/>
            <w:vAlign w:val="bottom"/>
            <w:hideMark/>
          </w:tcPr>
          <w:p w:rsidR="00000000" w:rsidRDefault="003D51DE">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7"/>
                <w:szCs w:val="17"/>
              </w:rPr>
            </w:pPr>
            <w:r>
              <w:rPr>
                <w:sz w:val="17"/>
                <w:szCs w:val="17"/>
              </w:rPr>
              <w:t>Credit Facilit</w:t>
            </w:r>
            <w:r>
              <w:rPr>
                <w:sz w:val="17"/>
                <w:szCs w:val="17"/>
              </w:rPr>
              <w:t>y</w:t>
            </w:r>
            <w:r>
              <w:rPr>
                <w:sz w:val="11"/>
                <w:szCs w:val="11"/>
              </w:rPr>
              <w:t>(1</w:t>
            </w:r>
            <w:r>
              <w:rPr>
                <w:sz w:val="11"/>
                <w:szCs w:val="11"/>
              </w:rPr>
              <w:t>)</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170.</w:t>
            </w:r>
            <w:r>
              <w:rPr>
                <w:sz w:val="17"/>
                <w:szCs w:val="17"/>
              </w:rPr>
              <w:t>0</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170.</w:t>
            </w:r>
            <w:r>
              <w:rPr>
                <w:sz w:val="17"/>
                <w:szCs w:val="17"/>
              </w:rPr>
              <w:t>0</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7"/>
                <w:szCs w:val="17"/>
              </w:rPr>
            </w:pPr>
            <w:r>
              <w:rPr>
                <w:sz w:val="17"/>
                <w:szCs w:val="17"/>
              </w:rPr>
              <w:t>2025 Private Placement Note</w:t>
            </w:r>
            <w:r>
              <w:rPr>
                <w:sz w:val="17"/>
                <w:szCs w:val="17"/>
              </w:rPr>
              <w:t>s</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92.</w:t>
            </w:r>
            <w:r>
              <w:rPr>
                <w:sz w:val="17"/>
                <w:szCs w:val="17"/>
              </w:rPr>
              <w:t>0</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92.</w:t>
            </w:r>
            <w:r>
              <w:rPr>
                <w:sz w:val="17"/>
                <w:szCs w:val="17"/>
              </w:rPr>
              <w:t>0</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7"/>
                <w:szCs w:val="17"/>
              </w:rPr>
            </w:pPr>
            <w:r>
              <w:rPr>
                <w:sz w:val="17"/>
                <w:szCs w:val="17"/>
              </w:rPr>
              <w:t>Interest and Debt Related Payable</w:t>
            </w:r>
            <w:r>
              <w:rPr>
                <w:sz w:val="17"/>
                <w:szCs w:val="17"/>
              </w:rPr>
              <w:t>s</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1.</w:t>
            </w:r>
            <w:r>
              <w:rPr>
                <w:sz w:val="17"/>
                <w:szCs w:val="17"/>
              </w:rPr>
              <w:t>3</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1.</w:t>
            </w:r>
            <w:r>
              <w:rPr>
                <w:sz w:val="17"/>
                <w:szCs w:val="17"/>
              </w:rPr>
              <w:t>3</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c>
          <w:tcPr>
            <w:tcW w:w="0" w:type="auto"/>
            <w:vAlign w:val="bottom"/>
            <w:hideMark/>
          </w:tcPr>
          <w:p w:rsidR="00000000" w:rsidRDefault="003D51DE">
            <w:pPr>
              <w:pStyle w:val="a3"/>
              <w:spacing w:before="0" w:beforeAutospacing="0" w:after="0" w:afterAutospacing="0"/>
              <w:jc w:val="right"/>
              <w:rPr>
                <w:sz w:val="17"/>
                <w:szCs w:val="17"/>
              </w:rPr>
            </w:pPr>
            <w:r>
              <w:rPr>
                <w:sz w:val="17"/>
                <w:szCs w:val="17"/>
              </w:rPr>
              <w:t>—</w:t>
            </w:r>
          </w:p>
        </w:tc>
        <w:tc>
          <w:tcPr>
            <w:tcW w:w="0" w:type="auto"/>
            <w:noWrap/>
            <w:vAlign w:val="bottom"/>
            <w:hideMark/>
          </w:tcPr>
          <w:p w:rsidR="00000000" w:rsidRDefault="003D51DE">
            <w:pPr>
              <w:pStyle w:val="a3"/>
              <w:spacing w:before="0" w:beforeAutospacing="0" w:after="0" w:afterAutospacing="0"/>
              <w:rPr>
                <w:sz w:val="17"/>
                <w:szCs w:val="17"/>
              </w:rPr>
            </w:pPr>
            <w:r>
              <w:rPr>
                <w:sz w:val="17"/>
                <w:szCs w:val="17"/>
              </w:rPr>
              <w:t> </w:t>
            </w:r>
          </w:p>
        </w:tc>
      </w:tr>
    </w:tbl>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jc w:val="both"/>
        <w:divId w:val="295187970"/>
        <w:rPr>
          <w:rFonts w:eastAsia="Times New Roman"/>
        </w:rPr>
      </w:pPr>
      <w:r>
        <w:rPr>
          <w:rFonts w:eastAsia="Times New Roman"/>
          <w:sz w:val="15"/>
          <w:szCs w:val="15"/>
        </w:rPr>
        <w:t>(1</w:t>
      </w:r>
      <w:r>
        <w:rPr>
          <w:rFonts w:eastAsia="Times New Roman"/>
          <w:sz w:val="15"/>
          <w:szCs w:val="15"/>
        </w:rPr>
        <w:t>)</w:t>
      </w:r>
    </w:p>
    <w:p w:rsidR="00000000" w:rsidRDefault="003D51DE">
      <w:pPr>
        <w:jc w:val="both"/>
        <w:divId w:val="1998192971"/>
        <w:rPr>
          <w:rFonts w:eastAsia="Times New Roman"/>
        </w:rPr>
      </w:pPr>
      <w:r>
        <w:rPr>
          <w:rFonts w:eastAsia="Times New Roman"/>
          <w:sz w:val="15"/>
          <w:szCs w:val="15"/>
        </w:rPr>
        <w:t>At September 30, 2022, $95.0 million remained undrawn under our Credit Facility.</w:t>
      </w:r>
      <w:r>
        <w:rPr>
          <w:rFonts w:eastAsia="Times New Roman"/>
          <w:sz w:val="15"/>
          <w:szCs w:val="15"/>
        </w:rPr>
        <w:t xml:space="preserve"> </w:t>
      </w:r>
    </w:p>
    <w:p w:rsidR="00000000" w:rsidRDefault="003D51DE">
      <w:pPr>
        <w:pStyle w:val="a3"/>
        <w:spacing w:before="240" w:beforeAutospacing="0" w:after="0" w:afterAutospacing="0"/>
        <w:jc w:val="both"/>
        <w:rPr>
          <w:sz w:val="20"/>
          <w:szCs w:val="20"/>
        </w:rPr>
      </w:pPr>
      <w:r>
        <w:rPr>
          <w:b/>
          <w:bCs/>
          <w:sz w:val="19"/>
          <w:szCs w:val="19"/>
        </w:rPr>
        <w:t>Dividend</w:t>
      </w:r>
      <w:r>
        <w:rPr>
          <w:b/>
          <w:bCs/>
          <w:sz w:val="19"/>
          <w:szCs w:val="19"/>
        </w:rPr>
        <w:t>s</w:t>
      </w:r>
      <w:r>
        <w:rPr>
          <w:b/>
          <w:bCs/>
          <w:sz w:val="19"/>
          <w:szCs w:val="19"/>
        </w:rPr>
        <w:t xml:space="preserve"> </w:t>
      </w:r>
    </w:p>
    <w:p w:rsidR="00000000" w:rsidRDefault="003D51DE">
      <w:pPr>
        <w:pStyle w:val="a3"/>
        <w:spacing w:before="180" w:beforeAutospacing="0" w:after="180" w:afterAutospacing="0"/>
        <w:ind w:firstLine="694"/>
        <w:jc w:val="both"/>
        <w:rPr>
          <w:sz w:val="20"/>
          <w:szCs w:val="20"/>
        </w:rPr>
      </w:pPr>
      <w:r>
        <w:rPr>
          <w:sz w:val="19"/>
          <w:szCs w:val="19"/>
        </w:rPr>
        <w:t>Our quarterly dividends, if any, are determined by our Board. Dividends are declared considering our estimate of annual taxable income available for distribution t</w:t>
      </w:r>
      <w:r>
        <w:rPr>
          <w:sz w:val="19"/>
          <w:szCs w:val="19"/>
        </w:rPr>
        <w:t>o stockholders and the amount of taxable income carried over from the prior year for distribution in the current year. We cannot assure stockholders that they will receive any dividends at all or dividends at a particular level. The following table lists t</w:t>
      </w:r>
      <w:r>
        <w:rPr>
          <w:sz w:val="19"/>
          <w:szCs w:val="19"/>
        </w:rPr>
        <w:t>he quarterly dividends per share from our common stock since August 2020</w:t>
      </w:r>
      <w:r>
        <w:rPr>
          <w:sz w:val="19"/>
          <w:szCs w:val="19"/>
        </w:rPr>
        <w:t>:</w:t>
      </w:r>
      <w:r>
        <w:rPr>
          <w:sz w:val="19"/>
          <w:szCs w:val="19"/>
        </w:rPr>
        <w:t xml:space="preserve"> </w:t>
      </w:r>
    </w:p>
    <w:tbl>
      <w:tblPr>
        <w:tblW w:w="4650" w:type="pct"/>
        <w:tblCellSpacing w:w="15" w:type="dxa"/>
        <w:tblCellMar>
          <w:top w:w="15" w:type="dxa"/>
          <w:left w:w="15" w:type="dxa"/>
          <w:bottom w:w="15" w:type="dxa"/>
          <w:right w:w="15" w:type="dxa"/>
        </w:tblCellMar>
        <w:tblLook w:val="04A0" w:firstRow="1" w:lastRow="0" w:firstColumn="1" w:lastColumn="0" w:noHBand="0" w:noVBand="1"/>
      </w:tblPr>
      <w:tblGrid>
        <w:gridCol w:w="2489"/>
        <w:gridCol w:w="135"/>
        <w:gridCol w:w="2475"/>
        <w:gridCol w:w="136"/>
        <w:gridCol w:w="2490"/>
      </w:tblGrid>
      <w:tr w:rsidR="00000000">
        <w:trPr>
          <w:tblCellSpacing w:w="15" w:type="dxa"/>
        </w:trPr>
        <w:tc>
          <w:tcPr>
            <w:tcW w:w="1619" w:type="pct"/>
            <w:vAlign w:val="center"/>
            <w:hideMark/>
          </w:tcPr>
          <w:p w:rsidR="00000000" w:rsidRDefault="003D51DE">
            <w:pPr>
              <w:rPr>
                <w:sz w:val="20"/>
                <w:szCs w:val="20"/>
              </w:rPr>
            </w:pPr>
          </w:p>
        </w:tc>
        <w:tc>
          <w:tcPr>
            <w:tcW w:w="70" w:type="pct"/>
            <w:vAlign w:val="center"/>
            <w:hideMark/>
          </w:tcPr>
          <w:p w:rsidR="00000000" w:rsidRDefault="003D51DE">
            <w:pPr>
              <w:rPr>
                <w:rFonts w:eastAsia="Times New Roman"/>
                <w:sz w:val="20"/>
                <w:szCs w:val="20"/>
              </w:rPr>
            </w:pPr>
          </w:p>
        </w:tc>
        <w:tc>
          <w:tcPr>
            <w:tcW w:w="1619" w:type="pct"/>
            <w:vAlign w:val="center"/>
            <w:hideMark/>
          </w:tcPr>
          <w:p w:rsidR="00000000" w:rsidRDefault="003D51DE">
            <w:pPr>
              <w:rPr>
                <w:rFonts w:eastAsia="Times New Roman"/>
                <w:sz w:val="20"/>
                <w:szCs w:val="20"/>
              </w:rPr>
            </w:pPr>
          </w:p>
        </w:tc>
        <w:tc>
          <w:tcPr>
            <w:tcW w:w="70" w:type="pct"/>
            <w:vAlign w:val="center"/>
            <w:hideMark/>
          </w:tcPr>
          <w:p w:rsidR="00000000" w:rsidRDefault="003D51DE">
            <w:pPr>
              <w:rPr>
                <w:rFonts w:eastAsia="Times New Roman"/>
                <w:sz w:val="20"/>
                <w:szCs w:val="20"/>
              </w:rPr>
            </w:pPr>
          </w:p>
        </w:tc>
        <w:tc>
          <w:tcPr>
            <w:tcW w:w="1619"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Dividend Amount</w:t>
            </w:r>
            <w:r>
              <w:rPr>
                <w:b/>
                <w:bCs/>
                <w:sz w:val="16"/>
                <w:szCs w:val="16"/>
              </w:rPr>
              <w:br/>
              <w:t>Per Share</w:t>
            </w:r>
            <w:r>
              <w:rPr>
                <w:b/>
                <w:bCs/>
                <w:sz w:val="16"/>
                <w:szCs w:val="16"/>
              </w:rPr>
              <w:br/>
              <w:t>Outstandin</w:t>
            </w:r>
            <w:r>
              <w:rPr>
                <w:b/>
                <w:bCs/>
                <w:sz w:val="16"/>
                <w:szCs w:val="16"/>
              </w:rPr>
              <w:t>g</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Record Dat</w:t>
            </w:r>
            <w:r>
              <w:rPr>
                <w:b/>
                <w:bCs/>
                <w:sz w:val="16"/>
                <w:szCs w:val="16"/>
              </w:rPr>
              <w:t>e</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jc w:val="center"/>
              <w:rPr>
                <w:sz w:val="16"/>
                <w:szCs w:val="16"/>
              </w:rPr>
            </w:pPr>
            <w:r>
              <w:rPr>
                <w:b/>
                <w:bCs/>
                <w:sz w:val="16"/>
                <w:szCs w:val="16"/>
              </w:rPr>
              <w:t>Payment Dat</w:t>
            </w:r>
            <w:r>
              <w:rPr>
                <w:b/>
                <w:bCs/>
                <w:sz w:val="16"/>
                <w:szCs w:val="16"/>
              </w:rPr>
              <w:t>e</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August 18, 202</w:t>
            </w:r>
            <w:r>
              <w:rPr>
                <w:sz w:val="18"/>
                <w:szCs w:val="18"/>
              </w:rPr>
              <w:t>0</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September 29, 202</w:t>
            </w:r>
            <w:r>
              <w:rPr>
                <w:sz w:val="18"/>
                <w:szCs w:val="18"/>
              </w:rPr>
              <w:t>0</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November 18, 202</w:t>
            </w:r>
            <w:r>
              <w:rPr>
                <w:sz w:val="18"/>
                <w:szCs w:val="18"/>
              </w:rPr>
              <w:t>0</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December 30, 202</w:t>
            </w:r>
            <w:r>
              <w:rPr>
                <w:sz w:val="18"/>
                <w:szCs w:val="18"/>
              </w:rPr>
              <w:t>0</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March 17, 202</w:t>
            </w:r>
            <w:r>
              <w:rPr>
                <w:sz w:val="18"/>
                <w:szCs w:val="18"/>
              </w:rPr>
              <w:t>1</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April 7, 202</w:t>
            </w:r>
            <w:r>
              <w:rPr>
                <w:sz w:val="18"/>
                <w:szCs w:val="18"/>
              </w:rPr>
              <w:t>1</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June 16, 202</w:t>
            </w:r>
            <w:r>
              <w:rPr>
                <w:sz w:val="18"/>
                <w:szCs w:val="18"/>
              </w:rPr>
              <w:t>1</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July 7, 202</w:t>
            </w:r>
            <w:r>
              <w:rPr>
                <w:sz w:val="18"/>
                <w:szCs w:val="18"/>
              </w:rPr>
              <w:t>1</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September 15, 202</w:t>
            </w:r>
            <w:r>
              <w:rPr>
                <w:sz w:val="18"/>
                <w:szCs w:val="18"/>
              </w:rPr>
              <w:t>1</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October 6, 202</w:t>
            </w:r>
            <w:r>
              <w:rPr>
                <w:sz w:val="18"/>
                <w:szCs w:val="18"/>
              </w:rPr>
              <w:t>1</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December 16, 202</w:t>
            </w:r>
            <w:r>
              <w:rPr>
                <w:sz w:val="18"/>
                <w:szCs w:val="18"/>
              </w:rPr>
              <w:t>1</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January 6, 202</w:t>
            </w:r>
            <w:r>
              <w:rPr>
                <w:sz w:val="18"/>
                <w:szCs w:val="18"/>
              </w:rPr>
              <w:t>2</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March 17, 202</w:t>
            </w:r>
            <w:r>
              <w:rPr>
                <w:sz w:val="18"/>
                <w:szCs w:val="18"/>
              </w:rPr>
              <w:t>2</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April 7, 202</w:t>
            </w:r>
            <w:r>
              <w:rPr>
                <w:sz w:val="18"/>
                <w:szCs w:val="18"/>
              </w:rPr>
              <w:t>2</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June 16, 202</w:t>
            </w:r>
            <w:r>
              <w:rPr>
                <w:sz w:val="18"/>
                <w:szCs w:val="18"/>
              </w:rPr>
              <w:t>2</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July 7, 202</w:t>
            </w:r>
            <w:r>
              <w:rPr>
                <w:sz w:val="18"/>
                <w:szCs w:val="18"/>
              </w:rPr>
              <w:t>2</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September 15, 202</w:t>
            </w:r>
            <w:r>
              <w:rPr>
                <w:sz w:val="18"/>
                <w:szCs w:val="18"/>
              </w:rPr>
              <w:t>2</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October 6, 202</w:t>
            </w:r>
            <w:r>
              <w:rPr>
                <w:sz w:val="18"/>
                <w:szCs w:val="18"/>
              </w:rPr>
              <w:t>2</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jc w:val="center"/>
              <w:rPr>
                <w:sz w:val="18"/>
                <w:szCs w:val="18"/>
              </w:rPr>
            </w:pPr>
            <w:r>
              <w:rPr>
                <w:sz w:val="18"/>
                <w:szCs w:val="18"/>
              </w:rPr>
              <w:t>$0.1</w:t>
            </w:r>
            <w:r>
              <w:rPr>
                <w:sz w:val="18"/>
                <w:szCs w:val="18"/>
              </w:rPr>
              <w:t>0</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December 16, 202</w:t>
            </w:r>
            <w:r>
              <w:rPr>
                <w:sz w:val="18"/>
                <w:szCs w:val="18"/>
              </w:rPr>
              <w:t>2</w:t>
            </w:r>
          </w:p>
        </w:tc>
        <w:tc>
          <w:tcPr>
            <w:tcW w:w="0" w:type="auto"/>
            <w:hideMark/>
          </w:tcPr>
          <w:p w:rsidR="00000000" w:rsidRDefault="003D51DE">
            <w:pPr>
              <w:pStyle w:val="a3"/>
              <w:spacing w:before="0" w:beforeAutospacing="0" w:after="0" w:afterAutospacing="0"/>
              <w:jc w:val="center"/>
              <w:rPr>
                <w:sz w:val="18"/>
                <w:szCs w:val="18"/>
              </w:rPr>
            </w:pPr>
            <w:r>
              <w:rPr>
                <w:sz w:val="18"/>
                <w:szCs w:val="18"/>
              </w:rPr>
              <w:t> </w:t>
            </w:r>
          </w:p>
        </w:tc>
        <w:tc>
          <w:tcPr>
            <w:tcW w:w="0" w:type="auto"/>
            <w:hideMark/>
          </w:tcPr>
          <w:p w:rsidR="00000000" w:rsidRDefault="003D51DE">
            <w:pPr>
              <w:pStyle w:val="a3"/>
              <w:spacing w:before="0" w:beforeAutospacing="0" w:after="0" w:afterAutospacing="0"/>
              <w:jc w:val="center"/>
              <w:rPr>
                <w:sz w:val="18"/>
                <w:szCs w:val="18"/>
              </w:rPr>
            </w:pPr>
            <w:r>
              <w:rPr>
                <w:sz w:val="18"/>
                <w:szCs w:val="18"/>
              </w:rPr>
              <w:t>January 6, 202</w:t>
            </w:r>
            <w:r>
              <w:rPr>
                <w:sz w:val="18"/>
                <w:szCs w:val="18"/>
              </w:rPr>
              <w:t>3</w:t>
            </w:r>
          </w:p>
        </w:tc>
      </w:tr>
    </w:tbl>
    <w:p w:rsidR="00000000" w:rsidRDefault="003D51DE">
      <w:pPr>
        <w:pStyle w:val="a3"/>
        <w:spacing w:before="180" w:beforeAutospacing="0" w:after="0" w:afterAutospacing="0"/>
        <w:ind w:firstLine="694"/>
        <w:jc w:val="both"/>
        <w:rPr>
          <w:sz w:val="20"/>
          <w:szCs w:val="20"/>
        </w:rPr>
      </w:pPr>
      <w:r>
        <w:rPr>
          <w:sz w:val="19"/>
          <w:szCs w:val="19"/>
        </w:rPr>
        <w:t>Tax characteristics of all dividends are reported to stockholders on Form 1099-DIV or Form 1042-S after the end of the calendar year</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2</w:t>
      </w:r>
    </w:p>
    <w:p w:rsidR="00000000" w:rsidRDefault="003D51DE">
      <w:pPr>
        <w:rPr>
          <w:rFonts w:eastAsia="Times New Roman"/>
        </w:rPr>
      </w:pPr>
      <w:r>
        <w:rPr>
          <w:rFonts w:eastAsia="Times New Roman"/>
        </w:rPr>
        <w:pict>
          <v:rect id="_x0000_i1076"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0" w:afterAutospacing="0"/>
        <w:ind w:firstLine="694"/>
        <w:jc w:val="both"/>
        <w:rPr>
          <w:sz w:val="20"/>
          <w:szCs w:val="20"/>
        </w:rPr>
      </w:pPr>
      <w:r>
        <w:rPr>
          <w:sz w:val="19"/>
          <w:szCs w:val="19"/>
        </w:rPr>
        <w:t xml:space="preserve">We have elected to be taxed as a RIC under Subchapter M of the Code. In order </w:t>
      </w:r>
      <w:r>
        <w:rPr>
          <w:sz w:val="19"/>
          <w:szCs w:val="19"/>
        </w:rPr>
        <w:t>to maintain favorable RIC tax treatment, we must distribute annually to our stockholders at least 90% of our ordinary income and realized net short-term capital gains in excess of realized net long-term capital losses, if any, out of the assets legally ava</w:t>
      </w:r>
      <w:r>
        <w:rPr>
          <w:sz w:val="19"/>
          <w:szCs w:val="19"/>
        </w:rPr>
        <w:t>ilable for distribution. In order to avoid certain excise taxes imposed on RICs, we must distribute during each calendar year an amount at least equal to the sum of</w:t>
      </w:r>
      <w:r>
        <w:rPr>
          <w:sz w:val="19"/>
          <w:szCs w:val="19"/>
        </w:rPr>
        <w:t>:</w:t>
      </w:r>
      <w:r>
        <w:rPr>
          <w:sz w:val="19"/>
          <w:szCs w:val="19"/>
        </w:rPr>
        <w:t xml:space="preserve"> </w:t>
      </w:r>
    </w:p>
    <w:p w:rsidR="00000000" w:rsidRDefault="003D51DE">
      <w:pPr>
        <w:jc w:val="both"/>
        <w:divId w:val="1366638788"/>
        <w:rPr>
          <w:rFonts w:eastAsia="Times New Roman"/>
        </w:rPr>
      </w:pPr>
      <w:r>
        <w:rPr>
          <w:rFonts w:eastAsia="Times New Roman"/>
          <w:sz w:val="20"/>
          <w:szCs w:val="20"/>
        </w:rPr>
        <w:t>•</w:t>
      </w:r>
    </w:p>
    <w:p w:rsidR="00000000" w:rsidRDefault="003D51DE">
      <w:pPr>
        <w:jc w:val="both"/>
        <w:divId w:val="1811558876"/>
        <w:rPr>
          <w:rFonts w:eastAsia="Times New Roman"/>
        </w:rPr>
      </w:pPr>
      <w:r>
        <w:rPr>
          <w:rFonts w:eastAsia="Times New Roman"/>
          <w:sz w:val="19"/>
          <w:szCs w:val="19"/>
        </w:rPr>
        <w:t>98% of our ordinary income (not taking into account any capital gains or losses) for th</w:t>
      </w:r>
      <w:r>
        <w:rPr>
          <w:rFonts w:eastAsia="Times New Roman"/>
          <w:sz w:val="19"/>
          <w:szCs w:val="19"/>
        </w:rPr>
        <w:t>e calendar year;</w:t>
      </w:r>
      <w:r>
        <w:rPr>
          <w:rFonts w:eastAsia="Times New Roman"/>
          <w:sz w:val="19"/>
          <w:szCs w:val="19"/>
        </w:rPr>
        <w:t xml:space="preserve"> </w:t>
      </w:r>
    </w:p>
    <w:p w:rsidR="00000000" w:rsidRDefault="003D51DE">
      <w:pPr>
        <w:jc w:val="both"/>
        <w:divId w:val="1896232373"/>
        <w:rPr>
          <w:rFonts w:eastAsia="Times New Roman"/>
        </w:rPr>
      </w:pPr>
      <w:r>
        <w:rPr>
          <w:rFonts w:eastAsia="Times New Roman"/>
          <w:sz w:val="20"/>
          <w:szCs w:val="20"/>
        </w:rPr>
        <w:t>•</w:t>
      </w:r>
    </w:p>
    <w:p w:rsidR="00000000" w:rsidRDefault="003D51DE">
      <w:pPr>
        <w:jc w:val="both"/>
        <w:divId w:val="811559920"/>
        <w:rPr>
          <w:rFonts w:eastAsia="Times New Roman"/>
        </w:rPr>
      </w:pPr>
      <w:r>
        <w:rPr>
          <w:rFonts w:eastAsia="Times New Roman"/>
          <w:sz w:val="19"/>
          <w:szCs w:val="19"/>
        </w:rPr>
        <w:t>98.2% of the amount by which our capital gains exceed our capital losses (adjusted for certain ordinary losses) for the one-year period generally ending on October 31 of the calendar year; and</w:t>
      </w:r>
      <w:r>
        <w:rPr>
          <w:rFonts w:eastAsia="Times New Roman"/>
          <w:sz w:val="19"/>
          <w:szCs w:val="19"/>
        </w:rPr>
        <w:t xml:space="preserve"> </w:t>
      </w:r>
    </w:p>
    <w:p w:rsidR="00000000" w:rsidRDefault="003D51DE">
      <w:pPr>
        <w:jc w:val="both"/>
        <w:divId w:val="541795365"/>
        <w:rPr>
          <w:rFonts w:eastAsia="Times New Roman"/>
        </w:rPr>
      </w:pPr>
      <w:r>
        <w:rPr>
          <w:rFonts w:eastAsia="Times New Roman"/>
          <w:sz w:val="20"/>
          <w:szCs w:val="20"/>
        </w:rPr>
        <w:t>•</w:t>
      </w:r>
    </w:p>
    <w:p w:rsidR="00000000" w:rsidRDefault="003D51DE">
      <w:pPr>
        <w:jc w:val="both"/>
        <w:divId w:val="1926960193"/>
        <w:rPr>
          <w:rFonts w:eastAsia="Times New Roman"/>
        </w:rPr>
      </w:pPr>
      <w:r>
        <w:rPr>
          <w:rFonts w:eastAsia="Times New Roman"/>
          <w:sz w:val="19"/>
          <w:szCs w:val="19"/>
        </w:rPr>
        <w:t>certain undistributed amounts from previ</w:t>
      </w:r>
      <w:r>
        <w:rPr>
          <w:rFonts w:eastAsia="Times New Roman"/>
          <w:sz w:val="19"/>
          <w:szCs w:val="19"/>
        </w:rPr>
        <w:t>ous years on which we paid no U.S. federal income tax.</w:t>
      </w:r>
      <w:r>
        <w:rPr>
          <w:rFonts w:eastAsia="Times New Roman"/>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We may, at our discretion, carry forward taxable income in excess of calendar year dividends and pay a 4% excise tax on this income. If we choose to do so, all other things being equal, this would inc</w:t>
      </w:r>
      <w:r>
        <w:rPr>
          <w:sz w:val="19"/>
          <w:szCs w:val="19"/>
        </w:rPr>
        <w:t>rease expenses and reduce the amounts available to be distributed to our stockholders. We will accrue excise tax on estimated taxable income as required. In addition, although we currently intend to distribute realized net capital gains (i.e., net long-ter</w:t>
      </w:r>
      <w:r>
        <w:rPr>
          <w:sz w:val="19"/>
          <w:szCs w:val="19"/>
        </w:rPr>
        <w:t>m capital gains in excess of short-term capital losses), if any, at least annually, out of the assets legally available for such dividends, we may in the future decide to retain such capital gains for investment. There was no provision for federal excise t</w:t>
      </w:r>
      <w:r>
        <w:rPr>
          <w:sz w:val="19"/>
          <w:szCs w:val="19"/>
        </w:rPr>
        <w:t>axes recorded for the year ended December 31, 2021</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The final tax characterization of dividends is determined after the fiscal year and is reported on Form 1099 and in the Company’s annual report to stockholders. Dividends can be characterized as ordinary</w:t>
      </w:r>
      <w:r>
        <w:rPr>
          <w:sz w:val="19"/>
          <w:szCs w:val="19"/>
        </w:rPr>
        <w:t xml:space="preserve"> income, capital gains and/or return of capital. To the extent that dividends exceed the Company’s current and accumulated earnings and profits, the excess may be treated as a non-taxable return of capital. Dividends that exceed a Company’s taxable income </w:t>
      </w:r>
      <w:r>
        <w:rPr>
          <w:sz w:val="19"/>
          <w:szCs w:val="19"/>
        </w:rPr>
        <w:t>but do not exceed the Company’s current and accumulated earnings and profits, may be classified as ordinary income which is taxable to stockholders</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The Company estimates the source of its dividends as required by Section 19(a) of the 1940 Act. On a quarte</w:t>
      </w:r>
      <w:r>
        <w:rPr>
          <w:sz w:val="19"/>
          <w:szCs w:val="19"/>
        </w:rPr>
        <w:t>rly basis, for any payment of dividends estimated to be paid from any other source other than net investment income accrued for current period or certain cumulative periods based on the Section 19(a) requirement, the Company posts a Section 19(a) notice th</w:t>
      </w:r>
      <w:r>
        <w:rPr>
          <w:sz w:val="19"/>
          <w:szCs w:val="19"/>
        </w:rPr>
        <w:t>rough the Depository Trust Company’s Legal Notice System and its website, as well as sends its registered stockholders a printed copy of such notice along with the dividend payment. The estimates of the source of the dividend are interim estimates based on</w:t>
      </w:r>
      <w:r>
        <w:rPr>
          <w:sz w:val="19"/>
          <w:szCs w:val="19"/>
        </w:rPr>
        <w:t xml:space="preserve"> GAAP that are subject to revision, and the exact character of the dividends for tax purposes cannot be determined until the final books and records are finalized for the calendar year. Therefore, these estimates are made solely in order to comply with the</w:t>
      </w:r>
      <w:r>
        <w:rPr>
          <w:sz w:val="19"/>
          <w:szCs w:val="19"/>
        </w:rPr>
        <w:t xml:space="preserve"> requirements of Section 19(a) of the 1940 Act and should not be relied upon for tax reporting or any other purposes and could differ significantly from the actual character of dividends for tax purposes. For the $0.10 dividend per share paid on October 6,</w:t>
      </w:r>
      <w:r>
        <w:rPr>
          <w:sz w:val="19"/>
          <w:szCs w:val="19"/>
        </w:rPr>
        <w:t xml:space="preserve"> 2022, the Company noted that $0.10 was sourced from net investment income and there was no return of capital paid based on book income. For Consolidated Statements of Changes in Net Assets, sources of dividends to stockholders will be adjusted on an annua</w:t>
      </w:r>
      <w:r>
        <w:rPr>
          <w:sz w:val="19"/>
          <w:szCs w:val="19"/>
        </w:rPr>
        <w:t>l basis, if necessary, and calculated in accordance with federal income tax regulations</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We maintain an “opt out” dividend reinvestment plan for our common stockholders. As a result, except as discussed below, if we declare a dividend, stockholders’ cash d</w:t>
      </w:r>
      <w:r>
        <w:rPr>
          <w:sz w:val="19"/>
          <w:szCs w:val="19"/>
        </w:rPr>
        <w:t>ividends will be automatically reinvested in additional shares of our common stock, unless they specifically “opt out” of the Company's dividend reinvestment plan (the "Plan") as to receive cash dividends. Additionally, if the Company makes a dividend to b</w:t>
      </w:r>
      <w:r>
        <w:rPr>
          <w:sz w:val="19"/>
          <w:szCs w:val="19"/>
        </w:rPr>
        <w:t>e paid in cash or in stock at the election of stockholders as of the applicable dividend record date (a “Cash/Stock Dividend”), the terms are subject to the amended Plan dated May 13, 2020 described below (see Note 7 to the consolidated financial statement</w:t>
      </w:r>
      <w:r>
        <w:rPr>
          <w:sz w:val="19"/>
          <w:szCs w:val="19"/>
        </w:rPr>
        <w:t>s)</w:t>
      </w:r>
      <w:r>
        <w:rPr>
          <w:sz w:val="19"/>
          <w:szCs w:val="19"/>
        </w:rPr>
        <w:t>.</w:t>
      </w:r>
    </w:p>
    <w:p w:rsidR="00000000" w:rsidRDefault="003D51DE">
      <w:pPr>
        <w:pStyle w:val="a3"/>
        <w:spacing w:before="180" w:beforeAutospacing="0" w:after="0" w:afterAutospacing="0"/>
        <w:ind w:firstLine="694"/>
        <w:jc w:val="both"/>
        <w:rPr>
          <w:sz w:val="20"/>
          <w:szCs w:val="20"/>
        </w:rPr>
      </w:pPr>
      <w:r>
        <w:rPr>
          <w:sz w:val="19"/>
          <w:szCs w:val="19"/>
        </w:rPr>
        <w:t>On March 6, 2018, the Company's Board adopted amendments to the Plan. Under the terms of the amended Plan, if the Company declares a dividend or determines to make a capital gain or other distribution, the reinvestment plan agent will acquire shares fo</w:t>
      </w:r>
      <w:r>
        <w:rPr>
          <w:sz w:val="19"/>
          <w:szCs w:val="19"/>
        </w:rPr>
        <w:t>r the participants’ accounts, depending upon the following circumstances, (i) through receipt of additional unissued but authorized shares from the Company (“newly issued shares”) and/or (ii) by purchase of outstanding shares on the open market (“open-mark</w:t>
      </w:r>
      <w:r>
        <w:rPr>
          <w:sz w:val="19"/>
          <w:szCs w:val="19"/>
        </w:rPr>
        <w:t>et purchases”). If, on the dividend payment date, the last quarterly net asset value per share (“NAV”) is equal to or less than the closing market price per share on such dividend payment date (such condition often referred to as a “market premium”), the r</w:t>
      </w:r>
      <w:r>
        <w:rPr>
          <w:sz w:val="19"/>
          <w:szCs w:val="19"/>
        </w:rPr>
        <w:t xml:space="preserve">einvestment plan agent will invest the dividend amount in newly issued shares on behalf of the participants. The number of newly issued shares to be credited to each participant’s account will be determined by dividing the dollar amount of the dividend by </w:t>
      </w:r>
      <w:r>
        <w:rPr>
          <w:sz w:val="19"/>
          <w:szCs w:val="19"/>
        </w:rPr>
        <w:t>the greater of (i) the NAV or (ii) 95% of the closing market price on the dividend payment date. If, on the dividend payment date, the NAV is greater than the closing market price per share on such dividend payment date (such condition often referred to as</w:t>
      </w:r>
      <w:r>
        <w:rPr>
          <w:sz w:val="19"/>
          <w:szCs w:val="19"/>
        </w:rPr>
        <w:t xml:space="preserve"> a “market discount”), the reinvestment plan agent may, upon notice from the Company, either (a) invest the dividend amount in newly issued shares on behalf of the participants or (b) invest the dividends amount in shares acquired on behalf of the particip</w:t>
      </w:r>
      <w:r>
        <w:rPr>
          <w:sz w:val="19"/>
          <w:szCs w:val="19"/>
        </w:rPr>
        <w:t>ants in open-market purchases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 xml:space="preserve">On May 13, 2020, the Company's Board adopted further amendments to the Plan. Under the terms of the amended Plan, if the Company makes a Cash/Stock Dividend, each stockholder will be required to elect whether to receive the </w:t>
      </w:r>
      <w:r>
        <w:rPr>
          <w:sz w:val="19"/>
          <w:szCs w:val="19"/>
        </w:rPr>
        <w:t xml:space="preserve">dividend in cash or in shares of the Company's common stock (“Common Shares”), pursuant to such notices, forms or other documentation as may be provided to the stockholder by the Company (the “Election Forms”). If the stockholder is a Plan participant and </w:t>
      </w:r>
      <w:r>
        <w:rPr>
          <w:sz w:val="19"/>
          <w:szCs w:val="19"/>
        </w:rPr>
        <w:t>elects to receive the Cash/Stock Dividend in cash, the stockholder will be deemed to have elected not to participate in the Plan solely with respect to such Cash/Stock Dividend and will receive the dividend in cash subject to any rules applicable to the di</w:t>
      </w:r>
      <w:r>
        <w:rPr>
          <w:sz w:val="19"/>
          <w:szCs w:val="19"/>
        </w:rPr>
        <w:t>vidend that may limit the portion of the dividend the Company is required to pay in cash. If the stockholder is a Plan participant and elects to receive the Cash/Stock Dividend in stock, the stockholder will receive the dividend in newly issued Common Shar</w:t>
      </w:r>
      <w:r>
        <w:rPr>
          <w:sz w:val="19"/>
          <w:szCs w:val="19"/>
        </w:rPr>
        <w:t>es. The number of newly issued Common Shares credited to the stockholders' account in either case will be determined by dividing the dollar amount of the dividend (or portion of the dividend to be paid in Common Shares) by the price per Common Shar</w:t>
      </w:r>
      <w:r>
        <w:rPr>
          <w:sz w:val="19"/>
          <w:szCs w:val="19"/>
        </w:rPr>
        <w:t>e</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3</w:t>
      </w:r>
    </w:p>
    <w:p w:rsidR="00000000" w:rsidRDefault="003D51DE">
      <w:pPr>
        <w:rPr>
          <w:rFonts w:eastAsia="Times New Roman"/>
        </w:rPr>
      </w:pPr>
      <w:r>
        <w:rPr>
          <w:rFonts w:eastAsia="Times New Roman"/>
        </w:rPr>
        <w:pict>
          <v:rect id="_x0000_i1077"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180" w:beforeAutospacing="0" w:after="0" w:afterAutospacing="0"/>
        <w:jc w:val="both"/>
        <w:rPr>
          <w:sz w:val="20"/>
          <w:szCs w:val="20"/>
        </w:rPr>
      </w:pPr>
      <w:r>
        <w:rPr>
          <w:sz w:val="19"/>
          <w:szCs w:val="19"/>
        </w:rPr>
        <w:t>determined in accordance with the Election Forms rather than pursuant to the formula(s) otherwise applicable under the Plan</w:t>
      </w:r>
      <w:r>
        <w:rPr>
          <w:sz w:val="19"/>
          <w:szCs w:val="19"/>
        </w:rPr>
        <w:t>.</w:t>
      </w:r>
      <w:r>
        <w:rPr>
          <w:sz w:val="20"/>
          <w:szCs w:val="20"/>
        </w:rPr>
        <w:t xml:space="preserve"> </w:t>
      </w:r>
      <w:r>
        <w:rPr>
          <w:sz w:val="19"/>
          <w:szCs w:val="19"/>
        </w:rPr>
        <w:t xml:space="preserve">This feature of the Plan means that, under certain circumstances, we may issue shares of </w:t>
      </w:r>
      <w:r>
        <w:rPr>
          <w:sz w:val="19"/>
          <w:szCs w:val="19"/>
        </w:rPr>
        <w:t>our common stock at a price below NAV per share, which could cause our stockholders to experience dilution. We may not be able to achieve operating results that will allow us to make dividends at a specific level or to increase the amount of these dividend</w:t>
      </w:r>
      <w:r>
        <w:rPr>
          <w:sz w:val="19"/>
          <w:szCs w:val="19"/>
        </w:rPr>
        <w:t>s from time to time. Also, we may be limited in our ability to make dividends due to the asset coverage test applicable to us as a BDC under the 1940 Act and due to provisions in our existing and future debt arrangements</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If we do not distribute a certain</w:t>
      </w:r>
      <w:r>
        <w:rPr>
          <w:sz w:val="19"/>
          <w:szCs w:val="19"/>
        </w:rPr>
        <w:t xml:space="preserve"> percentage of our income annually, we will suffer adverse tax consequences, including possible loss of favorable RIC tax treatment. In addition, in accordance with U.S. GAAP and tax regulations, we include in income certain amounts that we have not yet re</w:t>
      </w:r>
      <w:r>
        <w:rPr>
          <w:sz w:val="19"/>
          <w:szCs w:val="19"/>
        </w:rPr>
        <w:t>ceived in cash, such as payment-in-kind interest, which represents contractual interest added to the loan balance that becomes due at the end of the loan term, or the accretion of original issue or market discount. Since we may recognize income before or w</w:t>
      </w:r>
      <w:r>
        <w:rPr>
          <w:sz w:val="19"/>
          <w:szCs w:val="19"/>
        </w:rPr>
        <w:t>ithout receiving cash representing such income, we may have difficulty meeting the requirement to distribute at least 90% of our investment company taxable income to obtain tax benefits as a RIC and may be subject to income or excise taxes. In order to sat</w:t>
      </w:r>
      <w:r>
        <w:rPr>
          <w:sz w:val="19"/>
          <w:szCs w:val="19"/>
        </w:rPr>
        <w:t>isfy the annual distribution requirement applicable to RICs, we may have the ability to declare a large portion of a dividend in shares of our common stock instead of in cash. As long as a sufficient portion of such dividend is paid in cash and certain req</w:t>
      </w:r>
      <w:r>
        <w:rPr>
          <w:sz w:val="19"/>
          <w:szCs w:val="19"/>
        </w:rPr>
        <w:t>uirements are met, the entire distribution would generally be treated as a dividend for U.S. federal income tax purposes</w:t>
      </w:r>
      <w:r>
        <w:rPr>
          <w:sz w:val="19"/>
          <w:szCs w:val="19"/>
        </w:rPr>
        <w:t>.</w:t>
      </w:r>
      <w:r>
        <w:rPr>
          <w:sz w:val="19"/>
          <w:szCs w:val="19"/>
        </w:rPr>
        <w:t xml:space="preserve"> </w:t>
      </w:r>
    </w:p>
    <w:p w:rsidR="00000000" w:rsidRDefault="003D51DE">
      <w:pPr>
        <w:pStyle w:val="a3"/>
        <w:spacing w:before="200" w:beforeAutospacing="0" w:after="0" w:afterAutospacing="0"/>
        <w:jc w:val="both"/>
        <w:rPr>
          <w:sz w:val="20"/>
          <w:szCs w:val="20"/>
        </w:rPr>
      </w:pPr>
      <w:r>
        <w:rPr>
          <w:b/>
          <w:bCs/>
          <w:sz w:val="19"/>
          <w:szCs w:val="19"/>
        </w:rPr>
        <w:t>Recent development</w:t>
      </w:r>
      <w:r>
        <w:rPr>
          <w:b/>
          <w:bCs/>
          <w:sz w:val="19"/>
          <w:szCs w:val="19"/>
        </w:rPr>
        <w:t>s</w:t>
      </w:r>
      <w:r>
        <w:rPr>
          <w:b/>
          <w:bCs/>
          <w:sz w:val="19"/>
          <w:szCs w:val="19"/>
        </w:rPr>
        <w:t xml:space="preserve"> </w:t>
      </w:r>
    </w:p>
    <w:p w:rsidR="00000000" w:rsidRDefault="003D51DE">
      <w:pPr>
        <w:pStyle w:val="a3"/>
        <w:spacing w:before="180" w:beforeAutospacing="0" w:after="0" w:afterAutospacing="0"/>
        <w:ind w:firstLine="702"/>
        <w:jc w:val="both"/>
        <w:rPr>
          <w:sz w:val="20"/>
          <w:szCs w:val="20"/>
        </w:rPr>
      </w:pPr>
      <w:r>
        <w:rPr>
          <w:sz w:val="19"/>
          <w:szCs w:val="19"/>
        </w:rPr>
        <w:t>On October 28, 2022, the Company’s Board declared a dividend of $0.10 per share, payable on January 6, 2023 to s</w:t>
      </w:r>
      <w:r>
        <w:rPr>
          <w:sz w:val="19"/>
          <w:szCs w:val="19"/>
        </w:rPr>
        <w:t>tockholders of record at the close of business on December 16, 2022</w:t>
      </w:r>
      <w:r>
        <w:rPr>
          <w:sz w:val="19"/>
          <w:szCs w:val="19"/>
        </w:rPr>
        <w:t>.</w:t>
      </w:r>
    </w:p>
    <w:p w:rsidR="00000000" w:rsidRDefault="003D51DE">
      <w:pPr>
        <w:pStyle w:val="a3"/>
        <w:spacing w:before="160" w:beforeAutospacing="0" w:after="0" w:afterAutospacing="0"/>
        <w:ind w:firstLine="702"/>
        <w:jc w:val="both"/>
        <w:rPr>
          <w:sz w:val="20"/>
          <w:szCs w:val="20"/>
        </w:rPr>
      </w:pPr>
      <w:r>
        <w:rPr>
          <w:sz w:val="19"/>
          <w:szCs w:val="19"/>
        </w:rPr>
        <w:t>On November 2, 2022, authorization to repurchase the remaining 6,598,268 shares expired. On October 28, 2022, the Company’s Board authorized the Company to purchase up to a total of 8,000</w:t>
      </w:r>
      <w:r>
        <w:rPr>
          <w:sz w:val="19"/>
          <w:szCs w:val="19"/>
        </w:rPr>
        <w:t>,000 shares, commencing on November 7, 2022 and effective until the earlier of November 6, 2023 or such time that all of the authorized shares have been repurchased, subject to the terms of a share repurchase program, if in effect</w:t>
      </w:r>
      <w:r>
        <w:rPr>
          <w:sz w:val="19"/>
          <w:szCs w:val="19"/>
        </w:rPr>
        <w:t>.</w:t>
      </w:r>
    </w:p>
    <w:p w:rsidR="00000000" w:rsidRDefault="003D51DE">
      <w:pPr>
        <w:pStyle w:val="a3"/>
        <w:spacing w:before="160" w:beforeAutospacing="0" w:after="0" w:afterAutospacing="0"/>
        <w:ind w:firstLine="694"/>
        <w:jc w:val="both"/>
        <w:rPr>
          <w:sz w:val="20"/>
          <w:szCs w:val="20"/>
        </w:rPr>
      </w:pPr>
      <w:r>
        <w:rPr>
          <w:sz w:val="19"/>
          <w:szCs w:val="19"/>
        </w:rPr>
        <w:t>The Company has reviewed</w:t>
      </w:r>
      <w:r>
        <w:rPr>
          <w:sz w:val="19"/>
          <w:szCs w:val="19"/>
        </w:rPr>
        <w:t xml:space="preserve"> subsequent events occurring through the date that these consolidated financial statements were available to be issued, and determined that no subsequent events occurred requiring accrual or disclosure, except as disclosed above and elsewhere in these note</w:t>
      </w:r>
      <w:r>
        <w:rPr>
          <w:sz w:val="19"/>
          <w:szCs w:val="19"/>
        </w:rPr>
        <w:t>s to consolidated financial statements</w:t>
      </w:r>
      <w:r>
        <w:rPr>
          <w:sz w:val="19"/>
          <w:szCs w:val="19"/>
        </w:rPr>
        <w:t>.</w:t>
      </w:r>
    </w:p>
    <w:p w:rsidR="00000000" w:rsidRDefault="003D51DE">
      <w:pPr>
        <w:pStyle w:val="a3"/>
        <w:spacing w:before="160" w:beforeAutospacing="0" w:after="0" w:afterAutospacing="0"/>
        <w:ind w:firstLine="694"/>
        <w:jc w:val="both"/>
        <w:rPr>
          <w:sz w:val="20"/>
          <w:szCs w:val="20"/>
        </w:rPr>
      </w:pPr>
      <w:r>
        <w:rPr>
          <w:sz w:val="19"/>
          <w:szCs w:val="19"/>
        </w:rPr>
        <w:t>Notice is hereby given in accordance with Section 23(c) of the 1940 Act that from time to time the Company may purchase shares of its common stock in the open market at prevailing market prices</w:t>
      </w:r>
      <w:r>
        <w:rPr>
          <w:sz w:val="19"/>
          <w:szCs w:val="19"/>
        </w:rPr>
        <w:t>.</w:t>
      </w:r>
      <w:r>
        <w:rPr>
          <w:sz w:val="19"/>
          <w:szCs w:val="19"/>
        </w:rPr>
        <w:t xml:space="preserve"> </w:t>
      </w:r>
    </w:p>
    <w:p w:rsidR="00000000" w:rsidRDefault="003D51DE">
      <w:pPr>
        <w:pStyle w:val="a3"/>
        <w:spacing w:before="200" w:beforeAutospacing="0" w:after="0" w:afterAutospacing="0"/>
        <w:jc w:val="both"/>
        <w:rPr>
          <w:sz w:val="20"/>
          <w:szCs w:val="20"/>
        </w:rPr>
      </w:pPr>
      <w:r>
        <w:rPr>
          <w:b/>
          <w:bCs/>
          <w:sz w:val="19"/>
          <w:szCs w:val="19"/>
        </w:rPr>
        <w:t>Item 3. Quantitative</w:t>
      </w:r>
      <w:r>
        <w:rPr>
          <w:b/>
          <w:bCs/>
          <w:sz w:val="19"/>
          <w:szCs w:val="19"/>
        </w:rPr>
        <w:t xml:space="preserve"> and Qualitat</w:t>
      </w:r>
      <w:r>
        <w:rPr>
          <w:b/>
          <w:bCs/>
          <w:sz w:val="19"/>
          <w:szCs w:val="19"/>
        </w:rPr>
        <w:t>i</w:t>
      </w:r>
      <w:r>
        <w:rPr>
          <w:b/>
          <w:bCs/>
          <w:sz w:val="19"/>
          <w:szCs w:val="19"/>
        </w:rPr>
        <w:t>ve Disclosures About Market Ris</w:t>
      </w:r>
      <w:r>
        <w:rPr>
          <w:b/>
          <w:bCs/>
          <w:sz w:val="19"/>
          <w:szCs w:val="19"/>
        </w:rPr>
        <w:t>k</w:t>
      </w:r>
      <w:r>
        <w:rPr>
          <w:b/>
          <w:bCs/>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We are subject to financial market risks, including changes in interest rates. At September 30, 2022, 99% of our yielding debt investments, at fair value, bore interest based on floating rates, such as LIBOR,</w:t>
      </w:r>
      <w:r>
        <w:rPr>
          <w:sz w:val="19"/>
          <w:szCs w:val="19"/>
        </w:rPr>
        <w:t xml:space="preserve"> SOFR, or the Prime Rate. The interest rates on such investments generally reset by reference to the current market index after one to six months. Of those yielding floating rate debt investments, 91% contained an interest rate floor. Floating rate investm</w:t>
      </w:r>
      <w:r>
        <w:rPr>
          <w:sz w:val="19"/>
          <w:szCs w:val="19"/>
        </w:rPr>
        <w:t>ents subject to a floor generally reset by reference to the current market index after one to six months only if the index exceeds the floor. Interest rate sensitivity refers to the change in our earnings that may result from changes in the level of intere</w:t>
      </w:r>
      <w:r>
        <w:rPr>
          <w:sz w:val="19"/>
          <w:szCs w:val="19"/>
        </w:rPr>
        <w:t>st rates. Since we fund a portion of our investments with borrowings, our net investment income is affected by the difference between the rate at which we invest and the rate at which we borrow. The Company’s Credit Facility bears interest at variable rate</w:t>
      </w:r>
      <w:r>
        <w:rPr>
          <w:sz w:val="19"/>
          <w:szCs w:val="19"/>
        </w:rPr>
        <w:t>s with a reference rate floor of 0.00%, while our 2025 Private Placement Notes were issued in two tranches, consisting of a fixed tranche and variable rate tranche with no floor. As a result, there can be no assurance that a significant change in market in</w:t>
      </w:r>
      <w:r>
        <w:rPr>
          <w:sz w:val="19"/>
          <w:szCs w:val="19"/>
        </w:rPr>
        <w:t>terest rates will not have a material adverse effect on our net investment income</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The following table shows the approximate annual increase (decrease) on net investment income of base rate changes in interest rates (considering interest rate floors for v</w:t>
      </w:r>
      <w:r>
        <w:rPr>
          <w:sz w:val="19"/>
          <w:szCs w:val="19"/>
        </w:rPr>
        <w:t>ariable rate instruments) to our debt portfolio and outstanding borrowings as of September 30, 2022, assuming no changes to our investment and borrowing structure</w:t>
      </w:r>
      <w:r>
        <w:rPr>
          <w:sz w:val="19"/>
          <w:szCs w:val="19"/>
        </w:rPr>
        <w:t>:</w:t>
      </w:r>
      <w:r>
        <w:rPr>
          <w:sz w:val="19"/>
          <w:szCs w:val="19"/>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743"/>
        <w:gridCol w:w="105"/>
        <w:gridCol w:w="151"/>
        <w:gridCol w:w="988"/>
        <w:gridCol w:w="120"/>
        <w:gridCol w:w="105"/>
        <w:gridCol w:w="151"/>
        <w:gridCol w:w="977"/>
        <w:gridCol w:w="135"/>
      </w:tblGrid>
      <w:tr w:rsidR="00000000">
        <w:trPr>
          <w:tblCellSpacing w:w="15" w:type="dxa"/>
        </w:trPr>
        <w:tc>
          <w:tcPr>
            <w:tcW w:w="3306" w:type="pct"/>
            <w:vAlign w:val="center"/>
            <w:hideMark/>
          </w:tcPr>
          <w:p w:rsidR="00000000" w:rsidRDefault="003D51DE">
            <w:pPr>
              <w:rPr>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0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69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w:t>
            </w:r>
            <w:r>
              <w:rPr>
                <w:b/>
                <w:bCs/>
                <w:sz w:val="16"/>
                <w:szCs w:val="16"/>
              </w:rPr>
              <w:br/>
              <w:t>Investment</w:t>
            </w:r>
            <w:r>
              <w:rPr>
                <w:b/>
                <w:bCs/>
                <w:sz w:val="16"/>
                <w:szCs w:val="16"/>
              </w:rPr>
              <w:br/>
              <w:t>Incom</w:t>
            </w:r>
            <w:r>
              <w:rPr>
                <w:b/>
                <w:bCs/>
                <w:sz w:val="16"/>
                <w:szCs w:val="16"/>
              </w:rPr>
              <w:t>e</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Net</w:t>
            </w:r>
            <w:r>
              <w:rPr>
                <w:b/>
                <w:bCs/>
                <w:sz w:val="16"/>
                <w:szCs w:val="16"/>
              </w:rPr>
              <w:br/>
              <w:t>Investment</w:t>
            </w:r>
            <w:r>
              <w:rPr>
                <w:b/>
                <w:bCs/>
                <w:sz w:val="16"/>
                <w:szCs w:val="16"/>
              </w:rPr>
              <w:br/>
              <w:t>Income</w:t>
            </w:r>
            <w:r>
              <w:rPr>
                <w:b/>
                <w:bCs/>
                <w:sz w:val="16"/>
                <w:szCs w:val="16"/>
              </w:rPr>
              <w:br/>
              <w:t>Per Shar</w:t>
            </w:r>
            <w:r>
              <w:rPr>
                <w:b/>
                <w:bCs/>
                <w:sz w:val="16"/>
                <w:szCs w:val="16"/>
              </w:rPr>
              <w:t>e</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rPr>
                <w:sz w:val="18"/>
                <w:szCs w:val="18"/>
              </w:rPr>
            </w:pPr>
            <w:r>
              <w:rPr>
                <w:sz w:val="18"/>
                <w:szCs w:val="18"/>
              </w:rPr>
              <w:t>Basis Point Change ($ in millions, except per share data</w:t>
            </w: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3D51DE">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ind w:left="300"/>
              <w:rPr>
                <w:sz w:val="18"/>
                <w:szCs w:val="18"/>
              </w:rPr>
            </w:pPr>
            <w:r>
              <w:rPr>
                <w:sz w:val="18"/>
                <w:szCs w:val="18"/>
              </w:rPr>
              <w:t>Up 400 basis point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13.</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0.1</w:t>
            </w:r>
            <w:r>
              <w:rPr>
                <w:sz w:val="18"/>
                <w:szCs w:val="18"/>
              </w:rPr>
              <w:t>8</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ind w:left="300"/>
              <w:rPr>
                <w:sz w:val="18"/>
                <w:szCs w:val="18"/>
              </w:rPr>
            </w:pPr>
            <w:r>
              <w:rPr>
                <w:sz w:val="18"/>
                <w:szCs w:val="18"/>
              </w:rPr>
              <w:t>Up 300 basis point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10.</w:t>
            </w:r>
            <w:r>
              <w:rPr>
                <w:sz w:val="18"/>
                <w:szCs w:val="18"/>
              </w:rPr>
              <w:t>0</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0.1</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ind w:left="300"/>
              <w:rPr>
                <w:sz w:val="18"/>
                <w:szCs w:val="18"/>
              </w:rPr>
            </w:pPr>
            <w:r>
              <w:rPr>
                <w:sz w:val="18"/>
                <w:szCs w:val="18"/>
              </w:rPr>
              <w:t>Up 200 basis point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6.</w:t>
            </w:r>
            <w:r>
              <w:rPr>
                <w:sz w:val="18"/>
                <w:szCs w:val="18"/>
              </w:rPr>
              <w:t>7</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0.0</w:t>
            </w:r>
            <w:r>
              <w:rPr>
                <w:sz w:val="18"/>
                <w:szCs w:val="18"/>
              </w:rPr>
              <w:t>9</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ind w:left="300"/>
              <w:rPr>
                <w:sz w:val="18"/>
                <w:szCs w:val="18"/>
              </w:rPr>
            </w:pPr>
            <w:r>
              <w:rPr>
                <w:sz w:val="18"/>
                <w:szCs w:val="18"/>
              </w:rPr>
              <w:t>Up 100 basis point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w:t>
            </w:r>
            <w:r>
              <w:rPr>
                <w:sz w:val="18"/>
                <w:szCs w:val="18"/>
              </w:rPr>
              <w:t>3</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0.0</w:t>
            </w:r>
            <w:r>
              <w:rPr>
                <w:sz w:val="18"/>
                <w:szCs w:val="18"/>
              </w:rPr>
              <w:t>5</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3D51DE">
            <w:pPr>
              <w:pStyle w:val="a3"/>
              <w:spacing w:before="0" w:beforeAutospacing="0" w:after="0" w:afterAutospacing="0"/>
              <w:ind w:left="300"/>
              <w:rPr>
                <w:sz w:val="18"/>
                <w:szCs w:val="18"/>
              </w:rPr>
            </w:pPr>
            <w:r>
              <w:rPr>
                <w:sz w:val="18"/>
                <w:szCs w:val="18"/>
              </w:rPr>
              <w:t>Down 100 basis point</w:t>
            </w:r>
            <w:r>
              <w:rPr>
                <w:sz w:val="18"/>
                <w:szCs w:val="18"/>
              </w:rPr>
              <w:t>s</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(3.</w:t>
            </w:r>
            <w:r>
              <w:rPr>
                <w:sz w:val="18"/>
                <w:szCs w:val="18"/>
              </w:rPr>
              <w:t>1</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(0.0</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r>
    </w:tbl>
    <w:p w:rsidR="00000000" w:rsidRDefault="003D51DE">
      <w:pPr>
        <w:pStyle w:val="a3"/>
        <w:pBdr>
          <w:bottom w:val="single" w:sz="4" w:space="1" w:color="auto"/>
        </w:pBdr>
        <w:spacing w:before="0" w:beforeAutospacing="0" w:after="0" w:afterAutospacing="0"/>
        <w:ind w:left="595" w:right="8810"/>
        <w:jc w:val="both"/>
        <w:rPr>
          <w:sz w:val="20"/>
          <w:szCs w:val="20"/>
        </w:rPr>
      </w:pPr>
      <w:r>
        <w:rPr>
          <w:sz w:val="20"/>
          <w:szCs w:val="20"/>
        </w:rPr>
        <w:t> </w:t>
      </w:r>
    </w:p>
    <w:p w:rsidR="00000000" w:rsidRDefault="003D51DE">
      <w:pPr>
        <w:jc w:val="both"/>
        <w:divId w:val="877275600"/>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378553213"/>
        <w:rPr>
          <w:rFonts w:eastAsia="Times New Roman"/>
        </w:rPr>
      </w:pPr>
      <w:r>
        <w:rPr>
          <w:rFonts w:eastAsia="Times New Roman"/>
          <w:sz w:val="15"/>
          <w:szCs w:val="15"/>
        </w:rPr>
        <w:t>Excludes the impact of incentive fees based on income</w:t>
      </w:r>
      <w:r>
        <w:rPr>
          <w:rFonts w:eastAsia="Times New Roman"/>
          <w:sz w:val="15"/>
          <w:szCs w:val="15"/>
        </w:rPr>
        <w:t xml:space="preserve"> </w:t>
      </w:r>
    </w:p>
    <w:p w:rsidR="00000000" w:rsidRDefault="003D51DE">
      <w:pPr>
        <w:pStyle w:val="a3"/>
        <w:spacing w:before="120" w:beforeAutospacing="0" w:after="0" w:afterAutospacing="0"/>
        <w:ind w:firstLine="694"/>
        <w:jc w:val="both"/>
        <w:rPr>
          <w:sz w:val="20"/>
          <w:szCs w:val="20"/>
        </w:rPr>
      </w:pPr>
      <w:r>
        <w:rPr>
          <w:sz w:val="19"/>
          <w:szCs w:val="19"/>
        </w:rPr>
        <w:t>While hedging activities may help to insulate us against adverse changes in interest rates, they also may limit our ability to participate in the beneficial interest rates with respect to our portfolio of investments. There can be no assurance that we will</w:t>
      </w:r>
      <w:r>
        <w:rPr>
          <w:sz w:val="19"/>
          <w:szCs w:val="19"/>
        </w:rPr>
        <w:t xml:space="preserve"> be able to effectively hedge our interest rate risk. Refer to Notes 2 and 4 for more information on the Company’s Interest Rate Swap. Projected amounts in the table above do not include the impact of interest rate changes on the Company's Interest Rate Sw</w:t>
      </w:r>
      <w:r>
        <w:rPr>
          <w:sz w:val="19"/>
          <w:szCs w:val="19"/>
        </w:rPr>
        <w:t>ap</w:t>
      </w:r>
      <w:r>
        <w:rPr>
          <w:sz w:val="19"/>
          <w:szCs w:val="19"/>
        </w:rPr>
        <w:t>.</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4</w:t>
      </w:r>
    </w:p>
    <w:p w:rsidR="00000000" w:rsidRDefault="003D51DE">
      <w:pPr>
        <w:rPr>
          <w:rFonts w:eastAsia="Times New Roman"/>
        </w:rPr>
      </w:pPr>
      <w:r>
        <w:rPr>
          <w:rFonts w:eastAsia="Times New Roman"/>
        </w:rPr>
        <w:pict>
          <v:rect id="_x0000_i1078"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rPr>
          <w:sz w:val="20"/>
          <w:szCs w:val="20"/>
        </w:rPr>
      </w:pPr>
      <w:r>
        <w:rPr>
          <w:b/>
          <w:bCs/>
          <w:sz w:val="19"/>
          <w:szCs w:val="19"/>
        </w:rPr>
        <w:t>Item 4. Controls</w:t>
      </w:r>
      <w:r>
        <w:rPr>
          <w:b/>
          <w:bCs/>
          <w:sz w:val="19"/>
          <w:szCs w:val="19"/>
        </w:rPr>
        <w:t xml:space="preserve"> </w:t>
      </w:r>
      <w:r>
        <w:rPr>
          <w:b/>
          <w:bCs/>
          <w:sz w:val="19"/>
          <w:szCs w:val="19"/>
        </w:rPr>
        <w:t>and Procedure</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As of the end of the period covered by this report, we carried out an evaluation, under the supervision and with the participation of our management, including our Interim Chief Executi</w:t>
      </w:r>
      <w:r>
        <w:rPr>
          <w:sz w:val="19"/>
          <w:szCs w:val="19"/>
        </w:rPr>
        <w:t>ve Officer and Interim Chief Financial Officer, of the effectiveness of the design and operation of our disclosure controls and procedures (as defined in Rule 13a-15 under the Exchange Act). Based on that evaluation, our Interim Chief Executive Officer and</w:t>
      </w:r>
      <w:r>
        <w:rPr>
          <w:sz w:val="19"/>
          <w:szCs w:val="19"/>
        </w:rPr>
        <w:t xml:space="preserve"> Interim Chief Financial Officer have concluded that our current disclosure controls and procedures are effective in timely alerting them to material information relating to us that is required to be disclosed by us in the reports we file or submit under t</w:t>
      </w:r>
      <w:r>
        <w:rPr>
          <w:sz w:val="19"/>
          <w:szCs w:val="19"/>
        </w:rPr>
        <w:t>he Exchange Act</w:t>
      </w:r>
      <w:r>
        <w:rPr>
          <w:sz w:val="19"/>
          <w:szCs w:val="19"/>
        </w:rPr>
        <w:t>.</w:t>
      </w:r>
      <w:r>
        <w:rPr>
          <w:sz w:val="19"/>
          <w:szCs w:val="19"/>
        </w:rPr>
        <w:t xml:space="preserve"> </w:t>
      </w:r>
    </w:p>
    <w:p w:rsidR="00000000" w:rsidRDefault="003D51DE">
      <w:pPr>
        <w:pStyle w:val="a3"/>
        <w:spacing w:before="180" w:beforeAutospacing="0" w:after="0" w:afterAutospacing="0"/>
        <w:ind w:firstLine="694"/>
        <w:jc w:val="both"/>
        <w:rPr>
          <w:sz w:val="20"/>
          <w:szCs w:val="20"/>
        </w:rPr>
      </w:pPr>
      <w:r>
        <w:rPr>
          <w:sz w:val="19"/>
          <w:szCs w:val="19"/>
        </w:rPr>
        <w:t>There have been no changes in our internal control over financial reporting that occurred during our most recently completed fiscal quarter that have materially affected, or are reasonably likely to materially affect, our internal control</w:t>
      </w:r>
      <w:r>
        <w:rPr>
          <w:sz w:val="19"/>
          <w:szCs w:val="19"/>
        </w:rPr>
        <w:t>s over financial reporting</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5</w:t>
      </w:r>
    </w:p>
    <w:p w:rsidR="00000000" w:rsidRDefault="003D51DE">
      <w:pPr>
        <w:rPr>
          <w:rFonts w:eastAsia="Times New Roman"/>
        </w:rPr>
      </w:pPr>
      <w:r>
        <w:rPr>
          <w:rFonts w:eastAsia="Times New Roman"/>
        </w:rPr>
        <w:pict>
          <v:rect id="_x0000_i1079"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PART II. OTH</w:t>
      </w:r>
      <w:r>
        <w:rPr>
          <w:b/>
          <w:bCs/>
          <w:sz w:val="19"/>
          <w:szCs w:val="19"/>
        </w:rPr>
        <w:t>E</w:t>
      </w:r>
      <w:r>
        <w:rPr>
          <w:b/>
          <w:bCs/>
          <w:sz w:val="19"/>
          <w:szCs w:val="19"/>
        </w:rPr>
        <w:t>R INFORMATIO</w:t>
      </w:r>
      <w:r>
        <w:rPr>
          <w:b/>
          <w:bCs/>
          <w:sz w:val="19"/>
          <w:szCs w:val="19"/>
        </w:rPr>
        <w:t>N</w:t>
      </w:r>
      <w:r>
        <w:rPr>
          <w:b/>
          <w:bCs/>
          <w:sz w:val="19"/>
          <w:szCs w:val="19"/>
        </w:rPr>
        <w:t xml:space="preserve"> </w:t>
      </w:r>
    </w:p>
    <w:p w:rsidR="00000000" w:rsidRDefault="003D51DE">
      <w:pPr>
        <w:pStyle w:val="a3"/>
        <w:spacing w:before="190" w:beforeAutospacing="0" w:after="0" w:afterAutospacing="0"/>
        <w:jc w:val="both"/>
        <w:rPr>
          <w:sz w:val="20"/>
          <w:szCs w:val="20"/>
        </w:rPr>
      </w:pPr>
      <w:r>
        <w:rPr>
          <w:b/>
          <w:bCs/>
          <w:sz w:val="19"/>
          <w:szCs w:val="19"/>
        </w:rPr>
        <w:t>Item 1. Lega</w:t>
      </w:r>
      <w:r>
        <w:rPr>
          <w:b/>
          <w:bCs/>
          <w:sz w:val="19"/>
          <w:szCs w:val="19"/>
        </w:rPr>
        <w:t>l</w:t>
      </w:r>
      <w:r>
        <w:rPr>
          <w:b/>
          <w:bCs/>
          <w:sz w:val="19"/>
          <w:szCs w:val="19"/>
        </w:rPr>
        <w:t xml:space="preserve"> Proceeding</w:t>
      </w:r>
      <w:r>
        <w:rPr>
          <w:b/>
          <w:bCs/>
          <w:sz w:val="19"/>
          <w:szCs w:val="19"/>
        </w:rPr>
        <w:t>s</w:t>
      </w:r>
      <w:r>
        <w:rPr>
          <w:b/>
          <w:bCs/>
          <w:sz w:val="19"/>
          <w:szCs w:val="19"/>
        </w:rPr>
        <w:t xml:space="preserve"> </w:t>
      </w:r>
    </w:p>
    <w:p w:rsidR="00000000" w:rsidRDefault="003D51DE">
      <w:pPr>
        <w:pStyle w:val="a3"/>
        <w:spacing w:before="240" w:beforeAutospacing="0" w:after="0" w:afterAutospacing="0"/>
        <w:ind w:firstLine="702"/>
        <w:jc w:val="both"/>
        <w:rPr>
          <w:sz w:val="20"/>
          <w:szCs w:val="20"/>
        </w:rPr>
      </w:pPr>
      <w:r>
        <w:rPr>
          <w:sz w:val="19"/>
          <w:szCs w:val="19"/>
        </w:rPr>
        <w:t>From time to time, we and the Advisor may be a party to certain legal proceedings incidental to the normal course of our business</w:t>
      </w:r>
      <w:r>
        <w:rPr>
          <w:sz w:val="19"/>
          <w:szCs w:val="19"/>
        </w:rPr>
        <w:t>, including the enforcement of our rights under contracts with our portfolio companies. Further, third parties may try to seek to impose liability on us in connection with the activities of our portfolio companies. While we cannot predict the outcome of th</w:t>
      </w:r>
      <w:r>
        <w:rPr>
          <w:sz w:val="19"/>
          <w:szCs w:val="19"/>
        </w:rPr>
        <w:t>ese legal proceedings with certainty, we do not expect that these proceedings will have a material effect on our consolidated financial statements</w:t>
      </w:r>
      <w:r>
        <w:rPr>
          <w:sz w:val="19"/>
          <w:szCs w:val="19"/>
        </w:rPr>
        <w:t>.</w:t>
      </w:r>
      <w:r>
        <w:rPr>
          <w:sz w:val="19"/>
          <w:szCs w:val="19"/>
        </w:rPr>
        <w:t xml:space="preserve"> </w:t>
      </w:r>
    </w:p>
    <w:p w:rsidR="00000000" w:rsidRDefault="003D51DE">
      <w:pPr>
        <w:pStyle w:val="a3"/>
        <w:spacing w:before="240" w:beforeAutospacing="0" w:after="0" w:afterAutospacing="0"/>
        <w:jc w:val="both"/>
        <w:divId w:val="1072850098"/>
        <w:rPr>
          <w:sz w:val="20"/>
          <w:szCs w:val="20"/>
        </w:rPr>
      </w:pPr>
      <w:r>
        <w:rPr>
          <w:b/>
          <w:bCs/>
          <w:sz w:val="19"/>
          <w:szCs w:val="19"/>
        </w:rPr>
        <w:t>Item 1A. Ri</w:t>
      </w:r>
      <w:r>
        <w:rPr>
          <w:b/>
          <w:bCs/>
          <w:sz w:val="19"/>
          <w:szCs w:val="19"/>
        </w:rPr>
        <w:t>s</w:t>
      </w:r>
      <w:r>
        <w:rPr>
          <w:b/>
          <w:bCs/>
          <w:sz w:val="19"/>
          <w:szCs w:val="19"/>
        </w:rPr>
        <w:t>k Factor</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divId w:val="1072850098"/>
        <w:rPr>
          <w:sz w:val="20"/>
          <w:szCs w:val="20"/>
        </w:rPr>
      </w:pPr>
      <w:r>
        <w:rPr>
          <w:sz w:val="19"/>
          <w:szCs w:val="19"/>
        </w:rPr>
        <w:t xml:space="preserve">In addition to the other information set forth in this report, you should carefully </w:t>
      </w:r>
      <w:r>
        <w:rPr>
          <w:sz w:val="19"/>
          <w:szCs w:val="19"/>
        </w:rPr>
        <w:t>consider the risk factor discussed below and the risk factors in our Annual Report on Form 10-K for the fiscal year ended December 31, 2021 (the “Annual Report”), which could materially affect our business, financial condition and/or operating results. The</w:t>
      </w:r>
      <w:r>
        <w:rPr>
          <w:sz w:val="19"/>
          <w:szCs w:val="19"/>
        </w:rPr>
        <w:t xml:space="preserve"> risks described in our Annual Report and discussed below are not the only risks facing us. Additional risks and uncertainties not currently known to us or that we currently deem to be immaterial also may materially and adversely affect our business, finan</w:t>
      </w:r>
      <w:r>
        <w:rPr>
          <w:sz w:val="19"/>
          <w:szCs w:val="19"/>
        </w:rPr>
        <w:t>cial condition and/or operating results</w:t>
      </w:r>
      <w:r>
        <w:rPr>
          <w:sz w:val="19"/>
          <w:szCs w:val="19"/>
        </w:rPr>
        <w:t>.</w:t>
      </w:r>
    </w:p>
    <w:p w:rsidR="00000000" w:rsidRDefault="003D51DE">
      <w:pPr>
        <w:pStyle w:val="a3"/>
        <w:spacing w:before="240" w:beforeAutospacing="0" w:after="0" w:afterAutospacing="0"/>
        <w:ind w:firstLine="702"/>
        <w:divId w:val="444468542"/>
        <w:rPr>
          <w:sz w:val="20"/>
          <w:szCs w:val="20"/>
        </w:rPr>
      </w:pPr>
      <w:r>
        <w:rPr>
          <w:b/>
          <w:bCs/>
          <w:i/>
          <w:iCs/>
          <w:sz w:val="19"/>
          <w:szCs w:val="19"/>
        </w:rPr>
        <w:t>Market disruptions and other geopolitical or macroeconomic events could create market volatility that negatively impacts our business, financial condition and earnings</w:t>
      </w:r>
      <w:r>
        <w:rPr>
          <w:b/>
          <w:bCs/>
          <w:i/>
          <w:iCs/>
          <w:sz w:val="19"/>
          <w:szCs w:val="19"/>
        </w:rPr>
        <w:t>.</w:t>
      </w:r>
    </w:p>
    <w:p w:rsidR="00000000" w:rsidRDefault="003D51DE">
      <w:pPr>
        <w:pStyle w:val="a3"/>
        <w:spacing w:before="240" w:beforeAutospacing="0" w:after="0" w:afterAutospacing="0"/>
        <w:ind w:firstLine="702"/>
        <w:jc w:val="both"/>
        <w:divId w:val="444468542"/>
        <w:rPr>
          <w:sz w:val="20"/>
          <w:szCs w:val="20"/>
        </w:rPr>
      </w:pPr>
      <w:r>
        <w:rPr>
          <w:sz w:val="19"/>
          <w:szCs w:val="19"/>
        </w:rPr>
        <w:t>Periods of market volatility remain, and may c</w:t>
      </w:r>
      <w:r>
        <w:rPr>
          <w:sz w:val="19"/>
          <w:szCs w:val="19"/>
        </w:rPr>
        <w:t xml:space="preserve">ontinue to occur in the future, in response to various political, social and economic events both within and outside of the U.S. These conditions have resulted in, and in many cases continue to result in, greater price volatility, less liquidity, widening </w:t>
      </w:r>
      <w:r>
        <w:rPr>
          <w:sz w:val="19"/>
          <w:szCs w:val="19"/>
        </w:rPr>
        <w:t>credit spreads and a lack of price transparency, with many securities remaining illiquid and of uncertain value. Such market conditions may adversely affect the Company, including by making valuation of some of the Company’s securities uncertain and/or res</w:t>
      </w:r>
      <w:r>
        <w:rPr>
          <w:sz w:val="19"/>
          <w:szCs w:val="19"/>
        </w:rPr>
        <w:t>ult in sudden and significant valuation increases or declines in the Company’s holdings. If there is a significant decline in the value of the Company’s portfolio, this may impact the asset coverage levels for the Company’s outstanding leverage</w:t>
      </w:r>
      <w:r>
        <w:rPr>
          <w:sz w:val="19"/>
          <w:szCs w:val="19"/>
        </w:rPr>
        <w:t>.</w:t>
      </w:r>
    </w:p>
    <w:p w:rsidR="00000000" w:rsidRDefault="003D51DE">
      <w:pPr>
        <w:pStyle w:val="a3"/>
        <w:spacing w:before="180" w:beforeAutospacing="0" w:after="0" w:afterAutospacing="0"/>
        <w:ind w:firstLine="702"/>
        <w:jc w:val="both"/>
        <w:divId w:val="444468542"/>
        <w:rPr>
          <w:sz w:val="20"/>
          <w:szCs w:val="20"/>
        </w:rPr>
      </w:pPr>
      <w:r>
        <w:rPr>
          <w:sz w:val="19"/>
          <w:szCs w:val="19"/>
        </w:rPr>
        <w:t>Risks resu</w:t>
      </w:r>
      <w:r>
        <w:rPr>
          <w:sz w:val="19"/>
          <w:szCs w:val="19"/>
        </w:rPr>
        <w:t xml:space="preserve">lting from any future debt or other economic crisis could also have a detrimental impact on the global economic recovery, the financial condition of financial institutions and our business, financial condition and results of operation. Market and economic </w:t>
      </w:r>
      <w:r>
        <w:rPr>
          <w:sz w:val="19"/>
          <w:szCs w:val="19"/>
        </w:rPr>
        <w:t>disruptions have affected, and may in the future affect, consumer confidence levels and spending, personal bankruptcy rates, levels of incurrence and default on consumer debt and home prices, among other factors. To the extent uncertainty regarding the U.S</w:t>
      </w:r>
      <w:r>
        <w:rPr>
          <w:sz w:val="19"/>
          <w:szCs w:val="19"/>
        </w:rPr>
        <w:t xml:space="preserve">. or global economy negatively impacts consumer confidence and consumer credit factors, our business, financial condition and results of operations could be significantly and adversely affected. Downgrades to the credit ratings of major banks could result </w:t>
      </w:r>
      <w:r>
        <w:rPr>
          <w:sz w:val="19"/>
          <w:szCs w:val="19"/>
        </w:rPr>
        <w:t>in increased borrowing costs for such banks and negatively affect the broader economy. Moreover, Federal Reserve policy, including with respect to certain interest rates, may also adversely affect the value, volatility and liquidity of dividend- and intere</w:t>
      </w:r>
      <w:r>
        <w:rPr>
          <w:sz w:val="19"/>
          <w:szCs w:val="19"/>
        </w:rPr>
        <w:t>st-paying securities. Market volatility, rising interest rates and/or a return to unfavorable economic conditions could impair the Company’s ability to achieve its investment objective</w:t>
      </w:r>
      <w:r>
        <w:rPr>
          <w:sz w:val="19"/>
          <w:szCs w:val="19"/>
        </w:rPr>
        <w:t>.</w:t>
      </w:r>
    </w:p>
    <w:p w:rsidR="00000000" w:rsidRDefault="003D51DE">
      <w:pPr>
        <w:pStyle w:val="a3"/>
        <w:spacing w:before="180" w:beforeAutospacing="0" w:after="0" w:afterAutospacing="0"/>
        <w:ind w:firstLine="702"/>
        <w:jc w:val="both"/>
        <w:divId w:val="444468542"/>
        <w:rPr>
          <w:sz w:val="20"/>
          <w:szCs w:val="20"/>
        </w:rPr>
      </w:pPr>
      <w:r>
        <w:rPr>
          <w:sz w:val="19"/>
          <w:szCs w:val="19"/>
        </w:rPr>
        <w:t>The occurrence of events similar to those in recent years, such as localized wars, instability, new and ongoing pandemics (such as COVID-19), epidemics or outbreaks of infectious diseases in certain parts of the world, natural/environmental disasters, terr</w:t>
      </w:r>
      <w:r>
        <w:rPr>
          <w:sz w:val="19"/>
          <w:szCs w:val="19"/>
        </w:rPr>
        <w:t>orist attacks in the U.S. and around the world, social and political discord, debt crises sovereign debt downgrades, increasingly strained relations between the U.S. and a number of foreign countries, new and continued political unrest in various countries</w:t>
      </w:r>
      <w:r>
        <w:rPr>
          <w:sz w:val="19"/>
          <w:szCs w:val="19"/>
        </w:rPr>
        <w:t>, the exit or potential exit of one or more countries from the EU or the EMU, continued changes in the balance of political power among and within the branches of the U.S. government, government shutdowns, among others, may result in market volatility, may</w:t>
      </w:r>
      <w:r>
        <w:rPr>
          <w:sz w:val="19"/>
          <w:szCs w:val="19"/>
        </w:rPr>
        <w:t xml:space="preserve"> have long term effects on the U.S. and worldwide financial markets, and may cause further economic uncertainties in the U.S. and worldwide</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444468542"/>
        <w:rPr>
          <w:sz w:val="20"/>
          <w:szCs w:val="20"/>
        </w:rPr>
      </w:pPr>
      <w:r>
        <w:rPr>
          <w:sz w:val="19"/>
          <w:szCs w:val="19"/>
        </w:rPr>
        <w:t>In particular, the consequences of the Russian military invasion of Ukraine, including comprehensive international</w:t>
      </w:r>
      <w:r>
        <w:rPr>
          <w:sz w:val="19"/>
          <w:szCs w:val="19"/>
        </w:rPr>
        <w:t xml:space="preserve"> sanctions, the impact on inflation and increased disruption to supply chains and energy resources may impact our portfolio companies, result in an economic downturn or recession either globally or locally in the U.S. or other economies, reduce business ac</w:t>
      </w:r>
      <w:r>
        <w:rPr>
          <w:sz w:val="19"/>
          <w:szCs w:val="19"/>
        </w:rPr>
        <w:t>tivity, spawn additional conflicts (whether in the form of traditional military action, reignited "cold" wars or in the form of virtual warfare such as cyberattacks) with similar and perhaps wider ranging impacts and consequences and have an adverse impact</w:t>
      </w:r>
      <w:r>
        <w:rPr>
          <w:sz w:val="19"/>
          <w:szCs w:val="19"/>
        </w:rPr>
        <w:t xml:space="preserve"> on the Company's returns and net asset value. We have no way to predict the duration or outcome of the situation, as the conflict and government reactions are rapidly developing and beyond our control. Prolonged unrest, military activities, or broad-based</w:t>
      </w:r>
      <w:r>
        <w:rPr>
          <w:sz w:val="19"/>
          <w:szCs w:val="19"/>
        </w:rPr>
        <w:t xml:space="preserve"> sanctions could have a material adverse effect on our portfolio companies. Such consequences also may increase our funding cost or limit our access to the capital markets</w:t>
      </w:r>
      <w:r>
        <w:rPr>
          <w:sz w:val="19"/>
          <w:szCs w:val="19"/>
        </w:rPr>
        <w:t>.</w:t>
      </w:r>
    </w:p>
    <w:p w:rsidR="00000000" w:rsidRDefault="003D51DE">
      <w:pPr>
        <w:pStyle w:val="a3"/>
        <w:spacing w:before="180" w:beforeAutospacing="0" w:after="0" w:afterAutospacing="0"/>
        <w:ind w:firstLine="702"/>
        <w:jc w:val="both"/>
        <w:divId w:val="444468542"/>
        <w:rPr>
          <w:sz w:val="20"/>
          <w:szCs w:val="20"/>
        </w:rPr>
      </w:pPr>
      <w:r>
        <w:rPr>
          <w:sz w:val="19"/>
          <w:szCs w:val="19"/>
        </w:rPr>
        <w:t xml:space="preserve">The current political climate has intensified concerns about a potential trade war </w:t>
      </w:r>
      <w:r>
        <w:rPr>
          <w:sz w:val="19"/>
          <w:szCs w:val="19"/>
        </w:rPr>
        <w:t>between China and the U.S., as each country has imposed tariffs on the other country’s products. These actions may trigger a significant reduction in international trade, the oversupply of certain manufactured goods, substantial price reductions of goods a</w:t>
      </w:r>
      <w:r>
        <w:rPr>
          <w:sz w:val="19"/>
          <w:szCs w:val="19"/>
        </w:rPr>
        <w:t>nd possible failure of individual companies and/or large segments of China’s export industry, which could have a negative impact on our performance. U.S. companies that source material and goods from China and those that make large amounts of sales in Chin</w:t>
      </w:r>
      <w:r>
        <w:rPr>
          <w:sz w:val="19"/>
          <w:szCs w:val="19"/>
        </w:rPr>
        <w:t xml:space="preserve">a would be particularly vulnerable to an escalation of trade tensions. Uncertainty regarding the outcome of the trade tensions and the potential for a trade war could cause the U.S. dollar to decline against safe haven currencies, such as the Japanese yen </w:t>
      </w:r>
      <w:r>
        <w:rPr>
          <w:sz w:val="19"/>
          <w:szCs w:val="19"/>
        </w:rPr>
        <w:t>and the euro. Events such as these and their consequences are difficult to predict and it is unclear whether further tariffs may be imposed or other escalating actions may be taken in the future. Any of these effects could have a material adverse effect on</w:t>
      </w:r>
      <w:r>
        <w:rPr>
          <w:sz w:val="19"/>
          <w:szCs w:val="19"/>
        </w:rPr>
        <w:t xml:space="preserve"> our business, financial condition and results of operations</w:t>
      </w:r>
      <w:r>
        <w:rPr>
          <w:sz w:val="19"/>
          <w:szCs w:val="19"/>
        </w:rPr>
        <w:t>.</w:t>
      </w:r>
    </w:p>
    <w:p w:rsidR="00000000" w:rsidRDefault="003D51DE">
      <w:pPr>
        <w:pStyle w:val="a3"/>
        <w:spacing w:before="0" w:beforeAutospacing="0" w:after="0" w:afterAutospacing="0"/>
        <w:jc w:val="center"/>
        <w:divId w:val="1072850098"/>
        <w:rPr>
          <w:sz w:val="20"/>
          <w:szCs w:val="20"/>
        </w:rPr>
      </w:pPr>
      <w:r>
        <w:rPr>
          <w:sz w:val="20"/>
          <w:szCs w:val="20"/>
        </w:rPr>
        <w:t> </w:t>
      </w:r>
    </w:p>
    <w:p w:rsidR="00000000" w:rsidRDefault="003D51DE">
      <w:pPr>
        <w:pStyle w:val="a3"/>
        <w:spacing w:before="0" w:beforeAutospacing="0" w:after="0" w:afterAutospacing="0"/>
        <w:jc w:val="center"/>
        <w:divId w:val="1072850098"/>
        <w:rPr>
          <w:sz w:val="20"/>
          <w:szCs w:val="20"/>
        </w:rPr>
      </w:pPr>
      <w:r>
        <w:rPr>
          <w:sz w:val="19"/>
          <w:szCs w:val="19"/>
        </w:rPr>
        <w:t>5</w:t>
      </w:r>
      <w:r>
        <w:rPr>
          <w:sz w:val="19"/>
          <w:szCs w:val="19"/>
        </w:rPr>
        <w:t>6</w:t>
      </w:r>
    </w:p>
    <w:p w:rsidR="00000000" w:rsidRDefault="003D51DE">
      <w:pPr>
        <w:divId w:val="1072850098"/>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3D51DE">
      <w:pPr>
        <w:pStyle w:val="a3"/>
        <w:spacing w:before="0" w:beforeAutospacing="0" w:after="0" w:afterAutospacing="0"/>
        <w:divId w:val="1072850098"/>
        <w:rPr>
          <w:sz w:val="20"/>
          <w:szCs w:val="20"/>
        </w:rPr>
      </w:pPr>
      <w:r>
        <w:rPr>
          <w:sz w:val="20"/>
          <w:szCs w:val="20"/>
        </w:rPr>
        <w:t> </w:t>
      </w:r>
    </w:p>
    <w:p w:rsidR="00000000" w:rsidRDefault="003D51DE">
      <w:pPr>
        <w:pStyle w:val="a3"/>
        <w:spacing w:before="240" w:beforeAutospacing="0" w:after="0" w:afterAutospacing="0"/>
        <w:ind w:firstLine="702"/>
        <w:divId w:val="452948391"/>
        <w:rPr>
          <w:sz w:val="20"/>
          <w:szCs w:val="20"/>
        </w:rPr>
      </w:pPr>
      <w:r>
        <w:rPr>
          <w:b/>
          <w:bCs/>
          <w:i/>
          <w:iCs/>
          <w:sz w:val="19"/>
          <w:szCs w:val="19"/>
        </w:rPr>
        <w:t>Rising interest rates or changes in interest rates may adversely affect the value of our portfolio investments which could have an adverse effect on o</w:t>
      </w:r>
      <w:r>
        <w:rPr>
          <w:b/>
          <w:bCs/>
          <w:i/>
          <w:iCs/>
          <w:sz w:val="19"/>
          <w:szCs w:val="19"/>
        </w:rPr>
        <w:t>ur business, financial condition and results of operations</w:t>
      </w:r>
      <w:r>
        <w:rPr>
          <w:b/>
          <w:bCs/>
          <w:i/>
          <w:iCs/>
          <w:sz w:val="19"/>
          <w:szCs w:val="19"/>
        </w:rPr>
        <w:t>.</w:t>
      </w:r>
    </w:p>
    <w:p w:rsidR="00000000" w:rsidRDefault="003D51DE">
      <w:pPr>
        <w:pStyle w:val="a3"/>
        <w:spacing w:before="180" w:beforeAutospacing="0" w:after="0" w:afterAutospacing="0"/>
        <w:ind w:firstLine="702"/>
        <w:jc w:val="both"/>
        <w:divId w:val="452948391"/>
        <w:rPr>
          <w:sz w:val="20"/>
          <w:szCs w:val="20"/>
        </w:rPr>
      </w:pPr>
      <w:r>
        <w:rPr>
          <w:sz w:val="19"/>
          <w:szCs w:val="19"/>
        </w:rPr>
        <w:t>Our debt investments are generally based on floating rates, such as London Interbank Offer Rate (“LIBOR”), EURIBOR, Secured Overnight Financing Rate (“SOFR”), the Federal Funds Rate or the Prime R</w:t>
      </w:r>
      <w:r>
        <w:rPr>
          <w:sz w:val="19"/>
          <w:szCs w:val="19"/>
        </w:rPr>
        <w:t xml:space="preserve">ate. General interest rate fluctuations may have a substantial negative impact on our investments, the value of our common stock and our rate of return on invested capital. A reduction in the interest rates on new investments relative to interest rates on </w:t>
      </w:r>
      <w:r>
        <w:rPr>
          <w:sz w:val="19"/>
          <w:szCs w:val="19"/>
        </w:rPr>
        <w:t xml:space="preserve">current investments could also have an adverse impact on our net interest income. While we generally expect to invest a limited percentage of our assets in instruments with a fixed interest rate, including subordinated loans, senior and junior secured and </w:t>
      </w:r>
      <w:r>
        <w:rPr>
          <w:sz w:val="19"/>
          <w:szCs w:val="19"/>
        </w:rPr>
        <w:t>unsecured debt securities and loans in high yield bonds, an increase in interest rates could decrease the value of those fixed rate investments. Rising interest rates may also increase the cost of debt for our underlying portfolio companies, which could ad</w:t>
      </w:r>
      <w:r>
        <w:rPr>
          <w:sz w:val="19"/>
          <w:szCs w:val="19"/>
        </w:rPr>
        <w:t>versely impact their financial performance and ability to meet ongoing obligations to the Company. Also, an increase in interest rates available to investors could make investment in our common stock less attractive if we are not able to increase our divid</w:t>
      </w:r>
      <w:r>
        <w:rPr>
          <w:sz w:val="19"/>
          <w:szCs w:val="19"/>
        </w:rPr>
        <w:t>end rate, which could reduce the value of our common stock</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452948391"/>
        <w:rPr>
          <w:sz w:val="20"/>
          <w:szCs w:val="20"/>
        </w:rPr>
      </w:pPr>
      <w:r>
        <w:rPr>
          <w:sz w:val="19"/>
          <w:szCs w:val="19"/>
        </w:rPr>
        <w:t xml:space="preserve">Because we have borrowed money, and may issue preferred stock to finance investments, our net investment income depends, in part, upon the difference between the rate at which we borrow funds or </w:t>
      </w:r>
      <w:r>
        <w:rPr>
          <w:sz w:val="19"/>
          <w:szCs w:val="19"/>
        </w:rPr>
        <w:t>pay dividends on preferred stock and the rate that our investments yield. As a result, we can offer no assurance that a significant change in market interest rates will not have a material adverse effect on our net investment income. In this period of risi</w:t>
      </w:r>
      <w:r>
        <w:rPr>
          <w:sz w:val="19"/>
          <w:szCs w:val="19"/>
        </w:rPr>
        <w:t>ng interest rates, our cost of funds may increase except to the extent we have issued fixed rate debt or preferred stock, which could reduce our net investment income</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452948391"/>
        <w:rPr>
          <w:sz w:val="20"/>
          <w:szCs w:val="20"/>
        </w:rPr>
      </w:pPr>
      <w:r>
        <w:rPr>
          <w:sz w:val="19"/>
          <w:szCs w:val="19"/>
        </w:rPr>
        <w:t>You should also be aware that a change in the general level of interest rates can be ex</w:t>
      </w:r>
      <w:r>
        <w:rPr>
          <w:sz w:val="19"/>
          <w:szCs w:val="19"/>
        </w:rPr>
        <w:t>pected to lead to a change in the interest rate we receive on many of our debt investments. Accordingly, a change in the interest rate could make it easier for us to meet or exceed the performance threshold and may result in a substantial increase in the a</w:t>
      </w:r>
      <w:r>
        <w:rPr>
          <w:sz w:val="19"/>
          <w:szCs w:val="19"/>
        </w:rPr>
        <w:t>mount of Incentive Fees payable to our Advisor with respect to the portion of the Incentive Fee based on income</w:t>
      </w:r>
      <w:r>
        <w:rPr>
          <w:sz w:val="19"/>
          <w:szCs w:val="19"/>
        </w:rPr>
        <w:t>.</w:t>
      </w:r>
      <w:r>
        <w:rPr>
          <w:sz w:val="19"/>
          <w:szCs w:val="19"/>
        </w:rPr>
        <w:t xml:space="preserve"> </w:t>
      </w:r>
    </w:p>
    <w:p w:rsidR="00000000" w:rsidRDefault="003D51DE">
      <w:pPr>
        <w:pStyle w:val="a3"/>
        <w:spacing w:before="180" w:beforeAutospacing="0" w:after="0" w:afterAutospacing="0"/>
        <w:ind w:firstLine="702"/>
        <w:jc w:val="both"/>
        <w:divId w:val="452948391"/>
        <w:rPr>
          <w:sz w:val="20"/>
          <w:szCs w:val="20"/>
        </w:rPr>
      </w:pPr>
      <w:r>
        <w:rPr>
          <w:sz w:val="19"/>
          <w:szCs w:val="19"/>
        </w:rPr>
        <w:t>Interest rates have risen in recent months, and the risk that they may continue to do so is pronounced</w:t>
      </w:r>
      <w:r>
        <w:rPr>
          <w:sz w:val="19"/>
          <w:szCs w:val="19"/>
        </w:rPr>
        <w:t>.</w:t>
      </w:r>
    </w:p>
    <w:p w:rsidR="00000000" w:rsidRDefault="003D51DE">
      <w:pPr>
        <w:pStyle w:val="a3"/>
        <w:spacing w:before="240" w:beforeAutospacing="0" w:after="0" w:afterAutospacing="0"/>
        <w:ind w:firstLine="702"/>
        <w:divId w:val="739786958"/>
        <w:rPr>
          <w:sz w:val="20"/>
          <w:szCs w:val="20"/>
        </w:rPr>
      </w:pPr>
      <w:r>
        <w:rPr>
          <w:b/>
          <w:bCs/>
          <w:i/>
          <w:iCs/>
          <w:sz w:val="19"/>
          <w:szCs w:val="19"/>
        </w:rPr>
        <w:t>We are subject to risks related to inf</w:t>
      </w:r>
      <w:r>
        <w:rPr>
          <w:b/>
          <w:bCs/>
          <w:i/>
          <w:iCs/>
          <w:sz w:val="19"/>
          <w:szCs w:val="19"/>
        </w:rPr>
        <w:t>lation</w:t>
      </w:r>
      <w:r>
        <w:rPr>
          <w:b/>
          <w:bCs/>
          <w:i/>
          <w:iCs/>
          <w:sz w:val="19"/>
          <w:szCs w:val="19"/>
        </w:rPr>
        <w:t>.</w:t>
      </w:r>
    </w:p>
    <w:p w:rsidR="00000000" w:rsidRDefault="003D51DE">
      <w:pPr>
        <w:pStyle w:val="a3"/>
        <w:spacing w:before="240" w:beforeAutospacing="0" w:after="0" w:afterAutospacing="0"/>
        <w:ind w:firstLine="702"/>
        <w:jc w:val="both"/>
        <w:divId w:val="739786958"/>
        <w:rPr>
          <w:sz w:val="20"/>
          <w:szCs w:val="20"/>
        </w:rPr>
      </w:pPr>
      <w:r>
        <w:rPr>
          <w:sz w:val="19"/>
          <w:szCs w:val="19"/>
        </w:rPr>
        <w:t>Inflation risk is the risk that the value of assets or income from investments will be worth less in the future as inflation decreases the value of money. Recently, inflation has increased to its highest level in decades. As inflation increases, th</w:t>
      </w:r>
      <w:r>
        <w:rPr>
          <w:sz w:val="19"/>
          <w:szCs w:val="19"/>
        </w:rPr>
        <w:t>e real value of our shares and dividends therefore may decline. In addition, during any periods of rising inflation, interest rates of any debt securities issued by the Company would likely increase, which would tend to further reduce returns to shareholde</w:t>
      </w:r>
      <w:r>
        <w:rPr>
          <w:sz w:val="19"/>
          <w:szCs w:val="19"/>
        </w:rPr>
        <w:t>rs. Inflation rates may change frequently and significantly as a result of various factors, including unexpected shifts in the domestic or global economy and changes in economic policies, and our investments may not keep pace with inflation, which may resu</w:t>
      </w:r>
      <w:r>
        <w:rPr>
          <w:sz w:val="19"/>
          <w:szCs w:val="19"/>
        </w:rPr>
        <w:t>lt in losses to our shareholders. This risk is greater for fixed-income instruments with longer maturities</w:t>
      </w:r>
      <w:r>
        <w:rPr>
          <w:sz w:val="19"/>
          <w:szCs w:val="19"/>
        </w:rPr>
        <w:t>.</w:t>
      </w:r>
    </w:p>
    <w:p w:rsidR="00000000" w:rsidRDefault="003D51DE">
      <w:pPr>
        <w:pStyle w:val="a3"/>
        <w:spacing w:before="240" w:beforeAutospacing="0" w:after="0" w:afterAutospacing="0"/>
        <w:ind w:firstLine="702"/>
        <w:jc w:val="both"/>
        <w:divId w:val="868760125"/>
        <w:rPr>
          <w:sz w:val="20"/>
          <w:szCs w:val="20"/>
        </w:rPr>
      </w:pPr>
      <w:r>
        <w:rPr>
          <w:b/>
          <w:bCs/>
          <w:i/>
          <w:iCs/>
          <w:sz w:val="19"/>
          <w:szCs w:val="19"/>
        </w:rPr>
        <w:t>We are subject to credit risk related to investments in our portfolio companies and with our financial institutions and counterpartie</w:t>
      </w:r>
      <w:r>
        <w:rPr>
          <w:b/>
          <w:bCs/>
          <w:i/>
          <w:iCs/>
          <w:sz w:val="19"/>
          <w:szCs w:val="19"/>
        </w:rPr>
        <w:t>s</w:t>
      </w:r>
      <w:r>
        <w:rPr>
          <w:sz w:val="19"/>
          <w:szCs w:val="19"/>
        </w:rPr>
        <w:t>.</w:t>
      </w:r>
    </w:p>
    <w:p w:rsidR="00000000" w:rsidRDefault="003D51DE">
      <w:pPr>
        <w:pStyle w:val="a3"/>
        <w:spacing w:before="180" w:beforeAutospacing="0" w:after="0" w:afterAutospacing="0"/>
        <w:ind w:firstLine="702"/>
        <w:jc w:val="both"/>
        <w:divId w:val="868760125"/>
        <w:rPr>
          <w:sz w:val="20"/>
          <w:szCs w:val="20"/>
        </w:rPr>
      </w:pPr>
      <w:r>
        <w:rPr>
          <w:sz w:val="19"/>
          <w:szCs w:val="19"/>
        </w:rPr>
        <w:t xml:space="preserve">The Company </w:t>
      </w:r>
      <w:r>
        <w:rPr>
          <w:sz w:val="19"/>
          <w:szCs w:val="19"/>
        </w:rPr>
        <w:t xml:space="preserve">has investments in lower rated and comparable quality unrated senior and junior secured, unsecured and subordinated debt securities and loans, which are subject to a greater degree of credit risk than more highly rated investments. The risk of loss due to </w:t>
      </w:r>
      <w:r>
        <w:rPr>
          <w:sz w:val="19"/>
          <w:szCs w:val="19"/>
        </w:rPr>
        <w:t>default by the issuer is significantly greater for holders of such securities and loans, particularly in cases where the investment is unsecured or subordinated to other creditors of the issuer</w:t>
      </w:r>
      <w:r>
        <w:rPr>
          <w:sz w:val="19"/>
          <w:szCs w:val="19"/>
        </w:rPr>
        <w:t>.</w:t>
      </w:r>
    </w:p>
    <w:p w:rsidR="00000000" w:rsidRDefault="003D51DE">
      <w:pPr>
        <w:pStyle w:val="a3"/>
        <w:spacing w:before="180" w:beforeAutospacing="0" w:after="0" w:afterAutospacing="0"/>
        <w:ind w:firstLine="702"/>
        <w:jc w:val="both"/>
        <w:divId w:val="868760125"/>
        <w:rPr>
          <w:sz w:val="20"/>
          <w:szCs w:val="20"/>
        </w:rPr>
      </w:pPr>
      <w:r>
        <w:rPr>
          <w:sz w:val="19"/>
          <w:szCs w:val="19"/>
        </w:rPr>
        <w:t>The Company may be exposed to counterparty credit risk, or th</w:t>
      </w:r>
      <w:r>
        <w:rPr>
          <w:sz w:val="19"/>
          <w:szCs w:val="19"/>
        </w:rPr>
        <w:t xml:space="preserve">e risk that an entity with which the Company has unsettled or open transactions may fail to or be unable to perform on its commitments. The Company manages counterparty risk by entering into transactions only with counterparties that they believe have the </w:t>
      </w:r>
      <w:r>
        <w:rPr>
          <w:sz w:val="19"/>
          <w:szCs w:val="19"/>
        </w:rPr>
        <w:t xml:space="preserve">financial resources to honor their obligations and by monitoring the financial stability of those counterparties. Financial assets, which potentially expose the Company to market, issuer and counterparty credit risks, consist principally of investments in </w:t>
      </w:r>
      <w:r>
        <w:rPr>
          <w:sz w:val="19"/>
          <w:szCs w:val="19"/>
        </w:rPr>
        <w:t>portfolio companies. The extent of the Company’s exposure to market, issuer and counterparty credit risks with respect to these financial assets is generally approximated by their fair value recorded in the Consolidated Statements of Assets and Liabilities</w:t>
      </w:r>
      <w:r>
        <w:rPr>
          <w:sz w:val="19"/>
          <w:szCs w:val="19"/>
        </w:rPr>
        <w:t>. The Company is also exposed to credit risk related to maintaining all of its cash at a major financial institution</w:t>
      </w:r>
      <w:r>
        <w:rPr>
          <w:sz w:val="19"/>
          <w:szCs w:val="19"/>
        </w:rPr>
        <w:t>.</w:t>
      </w:r>
    </w:p>
    <w:p w:rsidR="00000000" w:rsidRDefault="003D51DE">
      <w:pPr>
        <w:pStyle w:val="a3"/>
        <w:spacing w:before="240" w:beforeAutospacing="0" w:after="0" w:afterAutospacing="0"/>
        <w:jc w:val="both"/>
        <w:rPr>
          <w:sz w:val="20"/>
          <w:szCs w:val="20"/>
        </w:rPr>
      </w:pPr>
      <w:r>
        <w:rPr>
          <w:b/>
          <w:bCs/>
          <w:sz w:val="19"/>
          <w:szCs w:val="19"/>
        </w:rPr>
        <w:t>Item 2. Unregistered Sales of Equ</w:t>
      </w:r>
      <w:r>
        <w:rPr>
          <w:b/>
          <w:bCs/>
          <w:sz w:val="19"/>
          <w:szCs w:val="19"/>
        </w:rPr>
        <w:t>i</w:t>
      </w:r>
      <w:r>
        <w:rPr>
          <w:b/>
          <w:bCs/>
          <w:sz w:val="19"/>
          <w:szCs w:val="19"/>
        </w:rPr>
        <w:t>ty Securities and Use of Proceed</w:t>
      </w:r>
      <w:r>
        <w:rPr>
          <w:b/>
          <w:bCs/>
          <w:sz w:val="19"/>
          <w:szCs w:val="19"/>
        </w:rPr>
        <w:t>s</w:t>
      </w:r>
      <w:r>
        <w:rPr>
          <w:b/>
          <w:bCs/>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Sales of unregistered securitie</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None</w:t>
      </w:r>
      <w:r>
        <w:rPr>
          <w:sz w:val="19"/>
          <w:szCs w:val="19"/>
        </w:rPr>
        <w:t>.</w:t>
      </w:r>
      <w:r>
        <w:rPr>
          <w:sz w:val="19"/>
          <w:szCs w:val="19"/>
        </w:rPr>
        <w:t xml:space="preserve">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7</w:t>
      </w:r>
    </w:p>
    <w:p w:rsidR="00000000" w:rsidRDefault="003D51DE">
      <w:pPr>
        <w:rPr>
          <w:rFonts w:eastAsia="Times New Roman"/>
        </w:rPr>
      </w:pPr>
      <w:r>
        <w:rPr>
          <w:rFonts w:eastAsia="Times New Roman"/>
        </w:rPr>
        <w:pict>
          <v:rect id="_x0000_i1081"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240" w:beforeAutospacing="0" w:after="0" w:afterAutospacing="0"/>
        <w:jc w:val="both"/>
        <w:rPr>
          <w:sz w:val="20"/>
          <w:szCs w:val="20"/>
        </w:rPr>
      </w:pPr>
      <w:r>
        <w:rPr>
          <w:b/>
          <w:bCs/>
          <w:sz w:val="19"/>
          <w:szCs w:val="19"/>
        </w:rPr>
        <w:t>Issuer purchases of equity securitie</w:t>
      </w:r>
      <w:r>
        <w:rPr>
          <w:b/>
          <w:bCs/>
          <w:sz w:val="19"/>
          <w:szCs w:val="19"/>
        </w:rPr>
        <w:t>s</w:t>
      </w:r>
      <w:r>
        <w:rPr>
          <w:b/>
          <w:bCs/>
          <w:sz w:val="19"/>
          <w:szCs w:val="19"/>
        </w:rPr>
        <w:t xml:space="preserve"> </w:t>
      </w:r>
    </w:p>
    <w:p w:rsidR="00000000" w:rsidRDefault="003D51DE">
      <w:pPr>
        <w:pStyle w:val="a3"/>
        <w:spacing w:before="240" w:beforeAutospacing="0" w:after="0" w:afterAutospacing="0"/>
        <w:ind w:firstLine="702"/>
        <w:jc w:val="both"/>
        <w:rPr>
          <w:sz w:val="20"/>
          <w:szCs w:val="20"/>
        </w:rPr>
      </w:pPr>
      <w:r>
        <w:rPr>
          <w:sz w:val="19"/>
          <w:szCs w:val="19"/>
        </w:rPr>
        <w:t>The following table provides information regarding our purchases of our common stock for each month in the nine-month period ended September 30, 2022</w:t>
      </w:r>
      <w:r>
        <w:rPr>
          <w:sz w:val="19"/>
          <w:szCs w:val="19"/>
        </w:rPr>
        <w:t>:</w:t>
      </w:r>
      <w:r>
        <w:rPr>
          <w:sz w:val="19"/>
          <w:szCs w:val="19"/>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9"/>
        <w:gridCol w:w="196"/>
        <w:gridCol w:w="161"/>
        <w:gridCol w:w="1159"/>
        <w:gridCol w:w="110"/>
        <w:gridCol w:w="159"/>
        <w:gridCol w:w="110"/>
        <w:gridCol w:w="1137"/>
        <w:gridCol w:w="110"/>
        <w:gridCol w:w="159"/>
        <w:gridCol w:w="111"/>
        <w:gridCol w:w="1142"/>
        <w:gridCol w:w="110"/>
        <w:gridCol w:w="159"/>
        <w:gridCol w:w="110"/>
        <w:gridCol w:w="1139"/>
        <w:gridCol w:w="125"/>
      </w:tblGrid>
      <w:tr w:rsidR="00000000">
        <w:trPr>
          <w:tblCellSpacing w:w="15" w:type="dxa"/>
        </w:trPr>
        <w:tc>
          <w:tcPr>
            <w:tcW w:w="1333" w:type="pct"/>
            <w:vAlign w:val="center"/>
            <w:hideMark/>
          </w:tcPr>
          <w:p w:rsidR="00000000" w:rsidRDefault="003D51DE">
            <w:pPr>
              <w:rPr>
                <w:sz w:val="20"/>
                <w:szCs w:val="20"/>
              </w:rPr>
            </w:pPr>
          </w:p>
        </w:tc>
        <w:tc>
          <w:tcPr>
            <w:tcW w:w="11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3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17"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20"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1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trHeight w:val="160"/>
          <w:tblCellSpacing w:w="15" w:type="dxa"/>
        </w:trPr>
        <w:tc>
          <w:tcPr>
            <w:tcW w:w="0" w:type="auto"/>
            <w:vAlign w:val="bottom"/>
            <w:hideMark/>
          </w:tcPr>
          <w:p w:rsidR="00000000" w:rsidRDefault="003D51DE">
            <w:pPr>
              <w:pStyle w:val="a3"/>
              <w:spacing w:before="0" w:beforeAutospacing="0" w:after="0" w:afterAutospacing="0"/>
              <w:rPr>
                <w:sz w:val="16"/>
                <w:szCs w:val="16"/>
              </w:rPr>
            </w:pPr>
            <w:r>
              <w:rPr>
                <w:b/>
                <w:bCs/>
                <w:sz w:val="16"/>
                <w:szCs w:val="16"/>
              </w:rPr>
              <w:t>Perio</w:t>
            </w:r>
            <w:r>
              <w:rPr>
                <w:b/>
                <w:bCs/>
                <w:sz w:val="16"/>
                <w:szCs w:val="16"/>
              </w:rPr>
              <w:t>d</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 xml:space="preserve">Average Price Paid </w:t>
            </w:r>
            <w:r>
              <w:rPr>
                <w:b/>
                <w:bCs/>
                <w:sz w:val="16"/>
                <w:szCs w:val="16"/>
              </w:rPr>
              <w:br/>
              <w:t>per Shar</w:t>
            </w:r>
            <w:r>
              <w:rPr>
                <w:b/>
                <w:bCs/>
                <w:sz w:val="16"/>
                <w:szCs w:val="16"/>
              </w:rPr>
              <w:t>e</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Number of</w:t>
            </w:r>
            <w:r>
              <w:rPr>
                <w:b/>
                <w:bCs/>
                <w:sz w:val="16"/>
                <w:szCs w:val="16"/>
              </w:rPr>
              <w:br/>
              <w:t xml:space="preserve">Shares </w:t>
            </w:r>
            <w:r>
              <w:rPr>
                <w:b/>
                <w:bCs/>
                <w:sz w:val="16"/>
                <w:szCs w:val="16"/>
              </w:rPr>
              <w:br/>
              <w:t>Purchase</w:t>
            </w:r>
            <w:r>
              <w:rPr>
                <w:b/>
                <w:bCs/>
                <w:sz w:val="16"/>
                <w:szCs w:val="16"/>
              </w:rPr>
              <w:t>d</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Total Number of</w:t>
            </w:r>
            <w:r>
              <w:rPr>
                <w:b/>
                <w:bCs/>
                <w:sz w:val="16"/>
                <w:szCs w:val="16"/>
              </w:rPr>
              <w:br/>
              <w:t xml:space="preserve">Shares Purchased </w:t>
            </w:r>
            <w:r>
              <w:rPr>
                <w:b/>
                <w:bCs/>
                <w:sz w:val="16"/>
                <w:szCs w:val="16"/>
              </w:rPr>
              <w:br/>
              <w:t xml:space="preserve">as Part of </w:t>
            </w:r>
            <w:r>
              <w:rPr>
                <w:b/>
                <w:bCs/>
                <w:sz w:val="16"/>
                <w:szCs w:val="16"/>
              </w:rPr>
              <w:br/>
              <w:t xml:space="preserve">Publicly Announced </w:t>
            </w:r>
            <w:r>
              <w:rPr>
                <w:b/>
                <w:bCs/>
                <w:sz w:val="16"/>
                <w:szCs w:val="16"/>
              </w:rPr>
              <w:br/>
              <w:t>Plans or</w:t>
            </w:r>
            <w:r>
              <w:rPr>
                <w:b/>
                <w:bCs/>
                <w:sz w:val="16"/>
                <w:szCs w:val="16"/>
              </w:rPr>
              <w:br/>
              <w:t>Program</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Maximum Number</w:t>
            </w:r>
            <w:r>
              <w:rPr>
                <w:b/>
                <w:bCs/>
                <w:sz w:val="16"/>
                <w:szCs w:val="16"/>
              </w:rPr>
              <w:br/>
              <w:t>(or Approximate</w:t>
            </w:r>
            <w:r>
              <w:rPr>
                <w:b/>
                <w:bCs/>
                <w:sz w:val="16"/>
                <w:szCs w:val="16"/>
              </w:rPr>
              <w:br/>
              <w:t>Dollar Value) of</w:t>
            </w:r>
            <w:r>
              <w:rPr>
                <w:b/>
                <w:bCs/>
                <w:sz w:val="16"/>
                <w:szCs w:val="16"/>
              </w:rPr>
              <w:br/>
              <w:t xml:space="preserve">Shares that May </w:t>
            </w:r>
            <w:r>
              <w:rPr>
                <w:b/>
                <w:bCs/>
                <w:sz w:val="16"/>
                <w:szCs w:val="16"/>
              </w:rPr>
              <w:br/>
              <w:t>Yet</w:t>
            </w:r>
            <w:r>
              <w:rPr>
                <w:b/>
                <w:bCs/>
                <w:sz w:val="16"/>
                <w:szCs w:val="16"/>
              </w:rPr>
              <w:br/>
              <w:t>Be Purchased</w:t>
            </w:r>
            <w:r>
              <w:rPr>
                <w:b/>
                <w:bCs/>
                <w:sz w:val="16"/>
                <w:szCs w:val="16"/>
              </w:rPr>
              <w:t xml:space="preserve"> </w:t>
            </w:r>
            <w:r>
              <w:rPr>
                <w:b/>
                <w:bCs/>
                <w:sz w:val="16"/>
                <w:szCs w:val="16"/>
              </w:rPr>
              <w:br/>
              <w:t>Under</w:t>
            </w:r>
            <w:r>
              <w:rPr>
                <w:b/>
                <w:bCs/>
                <w:sz w:val="16"/>
                <w:szCs w:val="16"/>
              </w:rPr>
              <w:br/>
              <w:t>the Plans or</w:t>
            </w:r>
            <w:r>
              <w:rPr>
                <w:b/>
                <w:bCs/>
                <w:sz w:val="16"/>
                <w:szCs w:val="16"/>
              </w:rPr>
              <w:br/>
              <w:t>Program</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January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w:t>
            </w:r>
          </w:p>
        </w:tc>
        <w:tc>
          <w:tcPr>
            <w:tcW w:w="0" w:type="auto"/>
            <w:vAlign w:val="bottom"/>
            <w:hideMark/>
          </w:tcPr>
          <w:p w:rsidR="00000000" w:rsidRDefault="003D51DE">
            <w:pPr>
              <w:pStyle w:val="a3"/>
              <w:spacing w:before="0" w:beforeAutospacing="0" w:after="0" w:afterAutospacing="0"/>
              <w:jc w:val="right"/>
              <w:rPr>
                <w:sz w:val="18"/>
                <w:szCs w:val="18"/>
              </w:rPr>
            </w:pPr>
            <w:r>
              <w:rPr>
                <w:sz w:val="18"/>
                <w:szCs w:val="18"/>
              </w:rPr>
              <w:t>4.1</w:t>
            </w:r>
            <w:r>
              <w:rPr>
                <w:sz w:val="18"/>
                <w:szCs w:val="18"/>
              </w:rPr>
              <w:t>4</w:t>
            </w:r>
          </w:p>
        </w:tc>
        <w:tc>
          <w:tcPr>
            <w:tcW w:w="0" w:type="auto"/>
            <w:noWrap/>
            <w:vAlign w:val="bottom"/>
            <w:hideMark/>
          </w:tcPr>
          <w:p w:rsidR="00000000" w:rsidRDefault="003D51DE">
            <w:pPr>
              <w:pStyle w:val="a3"/>
              <w:spacing w:before="0" w:beforeAutospacing="0" w:after="0" w:afterAutospacing="0"/>
              <w:rPr>
                <w:sz w:val="18"/>
                <w:szCs w:val="18"/>
              </w:rPr>
            </w:pPr>
            <w:r>
              <w:rPr>
                <w:sz w:val="18"/>
                <w:szCs w:val="18"/>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56,89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56,89</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7,850,00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February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7,850,00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March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49,41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49,41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7,800,58</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April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29,20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29,20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7,771,38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May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81,71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81,71</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7,689,66</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June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3.6</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309,16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309,16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7,380,50</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July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3.7</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157,70</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157,70</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7,222,79</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August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3.9</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44,57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44,57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7,178,22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September 202</w:t>
            </w:r>
            <w:r>
              <w:rPr>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261,63</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261,63</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6,916,59</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3.7</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990,30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990,30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jc w:val="both"/>
        <w:divId w:val="2085174775"/>
        <w:rPr>
          <w:rFonts w:eastAsia="Times New Roman"/>
        </w:rPr>
      </w:pPr>
      <w:r>
        <w:rPr>
          <w:rFonts w:eastAsia="Times New Roman"/>
          <w:sz w:val="15"/>
          <w:szCs w:val="15"/>
          <w:vertAlign w:val="superscript"/>
        </w:rPr>
        <w:t>(1</w:t>
      </w:r>
      <w:r>
        <w:rPr>
          <w:rFonts w:eastAsia="Times New Roman"/>
          <w:sz w:val="15"/>
          <w:szCs w:val="15"/>
          <w:vertAlign w:val="superscript"/>
        </w:rPr>
        <w:t>)</w:t>
      </w:r>
    </w:p>
    <w:p w:rsidR="00000000" w:rsidRDefault="003D51DE">
      <w:pPr>
        <w:jc w:val="both"/>
        <w:divId w:val="653871803"/>
        <w:rPr>
          <w:rFonts w:eastAsia="Times New Roman"/>
        </w:rPr>
      </w:pPr>
      <w:r>
        <w:rPr>
          <w:rFonts w:eastAsia="Times New Roman"/>
          <w:sz w:val="15"/>
          <w:szCs w:val="15"/>
        </w:rPr>
        <w:t>The average price paid per share includes $0.03 commission fee per share</w:t>
      </w:r>
      <w:r>
        <w:rPr>
          <w:rFonts w:eastAsia="Times New Roman"/>
          <w:sz w:val="15"/>
          <w:szCs w:val="15"/>
        </w:rPr>
        <w:t>.</w:t>
      </w:r>
    </w:p>
    <w:p w:rsidR="00000000" w:rsidRDefault="003D51DE">
      <w:pPr>
        <w:pStyle w:val="a3"/>
        <w:spacing w:before="180" w:beforeAutospacing="0" w:after="0" w:afterAutospacing="0"/>
        <w:ind w:firstLine="694"/>
        <w:jc w:val="both"/>
        <w:rPr>
          <w:sz w:val="20"/>
          <w:szCs w:val="20"/>
        </w:rPr>
      </w:pPr>
      <w:r>
        <w:rPr>
          <w:sz w:val="19"/>
          <w:szCs w:val="19"/>
        </w:rPr>
        <w:t>The repurchase plan does not obligate us to acquire any specific number of shares and may be discontinued at any time. We intend to fund any repurchases with available cash and borro</w:t>
      </w:r>
      <w:r>
        <w:rPr>
          <w:sz w:val="19"/>
          <w:szCs w:val="19"/>
        </w:rPr>
        <w:t>wings under the Credit Facility</w:t>
      </w:r>
      <w:r>
        <w:rPr>
          <w:sz w:val="19"/>
          <w:szCs w:val="19"/>
        </w:rPr>
        <w:t>.</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Item 3. Defaults Upo</w:t>
      </w:r>
      <w:r>
        <w:rPr>
          <w:b/>
          <w:bCs/>
          <w:sz w:val="19"/>
          <w:szCs w:val="19"/>
        </w:rPr>
        <w:t>n</w:t>
      </w:r>
      <w:r>
        <w:rPr>
          <w:b/>
          <w:bCs/>
          <w:sz w:val="19"/>
          <w:szCs w:val="19"/>
        </w:rPr>
        <w:t xml:space="preserve"> Senior Securitie</w:t>
      </w:r>
      <w:r>
        <w:rPr>
          <w:b/>
          <w:bCs/>
          <w:sz w:val="19"/>
          <w:szCs w:val="19"/>
        </w:rPr>
        <w:t>s</w:t>
      </w:r>
      <w:r>
        <w:rPr>
          <w:b/>
          <w:bCs/>
          <w:sz w:val="19"/>
          <w:szCs w:val="19"/>
        </w:rPr>
        <w:t xml:space="preserve"> </w:t>
      </w:r>
    </w:p>
    <w:p w:rsidR="00000000" w:rsidRDefault="003D51DE">
      <w:pPr>
        <w:pStyle w:val="a3"/>
        <w:spacing w:before="240" w:beforeAutospacing="0" w:after="0" w:afterAutospacing="0"/>
        <w:ind w:firstLine="702"/>
        <w:jc w:val="both"/>
        <w:rPr>
          <w:sz w:val="20"/>
          <w:szCs w:val="20"/>
        </w:rPr>
      </w:pPr>
      <w:r>
        <w:rPr>
          <w:sz w:val="19"/>
          <w:szCs w:val="19"/>
        </w:rPr>
        <w:t>None</w:t>
      </w:r>
      <w:r>
        <w:rPr>
          <w:sz w:val="19"/>
          <w:szCs w:val="19"/>
        </w:rPr>
        <w:t>.</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Item 4. Mine Saf</w:t>
      </w:r>
      <w:r>
        <w:rPr>
          <w:b/>
          <w:bCs/>
          <w:sz w:val="19"/>
          <w:szCs w:val="19"/>
        </w:rPr>
        <w:t>e</w:t>
      </w:r>
      <w:r>
        <w:rPr>
          <w:b/>
          <w:bCs/>
          <w:sz w:val="19"/>
          <w:szCs w:val="19"/>
        </w:rPr>
        <w:t>ty Disclosure</w:t>
      </w:r>
      <w:r>
        <w:rPr>
          <w:b/>
          <w:bCs/>
          <w:sz w:val="19"/>
          <w:szCs w:val="19"/>
        </w:rPr>
        <w:t>s</w:t>
      </w:r>
      <w:r>
        <w:rPr>
          <w:b/>
          <w:bCs/>
          <w:sz w:val="19"/>
          <w:szCs w:val="19"/>
        </w:rPr>
        <w:t xml:space="preserve"> </w:t>
      </w:r>
    </w:p>
    <w:p w:rsidR="00000000" w:rsidRDefault="003D51DE">
      <w:pPr>
        <w:pStyle w:val="a3"/>
        <w:spacing w:before="240" w:beforeAutospacing="0" w:after="0" w:afterAutospacing="0"/>
        <w:ind w:firstLine="694"/>
        <w:jc w:val="both"/>
        <w:rPr>
          <w:sz w:val="20"/>
          <w:szCs w:val="20"/>
        </w:rPr>
      </w:pPr>
      <w:r>
        <w:rPr>
          <w:sz w:val="19"/>
          <w:szCs w:val="19"/>
        </w:rPr>
        <w:t>Not Applicabl</w:t>
      </w:r>
      <w:r>
        <w:rPr>
          <w:sz w:val="19"/>
          <w:szCs w:val="19"/>
        </w:rPr>
        <w:t>e</w:t>
      </w:r>
      <w:r>
        <w:rPr>
          <w:sz w:val="19"/>
          <w:szCs w:val="19"/>
        </w:rPr>
        <w:t xml:space="preserve"> </w:t>
      </w:r>
    </w:p>
    <w:p w:rsidR="00000000" w:rsidRDefault="003D51DE">
      <w:pPr>
        <w:pStyle w:val="a3"/>
        <w:spacing w:before="240" w:beforeAutospacing="0" w:after="0" w:afterAutospacing="0"/>
        <w:jc w:val="both"/>
        <w:rPr>
          <w:sz w:val="20"/>
          <w:szCs w:val="20"/>
        </w:rPr>
      </w:pPr>
      <w:r>
        <w:rPr>
          <w:b/>
          <w:bCs/>
          <w:sz w:val="19"/>
          <w:szCs w:val="19"/>
        </w:rPr>
        <w:t>Item 5. Other</w:t>
      </w:r>
      <w:r>
        <w:rPr>
          <w:b/>
          <w:bCs/>
          <w:sz w:val="19"/>
          <w:szCs w:val="19"/>
        </w:rPr>
        <w:t xml:space="preserve"> </w:t>
      </w:r>
      <w:r>
        <w:rPr>
          <w:b/>
          <w:bCs/>
          <w:sz w:val="19"/>
          <w:szCs w:val="19"/>
        </w:rPr>
        <w:t>Informatio</w:t>
      </w:r>
      <w:r>
        <w:rPr>
          <w:b/>
          <w:bCs/>
          <w:sz w:val="19"/>
          <w:szCs w:val="19"/>
        </w:rPr>
        <w:t>n</w:t>
      </w:r>
      <w:r>
        <w:rPr>
          <w:b/>
          <w:bCs/>
          <w:sz w:val="19"/>
          <w:szCs w:val="19"/>
        </w:rPr>
        <w:t xml:space="preserve"> </w:t>
      </w:r>
    </w:p>
    <w:p w:rsidR="00000000" w:rsidRDefault="003D51DE">
      <w:pPr>
        <w:pStyle w:val="a3"/>
        <w:spacing w:before="240" w:beforeAutospacing="0" w:after="0" w:afterAutospacing="0"/>
        <w:jc w:val="center"/>
        <w:divId w:val="1732532619"/>
        <w:rPr>
          <w:sz w:val="20"/>
          <w:szCs w:val="20"/>
        </w:rPr>
      </w:pPr>
      <w:r>
        <w:rPr>
          <w:b/>
          <w:bCs/>
          <w:sz w:val="19"/>
          <w:szCs w:val="19"/>
        </w:rPr>
        <w:t>Price Range of Common Stoc</w:t>
      </w:r>
      <w:r>
        <w:rPr>
          <w:b/>
          <w:bCs/>
          <w:sz w:val="19"/>
          <w:szCs w:val="19"/>
        </w:rPr>
        <w:t>k</w:t>
      </w:r>
    </w:p>
    <w:p w:rsidR="00000000" w:rsidRDefault="003D51DE">
      <w:pPr>
        <w:pStyle w:val="a3"/>
        <w:spacing w:before="180" w:beforeAutospacing="0" w:after="0" w:afterAutospacing="0"/>
        <w:ind w:firstLine="702"/>
        <w:jc w:val="both"/>
        <w:divId w:val="1732532619"/>
        <w:rPr>
          <w:sz w:val="20"/>
          <w:szCs w:val="20"/>
        </w:rPr>
      </w:pPr>
      <w:r>
        <w:rPr>
          <w:sz w:val="19"/>
          <w:szCs w:val="19"/>
        </w:rPr>
        <w:t>Our common stock began trading on June 27, 2007 and is currently trade</w:t>
      </w:r>
      <w:r>
        <w:rPr>
          <w:sz w:val="19"/>
          <w:szCs w:val="19"/>
        </w:rPr>
        <w:t>d on The NASDAQ Global Select Market under the symbol “BKCC”. The following table lists the high and low closing sale price for our common stock, the closing sale price as a percentage of net asset value, or NAV, and quarterly dividends per share in each f</w:t>
      </w:r>
      <w:r>
        <w:rPr>
          <w:sz w:val="19"/>
          <w:szCs w:val="19"/>
        </w:rPr>
        <w:t>iscal quarter for the first three quarters of the year ended December 31, 2022, the year ended December 31, 2021 and the year ended December 31, 2020. On September 30, 202</w:t>
      </w:r>
      <w:r>
        <w:rPr>
          <w:sz w:val="19"/>
          <w:szCs w:val="19"/>
        </w:rPr>
        <w:t>2</w:t>
      </w:r>
      <w:r>
        <w:rPr>
          <w:sz w:val="19"/>
          <w:szCs w:val="19"/>
        </w:rPr>
        <w:t xml:space="preserve">, the reported closing price of our common stock was </w:t>
      </w:r>
      <w:r>
        <w:rPr>
          <w:sz w:val="19"/>
          <w:szCs w:val="19"/>
        </w:rPr>
        <w:t>$</w:t>
      </w:r>
      <w:r>
        <w:rPr>
          <w:sz w:val="19"/>
          <w:szCs w:val="19"/>
        </w:rPr>
        <w:t>3.3</w:t>
      </w:r>
      <w:r>
        <w:rPr>
          <w:sz w:val="19"/>
          <w:szCs w:val="19"/>
        </w:rPr>
        <w:t>9</w:t>
      </w:r>
      <w:r>
        <w:rPr>
          <w:sz w:val="19"/>
          <w:szCs w:val="19"/>
        </w:rPr>
        <w:t xml:space="preserve"> per share</w:t>
      </w:r>
      <w:r>
        <w:rPr>
          <w:sz w:val="19"/>
          <w:szCs w:val="19"/>
        </w:rPr>
        <w:t>.</w:t>
      </w:r>
    </w:p>
    <w:p w:rsidR="00000000" w:rsidRDefault="003D51DE">
      <w:pPr>
        <w:pStyle w:val="a3"/>
        <w:spacing w:before="180" w:beforeAutospacing="0" w:after="0" w:afterAutospacing="0"/>
        <w:ind w:firstLine="702"/>
        <w:jc w:val="both"/>
        <w:divId w:val="1732532619"/>
        <w:rPr>
          <w:sz w:val="20"/>
          <w:szCs w:val="20"/>
        </w:rPr>
      </w:pPr>
      <w:r>
        <w:rPr>
          <w:sz w:val="20"/>
          <w:szCs w:val="20"/>
        </w:rPr>
        <w:t> </w:t>
      </w:r>
    </w:p>
    <w:p w:rsidR="00000000" w:rsidRDefault="003D51DE">
      <w:pPr>
        <w:pStyle w:val="a3"/>
        <w:spacing w:before="0" w:beforeAutospacing="0" w:after="0" w:afterAutospacing="0"/>
        <w:jc w:val="center"/>
        <w:divId w:val="1732532619"/>
        <w:rPr>
          <w:sz w:val="20"/>
          <w:szCs w:val="20"/>
        </w:rPr>
      </w:pPr>
      <w:r>
        <w:rPr>
          <w:sz w:val="20"/>
          <w:szCs w:val="20"/>
        </w:rPr>
        <w:t> </w:t>
      </w:r>
    </w:p>
    <w:p w:rsidR="00000000" w:rsidRDefault="003D51DE">
      <w:pPr>
        <w:pStyle w:val="a3"/>
        <w:spacing w:before="0" w:beforeAutospacing="0" w:after="0" w:afterAutospacing="0"/>
        <w:jc w:val="center"/>
        <w:divId w:val="1732532619"/>
        <w:rPr>
          <w:sz w:val="20"/>
          <w:szCs w:val="20"/>
        </w:rPr>
      </w:pPr>
      <w:r>
        <w:rPr>
          <w:sz w:val="19"/>
          <w:szCs w:val="19"/>
        </w:rPr>
        <w:t>5</w:t>
      </w:r>
      <w:r>
        <w:rPr>
          <w:sz w:val="19"/>
          <w:szCs w:val="19"/>
        </w:rPr>
        <w:t>8</w:t>
      </w:r>
    </w:p>
    <w:p w:rsidR="00000000" w:rsidRDefault="003D51DE">
      <w:pPr>
        <w:divId w:val="1732532619"/>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3D51DE">
      <w:pPr>
        <w:pStyle w:val="a3"/>
        <w:spacing w:before="0" w:beforeAutospacing="0" w:after="0" w:afterAutospacing="0"/>
        <w:divId w:val="173253261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2"/>
        <w:gridCol w:w="110"/>
        <w:gridCol w:w="160"/>
        <w:gridCol w:w="410"/>
        <w:gridCol w:w="110"/>
        <w:gridCol w:w="110"/>
        <w:gridCol w:w="160"/>
        <w:gridCol w:w="410"/>
        <w:gridCol w:w="110"/>
        <w:gridCol w:w="110"/>
        <w:gridCol w:w="160"/>
        <w:gridCol w:w="410"/>
        <w:gridCol w:w="110"/>
        <w:gridCol w:w="110"/>
        <w:gridCol w:w="116"/>
        <w:gridCol w:w="1340"/>
        <w:gridCol w:w="294"/>
        <w:gridCol w:w="110"/>
        <w:gridCol w:w="112"/>
        <w:gridCol w:w="1344"/>
        <w:gridCol w:w="294"/>
        <w:gridCol w:w="110"/>
        <w:gridCol w:w="161"/>
        <w:gridCol w:w="638"/>
        <w:gridCol w:w="125"/>
      </w:tblGrid>
      <w:tr w:rsidR="00000000">
        <w:trPr>
          <w:divId w:val="1732532619"/>
          <w:tblCellSpacing w:w="15" w:type="dxa"/>
        </w:trPr>
        <w:tc>
          <w:tcPr>
            <w:tcW w:w="1555" w:type="pct"/>
            <w:vAlign w:val="center"/>
            <w:hideMark/>
          </w:tcPr>
          <w:p w:rsidR="00000000" w:rsidRDefault="003D51DE">
            <w:pPr>
              <w:rPr>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24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51"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193"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762"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80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48"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c>
          <w:tcPr>
            <w:tcW w:w="396" w:type="pct"/>
            <w:vAlign w:val="center"/>
            <w:hideMark/>
          </w:tcPr>
          <w:p w:rsidR="00000000" w:rsidRDefault="003D51DE">
            <w:pPr>
              <w:rPr>
                <w:rFonts w:eastAsia="Times New Roman"/>
                <w:sz w:val="20"/>
                <w:szCs w:val="20"/>
              </w:rPr>
            </w:pPr>
          </w:p>
        </w:tc>
        <w:tc>
          <w:tcPr>
            <w:tcW w:w="50" w:type="pct"/>
            <w:vAlign w:val="center"/>
            <w:hideMark/>
          </w:tcPr>
          <w:p w:rsidR="00000000" w:rsidRDefault="003D51DE">
            <w:pPr>
              <w:rPr>
                <w:rFonts w:eastAsia="Times New Roman"/>
                <w:sz w:val="20"/>
                <w:szCs w:val="20"/>
              </w:rPr>
            </w:pPr>
          </w:p>
        </w:tc>
      </w:tr>
      <w:tr w:rsidR="00000000">
        <w:trPr>
          <w:divId w:val="1732532619"/>
          <w:trHeight w:val="16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3D51DE">
            <w:pPr>
              <w:pStyle w:val="a3"/>
              <w:spacing w:before="0" w:beforeAutospacing="0" w:after="0" w:afterAutospacing="0"/>
              <w:jc w:val="center"/>
              <w:rPr>
                <w:sz w:val="16"/>
                <w:szCs w:val="16"/>
              </w:rPr>
            </w:pPr>
            <w:r>
              <w:rPr>
                <w:b/>
                <w:bCs/>
                <w:sz w:val="16"/>
                <w:szCs w:val="16"/>
              </w:rPr>
              <w:t>Stock Pric</w:t>
            </w:r>
            <w:r>
              <w:rPr>
                <w:b/>
                <w:bCs/>
                <w:sz w:val="16"/>
                <w:szCs w:val="16"/>
              </w:rPr>
              <w:t>e</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Premium/(Discount) o</w:t>
            </w:r>
            <w:r>
              <w:rPr>
                <w:b/>
                <w:bCs/>
                <w:sz w:val="16"/>
                <w:szCs w:val="16"/>
              </w:rPr>
              <w:t>f</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Premium/(Discount) o</w:t>
            </w:r>
            <w:r>
              <w:rPr>
                <w:b/>
                <w:bCs/>
                <w:sz w:val="16"/>
                <w:szCs w:val="16"/>
              </w:rPr>
              <w:t>f</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160"/>
          <w:tblCellSpacing w:w="15" w:type="dxa"/>
        </w:trPr>
        <w:tc>
          <w:tcPr>
            <w:tcW w:w="0" w:type="auto"/>
            <w:hideMark/>
          </w:tcPr>
          <w:p w:rsidR="00000000" w:rsidRDefault="003D51DE">
            <w:pPr>
              <w:pStyle w:val="a3"/>
              <w:spacing w:before="0" w:beforeAutospacing="0" w:after="0" w:afterAutospacing="0"/>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NA</w:t>
            </w:r>
            <w:r>
              <w:rPr>
                <w:b/>
                <w:bCs/>
                <w:sz w:val="16"/>
                <w:szCs w:val="16"/>
              </w:rPr>
              <w:t>V</w:t>
            </w:r>
            <w:r>
              <w:rPr>
                <w:b/>
                <w:bCs/>
                <w:sz w:val="11"/>
                <w:szCs w:val="11"/>
              </w:rPr>
              <w:t>(1</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Hig</w:t>
            </w:r>
            <w:r>
              <w:rPr>
                <w:b/>
                <w:bCs/>
                <w:sz w:val="16"/>
                <w:szCs w:val="16"/>
              </w:rPr>
              <w:t>h</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Lo</w:t>
            </w:r>
            <w:r>
              <w:rPr>
                <w:b/>
                <w:bCs/>
                <w:sz w:val="16"/>
                <w:szCs w:val="16"/>
              </w:rPr>
              <w:t>w</w:t>
            </w:r>
            <w:r>
              <w:rPr>
                <w:b/>
                <w:bCs/>
                <w:sz w:val="11"/>
                <w:szCs w:val="11"/>
              </w:rPr>
              <w:t>(2</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High Sales Price to NA</w:t>
            </w:r>
            <w:r>
              <w:rPr>
                <w:b/>
                <w:bCs/>
                <w:sz w:val="16"/>
                <w:szCs w:val="16"/>
              </w:rPr>
              <w:t>V</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Low Sales Price to NA</w:t>
            </w:r>
            <w:r>
              <w:rPr>
                <w:b/>
                <w:bCs/>
                <w:sz w:val="16"/>
                <w:szCs w:val="16"/>
              </w:rPr>
              <w:t>V</w:t>
            </w:r>
            <w:r>
              <w:rPr>
                <w:b/>
                <w:bCs/>
                <w:sz w:val="11"/>
                <w:szCs w:val="11"/>
              </w:rPr>
              <w:t>(3</w:t>
            </w:r>
            <w:r>
              <w:rPr>
                <w:b/>
                <w:bCs/>
                <w:sz w:val="11"/>
                <w:szCs w:val="11"/>
              </w:rPr>
              <w:t>)</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3D51DE">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3D51DE">
            <w:pPr>
              <w:pStyle w:val="a3"/>
              <w:spacing w:before="0" w:beforeAutospacing="0" w:after="0" w:afterAutospacing="0"/>
              <w:jc w:val="center"/>
              <w:rPr>
                <w:sz w:val="16"/>
                <w:szCs w:val="16"/>
              </w:rPr>
            </w:pPr>
            <w:r>
              <w:rPr>
                <w:b/>
                <w:bCs/>
                <w:sz w:val="16"/>
                <w:szCs w:val="16"/>
              </w:rPr>
              <w:t>Declared</w:t>
            </w:r>
            <w:r>
              <w:rPr>
                <w:b/>
                <w:bCs/>
                <w:sz w:val="16"/>
                <w:szCs w:val="16"/>
              </w:rPr>
              <w:br/>
              <w:t>Dividend</w:t>
            </w:r>
            <w:r>
              <w:rPr>
                <w:b/>
                <w:bCs/>
                <w:sz w:val="16"/>
                <w:szCs w:val="16"/>
              </w:rPr>
              <w:t>s</w:t>
            </w:r>
          </w:p>
        </w:tc>
        <w:tc>
          <w:tcPr>
            <w:tcW w:w="0" w:type="auto"/>
            <w:vAlign w:val="bottom"/>
            <w:hideMark/>
          </w:tcPr>
          <w:p w:rsidR="00000000" w:rsidRDefault="003D51DE">
            <w:pPr>
              <w:pStyle w:val="a3"/>
              <w:spacing w:before="0" w:beforeAutospacing="0" w:after="0" w:afterAutospacing="0"/>
              <w:jc w:val="center"/>
              <w:rPr>
                <w:sz w:val="16"/>
                <w:szCs w:val="16"/>
              </w:rPr>
            </w:pPr>
            <w:r>
              <w:rPr>
                <w:sz w:val="16"/>
                <w:szCs w:val="16"/>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b/>
                <w:bCs/>
                <w:sz w:val="20"/>
                <w:szCs w:val="20"/>
              </w:rPr>
              <w:t>Fiscal Year ended December 31, 202</w:t>
            </w:r>
            <w:r>
              <w:rPr>
                <w:b/>
                <w:bCs/>
                <w:sz w:val="20"/>
                <w:szCs w:val="20"/>
              </w:rPr>
              <w:t>2</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4.5</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3.4</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4.5</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4.0</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3.3</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w:t>
            </w:r>
            <w:r>
              <w:rPr>
                <w:sz w:val="20"/>
                <w:szCs w:val="20"/>
              </w:rPr>
              <w:t>2</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b/>
                <w:bCs/>
                <w:sz w:val="20"/>
                <w:szCs w:val="20"/>
              </w:rPr>
              <w:t>Fiscal Year ended December 31, 202</w:t>
            </w:r>
            <w:r>
              <w:rPr>
                <w:b/>
                <w:bCs/>
                <w:sz w:val="20"/>
                <w:szCs w:val="20"/>
              </w:rPr>
              <w:t>1</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3.6</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2.6</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3</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4.6</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4.4</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3.4</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3.8</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1</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Fourth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4.3</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3.8</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b/>
                <w:bCs/>
                <w:sz w:val="20"/>
                <w:szCs w:val="20"/>
              </w:rPr>
              <w:t>Fiscal Year ended December 31, 202</w:t>
            </w:r>
            <w:r>
              <w:rPr>
                <w:b/>
                <w:bCs/>
                <w:sz w:val="20"/>
                <w:szCs w:val="20"/>
              </w:rPr>
              <w:t>0</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3D51DE">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center"/>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First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5.3</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5.0</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1.4</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7</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Second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4.8</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3.5</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1.7</w:t>
            </w:r>
            <w:r>
              <w:rPr>
                <w:sz w:val="20"/>
                <w:szCs w:val="20"/>
              </w:rPr>
              <w:t>9</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6</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Third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3.0</w:t>
            </w:r>
            <w:r>
              <w:rPr>
                <w:sz w:val="20"/>
                <w:szCs w:val="20"/>
              </w:rPr>
              <w:t>8</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2.3</w:t>
            </w:r>
            <w:r>
              <w:rPr>
                <w:sz w:val="20"/>
                <w:szCs w:val="20"/>
              </w:rPr>
              <w:t>1</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w:t>
            </w:r>
            <w:r>
              <w:rPr>
                <w:sz w:val="20"/>
                <w:szCs w:val="20"/>
              </w:rPr>
              <w:t>6</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r w:rsidR="00000000">
        <w:trPr>
          <w:divId w:val="1732532619"/>
          <w:trHeight w:val="200"/>
          <w:tblCellSpacing w:w="15" w:type="dxa"/>
        </w:trPr>
        <w:tc>
          <w:tcPr>
            <w:tcW w:w="0" w:type="auto"/>
            <w:vAlign w:val="bottom"/>
            <w:hideMark/>
          </w:tcPr>
          <w:p w:rsidR="00000000" w:rsidRDefault="003D51DE">
            <w:pPr>
              <w:pStyle w:val="a3"/>
              <w:spacing w:before="0" w:beforeAutospacing="0" w:after="0" w:afterAutospacing="0"/>
              <w:rPr>
                <w:sz w:val="20"/>
                <w:szCs w:val="20"/>
              </w:rPr>
            </w:pPr>
            <w:r>
              <w:rPr>
                <w:sz w:val="20"/>
                <w:szCs w:val="20"/>
              </w:rPr>
              <w:t>Fourth Quarte</w:t>
            </w:r>
            <w:r>
              <w:rPr>
                <w:sz w:val="20"/>
                <w:szCs w:val="20"/>
              </w:rPr>
              <w:t>r</w:t>
            </w:r>
          </w:p>
        </w:tc>
        <w:tc>
          <w:tcPr>
            <w:tcW w:w="0" w:type="auto"/>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4.2</w:t>
            </w:r>
            <w:r>
              <w:rPr>
                <w:sz w:val="20"/>
                <w:szCs w:val="20"/>
              </w:rPr>
              <w:t>3</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3.0</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2.3</w:t>
            </w:r>
            <w:r>
              <w:rPr>
                <w:sz w:val="20"/>
                <w:szCs w:val="20"/>
              </w:rPr>
              <w:t>4</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2</w:t>
            </w:r>
            <w:r>
              <w:rPr>
                <w:sz w:val="20"/>
                <w:szCs w:val="20"/>
              </w:rPr>
              <w:t>7</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w:t>
            </w:r>
            <w:r>
              <w:rPr>
                <w:sz w:val="20"/>
                <w:szCs w:val="20"/>
              </w:rPr>
              <w:t>4</w:t>
            </w:r>
            <w:r>
              <w:rPr>
                <w:sz w:val="20"/>
                <w:szCs w:val="20"/>
              </w:rPr>
              <w:t>5</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w:t>
            </w:r>
          </w:p>
        </w:tc>
        <w:tc>
          <w:tcPr>
            <w:tcW w:w="0" w:type="auto"/>
            <w:vAlign w:val="bottom"/>
            <w:hideMark/>
          </w:tcPr>
          <w:p w:rsidR="00000000" w:rsidRDefault="003D51DE">
            <w:pPr>
              <w:pStyle w:val="a3"/>
              <w:spacing w:before="0" w:beforeAutospacing="0" w:after="0" w:afterAutospacing="0"/>
              <w:jc w:val="right"/>
              <w:rPr>
                <w:sz w:val="20"/>
                <w:szCs w:val="20"/>
              </w:rPr>
            </w:pPr>
            <w:r>
              <w:rPr>
                <w:sz w:val="20"/>
                <w:szCs w:val="20"/>
              </w:rPr>
              <w:t>0.1</w:t>
            </w:r>
            <w:r>
              <w:rPr>
                <w:sz w:val="20"/>
                <w:szCs w:val="20"/>
              </w:rPr>
              <w:t>0</w:t>
            </w:r>
          </w:p>
        </w:tc>
        <w:tc>
          <w:tcPr>
            <w:tcW w:w="0" w:type="auto"/>
            <w:noWrap/>
            <w:vAlign w:val="bottom"/>
            <w:hideMark/>
          </w:tcPr>
          <w:p w:rsidR="00000000" w:rsidRDefault="003D51DE">
            <w:pPr>
              <w:pStyle w:val="a3"/>
              <w:spacing w:before="0" w:beforeAutospacing="0" w:after="0" w:afterAutospacing="0"/>
              <w:rPr>
                <w:sz w:val="20"/>
                <w:szCs w:val="20"/>
              </w:rPr>
            </w:pPr>
            <w:r>
              <w:rPr>
                <w:sz w:val="20"/>
                <w:szCs w:val="20"/>
              </w:rPr>
              <w:t> </w:t>
            </w:r>
          </w:p>
        </w:tc>
      </w:tr>
    </w:tbl>
    <w:p w:rsidR="00000000" w:rsidRDefault="003D51DE">
      <w:pPr>
        <w:pStyle w:val="a3"/>
        <w:pBdr>
          <w:bottom w:val="single" w:sz="4" w:space="1" w:color="auto"/>
        </w:pBdr>
        <w:spacing w:before="0" w:beforeAutospacing="0" w:after="0" w:afterAutospacing="0"/>
        <w:ind w:right="9881"/>
        <w:jc w:val="both"/>
        <w:divId w:val="1732532619"/>
        <w:rPr>
          <w:sz w:val="20"/>
          <w:szCs w:val="20"/>
        </w:rPr>
      </w:pPr>
      <w:r>
        <w:rPr>
          <w:sz w:val="20"/>
          <w:szCs w:val="20"/>
        </w:rPr>
        <w:t> </w:t>
      </w:r>
    </w:p>
    <w:p w:rsidR="00000000" w:rsidRDefault="003D51DE">
      <w:pPr>
        <w:jc w:val="both"/>
        <w:divId w:val="238905592"/>
        <w:rPr>
          <w:rFonts w:eastAsia="Times New Roman"/>
          <w:sz w:val="20"/>
          <w:szCs w:val="20"/>
        </w:rPr>
      </w:pPr>
      <w:r>
        <w:rPr>
          <w:rFonts w:eastAsia="Times New Roman"/>
          <w:sz w:val="15"/>
          <w:szCs w:val="15"/>
        </w:rPr>
        <w:t>(1</w:t>
      </w:r>
      <w:r>
        <w:rPr>
          <w:rFonts w:eastAsia="Times New Roman"/>
          <w:sz w:val="15"/>
          <w:szCs w:val="15"/>
        </w:rPr>
        <w:t>)</w:t>
      </w:r>
    </w:p>
    <w:p w:rsidR="00000000" w:rsidRDefault="003D51DE">
      <w:pPr>
        <w:jc w:val="both"/>
        <w:divId w:val="888104270"/>
        <w:rPr>
          <w:rFonts w:eastAsia="Times New Roman"/>
          <w:sz w:val="20"/>
          <w:szCs w:val="20"/>
        </w:rPr>
      </w:pPr>
      <w:r>
        <w:rPr>
          <w:rFonts w:eastAsia="Times New Roman"/>
          <w:sz w:val="15"/>
          <w:szCs w:val="15"/>
        </w:rPr>
        <w:t>NAV per share is determined as of the last day in the relevant quarter and therefore may not reflect the NAV per share on the date of the high and low sales prices. The NAVs shown are based on outstanding shares at the end of each period</w:t>
      </w:r>
      <w:r>
        <w:rPr>
          <w:rFonts w:eastAsia="Times New Roman"/>
          <w:sz w:val="15"/>
          <w:szCs w:val="15"/>
        </w:rPr>
        <w:t>.</w:t>
      </w:r>
    </w:p>
    <w:p w:rsidR="00000000" w:rsidRDefault="003D51DE">
      <w:pPr>
        <w:jc w:val="both"/>
        <w:divId w:val="1678389286"/>
        <w:rPr>
          <w:rFonts w:eastAsia="Times New Roman"/>
          <w:sz w:val="20"/>
          <w:szCs w:val="20"/>
        </w:rPr>
      </w:pPr>
      <w:r>
        <w:rPr>
          <w:rFonts w:eastAsia="Times New Roman"/>
          <w:sz w:val="15"/>
          <w:szCs w:val="15"/>
        </w:rPr>
        <w:t>(2</w:t>
      </w:r>
      <w:r>
        <w:rPr>
          <w:rFonts w:eastAsia="Times New Roman"/>
          <w:sz w:val="15"/>
          <w:szCs w:val="15"/>
        </w:rPr>
        <w:t>)</w:t>
      </w:r>
    </w:p>
    <w:p w:rsidR="00000000" w:rsidRDefault="003D51DE">
      <w:pPr>
        <w:jc w:val="both"/>
        <w:divId w:val="132211501"/>
        <w:rPr>
          <w:rFonts w:eastAsia="Times New Roman"/>
          <w:sz w:val="20"/>
          <w:szCs w:val="20"/>
        </w:rPr>
      </w:pPr>
      <w:r>
        <w:rPr>
          <w:rFonts w:eastAsia="Times New Roman"/>
          <w:sz w:val="15"/>
          <w:szCs w:val="15"/>
        </w:rPr>
        <w:t xml:space="preserve">The High/Low </w:t>
      </w:r>
      <w:r>
        <w:rPr>
          <w:rFonts w:eastAsia="Times New Roman"/>
          <w:sz w:val="15"/>
          <w:szCs w:val="15"/>
        </w:rPr>
        <w:t>Stock Price is calculated as of the closing price on a given day in the applicable quarter</w:t>
      </w:r>
      <w:r>
        <w:rPr>
          <w:rFonts w:eastAsia="Times New Roman"/>
          <w:sz w:val="15"/>
          <w:szCs w:val="15"/>
        </w:rPr>
        <w:t>.</w:t>
      </w:r>
    </w:p>
    <w:p w:rsidR="00000000" w:rsidRDefault="003D51DE">
      <w:pPr>
        <w:jc w:val="both"/>
        <w:divId w:val="1339188724"/>
        <w:rPr>
          <w:rFonts w:eastAsia="Times New Roman"/>
          <w:sz w:val="20"/>
          <w:szCs w:val="20"/>
        </w:rPr>
      </w:pPr>
      <w:r>
        <w:rPr>
          <w:rFonts w:eastAsia="Times New Roman"/>
          <w:sz w:val="15"/>
          <w:szCs w:val="15"/>
        </w:rPr>
        <w:t>(3</w:t>
      </w:r>
      <w:r>
        <w:rPr>
          <w:rFonts w:eastAsia="Times New Roman"/>
          <w:sz w:val="15"/>
          <w:szCs w:val="15"/>
        </w:rPr>
        <w:t>)</w:t>
      </w:r>
    </w:p>
    <w:p w:rsidR="00000000" w:rsidRDefault="003D51DE">
      <w:pPr>
        <w:jc w:val="both"/>
        <w:divId w:val="771977773"/>
        <w:rPr>
          <w:rFonts w:eastAsia="Times New Roman"/>
          <w:sz w:val="20"/>
          <w:szCs w:val="20"/>
        </w:rPr>
      </w:pPr>
      <w:r>
        <w:rPr>
          <w:rFonts w:eastAsia="Times New Roman"/>
          <w:sz w:val="15"/>
          <w:szCs w:val="15"/>
        </w:rPr>
        <w:t>Calculated as the respective High/Low Stock Price minus the quarter end NAV, divided by the quarter end NAV</w:t>
      </w:r>
      <w:r>
        <w:rPr>
          <w:rFonts w:eastAsia="Times New Roman"/>
          <w:sz w:val="15"/>
          <w:szCs w:val="15"/>
        </w:rPr>
        <w:t>.</w:t>
      </w:r>
    </w:p>
    <w:p w:rsidR="00000000" w:rsidRDefault="003D51DE">
      <w:pPr>
        <w:pStyle w:val="a3"/>
        <w:spacing w:before="180" w:beforeAutospacing="0" w:after="160" w:afterAutospacing="0"/>
        <w:ind w:left="357"/>
        <w:jc w:val="both"/>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5</w:t>
      </w:r>
      <w:r>
        <w:rPr>
          <w:sz w:val="19"/>
          <w:szCs w:val="19"/>
        </w:rPr>
        <w:t>9</w:t>
      </w:r>
    </w:p>
    <w:p w:rsidR="00000000" w:rsidRDefault="003D51DE">
      <w:pPr>
        <w:rPr>
          <w:rFonts w:eastAsia="Times New Roman"/>
        </w:rPr>
      </w:pPr>
      <w:r>
        <w:rPr>
          <w:rFonts w:eastAsia="Times New Roman"/>
        </w:rPr>
        <w:pict>
          <v:rect id="_x0000_i1083"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both"/>
        <w:rPr>
          <w:sz w:val="20"/>
          <w:szCs w:val="20"/>
        </w:rPr>
      </w:pPr>
      <w:r>
        <w:rPr>
          <w:b/>
          <w:bCs/>
          <w:sz w:val="19"/>
          <w:szCs w:val="19"/>
        </w:rPr>
        <w:t>Item 6</w:t>
      </w:r>
      <w:r>
        <w:rPr>
          <w:b/>
          <w:bCs/>
          <w:sz w:val="19"/>
          <w:szCs w:val="19"/>
        </w:rPr>
        <w:t xml:space="preserve">. </w:t>
      </w:r>
      <w:r>
        <w:rPr>
          <w:b/>
          <w:bCs/>
          <w:sz w:val="19"/>
          <w:szCs w:val="19"/>
        </w:rPr>
        <w:t>E</w:t>
      </w:r>
      <w:r>
        <w:rPr>
          <w:b/>
          <w:bCs/>
          <w:sz w:val="19"/>
          <w:szCs w:val="19"/>
        </w:rPr>
        <w:t>xhibits</w:t>
      </w:r>
      <w:r>
        <w:rPr>
          <w:b/>
          <w:bCs/>
          <w:sz w:val="19"/>
          <w:szCs w:val="19"/>
        </w:rPr>
        <w:t>.</w:t>
      </w:r>
      <w:r>
        <w:rPr>
          <w:b/>
          <w:bCs/>
          <w:sz w:val="19"/>
          <w:szCs w:val="19"/>
        </w:rPr>
        <w:t xml:space="preserve"> </w:t>
      </w:r>
    </w:p>
    <w:p w:rsidR="00000000" w:rsidRDefault="003D51DE">
      <w:pPr>
        <w:jc w:val="both"/>
        <w:divId w:val="437220154"/>
        <w:rPr>
          <w:rFonts w:eastAsia="Times New Roman"/>
        </w:rPr>
      </w:pPr>
      <w:r>
        <w:rPr>
          <w:rFonts w:eastAsia="Times New Roman"/>
          <w:b/>
          <w:bCs/>
          <w:sz w:val="19"/>
          <w:szCs w:val="19"/>
        </w:rPr>
        <w:t>(a</w:t>
      </w:r>
      <w:r>
        <w:rPr>
          <w:rFonts w:eastAsia="Times New Roman"/>
          <w:b/>
          <w:bCs/>
          <w:sz w:val="19"/>
          <w:szCs w:val="19"/>
        </w:rPr>
        <w:t>)</w:t>
      </w:r>
    </w:p>
    <w:p w:rsidR="00000000" w:rsidRDefault="003D51DE">
      <w:pPr>
        <w:jc w:val="both"/>
        <w:divId w:val="1570454513"/>
        <w:rPr>
          <w:rFonts w:eastAsia="Times New Roman"/>
        </w:rPr>
      </w:pPr>
      <w:r>
        <w:rPr>
          <w:rFonts w:eastAsia="Times New Roman"/>
          <w:b/>
          <w:bCs/>
          <w:sz w:val="19"/>
          <w:szCs w:val="19"/>
        </w:rPr>
        <w:t>Exhibits.</w:t>
      </w:r>
      <w:r>
        <w:rPr>
          <w:rFonts w:eastAsia="Times New Roman"/>
          <w:b/>
          <w:bCs/>
          <w:sz w:val="19"/>
          <w:szCs w:val="19"/>
        </w:rPr>
        <w:t xml:space="preserve"> </w:t>
      </w:r>
    </w:p>
    <w:p w:rsidR="00000000" w:rsidRDefault="003D51DE">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7"/>
        <w:gridCol w:w="118"/>
        <w:gridCol w:w="7271"/>
      </w:tblGrid>
      <w:tr w:rsidR="00000000">
        <w:trPr>
          <w:tblCellSpacing w:w="15" w:type="dxa"/>
        </w:trPr>
        <w:tc>
          <w:tcPr>
            <w:tcW w:w="508" w:type="pct"/>
            <w:vAlign w:val="center"/>
            <w:hideMark/>
          </w:tcPr>
          <w:p w:rsidR="00000000" w:rsidRDefault="003D51DE">
            <w:pPr>
              <w:rPr>
                <w:sz w:val="20"/>
                <w:szCs w:val="20"/>
              </w:rPr>
            </w:pPr>
          </w:p>
        </w:tc>
        <w:tc>
          <w:tcPr>
            <w:tcW w:w="50" w:type="pct"/>
            <w:vAlign w:val="center"/>
            <w:hideMark/>
          </w:tcPr>
          <w:p w:rsidR="00000000" w:rsidRDefault="003D51DE">
            <w:pPr>
              <w:rPr>
                <w:rFonts w:eastAsia="Times New Roman"/>
                <w:sz w:val="20"/>
                <w:szCs w:val="20"/>
              </w:rPr>
            </w:pPr>
          </w:p>
        </w:tc>
        <w:tc>
          <w:tcPr>
            <w:tcW w:w="4441" w:type="pct"/>
            <w:vAlign w:val="center"/>
            <w:hideMark/>
          </w:tcPr>
          <w:p w:rsidR="00000000" w:rsidRDefault="003D51DE">
            <w:pPr>
              <w:rPr>
                <w:rFonts w:eastAsia="Times New Roman"/>
                <w:sz w:val="20"/>
                <w:szCs w:val="20"/>
              </w:rPr>
            </w:pPr>
          </w:p>
        </w:tc>
      </w:tr>
      <w:tr w:rsidR="00000000">
        <w:trPr>
          <w:trHeight w:val="115"/>
          <w:tblCellSpacing w:w="15" w:type="dxa"/>
        </w:trPr>
        <w:tc>
          <w:tcPr>
            <w:tcW w:w="0" w:type="auto"/>
            <w:tcMar>
              <w:top w:w="15" w:type="dxa"/>
              <w:left w:w="144" w:type="dxa"/>
              <w:bottom w:w="15" w:type="dxa"/>
              <w:right w:w="15" w:type="dxa"/>
            </w:tcMar>
            <w:vAlign w:val="center"/>
            <w:hideMark/>
          </w:tcPr>
          <w:p w:rsidR="00000000" w:rsidRDefault="003D51DE">
            <w:pPr>
              <w:pStyle w:val="a3"/>
              <w:spacing w:before="0" w:beforeAutospacing="0" w:after="0" w:afterAutospacing="0"/>
              <w:rPr>
                <w:sz w:val="19"/>
                <w:szCs w:val="19"/>
              </w:rPr>
            </w:pPr>
            <w:r>
              <w:rPr>
                <w:sz w:val="19"/>
                <w:szCs w:val="19"/>
              </w:rPr>
              <w:t> </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pPr>
            <w:r>
              <w:t> </w:t>
            </w:r>
          </w:p>
        </w:tc>
      </w:tr>
      <w:tr w:rsidR="00000000">
        <w:trPr>
          <w:trHeight w:val="202"/>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20"/>
                <w:szCs w:val="20"/>
              </w:rPr>
            </w:pPr>
            <w:r>
              <w:rPr>
                <w:sz w:val="19"/>
                <w:szCs w:val="19"/>
              </w:rPr>
              <w:t>3.</w:t>
            </w:r>
            <w:r>
              <w:rPr>
                <w:sz w:val="19"/>
                <w:szCs w:val="19"/>
              </w:rPr>
              <w:t>1</w:t>
            </w:r>
          </w:p>
        </w:tc>
        <w:tc>
          <w:tcPr>
            <w:tcW w:w="0" w:type="auto"/>
            <w:hideMark/>
          </w:tcPr>
          <w:p w:rsidR="00000000" w:rsidRDefault="003D51DE">
            <w:pPr>
              <w:pStyle w:val="a3"/>
              <w:spacing w:before="0" w:beforeAutospacing="0" w:after="0" w:afterAutospacing="0"/>
              <w:jc w:val="both"/>
              <w:rPr>
                <w:sz w:val="19"/>
                <w:szCs w:val="19"/>
              </w:rPr>
            </w:pPr>
            <w:r>
              <w:rPr>
                <w:sz w:val="19"/>
                <w:szCs w:val="19"/>
              </w:rPr>
              <w:t> </w:t>
            </w:r>
          </w:p>
        </w:tc>
        <w:tc>
          <w:tcPr>
            <w:tcW w:w="0" w:type="auto"/>
            <w:hideMark/>
          </w:tcPr>
          <w:p w:rsidR="00000000" w:rsidRDefault="003D51DE">
            <w:pPr>
              <w:pStyle w:val="a3"/>
              <w:spacing w:before="0" w:beforeAutospacing="0" w:after="0" w:afterAutospacing="0"/>
              <w:jc w:val="both"/>
              <w:rPr>
                <w:sz w:val="19"/>
                <w:szCs w:val="19"/>
              </w:rPr>
            </w:pPr>
            <w:hyperlink r:id="rId4" w:history="1">
              <w:r>
                <w:rPr>
                  <w:rStyle w:val="a4"/>
                  <w:sz w:val="19"/>
                  <w:szCs w:val="19"/>
                </w:rPr>
                <w:t>Certificate of Incorporation of the Registrant (1</w:t>
              </w:r>
              <w:r>
                <w:rPr>
                  <w:rStyle w:val="a4"/>
                  <w:sz w:val="19"/>
                  <w:szCs w:val="19"/>
                </w:rPr>
                <w:t>)</w:t>
              </w:r>
            </w:hyperlink>
          </w:p>
        </w:tc>
      </w:tr>
      <w:tr w:rsidR="00000000">
        <w:trPr>
          <w:trHeight w:val="115"/>
          <w:tblCellSpacing w:w="15" w:type="dxa"/>
        </w:trPr>
        <w:tc>
          <w:tcPr>
            <w:tcW w:w="0" w:type="auto"/>
            <w:tcMar>
              <w:top w:w="15" w:type="dxa"/>
              <w:left w:w="144" w:type="dxa"/>
              <w:bottom w:w="15" w:type="dxa"/>
              <w:right w:w="15" w:type="dxa"/>
            </w:tcMar>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245"/>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20"/>
                <w:szCs w:val="20"/>
              </w:rPr>
            </w:pPr>
            <w:r>
              <w:rPr>
                <w:sz w:val="19"/>
                <w:szCs w:val="19"/>
              </w:rPr>
              <w:t>3.</w:t>
            </w:r>
            <w:r>
              <w:rPr>
                <w:sz w:val="19"/>
                <w:szCs w:val="19"/>
              </w:rPr>
              <w:t>2</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hideMark/>
          </w:tcPr>
          <w:p w:rsidR="00000000" w:rsidRDefault="003D51DE">
            <w:pPr>
              <w:pStyle w:val="a3"/>
              <w:spacing w:before="0" w:beforeAutospacing="0" w:after="0" w:afterAutospacing="0"/>
              <w:jc w:val="both"/>
              <w:rPr>
                <w:sz w:val="19"/>
                <w:szCs w:val="19"/>
              </w:rPr>
            </w:pPr>
            <w:hyperlink r:id="rId5" w:history="1">
              <w:r>
                <w:rPr>
                  <w:rStyle w:val="a4"/>
                  <w:sz w:val="19"/>
                  <w:szCs w:val="19"/>
                </w:rPr>
                <w:t>Certificate of Amendment to the Certificate of Incorporation of the Registrant (2</w:t>
              </w:r>
              <w:r>
                <w:rPr>
                  <w:rStyle w:val="a4"/>
                  <w:sz w:val="19"/>
                  <w:szCs w:val="19"/>
                </w:rPr>
                <w:t>)</w:t>
              </w:r>
            </w:hyperlink>
          </w:p>
        </w:tc>
      </w:tr>
      <w:tr w:rsidR="00000000">
        <w:trPr>
          <w:trHeight w:val="115"/>
          <w:tblCellSpacing w:w="15" w:type="dxa"/>
        </w:trPr>
        <w:tc>
          <w:tcPr>
            <w:tcW w:w="0" w:type="auto"/>
            <w:tcMar>
              <w:top w:w="15" w:type="dxa"/>
              <w:left w:w="144" w:type="dxa"/>
              <w:bottom w:w="15" w:type="dxa"/>
              <w:right w:w="15" w:type="dxa"/>
            </w:tcMar>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245"/>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20"/>
                <w:szCs w:val="20"/>
              </w:rPr>
            </w:pPr>
            <w:r>
              <w:rPr>
                <w:sz w:val="19"/>
                <w:szCs w:val="19"/>
              </w:rPr>
              <w:t>3.</w:t>
            </w:r>
            <w:r>
              <w:rPr>
                <w:sz w:val="19"/>
                <w:szCs w:val="19"/>
              </w:rPr>
              <w:t>3</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hideMark/>
          </w:tcPr>
          <w:p w:rsidR="00000000" w:rsidRDefault="003D51DE">
            <w:pPr>
              <w:pStyle w:val="a3"/>
              <w:spacing w:before="0" w:beforeAutospacing="0" w:after="0" w:afterAutospacing="0"/>
              <w:jc w:val="both"/>
              <w:rPr>
                <w:sz w:val="19"/>
                <w:szCs w:val="19"/>
              </w:rPr>
            </w:pPr>
            <w:hyperlink r:id="rId6" w:history="1">
              <w:r>
                <w:rPr>
                  <w:rStyle w:val="a4"/>
                  <w:sz w:val="19"/>
                  <w:szCs w:val="19"/>
                </w:rPr>
                <w:t>Amended and Restated By-laws of the Registrant (3</w:t>
              </w:r>
              <w:r>
                <w:rPr>
                  <w:rStyle w:val="a4"/>
                  <w:sz w:val="19"/>
                  <w:szCs w:val="19"/>
                </w:rPr>
                <w:t>)</w:t>
              </w:r>
            </w:hyperlink>
          </w:p>
        </w:tc>
      </w:tr>
      <w:tr w:rsidR="00000000">
        <w:trPr>
          <w:trHeight w:val="115"/>
          <w:tblCellSpacing w:w="15" w:type="dxa"/>
        </w:trPr>
        <w:tc>
          <w:tcPr>
            <w:tcW w:w="0" w:type="auto"/>
            <w:tcMar>
              <w:top w:w="15" w:type="dxa"/>
              <w:left w:w="144" w:type="dxa"/>
              <w:bottom w:w="15" w:type="dxa"/>
              <w:right w:w="15" w:type="dxa"/>
            </w:tcMar>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259"/>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20"/>
                <w:szCs w:val="20"/>
              </w:rPr>
            </w:pPr>
            <w:r>
              <w:rPr>
                <w:sz w:val="19"/>
                <w:szCs w:val="19"/>
              </w:rPr>
              <w:t>4.</w:t>
            </w:r>
            <w:r>
              <w:rPr>
                <w:sz w:val="19"/>
                <w:szCs w:val="19"/>
              </w:rPr>
              <w:t>1</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hideMark/>
          </w:tcPr>
          <w:p w:rsidR="00000000" w:rsidRDefault="003D51DE">
            <w:pPr>
              <w:pStyle w:val="a3"/>
              <w:spacing w:before="0" w:beforeAutospacing="0" w:after="0" w:afterAutospacing="0"/>
              <w:jc w:val="both"/>
              <w:rPr>
                <w:sz w:val="19"/>
                <w:szCs w:val="19"/>
              </w:rPr>
            </w:pPr>
            <w:hyperlink r:id="rId7" w:history="1">
              <w:r>
                <w:rPr>
                  <w:rStyle w:val="a4"/>
                  <w:sz w:val="19"/>
                  <w:szCs w:val="19"/>
                </w:rPr>
                <w:t>Form of Stock Certificate of the Registrant (4</w:t>
              </w:r>
              <w:r>
                <w:rPr>
                  <w:rStyle w:val="a4"/>
                  <w:sz w:val="19"/>
                  <w:szCs w:val="19"/>
                </w:rPr>
                <w:t>)</w:t>
              </w:r>
            </w:hyperlink>
          </w:p>
        </w:tc>
      </w:tr>
      <w:tr w:rsidR="00000000">
        <w:trPr>
          <w:trHeight w:val="115"/>
          <w:tblCellSpacing w:w="15" w:type="dxa"/>
        </w:trPr>
        <w:tc>
          <w:tcPr>
            <w:tcW w:w="0" w:type="auto"/>
            <w:tcMar>
              <w:top w:w="15" w:type="dxa"/>
              <w:left w:w="144" w:type="dxa"/>
              <w:bottom w:w="15" w:type="dxa"/>
              <w:right w:w="15" w:type="dxa"/>
            </w:tcMar>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31.1</w:t>
            </w:r>
            <w:r>
              <w:rPr>
                <w:sz w:val="19"/>
                <w:szCs w:val="19"/>
              </w:rPr>
              <w:t>*</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hyperlink r:id="rId8" w:history="1">
              <w:r>
                <w:rPr>
                  <w:rStyle w:val="a4"/>
                  <w:sz w:val="19"/>
                  <w:szCs w:val="19"/>
                </w:rPr>
                <w:t>Certification of Chief Executive Officer Pursuant to 18 U.S.C. Sec</w:t>
              </w:r>
              <w:r>
                <w:rPr>
                  <w:rStyle w:val="a4"/>
                  <w:sz w:val="19"/>
                  <w:szCs w:val="19"/>
                </w:rPr>
                <w:t>tion 1350, as Adopted Pursuant to Section 302 of the Sarbanes-Oxley Act of 2002</w:t>
              </w:r>
              <w:r>
                <w:rPr>
                  <w:rStyle w:val="a4"/>
                  <w:sz w:val="19"/>
                  <w:szCs w:val="19"/>
                </w:rPr>
                <w:t>.</w:t>
              </w:r>
            </w:hyperlink>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31.2</w:t>
            </w:r>
            <w:r>
              <w:rPr>
                <w:sz w:val="19"/>
                <w:szCs w:val="19"/>
              </w:rPr>
              <w:t>*</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hyperlink r:id="rId9" w:history="1">
              <w:r>
                <w:rPr>
                  <w:rStyle w:val="a4"/>
                  <w:sz w:val="19"/>
                  <w:szCs w:val="19"/>
                </w:rPr>
                <w:t>Certification of Chief Financial Officer Pursuant to 18 U.S.C. Section 1350, as Adopted Pursuant to Section 302 of the Sarbanes-Oxley Act of 2002</w:t>
              </w:r>
              <w:r>
                <w:rPr>
                  <w:rStyle w:val="a4"/>
                  <w:sz w:val="19"/>
                  <w:szCs w:val="19"/>
                </w:rPr>
                <w:t>.</w:t>
              </w:r>
            </w:hyperlink>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32</w:t>
            </w:r>
            <w:r>
              <w:rPr>
                <w:sz w:val="19"/>
                <w:szCs w:val="19"/>
              </w:rPr>
              <w:t>*</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hyperlink r:id="rId10" w:history="1">
              <w:r>
                <w:rPr>
                  <w:rStyle w:val="a4"/>
                  <w:sz w:val="19"/>
                  <w:szCs w:val="19"/>
                </w:rPr>
                <w:t xml:space="preserve">Certification of CEO and CFO Pursuant to 18 U.S.C. Section 1350, </w:t>
              </w:r>
              <w:r>
                <w:rPr>
                  <w:rStyle w:val="a4"/>
                  <w:sz w:val="19"/>
                  <w:szCs w:val="19"/>
                </w:rPr>
                <w:t>as Adopted Pursuant to Section 906 of the Sarbanes-Oxley Act of 2002</w:t>
              </w:r>
              <w:r>
                <w:rPr>
                  <w:rStyle w:val="a4"/>
                  <w:sz w:val="19"/>
                  <w:szCs w:val="19"/>
                </w:rPr>
                <w:t>.</w:t>
              </w:r>
            </w:hyperlink>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101.IN</w:t>
            </w:r>
            <w:r>
              <w:rPr>
                <w:sz w:val="19"/>
                <w:szCs w:val="19"/>
              </w:rPr>
              <w:t>S</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Inline XBRL Instance Document - the instance document does not appear in the Interactive Data File because XBRL tags are embedded within the Inline XBRL document</w:t>
            </w:r>
            <w:r>
              <w:rPr>
                <w:sz w:val="19"/>
                <w:szCs w:val="19"/>
              </w:rPr>
              <w:t>.</w:t>
            </w:r>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101.SC</w:t>
            </w:r>
            <w:r>
              <w:rPr>
                <w:sz w:val="19"/>
                <w:szCs w:val="19"/>
              </w:rPr>
              <w:t>H</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Inline XBRL Taxonomy Extension Schema Documen</w:t>
            </w:r>
            <w:r>
              <w:rPr>
                <w:sz w:val="19"/>
                <w:szCs w:val="19"/>
              </w:rPr>
              <w:t>t</w:t>
            </w:r>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101.DE</w:t>
            </w:r>
            <w:r>
              <w:rPr>
                <w:sz w:val="19"/>
                <w:szCs w:val="19"/>
              </w:rPr>
              <w:t>F</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Inline XBRL Taxonomy Extension Definition Linkbase Document</w:t>
            </w:r>
            <w:r>
              <w:rPr>
                <w:sz w:val="19"/>
                <w:szCs w:val="19"/>
              </w:rPr>
              <w:br/>
            </w:r>
            <w:r>
              <w:rPr>
                <w:sz w:val="19"/>
                <w:szCs w:val="19"/>
              </w:rPr>
              <w:t> </w:t>
            </w:r>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101.LA</w:t>
            </w:r>
            <w:r>
              <w:rPr>
                <w:sz w:val="19"/>
                <w:szCs w:val="19"/>
              </w:rPr>
              <w:t>B</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Inline XBRL Taxonomy Extension Label Linkbase Documen</w:t>
            </w:r>
            <w:r>
              <w:rPr>
                <w:sz w:val="19"/>
                <w:szCs w:val="19"/>
              </w:rPr>
              <w:t>t</w:t>
            </w:r>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101.PR</w:t>
            </w:r>
            <w:r>
              <w:rPr>
                <w:sz w:val="19"/>
                <w:szCs w:val="19"/>
              </w:rPr>
              <w:t>E</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Inline XBRL Taxonomy Extension Presentation Linkbase Documen</w:t>
            </w:r>
            <w:r>
              <w:rPr>
                <w:sz w:val="19"/>
                <w:szCs w:val="19"/>
              </w:rPr>
              <w:t>t</w:t>
            </w:r>
          </w:p>
        </w:tc>
      </w:tr>
      <w:tr w:rsidR="00000000">
        <w:trPr>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2"/>
                <w:szCs w:val="12"/>
              </w:rPr>
            </w:pPr>
            <w:r>
              <w:rPr>
                <w:sz w:val="12"/>
                <w:szCs w:val="12"/>
              </w:rPr>
              <w:t> </w:t>
            </w:r>
          </w:p>
        </w:tc>
        <w:tc>
          <w:tcPr>
            <w:tcW w:w="0" w:type="auto"/>
            <w:hideMark/>
          </w:tcPr>
          <w:p w:rsidR="00000000" w:rsidRDefault="003D51DE">
            <w:pPr>
              <w:pStyle w:val="a3"/>
              <w:spacing w:before="0" w:beforeAutospacing="0" w:after="0" w:afterAutospacing="0"/>
              <w:rPr>
                <w:sz w:val="12"/>
                <w:szCs w:val="12"/>
              </w:rPr>
            </w:pPr>
            <w:r>
              <w:rPr>
                <w:sz w:val="12"/>
                <w:szCs w:val="12"/>
              </w:rPr>
              <w:t> </w:t>
            </w:r>
          </w:p>
        </w:tc>
        <w:tc>
          <w:tcPr>
            <w:tcW w:w="0" w:type="auto"/>
            <w:vAlign w:val="bottom"/>
            <w:hideMark/>
          </w:tcPr>
          <w:p w:rsidR="00000000" w:rsidRDefault="003D51DE">
            <w:pPr>
              <w:pStyle w:val="a3"/>
              <w:spacing w:before="0" w:beforeAutospacing="0" w:after="0" w:afterAutospacing="0"/>
              <w:jc w:val="both"/>
              <w:rPr>
                <w:sz w:val="12"/>
                <w:szCs w:val="12"/>
              </w:rPr>
            </w:pPr>
            <w:r>
              <w:rPr>
                <w:sz w:val="12"/>
                <w:szCs w:val="12"/>
              </w:rPr>
              <w:t> </w:t>
            </w:r>
          </w:p>
        </w:tc>
      </w:tr>
      <w:tr w:rsidR="00000000">
        <w:trPr>
          <w:trHeight w:val="18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9"/>
                <w:szCs w:val="19"/>
              </w:rPr>
            </w:pPr>
            <w:r>
              <w:rPr>
                <w:sz w:val="19"/>
                <w:szCs w:val="19"/>
              </w:rPr>
              <w:t>10</w:t>
            </w:r>
            <w:r>
              <w:rPr>
                <w:sz w:val="19"/>
                <w:szCs w:val="19"/>
              </w:rPr>
              <w:t>4</w:t>
            </w:r>
          </w:p>
        </w:tc>
        <w:tc>
          <w:tcPr>
            <w:tcW w:w="0" w:type="auto"/>
            <w:hideMark/>
          </w:tcPr>
          <w:p w:rsidR="00000000" w:rsidRDefault="003D51DE">
            <w:pPr>
              <w:pStyle w:val="a3"/>
              <w:spacing w:before="0" w:beforeAutospacing="0" w:after="0" w:afterAutospacing="0"/>
              <w:rPr>
                <w:sz w:val="23"/>
                <w:szCs w:val="23"/>
              </w:rPr>
            </w:pPr>
            <w:r>
              <w:rPr>
                <w:sz w:val="23"/>
                <w:szCs w:val="23"/>
              </w:rPr>
              <w:t> </w:t>
            </w:r>
          </w:p>
        </w:tc>
        <w:tc>
          <w:tcPr>
            <w:tcW w:w="0" w:type="auto"/>
            <w:vAlign w:val="bottom"/>
            <w:hideMark/>
          </w:tcPr>
          <w:p w:rsidR="00000000" w:rsidRDefault="003D51DE">
            <w:pPr>
              <w:pStyle w:val="a3"/>
              <w:spacing w:before="0" w:beforeAutospacing="0" w:after="0" w:afterAutospacing="0"/>
              <w:jc w:val="both"/>
              <w:rPr>
                <w:sz w:val="19"/>
                <w:szCs w:val="19"/>
              </w:rPr>
            </w:pPr>
            <w:r>
              <w:rPr>
                <w:sz w:val="19"/>
                <w:szCs w:val="19"/>
              </w:rPr>
              <w:t>Cover Page Interactive Data File (embedded within the Inline XBRL document</w:t>
            </w:r>
            <w:r>
              <w:rPr>
                <w:sz w:val="19"/>
                <w:szCs w:val="19"/>
              </w:rPr>
              <w:t>)</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pBdr>
          <w:bottom w:val="single" w:sz="4" w:space="1" w:color="auto"/>
        </w:pBdr>
        <w:spacing w:before="0" w:beforeAutospacing="0" w:after="0" w:afterAutospacing="0"/>
        <w:ind w:right="9881"/>
        <w:jc w:val="both"/>
        <w:rPr>
          <w:sz w:val="20"/>
          <w:szCs w:val="20"/>
        </w:rPr>
      </w:pPr>
      <w:r>
        <w:rPr>
          <w:sz w:val="20"/>
          <w:szCs w:val="20"/>
        </w:rPr>
        <w:t> </w:t>
      </w:r>
    </w:p>
    <w:p w:rsidR="00000000" w:rsidRDefault="003D51DE">
      <w:pPr>
        <w:pStyle w:val="a3"/>
        <w:spacing w:before="40" w:beforeAutospacing="0" w:after="0" w:afterAutospacing="0"/>
        <w:ind w:hanging="744"/>
        <w:jc w:val="both"/>
        <w:rPr>
          <w:sz w:val="20"/>
          <w:szCs w:val="20"/>
        </w:rPr>
      </w:pPr>
      <w:r>
        <w:rPr>
          <w:sz w:val="19"/>
          <w:szCs w:val="19"/>
        </w:rPr>
        <w:t>* Filed herewit</w:t>
      </w:r>
      <w:r>
        <w:rPr>
          <w:sz w:val="19"/>
          <w:szCs w:val="19"/>
        </w:rPr>
        <w:t>h</w:t>
      </w:r>
    </w:p>
    <w:p w:rsidR="00000000" w:rsidRDefault="003D51DE">
      <w:pPr>
        <w:jc w:val="both"/>
        <w:divId w:val="2116096111"/>
        <w:rPr>
          <w:rFonts w:eastAsia="Times New Roman"/>
        </w:rPr>
      </w:pPr>
      <w:r>
        <w:rPr>
          <w:rFonts w:eastAsia="Times New Roman"/>
          <w:sz w:val="20"/>
          <w:szCs w:val="20"/>
        </w:rPr>
        <w:t>(1</w:t>
      </w:r>
      <w:r>
        <w:rPr>
          <w:rFonts w:eastAsia="Times New Roman"/>
          <w:sz w:val="20"/>
          <w:szCs w:val="20"/>
        </w:rPr>
        <w:t>)</w:t>
      </w:r>
    </w:p>
    <w:p w:rsidR="00000000" w:rsidRDefault="003D51DE">
      <w:pPr>
        <w:jc w:val="both"/>
        <w:divId w:val="929199999"/>
        <w:rPr>
          <w:rFonts w:eastAsia="Times New Roman"/>
        </w:rPr>
      </w:pPr>
      <w:r>
        <w:rPr>
          <w:rFonts w:eastAsia="Times New Roman"/>
          <w:sz w:val="20"/>
          <w:szCs w:val="20"/>
        </w:rPr>
        <w:t>Previously filed with the Registrant’</w:t>
      </w:r>
      <w:r>
        <w:rPr>
          <w:rFonts w:eastAsia="Times New Roman"/>
          <w:sz w:val="20"/>
          <w:szCs w:val="20"/>
        </w:rPr>
        <w:t>s Registration Statement on Form 10 (Commission File No. 000-51327), as amended, originally filed on May 24, 2005</w:t>
      </w:r>
      <w:r>
        <w:rPr>
          <w:rFonts w:eastAsia="Times New Roman"/>
          <w:sz w:val="20"/>
          <w:szCs w:val="20"/>
        </w:rPr>
        <w:t>.</w:t>
      </w:r>
    </w:p>
    <w:p w:rsidR="00000000" w:rsidRDefault="003D51DE">
      <w:pPr>
        <w:jc w:val="both"/>
        <w:divId w:val="1789818367"/>
        <w:rPr>
          <w:rFonts w:eastAsia="Times New Roman"/>
        </w:rPr>
      </w:pPr>
      <w:r>
        <w:rPr>
          <w:rFonts w:eastAsia="Times New Roman"/>
          <w:sz w:val="20"/>
          <w:szCs w:val="20"/>
        </w:rPr>
        <w:t>(2</w:t>
      </w:r>
      <w:r>
        <w:rPr>
          <w:rFonts w:eastAsia="Times New Roman"/>
          <w:sz w:val="20"/>
          <w:szCs w:val="20"/>
        </w:rPr>
        <w:t>)</w:t>
      </w:r>
    </w:p>
    <w:p w:rsidR="00000000" w:rsidRDefault="003D51DE">
      <w:pPr>
        <w:jc w:val="both"/>
        <w:divId w:val="2138374373"/>
        <w:rPr>
          <w:rFonts w:eastAsia="Times New Roman"/>
        </w:rPr>
      </w:pPr>
      <w:r>
        <w:rPr>
          <w:rFonts w:eastAsia="Times New Roman"/>
          <w:sz w:val="20"/>
          <w:szCs w:val="20"/>
        </w:rPr>
        <w:t>Previously filed with the Registrant’s Form 8-K dated as of March 9, 2015</w:t>
      </w:r>
      <w:r>
        <w:rPr>
          <w:rFonts w:eastAsia="Times New Roman"/>
          <w:sz w:val="20"/>
          <w:szCs w:val="20"/>
        </w:rPr>
        <w:t>.</w:t>
      </w:r>
    </w:p>
    <w:p w:rsidR="00000000" w:rsidRDefault="003D51DE">
      <w:pPr>
        <w:jc w:val="both"/>
        <w:divId w:val="1692564330"/>
        <w:rPr>
          <w:rFonts w:eastAsia="Times New Roman"/>
        </w:rPr>
      </w:pPr>
      <w:r>
        <w:rPr>
          <w:rFonts w:eastAsia="Times New Roman"/>
          <w:sz w:val="20"/>
          <w:szCs w:val="20"/>
        </w:rPr>
        <w:t>(3</w:t>
      </w:r>
      <w:r>
        <w:rPr>
          <w:rFonts w:eastAsia="Times New Roman"/>
          <w:sz w:val="20"/>
          <w:szCs w:val="20"/>
        </w:rPr>
        <w:t>)</w:t>
      </w:r>
    </w:p>
    <w:p w:rsidR="00000000" w:rsidRDefault="003D51DE">
      <w:pPr>
        <w:jc w:val="both"/>
        <w:divId w:val="1949387003"/>
        <w:rPr>
          <w:rFonts w:eastAsia="Times New Roman"/>
        </w:rPr>
      </w:pPr>
      <w:r>
        <w:rPr>
          <w:rFonts w:eastAsia="Times New Roman"/>
          <w:sz w:val="20"/>
          <w:szCs w:val="20"/>
        </w:rPr>
        <w:t>Previously filed with the Registrant’s Form 8-K dated as o</w:t>
      </w:r>
      <w:r>
        <w:rPr>
          <w:rFonts w:eastAsia="Times New Roman"/>
          <w:sz w:val="20"/>
          <w:szCs w:val="20"/>
        </w:rPr>
        <w:t>f April 30, 2018</w:t>
      </w:r>
      <w:r>
        <w:rPr>
          <w:rFonts w:eastAsia="Times New Roman"/>
          <w:sz w:val="20"/>
          <w:szCs w:val="20"/>
        </w:rPr>
        <w:t>.</w:t>
      </w:r>
    </w:p>
    <w:p w:rsidR="00000000" w:rsidRDefault="003D51DE">
      <w:pPr>
        <w:jc w:val="both"/>
        <w:divId w:val="1788500807"/>
        <w:rPr>
          <w:rFonts w:eastAsia="Times New Roman"/>
        </w:rPr>
      </w:pPr>
      <w:r>
        <w:rPr>
          <w:rFonts w:eastAsia="Times New Roman"/>
          <w:sz w:val="20"/>
          <w:szCs w:val="20"/>
        </w:rPr>
        <w:t>(4</w:t>
      </w:r>
      <w:r>
        <w:rPr>
          <w:rFonts w:eastAsia="Times New Roman"/>
          <w:sz w:val="20"/>
          <w:szCs w:val="20"/>
        </w:rPr>
        <w:t>)</w:t>
      </w:r>
    </w:p>
    <w:p w:rsidR="00000000" w:rsidRDefault="003D51DE">
      <w:pPr>
        <w:jc w:val="both"/>
        <w:divId w:val="1131752017"/>
        <w:rPr>
          <w:rFonts w:eastAsia="Times New Roman"/>
        </w:rPr>
      </w:pPr>
      <w:r>
        <w:rPr>
          <w:rFonts w:eastAsia="Times New Roman"/>
          <w:sz w:val="20"/>
          <w:szCs w:val="20"/>
        </w:rPr>
        <w:t>Previously filed with the Registrant’s pre-effective Amendment No. 2 to the Registration Statement on Form N-2 (Commission File No. 333-141090), filed on June 14, 2007</w:t>
      </w:r>
      <w:r>
        <w:rPr>
          <w:rFonts w:eastAsia="Times New Roman"/>
          <w:sz w:val="20"/>
          <w:szCs w:val="20"/>
        </w:rPr>
        <w:t>.</w:t>
      </w:r>
    </w:p>
    <w:p w:rsidR="00000000" w:rsidRDefault="003D51DE">
      <w:pPr>
        <w:pStyle w:val="a3"/>
        <w:spacing w:before="40" w:beforeAutospacing="0" w:after="0" w:afterAutospacing="0"/>
        <w:jc w:val="both"/>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6</w:t>
      </w:r>
      <w:r>
        <w:rPr>
          <w:sz w:val="19"/>
          <w:szCs w:val="19"/>
        </w:rPr>
        <w:t>0</w:t>
      </w:r>
    </w:p>
    <w:p w:rsidR="00000000" w:rsidRDefault="003D51DE">
      <w:pPr>
        <w:rPr>
          <w:rFonts w:eastAsia="Times New Roman"/>
        </w:rPr>
      </w:pPr>
      <w:r>
        <w:rPr>
          <w:rFonts w:eastAsia="Times New Roman"/>
        </w:rPr>
        <w:pict>
          <v:rect id="_x0000_i1084" style="width:0;height:1.5pt" o:hralign="center" o:hrstd="t" o:hr="t" fillcolor="#a0a0a0" stroked="f"/>
        </w:pic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b/>
          <w:bCs/>
          <w:sz w:val="19"/>
          <w:szCs w:val="19"/>
        </w:rPr>
        <w:t>SIGN</w:t>
      </w:r>
      <w:r>
        <w:rPr>
          <w:b/>
          <w:bCs/>
          <w:sz w:val="19"/>
          <w:szCs w:val="19"/>
        </w:rPr>
        <w:t>A</w:t>
      </w:r>
      <w:r>
        <w:rPr>
          <w:b/>
          <w:bCs/>
          <w:sz w:val="19"/>
          <w:szCs w:val="19"/>
        </w:rPr>
        <w:t>TURE</w:t>
      </w:r>
      <w:r>
        <w:rPr>
          <w:b/>
          <w:bCs/>
          <w:sz w:val="19"/>
          <w:szCs w:val="19"/>
        </w:rPr>
        <w:t>S</w:t>
      </w:r>
      <w:r>
        <w:rPr>
          <w:b/>
          <w:bCs/>
          <w:sz w:val="19"/>
          <w:szCs w:val="19"/>
        </w:rPr>
        <w:t xml:space="preserve"> </w:t>
      </w:r>
    </w:p>
    <w:p w:rsidR="00000000" w:rsidRDefault="003D51DE">
      <w:pPr>
        <w:pStyle w:val="a3"/>
        <w:spacing w:before="230" w:beforeAutospacing="0" w:after="0" w:afterAutospacing="0"/>
        <w:ind w:firstLine="694"/>
        <w:jc w:val="both"/>
        <w:rPr>
          <w:sz w:val="20"/>
          <w:szCs w:val="20"/>
        </w:rPr>
      </w:pPr>
      <w:r>
        <w:rPr>
          <w:sz w:val="19"/>
          <w:szCs w:val="19"/>
        </w:rPr>
        <w:t>Pursuant</w:t>
      </w:r>
      <w:r>
        <w:rPr>
          <w:sz w:val="19"/>
          <w:szCs w:val="19"/>
        </w:rPr>
        <w:t xml:space="preserve"> to the requirements of the Securities Exchange Act of 1934, as amended, the registrant has duly caused this report to be signed on its behalf by the undersigned thereunto duly authorized</w:t>
      </w:r>
      <w:r>
        <w:rPr>
          <w:sz w:val="19"/>
          <w:szCs w:val="19"/>
        </w:rPr>
        <w:t>.</w:t>
      </w:r>
      <w:r>
        <w:rPr>
          <w:sz w:val="19"/>
          <w:szCs w:val="19"/>
        </w:rPr>
        <w:t xml:space="preserve"> </w:t>
      </w:r>
    </w:p>
    <w:p w:rsidR="00000000" w:rsidRDefault="003D51DE">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8"/>
        <w:gridCol w:w="335"/>
        <w:gridCol w:w="3453"/>
      </w:tblGrid>
      <w:tr w:rsidR="00000000">
        <w:trPr>
          <w:tblCellSpacing w:w="15" w:type="dxa"/>
        </w:trPr>
        <w:tc>
          <w:tcPr>
            <w:tcW w:w="2750" w:type="pct"/>
            <w:vAlign w:val="center"/>
            <w:hideMark/>
          </w:tcPr>
          <w:p w:rsidR="00000000" w:rsidRDefault="003D51DE">
            <w:pPr>
              <w:rPr>
                <w:sz w:val="20"/>
                <w:szCs w:val="20"/>
              </w:rPr>
            </w:pPr>
          </w:p>
        </w:tc>
        <w:tc>
          <w:tcPr>
            <w:tcW w:w="149" w:type="pct"/>
            <w:vAlign w:val="center"/>
            <w:hideMark/>
          </w:tcPr>
          <w:p w:rsidR="00000000" w:rsidRDefault="003D51DE">
            <w:pPr>
              <w:rPr>
                <w:rFonts w:eastAsia="Times New Roman"/>
                <w:sz w:val="20"/>
                <w:szCs w:val="20"/>
              </w:rPr>
            </w:pPr>
          </w:p>
        </w:tc>
        <w:tc>
          <w:tcPr>
            <w:tcW w:w="2100" w:type="pct"/>
            <w:vAlign w:val="center"/>
            <w:hideMark/>
          </w:tcPr>
          <w:p w:rsidR="00000000" w:rsidRDefault="003D51DE">
            <w:pPr>
              <w:rPr>
                <w:rFonts w:eastAsia="Times New Roman"/>
                <w:sz w:val="20"/>
                <w:szCs w:val="20"/>
              </w:rPr>
            </w:pP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 </w:t>
            </w:r>
          </w:p>
        </w:tc>
        <w:tc>
          <w:tcPr>
            <w:tcW w:w="0" w:type="auto"/>
            <w:gridSpan w:val="2"/>
            <w:vAlign w:val="bottom"/>
            <w:hideMark/>
          </w:tcPr>
          <w:p w:rsidR="00000000" w:rsidRDefault="003D51DE">
            <w:pPr>
              <w:pStyle w:val="a3"/>
              <w:spacing w:before="0" w:beforeAutospacing="0" w:after="0" w:afterAutospacing="0"/>
              <w:rPr>
                <w:sz w:val="19"/>
                <w:szCs w:val="19"/>
              </w:rPr>
            </w:pPr>
            <w:r>
              <w:rPr>
                <w:sz w:val="19"/>
                <w:szCs w:val="19"/>
              </w:rPr>
              <w:t>BLACKROCK CAPITAL INVESTMEN</w:t>
            </w:r>
            <w:r>
              <w:rPr>
                <w:sz w:val="19"/>
                <w:szCs w:val="19"/>
              </w:rPr>
              <w:t>T</w:t>
            </w:r>
          </w:p>
          <w:p w:rsidR="00000000" w:rsidRDefault="003D51DE">
            <w:pPr>
              <w:pStyle w:val="a3"/>
              <w:spacing w:before="0" w:beforeAutospacing="0" w:after="0" w:afterAutospacing="0"/>
              <w:rPr>
                <w:sz w:val="19"/>
                <w:szCs w:val="19"/>
              </w:rPr>
            </w:pPr>
            <w:r>
              <w:rPr>
                <w:sz w:val="19"/>
                <w:szCs w:val="19"/>
              </w:rPr>
              <w:t>CORPORATIO</w:t>
            </w:r>
            <w:r>
              <w:rPr>
                <w:sz w:val="19"/>
                <w:szCs w:val="19"/>
              </w:rPr>
              <w:t>N</w:t>
            </w:r>
          </w:p>
        </w:tc>
      </w:tr>
      <w:tr w:rsidR="00000000">
        <w:trPr>
          <w:trHeight w:val="115"/>
          <w:tblCellSpacing w:w="15" w:type="dxa"/>
        </w:trPr>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c>
          <w:tcPr>
            <w:tcW w:w="0" w:type="auto"/>
            <w:vAlign w:val="center"/>
            <w:hideMark/>
          </w:tcPr>
          <w:p w:rsidR="00000000" w:rsidRDefault="003D51DE">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Date: November 3, 202</w:t>
            </w:r>
            <w:r>
              <w:rPr>
                <w:sz w:val="19"/>
                <w:szCs w:val="19"/>
              </w:rPr>
              <w:t>2</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By</w:t>
            </w:r>
            <w:r>
              <w:rPr>
                <w:sz w:val="19"/>
                <w:szCs w:val="19"/>
              </w:rPr>
              <w:t>:</w:t>
            </w:r>
          </w:p>
        </w:tc>
        <w:tc>
          <w:tcPr>
            <w:tcW w:w="0" w:type="auto"/>
            <w:tcBorders>
              <w:bottom w:val="single" w:sz="4" w:space="0" w:color="auto"/>
            </w:tcBorders>
            <w:vAlign w:val="bottom"/>
            <w:hideMark/>
          </w:tcPr>
          <w:p w:rsidR="00000000" w:rsidRDefault="003D51DE">
            <w:pPr>
              <w:pStyle w:val="a3"/>
              <w:spacing w:before="0" w:beforeAutospacing="0" w:after="0" w:afterAutospacing="0"/>
              <w:rPr>
                <w:sz w:val="19"/>
                <w:szCs w:val="19"/>
              </w:rPr>
            </w:pPr>
            <w:r>
              <w:rPr>
                <w:sz w:val="19"/>
                <w:szCs w:val="19"/>
              </w:rPr>
              <w:t>/s/ James E. Keena</w:t>
            </w:r>
            <w:r>
              <w:rPr>
                <w:sz w:val="19"/>
                <w:szCs w:val="19"/>
              </w:rPr>
              <w:t>n</w:t>
            </w:r>
          </w:p>
        </w:tc>
      </w:tr>
      <w:tr w:rsidR="00000000">
        <w:trPr>
          <w:trHeight w:val="14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b/>
                <w:bCs/>
                <w:sz w:val="15"/>
                <w:szCs w:val="15"/>
              </w:rPr>
              <w:t>James E. Keena</w:t>
            </w:r>
            <w:r>
              <w:rPr>
                <w:b/>
                <w:bCs/>
                <w:sz w:val="15"/>
                <w:szCs w:val="15"/>
              </w:rPr>
              <w:t>n</w:t>
            </w:r>
          </w:p>
        </w:tc>
      </w:tr>
      <w:tr w:rsidR="00000000">
        <w:trPr>
          <w:trHeight w:val="14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vAlign w:val="bottom"/>
            <w:hideMark/>
          </w:tcPr>
          <w:p w:rsidR="00000000" w:rsidRDefault="003D51DE">
            <w:pPr>
              <w:pStyle w:val="a3"/>
              <w:spacing w:before="0" w:beforeAutospacing="0" w:after="0" w:afterAutospacing="0"/>
              <w:rPr>
                <w:sz w:val="15"/>
                <w:szCs w:val="15"/>
              </w:rPr>
            </w:pPr>
            <w:r>
              <w:rPr>
                <w:b/>
                <w:bCs/>
                <w:sz w:val="15"/>
                <w:szCs w:val="15"/>
              </w:rPr>
              <w:t>Interim Chief Executive Office</w:t>
            </w:r>
            <w:r>
              <w:rPr>
                <w:b/>
                <w:bCs/>
                <w:sz w:val="15"/>
                <w:szCs w:val="15"/>
              </w:rPr>
              <w:t>r</w:t>
            </w:r>
          </w:p>
        </w:tc>
      </w:tr>
      <w:tr w:rsidR="00000000">
        <w:trPr>
          <w:trHeight w:val="245"/>
          <w:tblCellSpacing w:w="15" w:type="dxa"/>
        </w:trPr>
        <w:tc>
          <w:tcPr>
            <w:tcW w:w="0" w:type="auto"/>
            <w:vAlign w:val="center"/>
            <w:hideMark/>
          </w:tcPr>
          <w:p w:rsidR="00000000" w:rsidRDefault="003D51DE">
            <w:pPr>
              <w:pStyle w:val="a3"/>
              <w:spacing w:before="0" w:beforeAutospacing="0" w:after="0" w:afterAutospacing="0"/>
              <w:rPr>
                <w:sz w:val="23"/>
                <w:szCs w:val="23"/>
              </w:rPr>
            </w:pPr>
            <w:r>
              <w:rPr>
                <w:sz w:val="23"/>
                <w:szCs w:val="23"/>
              </w:rPr>
              <w:t> </w:t>
            </w:r>
          </w:p>
        </w:tc>
        <w:tc>
          <w:tcPr>
            <w:tcW w:w="0" w:type="auto"/>
            <w:vAlign w:val="center"/>
            <w:hideMark/>
          </w:tcPr>
          <w:p w:rsidR="00000000" w:rsidRDefault="003D51DE">
            <w:pPr>
              <w:pStyle w:val="a3"/>
              <w:spacing w:before="0" w:beforeAutospacing="0" w:after="0" w:afterAutospacing="0"/>
              <w:rPr>
                <w:sz w:val="23"/>
                <w:szCs w:val="23"/>
              </w:rPr>
            </w:pPr>
            <w:r>
              <w:rPr>
                <w:sz w:val="23"/>
                <w:szCs w:val="23"/>
              </w:rPr>
              <w:t> </w:t>
            </w:r>
          </w:p>
        </w:tc>
        <w:tc>
          <w:tcPr>
            <w:tcW w:w="0" w:type="auto"/>
            <w:vAlign w:val="center"/>
            <w:hideMark/>
          </w:tcPr>
          <w:p w:rsidR="00000000" w:rsidRDefault="003D51DE">
            <w:pPr>
              <w:pStyle w:val="a3"/>
              <w:spacing w:before="0" w:beforeAutospacing="0" w:after="0" w:afterAutospacing="0"/>
              <w:rPr>
                <w:sz w:val="23"/>
                <w:szCs w:val="23"/>
              </w:rPr>
            </w:pPr>
            <w:r>
              <w:rPr>
                <w:sz w:val="23"/>
                <w:szCs w:val="23"/>
              </w:rPr>
              <w:t> </w:t>
            </w:r>
          </w:p>
        </w:tc>
      </w:tr>
      <w:tr w:rsidR="00000000">
        <w:trPr>
          <w:trHeight w:val="180"/>
          <w:tblCellSpacing w:w="15" w:type="dxa"/>
        </w:trPr>
        <w:tc>
          <w:tcPr>
            <w:tcW w:w="0" w:type="auto"/>
            <w:hideMark/>
          </w:tcPr>
          <w:p w:rsidR="00000000" w:rsidRDefault="003D51DE">
            <w:pPr>
              <w:pStyle w:val="a3"/>
              <w:spacing w:before="0" w:beforeAutospacing="0" w:after="0" w:afterAutospacing="0"/>
              <w:rPr>
                <w:sz w:val="19"/>
                <w:szCs w:val="19"/>
              </w:rPr>
            </w:pPr>
            <w:r>
              <w:rPr>
                <w:sz w:val="19"/>
                <w:szCs w:val="19"/>
              </w:rPr>
              <w:t>Date: November 3, 202</w:t>
            </w:r>
            <w:r>
              <w:rPr>
                <w:sz w:val="19"/>
                <w:szCs w:val="19"/>
              </w:rPr>
              <w:t>2</w:t>
            </w:r>
          </w:p>
        </w:tc>
        <w:tc>
          <w:tcPr>
            <w:tcW w:w="0" w:type="auto"/>
            <w:vAlign w:val="bottom"/>
            <w:hideMark/>
          </w:tcPr>
          <w:p w:rsidR="00000000" w:rsidRDefault="003D51DE">
            <w:pPr>
              <w:pStyle w:val="a3"/>
              <w:spacing w:before="0" w:beforeAutospacing="0" w:after="0" w:afterAutospacing="0"/>
              <w:rPr>
                <w:sz w:val="19"/>
                <w:szCs w:val="19"/>
              </w:rPr>
            </w:pPr>
            <w:r>
              <w:rPr>
                <w:sz w:val="19"/>
                <w:szCs w:val="19"/>
              </w:rPr>
              <w:t>By</w:t>
            </w:r>
            <w:r>
              <w:rPr>
                <w:sz w:val="19"/>
                <w:szCs w:val="19"/>
              </w:rPr>
              <w:t>:</w:t>
            </w:r>
          </w:p>
        </w:tc>
        <w:tc>
          <w:tcPr>
            <w:tcW w:w="0" w:type="auto"/>
            <w:tcBorders>
              <w:bottom w:val="single" w:sz="4" w:space="0" w:color="auto"/>
            </w:tcBorders>
            <w:vAlign w:val="bottom"/>
            <w:hideMark/>
          </w:tcPr>
          <w:p w:rsidR="00000000" w:rsidRDefault="003D51DE">
            <w:pPr>
              <w:pStyle w:val="a3"/>
              <w:spacing w:before="0" w:beforeAutospacing="0" w:after="0" w:afterAutospacing="0"/>
              <w:rPr>
                <w:sz w:val="19"/>
                <w:szCs w:val="19"/>
              </w:rPr>
            </w:pPr>
            <w:r>
              <w:rPr>
                <w:sz w:val="19"/>
                <w:szCs w:val="19"/>
              </w:rPr>
              <w:t>/s/ Chip Hollada</w:t>
            </w:r>
            <w:r>
              <w:rPr>
                <w:sz w:val="19"/>
                <w:szCs w:val="19"/>
              </w:rPr>
              <w:t>y</w:t>
            </w:r>
          </w:p>
        </w:tc>
      </w:tr>
      <w:tr w:rsidR="00000000">
        <w:trPr>
          <w:trHeight w:val="14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hideMark/>
          </w:tcPr>
          <w:p w:rsidR="00000000" w:rsidRDefault="003D51DE">
            <w:pPr>
              <w:pStyle w:val="a3"/>
              <w:spacing w:before="0" w:beforeAutospacing="0" w:after="0" w:afterAutospacing="0"/>
              <w:rPr>
                <w:sz w:val="15"/>
                <w:szCs w:val="15"/>
              </w:rPr>
            </w:pPr>
            <w:r>
              <w:rPr>
                <w:b/>
                <w:bCs/>
                <w:sz w:val="15"/>
                <w:szCs w:val="15"/>
              </w:rPr>
              <w:t>Chip Hollada</w:t>
            </w:r>
            <w:r>
              <w:rPr>
                <w:b/>
                <w:bCs/>
                <w:sz w:val="15"/>
                <w:szCs w:val="15"/>
              </w:rPr>
              <w:t>y</w:t>
            </w:r>
          </w:p>
        </w:tc>
      </w:tr>
      <w:tr w:rsidR="00000000">
        <w:trPr>
          <w:trHeight w:val="140"/>
          <w:tblCellSpacing w:w="15" w:type="dxa"/>
        </w:trPr>
        <w:tc>
          <w:tcPr>
            <w:tcW w:w="0" w:type="auto"/>
            <w:tcMar>
              <w:top w:w="15" w:type="dxa"/>
              <w:left w:w="144" w:type="dxa"/>
              <w:bottom w:w="15" w:type="dxa"/>
              <w:right w:w="15" w:type="dxa"/>
            </w:tcMar>
            <w:hideMark/>
          </w:tcPr>
          <w:p w:rsidR="00000000" w:rsidRDefault="003D51DE">
            <w:pPr>
              <w:pStyle w:val="a3"/>
              <w:spacing w:before="0" w:beforeAutospacing="0" w:after="0" w:afterAutospacing="0"/>
              <w:rPr>
                <w:sz w:val="15"/>
                <w:szCs w:val="15"/>
              </w:rPr>
            </w:pPr>
            <w:r>
              <w:rPr>
                <w:sz w:val="15"/>
                <w:szCs w:val="15"/>
              </w:rPr>
              <w:t> </w:t>
            </w:r>
          </w:p>
        </w:tc>
        <w:tc>
          <w:tcPr>
            <w:tcW w:w="0" w:type="auto"/>
            <w:tcMar>
              <w:top w:w="15" w:type="dxa"/>
              <w:left w:w="144" w:type="dxa"/>
              <w:bottom w:w="15" w:type="dxa"/>
              <w:right w:w="15" w:type="dxa"/>
            </w:tcMar>
            <w:vAlign w:val="bottom"/>
            <w:hideMark/>
          </w:tcPr>
          <w:p w:rsidR="00000000" w:rsidRDefault="003D51DE">
            <w:pPr>
              <w:pStyle w:val="a3"/>
              <w:spacing w:before="0" w:beforeAutospacing="0" w:after="0" w:afterAutospacing="0"/>
              <w:rPr>
                <w:sz w:val="15"/>
                <w:szCs w:val="15"/>
              </w:rPr>
            </w:pPr>
            <w:r>
              <w:rPr>
                <w:sz w:val="15"/>
                <w:szCs w:val="15"/>
              </w:rPr>
              <w:t> </w:t>
            </w:r>
          </w:p>
        </w:tc>
        <w:tc>
          <w:tcPr>
            <w:tcW w:w="0" w:type="auto"/>
            <w:hideMark/>
          </w:tcPr>
          <w:p w:rsidR="00000000" w:rsidRDefault="003D51DE">
            <w:pPr>
              <w:pStyle w:val="a3"/>
              <w:spacing w:before="0" w:beforeAutospacing="0" w:after="0" w:afterAutospacing="0"/>
              <w:rPr>
                <w:sz w:val="15"/>
                <w:szCs w:val="15"/>
              </w:rPr>
            </w:pPr>
            <w:r>
              <w:rPr>
                <w:b/>
                <w:bCs/>
                <w:sz w:val="15"/>
                <w:szCs w:val="15"/>
              </w:rPr>
              <w:t>Interim Chief Financial Officer and Treasure</w:t>
            </w:r>
            <w:r>
              <w:rPr>
                <w:b/>
                <w:bCs/>
                <w:sz w:val="15"/>
                <w:szCs w:val="15"/>
              </w:rPr>
              <w:t>r</w:t>
            </w:r>
          </w:p>
        </w:tc>
      </w:tr>
    </w:tbl>
    <w:p w:rsidR="00000000" w:rsidRDefault="003D51DE">
      <w:pPr>
        <w:pStyle w:val="a3"/>
        <w:spacing w:before="0" w:beforeAutospacing="0" w:after="0" w:afterAutospacing="0"/>
        <w:jc w:val="both"/>
        <w:rPr>
          <w:sz w:val="20"/>
          <w:szCs w:val="20"/>
        </w:rPr>
      </w:pPr>
      <w:r>
        <w:rPr>
          <w:sz w:val="20"/>
          <w:szCs w:val="20"/>
        </w:rPr>
        <w:t> </w:t>
      </w:r>
    </w:p>
    <w:p w:rsidR="00000000" w:rsidRDefault="003D51DE">
      <w:pPr>
        <w:pStyle w:val="a3"/>
        <w:spacing w:before="0" w:beforeAutospacing="0" w:after="0" w:afterAutospacing="0"/>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20"/>
          <w:szCs w:val="20"/>
        </w:rPr>
        <w:t> </w:t>
      </w:r>
    </w:p>
    <w:p w:rsidR="00000000" w:rsidRDefault="003D51DE">
      <w:pPr>
        <w:pStyle w:val="a3"/>
        <w:spacing w:before="0" w:beforeAutospacing="0" w:after="0" w:afterAutospacing="0"/>
        <w:jc w:val="center"/>
        <w:rPr>
          <w:sz w:val="20"/>
          <w:szCs w:val="20"/>
        </w:rPr>
      </w:pPr>
      <w:r>
        <w:rPr>
          <w:sz w:val="19"/>
          <w:szCs w:val="19"/>
        </w:rPr>
        <w:t>6</w:t>
      </w:r>
      <w:r>
        <w:rPr>
          <w:sz w:val="19"/>
          <w:szCs w:val="19"/>
        </w:rPr>
        <w:t>1</w:t>
      </w:r>
    </w:p>
    <w:p w:rsidR="003D51DE" w:rsidRDefault="003D51DE">
      <w:pPr>
        <w:rPr>
          <w:rFonts w:eastAsia="Times New Roman"/>
        </w:rPr>
      </w:pPr>
      <w:r>
        <w:rPr>
          <w:rFonts w:eastAsia="Times New Roman"/>
        </w:rPr>
        <w:pict>
          <v:rect id="_x0000_i1085" style="width:0;height:1.5pt" o:hralign="center" o:hrstd="t" o:hr="t" fillcolor="#a0a0a0" stroked="f"/>
        </w:pict>
      </w:r>
    </w:p>
    <w:sectPr w:rsidR="003D51D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D51DE"/>
    <w:rsid w:val="003D51D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fasb.org/us-gaap-sup/2022q3"/>
  <w:attachedSchema w:val="http://xbrl.sec.gov/dei/2022"/>
  <w:attachedSchema w:val="http://fasb.org/us-gaap/2022"/>
  <w:attachedSchema w:val="http://www.xbrl.org/2003/iso4217"/>
  <w:attachedSchema w:val="http://xbrl.org/2020/extensible-enumerations-2.0"/>
  <w:attachedSchema w:val="http://www.xbrl.org/dtr/type/2020-01-21"/>
  <w:attachedSchema w:val="http://xbrl.sec.gov/country/2022"/>
  <w:attachedSchema w:val="http://xbrl.sec.gov/cef/2022"/>
  <w:attachedSchema w:val="http://fasb.org/srt/2022"/>
  <w:attachedSchema w:val="http://www.blackrock.com/20220930"/>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1">
      <w:marLeft w:val="0"/>
      <w:marRight w:val="0"/>
      <w:marTop w:val="40"/>
      <w:marBottom w:val="0"/>
      <w:divBdr>
        <w:top w:val="none" w:sz="0" w:space="0" w:color="auto"/>
        <w:left w:val="none" w:sz="0" w:space="0" w:color="auto"/>
        <w:bottom w:val="none" w:sz="0" w:space="0" w:color="auto"/>
        <w:right w:val="none" w:sz="0" w:space="0" w:color="auto"/>
      </w:divBdr>
      <w:divsChild>
        <w:div w:id="1497645774">
          <w:marLeft w:val="0"/>
          <w:marRight w:val="0"/>
          <w:marTop w:val="0"/>
          <w:marBottom w:val="0"/>
          <w:divBdr>
            <w:top w:val="none" w:sz="0" w:space="0" w:color="auto"/>
            <w:left w:val="none" w:sz="0" w:space="0" w:color="auto"/>
            <w:bottom w:val="none" w:sz="0" w:space="0" w:color="auto"/>
            <w:right w:val="none" w:sz="0" w:space="0" w:color="auto"/>
          </w:divBdr>
        </w:div>
      </w:divsChild>
    </w:div>
    <w:div w:id="13969027">
      <w:marLeft w:val="4"/>
      <w:marRight w:val="0"/>
      <w:marTop w:val="0"/>
      <w:marBottom w:val="0"/>
      <w:divBdr>
        <w:top w:val="none" w:sz="0" w:space="0" w:color="auto"/>
        <w:left w:val="none" w:sz="0" w:space="0" w:color="auto"/>
        <w:bottom w:val="none" w:sz="0" w:space="0" w:color="auto"/>
        <w:right w:val="none" w:sz="0" w:space="0" w:color="auto"/>
      </w:divBdr>
      <w:divsChild>
        <w:div w:id="1516263323">
          <w:marLeft w:val="0"/>
          <w:marRight w:val="0"/>
          <w:marTop w:val="0"/>
          <w:marBottom w:val="0"/>
          <w:divBdr>
            <w:top w:val="none" w:sz="0" w:space="0" w:color="auto"/>
            <w:left w:val="none" w:sz="0" w:space="0" w:color="auto"/>
            <w:bottom w:val="none" w:sz="0" w:space="0" w:color="auto"/>
            <w:right w:val="none" w:sz="0" w:space="0" w:color="auto"/>
          </w:divBdr>
        </w:div>
      </w:divsChild>
    </w:div>
    <w:div w:id="20404464">
      <w:marLeft w:val="0"/>
      <w:marRight w:val="0"/>
      <w:marTop w:val="0"/>
      <w:marBottom w:val="0"/>
      <w:divBdr>
        <w:top w:val="none" w:sz="0" w:space="0" w:color="auto"/>
        <w:left w:val="none" w:sz="0" w:space="0" w:color="auto"/>
        <w:bottom w:val="none" w:sz="0" w:space="0" w:color="auto"/>
        <w:right w:val="none" w:sz="0" w:space="0" w:color="auto"/>
      </w:divBdr>
    </w:div>
    <w:div w:id="53547543">
      <w:marLeft w:val="4"/>
      <w:marRight w:val="0"/>
      <w:marTop w:val="0"/>
      <w:marBottom w:val="0"/>
      <w:divBdr>
        <w:top w:val="none" w:sz="0" w:space="0" w:color="auto"/>
        <w:left w:val="none" w:sz="0" w:space="0" w:color="auto"/>
        <w:bottom w:val="none" w:sz="0" w:space="0" w:color="auto"/>
        <w:right w:val="none" w:sz="0" w:space="0" w:color="auto"/>
      </w:divBdr>
      <w:divsChild>
        <w:div w:id="1130515394">
          <w:marLeft w:val="0"/>
          <w:marRight w:val="0"/>
          <w:marTop w:val="0"/>
          <w:marBottom w:val="0"/>
          <w:divBdr>
            <w:top w:val="none" w:sz="0" w:space="0" w:color="auto"/>
            <w:left w:val="none" w:sz="0" w:space="0" w:color="auto"/>
            <w:bottom w:val="none" w:sz="0" w:space="0" w:color="auto"/>
            <w:right w:val="none" w:sz="0" w:space="0" w:color="auto"/>
          </w:divBdr>
        </w:div>
      </w:divsChild>
    </w:div>
    <w:div w:id="58329753">
      <w:marLeft w:val="0"/>
      <w:marRight w:val="0"/>
      <w:marTop w:val="0"/>
      <w:marBottom w:val="0"/>
      <w:divBdr>
        <w:top w:val="none" w:sz="0" w:space="0" w:color="auto"/>
        <w:left w:val="none" w:sz="0" w:space="0" w:color="auto"/>
        <w:bottom w:val="none" w:sz="0" w:space="0" w:color="auto"/>
        <w:right w:val="none" w:sz="0" w:space="0" w:color="auto"/>
      </w:divBdr>
    </w:div>
    <w:div w:id="97722149">
      <w:marLeft w:val="4"/>
      <w:marRight w:val="0"/>
      <w:marTop w:val="0"/>
      <w:marBottom w:val="0"/>
      <w:divBdr>
        <w:top w:val="none" w:sz="0" w:space="0" w:color="auto"/>
        <w:left w:val="none" w:sz="0" w:space="0" w:color="auto"/>
        <w:bottom w:val="none" w:sz="0" w:space="0" w:color="auto"/>
        <w:right w:val="none" w:sz="0" w:space="0" w:color="auto"/>
      </w:divBdr>
      <w:divsChild>
        <w:div w:id="1705592046">
          <w:marLeft w:val="0"/>
          <w:marRight w:val="0"/>
          <w:marTop w:val="0"/>
          <w:marBottom w:val="0"/>
          <w:divBdr>
            <w:top w:val="none" w:sz="0" w:space="0" w:color="auto"/>
            <w:left w:val="none" w:sz="0" w:space="0" w:color="auto"/>
            <w:bottom w:val="none" w:sz="0" w:space="0" w:color="auto"/>
            <w:right w:val="none" w:sz="0" w:space="0" w:color="auto"/>
          </w:divBdr>
        </w:div>
      </w:divsChild>
    </w:div>
    <w:div w:id="100809191">
      <w:marLeft w:val="5"/>
      <w:marRight w:val="0"/>
      <w:marTop w:val="120"/>
      <w:marBottom w:val="0"/>
      <w:divBdr>
        <w:top w:val="none" w:sz="0" w:space="0" w:color="auto"/>
        <w:left w:val="none" w:sz="0" w:space="0" w:color="auto"/>
        <w:bottom w:val="none" w:sz="0" w:space="0" w:color="auto"/>
        <w:right w:val="none" w:sz="0" w:space="0" w:color="auto"/>
      </w:divBdr>
      <w:divsChild>
        <w:div w:id="18551282">
          <w:marLeft w:val="0"/>
          <w:marRight w:val="0"/>
          <w:marTop w:val="0"/>
          <w:marBottom w:val="0"/>
          <w:divBdr>
            <w:top w:val="none" w:sz="0" w:space="0" w:color="auto"/>
            <w:left w:val="none" w:sz="0" w:space="0" w:color="auto"/>
            <w:bottom w:val="none" w:sz="0" w:space="0" w:color="auto"/>
            <w:right w:val="none" w:sz="0" w:space="0" w:color="auto"/>
          </w:divBdr>
        </w:div>
      </w:divsChild>
    </w:div>
    <w:div w:id="126973713">
      <w:marLeft w:val="0"/>
      <w:marRight w:val="0"/>
      <w:marTop w:val="0"/>
      <w:marBottom w:val="0"/>
      <w:divBdr>
        <w:top w:val="none" w:sz="0" w:space="0" w:color="auto"/>
        <w:left w:val="none" w:sz="0" w:space="0" w:color="auto"/>
        <w:bottom w:val="none" w:sz="0" w:space="0" w:color="auto"/>
        <w:right w:val="none" w:sz="0" w:space="0" w:color="auto"/>
      </w:divBdr>
      <w:divsChild>
        <w:div w:id="1731221099">
          <w:marLeft w:val="0"/>
          <w:marRight w:val="0"/>
          <w:marTop w:val="0"/>
          <w:marBottom w:val="0"/>
          <w:divBdr>
            <w:top w:val="none" w:sz="0" w:space="0" w:color="auto"/>
            <w:left w:val="none" w:sz="0" w:space="0" w:color="auto"/>
            <w:bottom w:val="none" w:sz="0" w:space="0" w:color="auto"/>
            <w:right w:val="none" w:sz="0" w:space="0" w:color="auto"/>
          </w:divBdr>
        </w:div>
        <w:div w:id="1955868339">
          <w:marLeft w:val="0"/>
          <w:marRight w:val="0"/>
          <w:marTop w:val="0"/>
          <w:marBottom w:val="0"/>
          <w:divBdr>
            <w:top w:val="none" w:sz="0" w:space="0" w:color="auto"/>
            <w:left w:val="none" w:sz="0" w:space="0" w:color="auto"/>
            <w:bottom w:val="none" w:sz="0" w:space="0" w:color="auto"/>
            <w:right w:val="none" w:sz="0" w:space="0" w:color="auto"/>
          </w:divBdr>
        </w:div>
        <w:div w:id="473447642">
          <w:marLeft w:val="0"/>
          <w:marRight w:val="0"/>
          <w:marTop w:val="0"/>
          <w:marBottom w:val="0"/>
          <w:divBdr>
            <w:top w:val="none" w:sz="0" w:space="0" w:color="auto"/>
            <w:left w:val="none" w:sz="0" w:space="0" w:color="auto"/>
            <w:bottom w:val="none" w:sz="0" w:space="0" w:color="auto"/>
            <w:right w:val="none" w:sz="0" w:space="0" w:color="auto"/>
          </w:divBdr>
        </w:div>
        <w:div w:id="813638296">
          <w:marLeft w:val="0"/>
          <w:marRight w:val="0"/>
          <w:marTop w:val="0"/>
          <w:marBottom w:val="0"/>
          <w:divBdr>
            <w:top w:val="none" w:sz="0" w:space="0" w:color="auto"/>
            <w:left w:val="none" w:sz="0" w:space="0" w:color="auto"/>
            <w:bottom w:val="none" w:sz="0" w:space="0" w:color="auto"/>
            <w:right w:val="none" w:sz="0" w:space="0" w:color="auto"/>
          </w:divBdr>
          <w:divsChild>
            <w:div w:id="1255936594">
              <w:marLeft w:val="5"/>
              <w:marRight w:val="0"/>
              <w:marTop w:val="120"/>
              <w:marBottom w:val="0"/>
              <w:divBdr>
                <w:top w:val="none" w:sz="0" w:space="0" w:color="auto"/>
                <w:left w:val="none" w:sz="0" w:space="0" w:color="auto"/>
                <w:bottom w:val="none" w:sz="0" w:space="0" w:color="auto"/>
                <w:right w:val="none" w:sz="0" w:space="0" w:color="auto"/>
              </w:divBdr>
              <w:divsChild>
                <w:div w:id="3675516">
                  <w:marLeft w:val="0"/>
                  <w:marRight w:val="0"/>
                  <w:marTop w:val="0"/>
                  <w:marBottom w:val="0"/>
                  <w:divBdr>
                    <w:top w:val="none" w:sz="0" w:space="0" w:color="auto"/>
                    <w:left w:val="none" w:sz="0" w:space="0" w:color="auto"/>
                    <w:bottom w:val="none" w:sz="0" w:space="0" w:color="auto"/>
                    <w:right w:val="none" w:sz="0" w:space="0" w:color="auto"/>
                  </w:divBdr>
                </w:div>
              </w:divsChild>
            </w:div>
            <w:div w:id="209223285">
              <w:marLeft w:val="5"/>
              <w:marRight w:val="0"/>
              <w:marTop w:val="120"/>
              <w:marBottom w:val="0"/>
              <w:divBdr>
                <w:top w:val="none" w:sz="0" w:space="0" w:color="auto"/>
                <w:left w:val="none" w:sz="0" w:space="0" w:color="auto"/>
                <w:bottom w:val="none" w:sz="0" w:space="0" w:color="auto"/>
                <w:right w:val="none" w:sz="0" w:space="0" w:color="auto"/>
              </w:divBdr>
              <w:divsChild>
                <w:div w:id="1385369221">
                  <w:marLeft w:val="0"/>
                  <w:marRight w:val="0"/>
                  <w:marTop w:val="0"/>
                  <w:marBottom w:val="0"/>
                  <w:divBdr>
                    <w:top w:val="none" w:sz="0" w:space="0" w:color="auto"/>
                    <w:left w:val="none" w:sz="0" w:space="0" w:color="auto"/>
                    <w:bottom w:val="none" w:sz="0" w:space="0" w:color="auto"/>
                    <w:right w:val="none" w:sz="0" w:space="0" w:color="auto"/>
                  </w:divBdr>
                </w:div>
              </w:divsChild>
            </w:div>
            <w:div w:id="1447963102">
              <w:marLeft w:val="5"/>
              <w:marRight w:val="0"/>
              <w:marTop w:val="120"/>
              <w:marBottom w:val="0"/>
              <w:divBdr>
                <w:top w:val="none" w:sz="0" w:space="0" w:color="auto"/>
                <w:left w:val="none" w:sz="0" w:space="0" w:color="auto"/>
                <w:bottom w:val="none" w:sz="0" w:space="0" w:color="auto"/>
                <w:right w:val="none" w:sz="0" w:space="0" w:color="auto"/>
              </w:divBdr>
              <w:divsChild>
                <w:div w:id="1977878040">
                  <w:marLeft w:val="0"/>
                  <w:marRight w:val="0"/>
                  <w:marTop w:val="0"/>
                  <w:marBottom w:val="0"/>
                  <w:divBdr>
                    <w:top w:val="none" w:sz="0" w:space="0" w:color="auto"/>
                    <w:left w:val="none" w:sz="0" w:space="0" w:color="auto"/>
                    <w:bottom w:val="none" w:sz="0" w:space="0" w:color="auto"/>
                    <w:right w:val="none" w:sz="0" w:space="0" w:color="auto"/>
                  </w:divBdr>
                </w:div>
              </w:divsChild>
            </w:div>
            <w:div w:id="1433357508">
              <w:marLeft w:val="5"/>
              <w:marRight w:val="0"/>
              <w:marTop w:val="120"/>
              <w:marBottom w:val="0"/>
              <w:divBdr>
                <w:top w:val="none" w:sz="0" w:space="0" w:color="auto"/>
                <w:left w:val="none" w:sz="0" w:space="0" w:color="auto"/>
                <w:bottom w:val="none" w:sz="0" w:space="0" w:color="auto"/>
                <w:right w:val="none" w:sz="0" w:space="0" w:color="auto"/>
              </w:divBdr>
              <w:divsChild>
                <w:div w:id="1118985134">
                  <w:marLeft w:val="0"/>
                  <w:marRight w:val="0"/>
                  <w:marTop w:val="0"/>
                  <w:marBottom w:val="0"/>
                  <w:divBdr>
                    <w:top w:val="none" w:sz="0" w:space="0" w:color="auto"/>
                    <w:left w:val="none" w:sz="0" w:space="0" w:color="auto"/>
                    <w:bottom w:val="none" w:sz="0" w:space="0" w:color="auto"/>
                    <w:right w:val="none" w:sz="0" w:space="0" w:color="auto"/>
                  </w:divBdr>
                </w:div>
              </w:divsChild>
            </w:div>
            <w:div w:id="1069496376">
              <w:marLeft w:val="5"/>
              <w:marRight w:val="0"/>
              <w:marTop w:val="120"/>
              <w:marBottom w:val="0"/>
              <w:divBdr>
                <w:top w:val="none" w:sz="0" w:space="0" w:color="auto"/>
                <w:left w:val="none" w:sz="0" w:space="0" w:color="auto"/>
                <w:bottom w:val="none" w:sz="0" w:space="0" w:color="auto"/>
                <w:right w:val="none" w:sz="0" w:space="0" w:color="auto"/>
              </w:divBdr>
              <w:divsChild>
                <w:div w:id="738018347">
                  <w:marLeft w:val="0"/>
                  <w:marRight w:val="0"/>
                  <w:marTop w:val="0"/>
                  <w:marBottom w:val="0"/>
                  <w:divBdr>
                    <w:top w:val="none" w:sz="0" w:space="0" w:color="auto"/>
                    <w:left w:val="none" w:sz="0" w:space="0" w:color="auto"/>
                    <w:bottom w:val="none" w:sz="0" w:space="0" w:color="auto"/>
                    <w:right w:val="none" w:sz="0" w:space="0" w:color="auto"/>
                  </w:divBdr>
                </w:div>
              </w:divsChild>
            </w:div>
            <w:div w:id="916208057">
              <w:marLeft w:val="0"/>
              <w:marRight w:val="0"/>
              <w:marTop w:val="0"/>
              <w:marBottom w:val="0"/>
              <w:divBdr>
                <w:top w:val="none" w:sz="0" w:space="0" w:color="auto"/>
                <w:left w:val="none" w:sz="0" w:space="0" w:color="auto"/>
                <w:bottom w:val="none" w:sz="0" w:space="0" w:color="auto"/>
                <w:right w:val="none" w:sz="0" w:space="0" w:color="auto"/>
              </w:divBdr>
              <w:divsChild>
                <w:div w:id="242954194">
                  <w:marLeft w:val="4"/>
                  <w:marRight w:val="0"/>
                  <w:marTop w:val="40"/>
                  <w:marBottom w:val="0"/>
                  <w:divBdr>
                    <w:top w:val="none" w:sz="0" w:space="0" w:color="auto"/>
                    <w:left w:val="none" w:sz="0" w:space="0" w:color="auto"/>
                    <w:bottom w:val="none" w:sz="0" w:space="0" w:color="auto"/>
                    <w:right w:val="none" w:sz="0" w:space="0" w:color="auto"/>
                  </w:divBdr>
                  <w:divsChild>
                    <w:div w:id="940726812">
                      <w:marLeft w:val="0"/>
                      <w:marRight w:val="0"/>
                      <w:marTop w:val="0"/>
                      <w:marBottom w:val="0"/>
                      <w:divBdr>
                        <w:top w:val="none" w:sz="0" w:space="0" w:color="auto"/>
                        <w:left w:val="none" w:sz="0" w:space="0" w:color="auto"/>
                        <w:bottom w:val="none" w:sz="0" w:space="0" w:color="auto"/>
                        <w:right w:val="none" w:sz="0" w:space="0" w:color="auto"/>
                      </w:divBdr>
                    </w:div>
                  </w:divsChild>
                </w:div>
                <w:div w:id="26607774">
                  <w:marLeft w:val="4"/>
                  <w:marRight w:val="0"/>
                  <w:marTop w:val="40"/>
                  <w:marBottom w:val="0"/>
                  <w:divBdr>
                    <w:top w:val="none" w:sz="0" w:space="0" w:color="auto"/>
                    <w:left w:val="none" w:sz="0" w:space="0" w:color="auto"/>
                    <w:bottom w:val="none" w:sz="0" w:space="0" w:color="auto"/>
                    <w:right w:val="none" w:sz="0" w:space="0" w:color="auto"/>
                  </w:divBdr>
                  <w:divsChild>
                    <w:div w:id="821118177">
                      <w:marLeft w:val="0"/>
                      <w:marRight w:val="0"/>
                      <w:marTop w:val="0"/>
                      <w:marBottom w:val="0"/>
                      <w:divBdr>
                        <w:top w:val="none" w:sz="0" w:space="0" w:color="auto"/>
                        <w:left w:val="none" w:sz="0" w:space="0" w:color="auto"/>
                        <w:bottom w:val="none" w:sz="0" w:space="0" w:color="auto"/>
                        <w:right w:val="none" w:sz="0" w:space="0" w:color="auto"/>
                      </w:divBdr>
                    </w:div>
                  </w:divsChild>
                </w:div>
                <w:div w:id="1275138377">
                  <w:marLeft w:val="4"/>
                  <w:marRight w:val="0"/>
                  <w:marTop w:val="40"/>
                  <w:marBottom w:val="0"/>
                  <w:divBdr>
                    <w:top w:val="none" w:sz="0" w:space="0" w:color="auto"/>
                    <w:left w:val="none" w:sz="0" w:space="0" w:color="auto"/>
                    <w:bottom w:val="none" w:sz="0" w:space="0" w:color="auto"/>
                    <w:right w:val="none" w:sz="0" w:space="0" w:color="auto"/>
                  </w:divBdr>
                  <w:divsChild>
                    <w:div w:id="977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169">
              <w:marLeft w:val="0"/>
              <w:marRight w:val="0"/>
              <w:marTop w:val="0"/>
              <w:marBottom w:val="0"/>
              <w:divBdr>
                <w:top w:val="none" w:sz="0" w:space="0" w:color="auto"/>
                <w:left w:val="none" w:sz="0" w:space="0" w:color="auto"/>
                <w:bottom w:val="none" w:sz="0" w:space="0" w:color="auto"/>
                <w:right w:val="none" w:sz="0" w:space="0" w:color="auto"/>
              </w:divBdr>
              <w:divsChild>
                <w:div w:id="673453151">
                  <w:marLeft w:val="4"/>
                  <w:marRight w:val="0"/>
                  <w:marTop w:val="40"/>
                  <w:marBottom w:val="0"/>
                  <w:divBdr>
                    <w:top w:val="none" w:sz="0" w:space="0" w:color="auto"/>
                    <w:left w:val="none" w:sz="0" w:space="0" w:color="auto"/>
                    <w:bottom w:val="none" w:sz="0" w:space="0" w:color="auto"/>
                    <w:right w:val="none" w:sz="0" w:space="0" w:color="auto"/>
                  </w:divBdr>
                  <w:divsChild>
                    <w:div w:id="1680497181">
                      <w:marLeft w:val="0"/>
                      <w:marRight w:val="0"/>
                      <w:marTop w:val="0"/>
                      <w:marBottom w:val="0"/>
                      <w:divBdr>
                        <w:top w:val="none" w:sz="0" w:space="0" w:color="auto"/>
                        <w:left w:val="none" w:sz="0" w:space="0" w:color="auto"/>
                        <w:bottom w:val="none" w:sz="0" w:space="0" w:color="auto"/>
                        <w:right w:val="none" w:sz="0" w:space="0" w:color="auto"/>
                      </w:divBdr>
                    </w:div>
                  </w:divsChild>
                </w:div>
                <w:div w:id="1274558355">
                  <w:marLeft w:val="4"/>
                  <w:marRight w:val="0"/>
                  <w:marTop w:val="40"/>
                  <w:marBottom w:val="0"/>
                  <w:divBdr>
                    <w:top w:val="none" w:sz="0" w:space="0" w:color="auto"/>
                    <w:left w:val="none" w:sz="0" w:space="0" w:color="auto"/>
                    <w:bottom w:val="none" w:sz="0" w:space="0" w:color="auto"/>
                    <w:right w:val="none" w:sz="0" w:space="0" w:color="auto"/>
                  </w:divBdr>
                  <w:divsChild>
                    <w:div w:id="21343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757">
              <w:marLeft w:val="0"/>
              <w:marRight w:val="0"/>
              <w:marTop w:val="0"/>
              <w:marBottom w:val="0"/>
              <w:divBdr>
                <w:top w:val="none" w:sz="0" w:space="0" w:color="auto"/>
                <w:left w:val="none" w:sz="0" w:space="0" w:color="auto"/>
                <w:bottom w:val="none" w:sz="0" w:space="0" w:color="auto"/>
                <w:right w:val="none" w:sz="0" w:space="0" w:color="auto"/>
              </w:divBdr>
            </w:div>
            <w:div w:id="1454598548">
              <w:marLeft w:val="0"/>
              <w:marRight w:val="0"/>
              <w:marTop w:val="0"/>
              <w:marBottom w:val="0"/>
              <w:divBdr>
                <w:top w:val="none" w:sz="0" w:space="0" w:color="auto"/>
                <w:left w:val="none" w:sz="0" w:space="0" w:color="auto"/>
                <w:bottom w:val="none" w:sz="0" w:space="0" w:color="auto"/>
                <w:right w:val="none" w:sz="0" w:space="0" w:color="auto"/>
              </w:divBdr>
              <w:divsChild>
                <w:div w:id="1111318154">
                  <w:marLeft w:val="4"/>
                  <w:marRight w:val="0"/>
                  <w:marTop w:val="40"/>
                  <w:marBottom w:val="0"/>
                  <w:divBdr>
                    <w:top w:val="none" w:sz="0" w:space="0" w:color="auto"/>
                    <w:left w:val="none" w:sz="0" w:space="0" w:color="auto"/>
                    <w:bottom w:val="none" w:sz="0" w:space="0" w:color="auto"/>
                    <w:right w:val="none" w:sz="0" w:space="0" w:color="auto"/>
                  </w:divBdr>
                  <w:divsChild>
                    <w:div w:id="793712523">
                      <w:marLeft w:val="0"/>
                      <w:marRight w:val="0"/>
                      <w:marTop w:val="0"/>
                      <w:marBottom w:val="0"/>
                      <w:divBdr>
                        <w:top w:val="none" w:sz="0" w:space="0" w:color="auto"/>
                        <w:left w:val="none" w:sz="0" w:space="0" w:color="auto"/>
                        <w:bottom w:val="none" w:sz="0" w:space="0" w:color="auto"/>
                        <w:right w:val="none" w:sz="0" w:space="0" w:color="auto"/>
                      </w:divBdr>
                    </w:div>
                  </w:divsChild>
                </w:div>
                <w:div w:id="898638758">
                  <w:marLeft w:val="4"/>
                  <w:marRight w:val="0"/>
                  <w:marTop w:val="40"/>
                  <w:marBottom w:val="0"/>
                  <w:divBdr>
                    <w:top w:val="none" w:sz="0" w:space="0" w:color="auto"/>
                    <w:left w:val="none" w:sz="0" w:space="0" w:color="auto"/>
                    <w:bottom w:val="none" w:sz="0" w:space="0" w:color="auto"/>
                    <w:right w:val="none" w:sz="0" w:space="0" w:color="auto"/>
                  </w:divBdr>
                  <w:divsChild>
                    <w:div w:id="39941827">
                      <w:marLeft w:val="0"/>
                      <w:marRight w:val="0"/>
                      <w:marTop w:val="0"/>
                      <w:marBottom w:val="0"/>
                      <w:divBdr>
                        <w:top w:val="none" w:sz="0" w:space="0" w:color="auto"/>
                        <w:left w:val="none" w:sz="0" w:space="0" w:color="auto"/>
                        <w:bottom w:val="none" w:sz="0" w:space="0" w:color="auto"/>
                        <w:right w:val="none" w:sz="0" w:space="0" w:color="auto"/>
                      </w:divBdr>
                    </w:div>
                  </w:divsChild>
                </w:div>
                <w:div w:id="250821454">
                  <w:marLeft w:val="4"/>
                  <w:marRight w:val="0"/>
                  <w:marTop w:val="40"/>
                  <w:marBottom w:val="0"/>
                  <w:divBdr>
                    <w:top w:val="none" w:sz="0" w:space="0" w:color="auto"/>
                    <w:left w:val="none" w:sz="0" w:space="0" w:color="auto"/>
                    <w:bottom w:val="none" w:sz="0" w:space="0" w:color="auto"/>
                    <w:right w:val="none" w:sz="0" w:space="0" w:color="auto"/>
                  </w:divBdr>
                  <w:divsChild>
                    <w:div w:id="1426656164">
                      <w:marLeft w:val="0"/>
                      <w:marRight w:val="0"/>
                      <w:marTop w:val="0"/>
                      <w:marBottom w:val="0"/>
                      <w:divBdr>
                        <w:top w:val="none" w:sz="0" w:space="0" w:color="auto"/>
                        <w:left w:val="none" w:sz="0" w:space="0" w:color="auto"/>
                        <w:bottom w:val="none" w:sz="0" w:space="0" w:color="auto"/>
                        <w:right w:val="none" w:sz="0" w:space="0" w:color="auto"/>
                      </w:divBdr>
                    </w:div>
                  </w:divsChild>
                </w:div>
                <w:div w:id="1396661438">
                  <w:marLeft w:val="4"/>
                  <w:marRight w:val="0"/>
                  <w:marTop w:val="40"/>
                  <w:marBottom w:val="0"/>
                  <w:divBdr>
                    <w:top w:val="none" w:sz="0" w:space="0" w:color="auto"/>
                    <w:left w:val="none" w:sz="0" w:space="0" w:color="auto"/>
                    <w:bottom w:val="none" w:sz="0" w:space="0" w:color="auto"/>
                    <w:right w:val="none" w:sz="0" w:space="0" w:color="auto"/>
                  </w:divBdr>
                  <w:divsChild>
                    <w:div w:id="909658770">
                      <w:marLeft w:val="0"/>
                      <w:marRight w:val="0"/>
                      <w:marTop w:val="0"/>
                      <w:marBottom w:val="0"/>
                      <w:divBdr>
                        <w:top w:val="none" w:sz="0" w:space="0" w:color="auto"/>
                        <w:left w:val="none" w:sz="0" w:space="0" w:color="auto"/>
                        <w:bottom w:val="none" w:sz="0" w:space="0" w:color="auto"/>
                        <w:right w:val="none" w:sz="0" w:space="0" w:color="auto"/>
                      </w:divBdr>
                    </w:div>
                  </w:divsChild>
                </w:div>
                <w:div w:id="1041711621">
                  <w:marLeft w:val="4"/>
                  <w:marRight w:val="0"/>
                  <w:marTop w:val="40"/>
                  <w:marBottom w:val="0"/>
                  <w:divBdr>
                    <w:top w:val="none" w:sz="0" w:space="0" w:color="auto"/>
                    <w:left w:val="none" w:sz="0" w:space="0" w:color="auto"/>
                    <w:bottom w:val="none" w:sz="0" w:space="0" w:color="auto"/>
                    <w:right w:val="none" w:sz="0" w:space="0" w:color="auto"/>
                  </w:divBdr>
                  <w:divsChild>
                    <w:div w:id="223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086">
              <w:marLeft w:val="0"/>
              <w:marRight w:val="0"/>
              <w:marTop w:val="0"/>
              <w:marBottom w:val="0"/>
              <w:divBdr>
                <w:top w:val="none" w:sz="0" w:space="0" w:color="auto"/>
                <w:left w:val="none" w:sz="0" w:space="0" w:color="auto"/>
                <w:bottom w:val="none" w:sz="0" w:space="0" w:color="auto"/>
                <w:right w:val="none" w:sz="0" w:space="0" w:color="auto"/>
              </w:divBdr>
              <w:divsChild>
                <w:div w:id="1515416143">
                  <w:marLeft w:val="4"/>
                  <w:marRight w:val="0"/>
                  <w:marTop w:val="40"/>
                  <w:marBottom w:val="0"/>
                  <w:divBdr>
                    <w:top w:val="none" w:sz="0" w:space="0" w:color="auto"/>
                    <w:left w:val="none" w:sz="0" w:space="0" w:color="auto"/>
                    <w:bottom w:val="none" w:sz="0" w:space="0" w:color="auto"/>
                    <w:right w:val="none" w:sz="0" w:space="0" w:color="auto"/>
                  </w:divBdr>
                  <w:divsChild>
                    <w:div w:id="1383358540">
                      <w:marLeft w:val="0"/>
                      <w:marRight w:val="0"/>
                      <w:marTop w:val="0"/>
                      <w:marBottom w:val="0"/>
                      <w:divBdr>
                        <w:top w:val="none" w:sz="0" w:space="0" w:color="auto"/>
                        <w:left w:val="none" w:sz="0" w:space="0" w:color="auto"/>
                        <w:bottom w:val="none" w:sz="0" w:space="0" w:color="auto"/>
                        <w:right w:val="none" w:sz="0" w:space="0" w:color="auto"/>
                      </w:divBdr>
                    </w:div>
                  </w:divsChild>
                </w:div>
                <w:div w:id="1352872518">
                  <w:marLeft w:val="4"/>
                  <w:marRight w:val="0"/>
                  <w:marTop w:val="40"/>
                  <w:marBottom w:val="0"/>
                  <w:divBdr>
                    <w:top w:val="none" w:sz="0" w:space="0" w:color="auto"/>
                    <w:left w:val="none" w:sz="0" w:space="0" w:color="auto"/>
                    <w:bottom w:val="none" w:sz="0" w:space="0" w:color="auto"/>
                    <w:right w:val="none" w:sz="0" w:space="0" w:color="auto"/>
                  </w:divBdr>
                  <w:divsChild>
                    <w:div w:id="1902212463">
                      <w:marLeft w:val="0"/>
                      <w:marRight w:val="0"/>
                      <w:marTop w:val="0"/>
                      <w:marBottom w:val="0"/>
                      <w:divBdr>
                        <w:top w:val="none" w:sz="0" w:space="0" w:color="auto"/>
                        <w:left w:val="none" w:sz="0" w:space="0" w:color="auto"/>
                        <w:bottom w:val="none" w:sz="0" w:space="0" w:color="auto"/>
                        <w:right w:val="none" w:sz="0" w:space="0" w:color="auto"/>
                      </w:divBdr>
                    </w:div>
                  </w:divsChild>
                </w:div>
                <w:div w:id="930889349">
                  <w:marLeft w:val="4"/>
                  <w:marRight w:val="0"/>
                  <w:marTop w:val="40"/>
                  <w:marBottom w:val="0"/>
                  <w:divBdr>
                    <w:top w:val="none" w:sz="0" w:space="0" w:color="auto"/>
                    <w:left w:val="none" w:sz="0" w:space="0" w:color="auto"/>
                    <w:bottom w:val="none" w:sz="0" w:space="0" w:color="auto"/>
                    <w:right w:val="none" w:sz="0" w:space="0" w:color="auto"/>
                  </w:divBdr>
                  <w:divsChild>
                    <w:div w:id="7388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707">
              <w:marLeft w:val="0"/>
              <w:marRight w:val="0"/>
              <w:marTop w:val="0"/>
              <w:marBottom w:val="0"/>
              <w:divBdr>
                <w:top w:val="none" w:sz="0" w:space="0" w:color="auto"/>
                <w:left w:val="none" w:sz="0" w:space="0" w:color="auto"/>
                <w:bottom w:val="none" w:sz="0" w:space="0" w:color="auto"/>
                <w:right w:val="none" w:sz="0" w:space="0" w:color="auto"/>
              </w:divBdr>
              <w:divsChild>
                <w:div w:id="1701542392">
                  <w:marLeft w:val="4"/>
                  <w:marRight w:val="0"/>
                  <w:marTop w:val="40"/>
                  <w:marBottom w:val="0"/>
                  <w:divBdr>
                    <w:top w:val="none" w:sz="0" w:space="0" w:color="auto"/>
                    <w:left w:val="none" w:sz="0" w:space="0" w:color="auto"/>
                    <w:bottom w:val="none" w:sz="0" w:space="0" w:color="auto"/>
                    <w:right w:val="none" w:sz="0" w:space="0" w:color="auto"/>
                  </w:divBdr>
                  <w:divsChild>
                    <w:div w:id="1010714308">
                      <w:marLeft w:val="0"/>
                      <w:marRight w:val="0"/>
                      <w:marTop w:val="0"/>
                      <w:marBottom w:val="0"/>
                      <w:divBdr>
                        <w:top w:val="none" w:sz="0" w:space="0" w:color="auto"/>
                        <w:left w:val="none" w:sz="0" w:space="0" w:color="auto"/>
                        <w:bottom w:val="none" w:sz="0" w:space="0" w:color="auto"/>
                        <w:right w:val="none" w:sz="0" w:space="0" w:color="auto"/>
                      </w:divBdr>
                    </w:div>
                  </w:divsChild>
                </w:div>
                <w:div w:id="143010094">
                  <w:marLeft w:val="4"/>
                  <w:marRight w:val="0"/>
                  <w:marTop w:val="40"/>
                  <w:marBottom w:val="0"/>
                  <w:divBdr>
                    <w:top w:val="none" w:sz="0" w:space="0" w:color="auto"/>
                    <w:left w:val="none" w:sz="0" w:space="0" w:color="auto"/>
                    <w:bottom w:val="none" w:sz="0" w:space="0" w:color="auto"/>
                    <w:right w:val="none" w:sz="0" w:space="0" w:color="auto"/>
                  </w:divBdr>
                  <w:divsChild>
                    <w:div w:id="1228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850">
              <w:marLeft w:val="0"/>
              <w:marRight w:val="0"/>
              <w:marTop w:val="0"/>
              <w:marBottom w:val="0"/>
              <w:divBdr>
                <w:top w:val="none" w:sz="0" w:space="0" w:color="auto"/>
                <w:left w:val="none" w:sz="0" w:space="0" w:color="auto"/>
                <w:bottom w:val="none" w:sz="0" w:space="0" w:color="auto"/>
                <w:right w:val="none" w:sz="0" w:space="0" w:color="auto"/>
              </w:divBdr>
              <w:divsChild>
                <w:div w:id="1864200232">
                  <w:marLeft w:val="4"/>
                  <w:marRight w:val="0"/>
                  <w:marTop w:val="40"/>
                  <w:marBottom w:val="0"/>
                  <w:divBdr>
                    <w:top w:val="none" w:sz="0" w:space="0" w:color="auto"/>
                    <w:left w:val="none" w:sz="0" w:space="0" w:color="auto"/>
                    <w:bottom w:val="none" w:sz="0" w:space="0" w:color="auto"/>
                    <w:right w:val="none" w:sz="0" w:space="0" w:color="auto"/>
                  </w:divBdr>
                  <w:divsChild>
                    <w:div w:id="1821845469">
                      <w:marLeft w:val="0"/>
                      <w:marRight w:val="0"/>
                      <w:marTop w:val="0"/>
                      <w:marBottom w:val="0"/>
                      <w:divBdr>
                        <w:top w:val="none" w:sz="0" w:space="0" w:color="auto"/>
                        <w:left w:val="none" w:sz="0" w:space="0" w:color="auto"/>
                        <w:bottom w:val="none" w:sz="0" w:space="0" w:color="auto"/>
                        <w:right w:val="none" w:sz="0" w:space="0" w:color="auto"/>
                      </w:divBdr>
                    </w:div>
                  </w:divsChild>
                </w:div>
                <w:div w:id="1007249947">
                  <w:marLeft w:val="4"/>
                  <w:marRight w:val="0"/>
                  <w:marTop w:val="40"/>
                  <w:marBottom w:val="0"/>
                  <w:divBdr>
                    <w:top w:val="none" w:sz="0" w:space="0" w:color="auto"/>
                    <w:left w:val="none" w:sz="0" w:space="0" w:color="auto"/>
                    <w:bottom w:val="none" w:sz="0" w:space="0" w:color="auto"/>
                    <w:right w:val="none" w:sz="0" w:space="0" w:color="auto"/>
                  </w:divBdr>
                  <w:divsChild>
                    <w:div w:id="1377005661">
                      <w:marLeft w:val="0"/>
                      <w:marRight w:val="0"/>
                      <w:marTop w:val="0"/>
                      <w:marBottom w:val="0"/>
                      <w:divBdr>
                        <w:top w:val="none" w:sz="0" w:space="0" w:color="auto"/>
                        <w:left w:val="none" w:sz="0" w:space="0" w:color="auto"/>
                        <w:bottom w:val="none" w:sz="0" w:space="0" w:color="auto"/>
                        <w:right w:val="none" w:sz="0" w:space="0" w:color="auto"/>
                      </w:divBdr>
                    </w:div>
                  </w:divsChild>
                </w:div>
                <w:div w:id="1405376036">
                  <w:marLeft w:val="4"/>
                  <w:marRight w:val="0"/>
                  <w:marTop w:val="40"/>
                  <w:marBottom w:val="0"/>
                  <w:divBdr>
                    <w:top w:val="none" w:sz="0" w:space="0" w:color="auto"/>
                    <w:left w:val="none" w:sz="0" w:space="0" w:color="auto"/>
                    <w:bottom w:val="none" w:sz="0" w:space="0" w:color="auto"/>
                    <w:right w:val="none" w:sz="0" w:space="0" w:color="auto"/>
                  </w:divBdr>
                  <w:divsChild>
                    <w:div w:id="671297585">
                      <w:marLeft w:val="0"/>
                      <w:marRight w:val="0"/>
                      <w:marTop w:val="0"/>
                      <w:marBottom w:val="0"/>
                      <w:divBdr>
                        <w:top w:val="none" w:sz="0" w:space="0" w:color="auto"/>
                        <w:left w:val="none" w:sz="0" w:space="0" w:color="auto"/>
                        <w:bottom w:val="none" w:sz="0" w:space="0" w:color="auto"/>
                        <w:right w:val="none" w:sz="0" w:space="0" w:color="auto"/>
                      </w:divBdr>
                    </w:div>
                  </w:divsChild>
                </w:div>
                <w:div w:id="1524515959">
                  <w:marLeft w:val="4"/>
                  <w:marRight w:val="0"/>
                  <w:marTop w:val="40"/>
                  <w:marBottom w:val="0"/>
                  <w:divBdr>
                    <w:top w:val="none" w:sz="0" w:space="0" w:color="auto"/>
                    <w:left w:val="none" w:sz="0" w:space="0" w:color="auto"/>
                    <w:bottom w:val="none" w:sz="0" w:space="0" w:color="auto"/>
                    <w:right w:val="none" w:sz="0" w:space="0" w:color="auto"/>
                  </w:divBdr>
                  <w:divsChild>
                    <w:div w:id="484127550">
                      <w:marLeft w:val="0"/>
                      <w:marRight w:val="0"/>
                      <w:marTop w:val="0"/>
                      <w:marBottom w:val="0"/>
                      <w:divBdr>
                        <w:top w:val="none" w:sz="0" w:space="0" w:color="auto"/>
                        <w:left w:val="none" w:sz="0" w:space="0" w:color="auto"/>
                        <w:bottom w:val="none" w:sz="0" w:space="0" w:color="auto"/>
                        <w:right w:val="none" w:sz="0" w:space="0" w:color="auto"/>
                      </w:divBdr>
                    </w:div>
                  </w:divsChild>
                </w:div>
                <w:div w:id="1458766317">
                  <w:marLeft w:val="4"/>
                  <w:marRight w:val="0"/>
                  <w:marTop w:val="40"/>
                  <w:marBottom w:val="0"/>
                  <w:divBdr>
                    <w:top w:val="none" w:sz="0" w:space="0" w:color="auto"/>
                    <w:left w:val="none" w:sz="0" w:space="0" w:color="auto"/>
                    <w:bottom w:val="none" w:sz="0" w:space="0" w:color="auto"/>
                    <w:right w:val="none" w:sz="0" w:space="0" w:color="auto"/>
                  </w:divBdr>
                  <w:divsChild>
                    <w:div w:id="37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4702">
          <w:marLeft w:val="0"/>
          <w:marRight w:val="0"/>
          <w:marTop w:val="0"/>
          <w:marBottom w:val="0"/>
          <w:divBdr>
            <w:top w:val="none" w:sz="0" w:space="0" w:color="auto"/>
            <w:left w:val="none" w:sz="0" w:space="0" w:color="auto"/>
            <w:bottom w:val="none" w:sz="0" w:space="0" w:color="auto"/>
            <w:right w:val="none" w:sz="0" w:space="0" w:color="auto"/>
          </w:divBdr>
        </w:div>
        <w:div w:id="1120609050">
          <w:marLeft w:val="0"/>
          <w:marRight w:val="0"/>
          <w:marTop w:val="0"/>
          <w:marBottom w:val="0"/>
          <w:divBdr>
            <w:top w:val="none" w:sz="0" w:space="0" w:color="auto"/>
            <w:left w:val="none" w:sz="0" w:space="0" w:color="auto"/>
            <w:bottom w:val="none" w:sz="0" w:space="0" w:color="auto"/>
            <w:right w:val="none" w:sz="0" w:space="0" w:color="auto"/>
          </w:divBdr>
        </w:div>
        <w:div w:id="1059398772">
          <w:marLeft w:val="0"/>
          <w:marRight w:val="0"/>
          <w:marTop w:val="0"/>
          <w:marBottom w:val="0"/>
          <w:divBdr>
            <w:top w:val="none" w:sz="0" w:space="0" w:color="auto"/>
            <w:left w:val="none" w:sz="0" w:space="0" w:color="auto"/>
            <w:bottom w:val="none" w:sz="0" w:space="0" w:color="auto"/>
            <w:right w:val="none" w:sz="0" w:space="0" w:color="auto"/>
          </w:divBdr>
        </w:div>
        <w:div w:id="1931085336">
          <w:marLeft w:val="0"/>
          <w:marRight w:val="0"/>
          <w:marTop w:val="0"/>
          <w:marBottom w:val="0"/>
          <w:divBdr>
            <w:top w:val="none" w:sz="0" w:space="0" w:color="auto"/>
            <w:left w:val="none" w:sz="0" w:space="0" w:color="auto"/>
            <w:bottom w:val="none" w:sz="0" w:space="0" w:color="auto"/>
            <w:right w:val="none" w:sz="0" w:space="0" w:color="auto"/>
          </w:divBdr>
          <w:divsChild>
            <w:div w:id="946162140">
              <w:marLeft w:val="5"/>
              <w:marRight w:val="0"/>
              <w:marTop w:val="120"/>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sChild>
            </w:div>
            <w:div w:id="101460204">
              <w:marLeft w:val="5"/>
              <w:marRight w:val="0"/>
              <w:marTop w:val="120"/>
              <w:marBottom w:val="0"/>
              <w:divBdr>
                <w:top w:val="none" w:sz="0" w:space="0" w:color="auto"/>
                <w:left w:val="none" w:sz="0" w:space="0" w:color="auto"/>
                <w:bottom w:val="none" w:sz="0" w:space="0" w:color="auto"/>
                <w:right w:val="none" w:sz="0" w:space="0" w:color="auto"/>
              </w:divBdr>
              <w:divsChild>
                <w:div w:id="5104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010">
          <w:marLeft w:val="0"/>
          <w:marRight w:val="0"/>
          <w:marTop w:val="0"/>
          <w:marBottom w:val="0"/>
          <w:divBdr>
            <w:top w:val="none" w:sz="0" w:space="0" w:color="auto"/>
            <w:left w:val="none" w:sz="0" w:space="0" w:color="auto"/>
            <w:bottom w:val="none" w:sz="0" w:space="0" w:color="auto"/>
            <w:right w:val="none" w:sz="0" w:space="0" w:color="auto"/>
          </w:divBdr>
        </w:div>
        <w:div w:id="1585147274">
          <w:marLeft w:val="0"/>
          <w:marRight w:val="0"/>
          <w:marTop w:val="0"/>
          <w:marBottom w:val="0"/>
          <w:divBdr>
            <w:top w:val="none" w:sz="0" w:space="0" w:color="auto"/>
            <w:left w:val="none" w:sz="0" w:space="0" w:color="auto"/>
            <w:bottom w:val="none" w:sz="0" w:space="0" w:color="auto"/>
            <w:right w:val="none" w:sz="0" w:space="0" w:color="auto"/>
          </w:divBdr>
        </w:div>
        <w:div w:id="1690329562">
          <w:marLeft w:val="0"/>
          <w:marRight w:val="0"/>
          <w:marTop w:val="0"/>
          <w:marBottom w:val="0"/>
          <w:divBdr>
            <w:top w:val="none" w:sz="0" w:space="0" w:color="auto"/>
            <w:left w:val="none" w:sz="0" w:space="0" w:color="auto"/>
            <w:bottom w:val="none" w:sz="0" w:space="0" w:color="auto"/>
            <w:right w:val="none" w:sz="0" w:space="0" w:color="auto"/>
          </w:divBdr>
        </w:div>
        <w:div w:id="1996295200">
          <w:marLeft w:val="0"/>
          <w:marRight w:val="0"/>
          <w:marTop w:val="0"/>
          <w:marBottom w:val="0"/>
          <w:divBdr>
            <w:top w:val="none" w:sz="0" w:space="0" w:color="auto"/>
            <w:left w:val="none" w:sz="0" w:space="0" w:color="auto"/>
            <w:bottom w:val="none" w:sz="0" w:space="0" w:color="auto"/>
            <w:right w:val="none" w:sz="0" w:space="0" w:color="auto"/>
          </w:divBdr>
          <w:divsChild>
            <w:div w:id="624385424">
              <w:marLeft w:val="0"/>
              <w:marRight w:val="0"/>
              <w:marTop w:val="0"/>
              <w:marBottom w:val="0"/>
              <w:divBdr>
                <w:top w:val="none" w:sz="0" w:space="0" w:color="auto"/>
                <w:left w:val="none" w:sz="0" w:space="0" w:color="auto"/>
                <w:bottom w:val="none" w:sz="0" w:space="0" w:color="auto"/>
                <w:right w:val="none" w:sz="0" w:space="0" w:color="auto"/>
              </w:divBdr>
            </w:div>
          </w:divsChild>
        </w:div>
        <w:div w:id="997146762">
          <w:marLeft w:val="0"/>
          <w:marRight w:val="0"/>
          <w:marTop w:val="0"/>
          <w:marBottom w:val="0"/>
          <w:divBdr>
            <w:top w:val="none" w:sz="0" w:space="0" w:color="auto"/>
            <w:left w:val="none" w:sz="0" w:space="0" w:color="auto"/>
            <w:bottom w:val="none" w:sz="0" w:space="0" w:color="auto"/>
            <w:right w:val="none" w:sz="0" w:space="0" w:color="auto"/>
          </w:divBdr>
        </w:div>
        <w:div w:id="2109109990">
          <w:marLeft w:val="0"/>
          <w:marRight w:val="0"/>
          <w:marTop w:val="0"/>
          <w:marBottom w:val="0"/>
          <w:divBdr>
            <w:top w:val="none" w:sz="0" w:space="0" w:color="auto"/>
            <w:left w:val="none" w:sz="0" w:space="0" w:color="auto"/>
            <w:bottom w:val="none" w:sz="0" w:space="0" w:color="auto"/>
            <w:right w:val="none" w:sz="0" w:space="0" w:color="auto"/>
          </w:divBdr>
        </w:div>
      </w:divsChild>
    </w:div>
    <w:div w:id="130056113">
      <w:marLeft w:val="4"/>
      <w:marRight w:val="0"/>
      <w:marTop w:val="0"/>
      <w:marBottom w:val="0"/>
      <w:divBdr>
        <w:top w:val="none" w:sz="0" w:space="0" w:color="auto"/>
        <w:left w:val="none" w:sz="0" w:space="0" w:color="auto"/>
        <w:bottom w:val="none" w:sz="0" w:space="0" w:color="auto"/>
        <w:right w:val="none" w:sz="0" w:space="0" w:color="auto"/>
      </w:divBdr>
      <w:divsChild>
        <w:div w:id="1341272278">
          <w:marLeft w:val="0"/>
          <w:marRight w:val="0"/>
          <w:marTop w:val="0"/>
          <w:marBottom w:val="0"/>
          <w:divBdr>
            <w:top w:val="none" w:sz="0" w:space="0" w:color="auto"/>
            <w:left w:val="none" w:sz="0" w:space="0" w:color="auto"/>
            <w:bottom w:val="none" w:sz="0" w:space="0" w:color="auto"/>
            <w:right w:val="none" w:sz="0" w:space="0" w:color="auto"/>
          </w:divBdr>
        </w:div>
      </w:divsChild>
    </w:div>
    <w:div w:id="134876073">
      <w:marLeft w:val="5"/>
      <w:marRight w:val="0"/>
      <w:marTop w:val="120"/>
      <w:marBottom w:val="0"/>
      <w:divBdr>
        <w:top w:val="none" w:sz="0" w:space="0" w:color="auto"/>
        <w:left w:val="none" w:sz="0" w:space="0" w:color="auto"/>
        <w:bottom w:val="none" w:sz="0" w:space="0" w:color="auto"/>
        <w:right w:val="none" w:sz="0" w:space="0" w:color="auto"/>
      </w:divBdr>
      <w:divsChild>
        <w:div w:id="848522208">
          <w:marLeft w:val="0"/>
          <w:marRight w:val="0"/>
          <w:marTop w:val="0"/>
          <w:marBottom w:val="0"/>
          <w:divBdr>
            <w:top w:val="none" w:sz="0" w:space="0" w:color="auto"/>
            <w:left w:val="none" w:sz="0" w:space="0" w:color="auto"/>
            <w:bottom w:val="none" w:sz="0" w:space="0" w:color="auto"/>
            <w:right w:val="none" w:sz="0" w:space="0" w:color="auto"/>
          </w:divBdr>
        </w:div>
      </w:divsChild>
    </w:div>
    <w:div w:id="218443332">
      <w:marLeft w:val="5"/>
      <w:marRight w:val="0"/>
      <w:marTop w:val="120"/>
      <w:marBottom w:val="0"/>
      <w:divBdr>
        <w:top w:val="none" w:sz="0" w:space="0" w:color="auto"/>
        <w:left w:val="none" w:sz="0" w:space="0" w:color="auto"/>
        <w:bottom w:val="none" w:sz="0" w:space="0" w:color="auto"/>
        <w:right w:val="none" w:sz="0" w:space="0" w:color="auto"/>
      </w:divBdr>
      <w:divsChild>
        <w:div w:id="1191839454">
          <w:marLeft w:val="0"/>
          <w:marRight w:val="0"/>
          <w:marTop w:val="0"/>
          <w:marBottom w:val="0"/>
          <w:divBdr>
            <w:top w:val="none" w:sz="0" w:space="0" w:color="auto"/>
            <w:left w:val="none" w:sz="0" w:space="0" w:color="auto"/>
            <w:bottom w:val="none" w:sz="0" w:space="0" w:color="auto"/>
            <w:right w:val="none" w:sz="0" w:space="0" w:color="auto"/>
          </w:divBdr>
        </w:div>
      </w:divsChild>
    </w:div>
    <w:div w:id="232935116">
      <w:marLeft w:val="0"/>
      <w:marRight w:val="0"/>
      <w:marTop w:val="0"/>
      <w:marBottom w:val="0"/>
      <w:divBdr>
        <w:top w:val="none" w:sz="0" w:space="0" w:color="auto"/>
        <w:left w:val="none" w:sz="0" w:space="0" w:color="auto"/>
        <w:bottom w:val="none" w:sz="0" w:space="0" w:color="auto"/>
        <w:right w:val="none" w:sz="0" w:space="0" w:color="auto"/>
      </w:divBdr>
    </w:div>
    <w:div w:id="295187970">
      <w:marLeft w:val="3"/>
      <w:marRight w:val="0"/>
      <w:marTop w:val="0"/>
      <w:marBottom w:val="0"/>
      <w:divBdr>
        <w:top w:val="none" w:sz="0" w:space="0" w:color="auto"/>
        <w:left w:val="none" w:sz="0" w:space="0" w:color="auto"/>
        <w:bottom w:val="none" w:sz="0" w:space="0" w:color="auto"/>
        <w:right w:val="none" w:sz="0" w:space="0" w:color="auto"/>
      </w:divBdr>
      <w:divsChild>
        <w:div w:id="1998192971">
          <w:marLeft w:val="0"/>
          <w:marRight w:val="0"/>
          <w:marTop w:val="0"/>
          <w:marBottom w:val="0"/>
          <w:divBdr>
            <w:top w:val="none" w:sz="0" w:space="0" w:color="auto"/>
            <w:left w:val="none" w:sz="0" w:space="0" w:color="auto"/>
            <w:bottom w:val="none" w:sz="0" w:space="0" w:color="auto"/>
            <w:right w:val="none" w:sz="0" w:space="0" w:color="auto"/>
          </w:divBdr>
        </w:div>
      </w:divsChild>
    </w:div>
    <w:div w:id="310212224">
      <w:marLeft w:val="0"/>
      <w:marRight w:val="0"/>
      <w:marTop w:val="0"/>
      <w:marBottom w:val="0"/>
      <w:divBdr>
        <w:top w:val="none" w:sz="0" w:space="0" w:color="auto"/>
        <w:left w:val="none" w:sz="0" w:space="0" w:color="auto"/>
        <w:bottom w:val="none" w:sz="0" w:space="0" w:color="auto"/>
        <w:right w:val="none" w:sz="0" w:space="0" w:color="auto"/>
      </w:divBdr>
    </w:div>
    <w:div w:id="334579785">
      <w:marLeft w:val="0"/>
      <w:marRight w:val="0"/>
      <w:marTop w:val="0"/>
      <w:marBottom w:val="0"/>
      <w:divBdr>
        <w:top w:val="none" w:sz="0" w:space="0" w:color="auto"/>
        <w:left w:val="none" w:sz="0" w:space="0" w:color="auto"/>
        <w:bottom w:val="none" w:sz="0" w:space="0" w:color="auto"/>
        <w:right w:val="none" w:sz="0" w:space="0" w:color="auto"/>
      </w:divBdr>
      <w:divsChild>
        <w:div w:id="1605531453">
          <w:marLeft w:val="0"/>
          <w:marRight w:val="0"/>
          <w:marTop w:val="0"/>
          <w:marBottom w:val="0"/>
          <w:divBdr>
            <w:top w:val="none" w:sz="0" w:space="0" w:color="auto"/>
            <w:left w:val="none" w:sz="0" w:space="0" w:color="auto"/>
            <w:bottom w:val="none" w:sz="0" w:space="0" w:color="auto"/>
            <w:right w:val="none" w:sz="0" w:space="0" w:color="auto"/>
          </w:divBdr>
          <w:divsChild>
            <w:div w:id="49428946">
              <w:marLeft w:val="0"/>
              <w:marRight w:val="0"/>
              <w:marTop w:val="0"/>
              <w:marBottom w:val="0"/>
              <w:divBdr>
                <w:top w:val="none" w:sz="0" w:space="0" w:color="auto"/>
                <w:left w:val="none" w:sz="0" w:space="0" w:color="auto"/>
                <w:bottom w:val="none" w:sz="0" w:space="0" w:color="auto"/>
                <w:right w:val="none" w:sz="0" w:space="0" w:color="auto"/>
              </w:divBdr>
            </w:div>
            <w:div w:id="1325354181">
              <w:marLeft w:val="0"/>
              <w:marRight w:val="0"/>
              <w:marTop w:val="0"/>
              <w:marBottom w:val="0"/>
              <w:divBdr>
                <w:top w:val="none" w:sz="0" w:space="0" w:color="auto"/>
                <w:left w:val="none" w:sz="0" w:space="0" w:color="auto"/>
                <w:bottom w:val="none" w:sz="0" w:space="0" w:color="auto"/>
                <w:right w:val="none" w:sz="0" w:space="0" w:color="auto"/>
              </w:divBdr>
            </w:div>
            <w:div w:id="1379474323">
              <w:marLeft w:val="0"/>
              <w:marRight w:val="0"/>
              <w:marTop w:val="0"/>
              <w:marBottom w:val="0"/>
              <w:divBdr>
                <w:top w:val="none" w:sz="0" w:space="0" w:color="auto"/>
                <w:left w:val="none" w:sz="0" w:space="0" w:color="auto"/>
                <w:bottom w:val="none" w:sz="0" w:space="0" w:color="auto"/>
                <w:right w:val="none" w:sz="0" w:space="0" w:color="auto"/>
              </w:divBdr>
            </w:div>
            <w:div w:id="1685546041">
              <w:marLeft w:val="0"/>
              <w:marRight w:val="0"/>
              <w:marTop w:val="0"/>
              <w:marBottom w:val="0"/>
              <w:divBdr>
                <w:top w:val="none" w:sz="0" w:space="0" w:color="auto"/>
                <w:left w:val="none" w:sz="0" w:space="0" w:color="auto"/>
                <w:bottom w:val="none" w:sz="0" w:space="0" w:color="auto"/>
                <w:right w:val="none" w:sz="0" w:space="0" w:color="auto"/>
              </w:divBdr>
            </w:div>
            <w:div w:id="127089893">
              <w:marLeft w:val="0"/>
              <w:marRight w:val="0"/>
              <w:marTop w:val="0"/>
              <w:marBottom w:val="0"/>
              <w:divBdr>
                <w:top w:val="none" w:sz="0" w:space="0" w:color="auto"/>
                <w:left w:val="none" w:sz="0" w:space="0" w:color="auto"/>
                <w:bottom w:val="none" w:sz="0" w:space="0" w:color="auto"/>
                <w:right w:val="none" w:sz="0" w:space="0" w:color="auto"/>
              </w:divBdr>
            </w:div>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168">
      <w:marLeft w:val="5"/>
      <w:marRight w:val="0"/>
      <w:marTop w:val="120"/>
      <w:marBottom w:val="0"/>
      <w:divBdr>
        <w:top w:val="none" w:sz="0" w:space="0" w:color="auto"/>
        <w:left w:val="none" w:sz="0" w:space="0" w:color="auto"/>
        <w:bottom w:val="none" w:sz="0" w:space="0" w:color="auto"/>
        <w:right w:val="none" w:sz="0" w:space="0" w:color="auto"/>
      </w:divBdr>
      <w:divsChild>
        <w:div w:id="1716463282">
          <w:marLeft w:val="0"/>
          <w:marRight w:val="0"/>
          <w:marTop w:val="0"/>
          <w:marBottom w:val="0"/>
          <w:divBdr>
            <w:top w:val="none" w:sz="0" w:space="0" w:color="auto"/>
            <w:left w:val="none" w:sz="0" w:space="0" w:color="auto"/>
            <w:bottom w:val="none" w:sz="0" w:space="0" w:color="auto"/>
            <w:right w:val="none" w:sz="0" w:space="0" w:color="auto"/>
          </w:divBdr>
        </w:div>
      </w:divsChild>
    </w:div>
    <w:div w:id="391386045">
      <w:marLeft w:val="4"/>
      <w:marRight w:val="0"/>
      <w:marTop w:val="0"/>
      <w:marBottom w:val="0"/>
      <w:divBdr>
        <w:top w:val="none" w:sz="0" w:space="0" w:color="auto"/>
        <w:left w:val="none" w:sz="0" w:space="0" w:color="auto"/>
        <w:bottom w:val="none" w:sz="0" w:space="0" w:color="auto"/>
        <w:right w:val="none" w:sz="0" w:space="0" w:color="auto"/>
      </w:divBdr>
      <w:divsChild>
        <w:div w:id="1934170544">
          <w:marLeft w:val="0"/>
          <w:marRight w:val="0"/>
          <w:marTop w:val="0"/>
          <w:marBottom w:val="0"/>
          <w:divBdr>
            <w:top w:val="none" w:sz="0" w:space="0" w:color="auto"/>
            <w:left w:val="none" w:sz="0" w:space="0" w:color="auto"/>
            <w:bottom w:val="none" w:sz="0" w:space="0" w:color="auto"/>
            <w:right w:val="none" w:sz="0" w:space="0" w:color="auto"/>
          </w:divBdr>
        </w:div>
      </w:divsChild>
    </w:div>
    <w:div w:id="411046014">
      <w:marLeft w:val="0"/>
      <w:marRight w:val="0"/>
      <w:marTop w:val="40"/>
      <w:marBottom w:val="0"/>
      <w:divBdr>
        <w:top w:val="none" w:sz="0" w:space="0" w:color="auto"/>
        <w:left w:val="none" w:sz="0" w:space="0" w:color="auto"/>
        <w:bottom w:val="none" w:sz="0" w:space="0" w:color="auto"/>
        <w:right w:val="none" w:sz="0" w:space="0" w:color="auto"/>
      </w:divBdr>
      <w:divsChild>
        <w:div w:id="439035684">
          <w:marLeft w:val="0"/>
          <w:marRight w:val="0"/>
          <w:marTop w:val="0"/>
          <w:marBottom w:val="0"/>
          <w:divBdr>
            <w:top w:val="none" w:sz="0" w:space="0" w:color="auto"/>
            <w:left w:val="none" w:sz="0" w:space="0" w:color="auto"/>
            <w:bottom w:val="none" w:sz="0" w:space="0" w:color="auto"/>
            <w:right w:val="none" w:sz="0" w:space="0" w:color="auto"/>
          </w:divBdr>
        </w:div>
      </w:divsChild>
    </w:div>
    <w:div w:id="437220154">
      <w:marLeft w:val="0"/>
      <w:marRight w:val="0"/>
      <w:marTop w:val="240"/>
      <w:marBottom w:val="0"/>
      <w:divBdr>
        <w:top w:val="none" w:sz="0" w:space="0" w:color="auto"/>
        <w:left w:val="none" w:sz="0" w:space="0" w:color="auto"/>
        <w:bottom w:val="none" w:sz="0" w:space="0" w:color="auto"/>
        <w:right w:val="none" w:sz="0" w:space="0" w:color="auto"/>
      </w:divBdr>
      <w:divsChild>
        <w:div w:id="1570454513">
          <w:marLeft w:val="0"/>
          <w:marRight w:val="0"/>
          <w:marTop w:val="0"/>
          <w:marBottom w:val="0"/>
          <w:divBdr>
            <w:top w:val="none" w:sz="0" w:space="0" w:color="auto"/>
            <w:left w:val="none" w:sz="0" w:space="0" w:color="auto"/>
            <w:bottom w:val="none" w:sz="0" w:space="0" w:color="auto"/>
            <w:right w:val="none" w:sz="0" w:space="0" w:color="auto"/>
          </w:divBdr>
        </w:div>
      </w:divsChild>
    </w:div>
    <w:div w:id="440955601">
      <w:marLeft w:val="0"/>
      <w:marRight w:val="0"/>
      <w:marTop w:val="40"/>
      <w:marBottom w:val="0"/>
      <w:divBdr>
        <w:top w:val="none" w:sz="0" w:space="0" w:color="auto"/>
        <w:left w:val="none" w:sz="0" w:space="0" w:color="auto"/>
        <w:bottom w:val="none" w:sz="0" w:space="0" w:color="auto"/>
        <w:right w:val="none" w:sz="0" w:space="0" w:color="auto"/>
      </w:divBdr>
      <w:divsChild>
        <w:div w:id="437676297">
          <w:marLeft w:val="0"/>
          <w:marRight w:val="0"/>
          <w:marTop w:val="0"/>
          <w:marBottom w:val="0"/>
          <w:divBdr>
            <w:top w:val="none" w:sz="0" w:space="0" w:color="auto"/>
            <w:left w:val="none" w:sz="0" w:space="0" w:color="auto"/>
            <w:bottom w:val="none" w:sz="0" w:space="0" w:color="auto"/>
            <w:right w:val="none" w:sz="0" w:space="0" w:color="auto"/>
          </w:divBdr>
        </w:div>
      </w:divsChild>
    </w:div>
    <w:div w:id="445657399">
      <w:marLeft w:val="4"/>
      <w:marRight w:val="0"/>
      <w:marTop w:val="120"/>
      <w:marBottom w:val="0"/>
      <w:divBdr>
        <w:top w:val="none" w:sz="0" w:space="0" w:color="auto"/>
        <w:left w:val="none" w:sz="0" w:space="0" w:color="auto"/>
        <w:bottom w:val="none" w:sz="0" w:space="0" w:color="auto"/>
        <w:right w:val="none" w:sz="0" w:space="0" w:color="auto"/>
      </w:divBdr>
      <w:divsChild>
        <w:div w:id="1435401499">
          <w:marLeft w:val="0"/>
          <w:marRight w:val="0"/>
          <w:marTop w:val="0"/>
          <w:marBottom w:val="0"/>
          <w:divBdr>
            <w:top w:val="none" w:sz="0" w:space="0" w:color="auto"/>
            <w:left w:val="none" w:sz="0" w:space="0" w:color="auto"/>
            <w:bottom w:val="none" w:sz="0" w:space="0" w:color="auto"/>
            <w:right w:val="none" w:sz="0" w:space="0" w:color="auto"/>
          </w:divBdr>
        </w:div>
      </w:divsChild>
    </w:div>
    <w:div w:id="467552685">
      <w:marLeft w:val="0"/>
      <w:marRight w:val="0"/>
      <w:marTop w:val="0"/>
      <w:marBottom w:val="0"/>
      <w:divBdr>
        <w:top w:val="none" w:sz="0" w:space="0" w:color="auto"/>
        <w:left w:val="none" w:sz="0" w:space="0" w:color="auto"/>
        <w:bottom w:val="none" w:sz="0" w:space="0" w:color="auto"/>
        <w:right w:val="none" w:sz="0" w:space="0" w:color="auto"/>
      </w:divBdr>
    </w:div>
    <w:div w:id="485586756">
      <w:marLeft w:val="5"/>
      <w:marRight w:val="0"/>
      <w:marTop w:val="120"/>
      <w:marBottom w:val="0"/>
      <w:divBdr>
        <w:top w:val="none" w:sz="0" w:space="0" w:color="auto"/>
        <w:left w:val="none" w:sz="0" w:space="0" w:color="auto"/>
        <w:bottom w:val="none" w:sz="0" w:space="0" w:color="auto"/>
        <w:right w:val="none" w:sz="0" w:space="0" w:color="auto"/>
      </w:divBdr>
      <w:divsChild>
        <w:div w:id="921331720">
          <w:marLeft w:val="0"/>
          <w:marRight w:val="0"/>
          <w:marTop w:val="0"/>
          <w:marBottom w:val="0"/>
          <w:divBdr>
            <w:top w:val="none" w:sz="0" w:space="0" w:color="auto"/>
            <w:left w:val="none" w:sz="0" w:space="0" w:color="auto"/>
            <w:bottom w:val="none" w:sz="0" w:space="0" w:color="auto"/>
            <w:right w:val="none" w:sz="0" w:space="0" w:color="auto"/>
          </w:divBdr>
        </w:div>
      </w:divsChild>
    </w:div>
    <w:div w:id="515920089">
      <w:marLeft w:val="5"/>
      <w:marRight w:val="0"/>
      <w:marTop w:val="120"/>
      <w:marBottom w:val="0"/>
      <w:divBdr>
        <w:top w:val="none" w:sz="0" w:space="0" w:color="auto"/>
        <w:left w:val="none" w:sz="0" w:space="0" w:color="auto"/>
        <w:bottom w:val="none" w:sz="0" w:space="0" w:color="auto"/>
        <w:right w:val="none" w:sz="0" w:space="0" w:color="auto"/>
      </w:divBdr>
      <w:divsChild>
        <w:div w:id="1287389188">
          <w:marLeft w:val="0"/>
          <w:marRight w:val="0"/>
          <w:marTop w:val="0"/>
          <w:marBottom w:val="0"/>
          <w:divBdr>
            <w:top w:val="none" w:sz="0" w:space="0" w:color="auto"/>
            <w:left w:val="none" w:sz="0" w:space="0" w:color="auto"/>
            <w:bottom w:val="none" w:sz="0" w:space="0" w:color="auto"/>
            <w:right w:val="none" w:sz="0" w:space="0" w:color="auto"/>
          </w:divBdr>
        </w:div>
      </w:divsChild>
    </w:div>
    <w:div w:id="517157890">
      <w:marLeft w:val="0"/>
      <w:marRight w:val="0"/>
      <w:marTop w:val="40"/>
      <w:marBottom w:val="0"/>
      <w:divBdr>
        <w:top w:val="none" w:sz="0" w:space="0" w:color="auto"/>
        <w:left w:val="none" w:sz="0" w:space="0" w:color="auto"/>
        <w:bottom w:val="none" w:sz="0" w:space="0" w:color="auto"/>
        <w:right w:val="none" w:sz="0" w:space="0" w:color="auto"/>
      </w:divBdr>
      <w:divsChild>
        <w:div w:id="227107728">
          <w:marLeft w:val="0"/>
          <w:marRight w:val="0"/>
          <w:marTop w:val="0"/>
          <w:marBottom w:val="0"/>
          <w:divBdr>
            <w:top w:val="none" w:sz="0" w:space="0" w:color="auto"/>
            <w:left w:val="none" w:sz="0" w:space="0" w:color="auto"/>
            <w:bottom w:val="none" w:sz="0" w:space="0" w:color="auto"/>
            <w:right w:val="none" w:sz="0" w:space="0" w:color="auto"/>
          </w:divBdr>
        </w:div>
      </w:divsChild>
    </w:div>
    <w:div w:id="541795365">
      <w:marLeft w:val="5"/>
      <w:marRight w:val="0"/>
      <w:marTop w:val="120"/>
      <w:marBottom w:val="0"/>
      <w:divBdr>
        <w:top w:val="none" w:sz="0" w:space="0" w:color="auto"/>
        <w:left w:val="none" w:sz="0" w:space="0" w:color="auto"/>
        <w:bottom w:val="none" w:sz="0" w:space="0" w:color="auto"/>
        <w:right w:val="none" w:sz="0" w:space="0" w:color="auto"/>
      </w:divBdr>
      <w:divsChild>
        <w:div w:id="1926960193">
          <w:marLeft w:val="0"/>
          <w:marRight w:val="0"/>
          <w:marTop w:val="0"/>
          <w:marBottom w:val="0"/>
          <w:divBdr>
            <w:top w:val="none" w:sz="0" w:space="0" w:color="auto"/>
            <w:left w:val="none" w:sz="0" w:space="0" w:color="auto"/>
            <w:bottom w:val="none" w:sz="0" w:space="0" w:color="auto"/>
            <w:right w:val="none" w:sz="0" w:space="0" w:color="auto"/>
          </w:divBdr>
        </w:div>
      </w:divsChild>
    </w:div>
    <w:div w:id="549878888">
      <w:marLeft w:val="3"/>
      <w:marRight w:val="0"/>
      <w:marTop w:val="40"/>
      <w:marBottom w:val="0"/>
      <w:divBdr>
        <w:top w:val="none" w:sz="0" w:space="0" w:color="auto"/>
        <w:left w:val="none" w:sz="0" w:space="0" w:color="auto"/>
        <w:bottom w:val="none" w:sz="0" w:space="0" w:color="auto"/>
        <w:right w:val="none" w:sz="0" w:space="0" w:color="auto"/>
      </w:divBdr>
      <w:divsChild>
        <w:div w:id="2130927453">
          <w:marLeft w:val="0"/>
          <w:marRight w:val="0"/>
          <w:marTop w:val="0"/>
          <w:marBottom w:val="0"/>
          <w:divBdr>
            <w:top w:val="none" w:sz="0" w:space="0" w:color="auto"/>
            <w:left w:val="none" w:sz="0" w:space="0" w:color="auto"/>
            <w:bottom w:val="none" w:sz="0" w:space="0" w:color="auto"/>
            <w:right w:val="none" w:sz="0" w:space="0" w:color="auto"/>
          </w:divBdr>
        </w:div>
      </w:divsChild>
    </w:div>
    <w:div w:id="563375789">
      <w:marLeft w:val="0"/>
      <w:marRight w:val="0"/>
      <w:marTop w:val="40"/>
      <w:marBottom w:val="0"/>
      <w:divBdr>
        <w:top w:val="none" w:sz="0" w:space="0" w:color="auto"/>
        <w:left w:val="none" w:sz="0" w:space="0" w:color="auto"/>
        <w:bottom w:val="none" w:sz="0" w:space="0" w:color="auto"/>
        <w:right w:val="none" w:sz="0" w:space="0" w:color="auto"/>
      </w:divBdr>
      <w:divsChild>
        <w:div w:id="381683893">
          <w:marLeft w:val="0"/>
          <w:marRight w:val="0"/>
          <w:marTop w:val="0"/>
          <w:marBottom w:val="0"/>
          <w:divBdr>
            <w:top w:val="none" w:sz="0" w:space="0" w:color="auto"/>
            <w:left w:val="none" w:sz="0" w:space="0" w:color="auto"/>
            <w:bottom w:val="none" w:sz="0" w:space="0" w:color="auto"/>
            <w:right w:val="none" w:sz="0" w:space="0" w:color="auto"/>
          </w:divBdr>
        </w:div>
      </w:divsChild>
    </w:div>
    <w:div w:id="703600562">
      <w:marLeft w:val="5"/>
      <w:marRight w:val="0"/>
      <w:marTop w:val="0"/>
      <w:marBottom w:val="0"/>
      <w:divBdr>
        <w:top w:val="none" w:sz="0" w:space="0" w:color="auto"/>
        <w:left w:val="none" w:sz="0" w:space="0" w:color="auto"/>
        <w:bottom w:val="none" w:sz="0" w:space="0" w:color="auto"/>
        <w:right w:val="none" w:sz="0" w:space="0" w:color="auto"/>
      </w:divBdr>
      <w:divsChild>
        <w:div w:id="515079154">
          <w:marLeft w:val="0"/>
          <w:marRight w:val="0"/>
          <w:marTop w:val="0"/>
          <w:marBottom w:val="0"/>
          <w:divBdr>
            <w:top w:val="none" w:sz="0" w:space="0" w:color="auto"/>
            <w:left w:val="none" w:sz="0" w:space="0" w:color="auto"/>
            <w:bottom w:val="none" w:sz="0" w:space="0" w:color="auto"/>
            <w:right w:val="none" w:sz="0" w:space="0" w:color="auto"/>
          </w:divBdr>
        </w:div>
      </w:divsChild>
    </w:div>
    <w:div w:id="707992635">
      <w:marLeft w:val="5"/>
      <w:marRight w:val="0"/>
      <w:marTop w:val="120"/>
      <w:marBottom w:val="0"/>
      <w:divBdr>
        <w:top w:val="none" w:sz="0" w:space="0" w:color="auto"/>
        <w:left w:val="none" w:sz="0" w:space="0" w:color="auto"/>
        <w:bottom w:val="none" w:sz="0" w:space="0" w:color="auto"/>
        <w:right w:val="none" w:sz="0" w:space="0" w:color="auto"/>
      </w:divBdr>
      <w:divsChild>
        <w:div w:id="1591351912">
          <w:marLeft w:val="0"/>
          <w:marRight w:val="0"/>
          <w:marTop w:val="0"/>
          <w:marBottom w:val="0"/>
          <w:divBdr>
            <w:top w:val="none" w:sz="0" w:space="0" w:color="auto"/>
            <w:left w:val="none" w:sz="0" w:space="0" w:color="auto"/>
            <w:bottom w:val="none" w:sz="0" w:space="0" w:color="auto"/>
            <w:right w:val="none" w:sz="0" w:space="0" w:color="auto"/>
          </w:divBdr>
        </w:div>
      </w:divsChild>
    </w:div>
    <w:div w:id="721635883">
      <w:marLeft w:val="0"/>
      <w:marRight w:val="0"/>
      <w:marTop w:val="0"/>
      <w:marBottom w:val="0"/>
      <w:divBdr>
        <w:top w:val="none" w:sz="0" w:space="0" w:color="auto"/>
        <w:left w:val="none" w:sz="0" w:space="0" w:color="auto"/>
        <w:bottom w:val="none" w:sz="0" w:space="0" w:color="auto"/>
        <w:right w:val="none" w:sz="0" w:space="0" w:color="auto"/>
      </w:divBdr>
    </w:div>
    <w:div w:id="743335154">
      <w:marLeft w:val="4"/>
      <w:marRight w:val="0"/>
      <w:marTop w:val="0"/>
      <w:marBottom w:val="0"/>
      <w:divBdr>
        <w:top w:val="none" w:sz="0" w:space="0" w:color="auto"/>
        <w:left w:val="none" w:sz="0" w:space="0" w:color="auto"/>
        <w:bottom w:val="none" w:sz="0" w:space="0" w:color="auto"/>
        <w:right w:val="none" w:sz="0" w:space="0" w:color="auto"/>
      </w:divBdr>
      <w:divsChild>
        <w:div w:id="195504382">
          <w:marLeft w:val="0"/>
          <w:marRight w:val="0"/>
          <w:marTop w:val="0"/>
          <w:marBottom w:val="0"/>
          <w:divBdr>
            <w:top w:val="none" w:sz="0" w:space="0" w:color="auto"/>
            <w:left w:val="none" w:sz="0" w:space="0" w:color="auto"/>
            <w:bottom w:val="none" w:sz="0" w:space="0" w:color="auto"/>
            <w:right w:val="none" w:sz="0" w:space="0" w:color="auto"/>
          </w:divBdr>
        </w:div>
      </w:divsChild>
    </w:div>
    <w:div w:id="746995804">
      <w:marLeft w:val="0"/>
      <w:marRight w:val="0"/>
      <w:marTop w:val="0"/>
      <w:marBottom w:val="0"/>
      <w:divBdr>
        <w:top w:val="none" w:sz="0" w:space="0" w:color="auto"/>
        <w:left w:val="none" w:sz="0" w:space="0" w:color="auto"/>
        <w:bottom w:val="none" w:sz="0" w:space="0" w:color="auto"/>
        <w:right w:val="none" w:sz="0" w:space="0" w:color="auto"/>
      </w:divBdr>
    </w:div>
    <w:div w:id="757140394">
      <w:marLeft w:val="0"/>
      <w:marRight w:val="0"/>
      <w:marTop w:val="0"/>
      <w:marBottom w:val="0"/>
      <w:divBdr>
        <w:top w:val="none" w:sz="0" w:space="0" w:color="auto"/>
        <w:left w:val="none" w:sz="0" w:space="0" w:color="auto"/>
        <w:bottom w:val="none" w:sz="0" w:space="0" w:color="auto"/>
        <w:right w:val="none" w:sz="0" w:space="0" w:color="auto"/>
      </w:divBdr>
      <w:divsChild>
        <w:div w:id="2100985716">
          <w:marLeft w:val="4"/>
          <w:marRight w:val="0"/>
          <w:marTop w:val="240"/>
          <w:marBottom w:val="0"/>
          <w:divBdr>
            <w:top w:val="none" w:sz="0" w:space="0" w:color="auto"/>
            <w:left w:val="none" w:sz="0" w:space="0" w:color="auto"/>
            <w:bottom w:val="none" w:sz="0" w:space="0" w:color="auto"/>
            <w:right w:val="none" w:sz="0" w:space="0" w:color="auto"/>
          </w:divBdr>
          <w:divsChild>
            <w:div w:id="2103257724">
              <w:marLeft w:val="0"/>
              <w:marRight w:val="0"/>
              <w:marTop w:val="0"/>
              <w:marBottom w:val="0"/>
              <w:divBdr>
                <w:top w:val="none" w:sz="0" w:space="0" w:color="auto"/>
                <w:left w:val="none" w:sz="0" w:space="0" w:color="auto"/>
                <w:bottom w:val="none" w:sz="0" w:space="0" w:color="auto"/>
                <w:right w:val="none" w:sz="0" w:space="0" w:color="auto"/>
              </w:divBdr>
            </w:div>
          </w:divsChild>
        </w:div>
        <w:div w:id="148248657">
          <w:marLeft w:val="5"/>
          <w:marRight w:val="0"/>
          <w:marTop w:val="120"/>
          <w:marBottom w:val="0"/>
          <w:divBdr>
            <w:top w:val="none" w:sz="0" w:space="0" w:color="auto"/>
            <w:left w:val="none" w:sz="0" w:space="0" w:color="auto"/>
            <w:bottom w:val="none" w:sz="0" w:space="0" w:color="auto"/>
            <w:right w:val="none" w:sz="0" w:space="0" w:color="auto"/>
          </w:divBdr>
          <w:divsChild>
            <w:div w:id="1124345502">
              <w:marLeft w:val="0"/>
              <w:marRight w:val="0"/>
              <w:marTop w:val="0"/>
              <w:marBottom w:val="0"/>
              <w:divBdr>
                <w:top w:val="none" w:sz="0" w:space="0" w:color="auto"/>
                <w:left w:val="none" w:sz="0" w:space="0" w:color="auto"/>
                <w:bottom w:val="none" w:sz="0" w:space="0" w:color="auto"/>
                <w:right w:val="none" w:sz="0" w:space="0" w:color="auto"/>
              </w:divBdr>
            </w:div>
          </w:divsChild>
        </w:div>
        <w:div w:id="529531233">
          <w:marLeft w:val="5"/>
          <w:marRight w:val="0"/>
          <w:marTop w:val="120"/>
          <w:marBottom w:val="0"/>
          <w:divBdr>
            <w:top w:val="none" w:sz="0" w:space="0" w:color="auto"/>
            <w:left w:val="none" w:sz="0" w:space="0" w:color="auto"/>
            <w:bottom w:val="none" w:sz="0" w:space="0" w:color="auto"/>
            <w:right w:val="none" w:sz="0" w:space="0" w:color="auto"/>
          </w:divBdr>
          <w:divsChild>
            <w:div w:id="2099012836">
              <w:marLeft w:val="0"/>
              <w:marRight w:val="0"/>
              <w:marTop w:val="0"/>
              <w:marBottom w:val="0"/>
              <w:divBdr>
                <w:top w:val="none" w:sz="0" w:space="0" w:color="auto"/>
                <w:left w:val="none" w:sz="0" w:space="0" w:color="auto"/>
                <w:bottom w:val="none" w:sz="0" w:space="0" w:color="auto"/>
                <w:right w:val="none" w:sz="0" w:space="0" w:color="auto"/>
              </w:divBdr>
            </w:div>
          </w:divsChild>
        </w:div>
        <w:div w:id="713696778">
          <w:marLeft w:val="5"/>
          <w:marRight w:val="0"/>
          <w:marTop w:val="120"/>
          <w:marBottom w:val="0"/>
          <w:divBdr>
            <w:top w:val="none" w:sz="0" w:space="0" w:color="auto"/>
            <w:left w:val="none" w:sz="0" w:space="0" w:color="auto"/>
            <w:bottom w:val="none" w:sz="0" w:space="0" w:color="auto"/>
            <w:right w:val="none" w:sz="0" w:space="0" w:color="auto"/>
          </w:divBdr>
          <w:divsChild>
            <w:div w:id="1920747336">
              <w:marLeft w:val="0"/>
              <w:marRight w:val="0"/>
              <w:marTop w:val="0"/>
              <w:marBottom w:val="0"/>
              <w:divBdr>
                <w:top w:val="none" w:sz="0" w:space="0" w:color="auto"/>
                <w:left w:val="none" w:sz="0" w:space="0" w:color="auto"/>
                <w:bottom w:val="none" w:sz="0" w:space="0" w:color="auto"/>
                <w:right w:val="none" w:sz="0" w:space="0" w:color="auto"/>
              </w:divBdr>
            </w:div>
          </w:divsChild>
        </w:div>
        <w:div w:id="790828638">
          <w:marLeft w:val="4"/>
          <w:marRight w:val="0"/>
          <w:marTop w:val="240"/>
          <w:marBottom w:val="0"/>
          <w:divBdr>
            <w:top w:val="none" w:sz="0" w:space="0" w:color="auto"/>
            <w:left w:val="none" w:sz="0" w:space="0" w:color="auto"/>
            <w:bottom w:val="none" w:sz="0" w:space="0" w:color="auto"/>
            <w:right w:val="none" w:sz="0" w:space="0" w:color="auto"/>
          </w:divBdr>
          <w:divsChild>
            <w:div w:id="18037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338">
      <w:marLeft w:val="5"/>
      <w:marRight w:val="0"/>
      <w:marTop w:val="120"/>
      <w:marBottom w:val="0"/>
      <w:divBdr>
        <w:top w:val="none" w:sz="0" w:space="0" w:color="auto"/>
        <w:left w:val="none" w:sz="0" w:space="0" w:color="auto"/>
        <w:bottom w:val="none" w:sz="0" w:space="0" w:color="auto"/>
        <w:right w:val="none" w:sz="0" w:space="0" w:color="auto"/>
      </w:divBdr>
      <w:divsChild>
        <w:div w:id="293757907">
          <w:marLeft w:val="0"/>
          <w:marRight w:val="0"/>
          <w:marTop w:val="0"/>
          <w:marBottom w:val="0"/>
          <w:divBdr>
            <w:top w:val="none" w:sz="0" w:space="0" w:color="auto"/>
            <w:left w:val="none" w:sz="0" w:space="0" w:color="auto"/>
            <w:bottom w:val="none" w:sz="0" w:space="0" w:color="auto"/>
            <w:right w:val="none" w:sz="0" w:space="0" w:color="auto"/>
          </w:divBdr>
        </w:div>
      </w:divsChild>
    </w:div>
    <w:div w:id="804734008">
      <w:marLeft w:val="5"/>
      <w:marRight w:val="0"/>
      <w:marTop w:val="120"/>
      <w:marBottom w:val="0"/>
      <w:divBdr>
        <w:top w:val="none" w:sz="0" w:space="0" w:color="auto"/>
        <w:left w:val="none" w:sz="0" w:space="0" w:color="auto"/>
        <w:bottom w:val="none" w:sz="0" w:space="0" w:color="auto"/>
        <w:right w:val="none" w:sz="0" w:space="0" w:color="auto"/>
      </w:divBdr>
      <w:divsChild>
        <w:div w:id="157423335">
          <w:marLeft w:val="0"/>
          <w:marRight w:val="0"/>
          <w:marTop w:val="0"/>
          <w:marBottom w:val="0"/>
          <w:divBdr>
            <w:top w:val="none" w:sz="0" w:space="0" w:color="auto"/>
            <w:left w:val="none" w:sz="0" w:space="0" w:color="auto"/>
            <w:bottom w:val="none" w:sz="0" w:space="0" w:color="auto"/>
            <w:right w:val="none" w:sz="0" w:space="0" w:color="auto"/>
          </w:divBdr>
        </w:div>
      </w:divsChild>
    </w:div>
    <w:div w:id="866679382">
      <w:marLeft w:val="0"/>
      <w:marRight w:val="0"/>
      <w:marTop w:val="0"/>
      <w:marBottom w:val="0"/>
      <w:divBdr>
        <w:top w:val="none" w:sz="0" w:space="0" w:color="auto"/>
        <w:left w:val="none" w:sz="0" w:space="0" w:color="auto"/>
        <w:bottom w:val="none" w:sz="0" w:space="0" w:color="auto"/>
        <w:right w:val="none" w:sz="0" w:space="0" w:color="auto"/>
      </w:divBdr>
    </w:div>
    <w:div w:id="877275600">
      <w:marLeft w:val="5"/>
      <w:marRight w:val="0"/>
      <w:marTop w:val="0"/>
      <w:marBottom w:val="0"/>
      <w:divBdr>
        <w:top w:val="none" w:sz="0" w:space="0" w:color="auto"/>
        <w:left w:val="none" w:sz="0" w:space="0" w:color="auto"/>
        <w:bottom w:val="none" w:sz="0" w:space="0" w:color="auto"/>
        <w:right w:val="none" w:sz="0" w:space="0" w:color="auto"/>
      </w:divBdr>
      <w:divsChild>
        <w:div w:id="378553213">
          <w:marLeft w:val="0"/>
          <w:marRight w:val="0"/>
          <w:marTop w:val="0"/>
          <w:marBottom w:val="0"/>
          <w:divBdr>
            <w:top w:val="none" w:sz="0" w:space="0" w:color="auto"/>
            <w:left w:val="none" w:sz="0" w:space="0" w:color="auto"/>
            <w:bottom w:val="none" w:sz="0" w:space="0" w:color="auto"/>
            <w:right w:val="none" w:sz="0" w:space="0" w:color="auto"/>
          </w:divBdr>
        </w:div>
      </w:divsChild>
    </w:div>
    <w:div w:id="926618065">
      <w:marLeft w:val="0"/>
      <w:marRight w:val="0"/>
      <w:marTop w:val="0"/>
      <w:marBottom w:val="0"/>
      <w:divBdr>
        <w:top w:val="none" w:sz="0" w:space="0" w:color="auto"/>
        <w:left w:val="none" w:sz="0" w:space="0" w:color="auto"/>
        <w:bottom w:val="none" w:sz="0" w:space="0" w:color="auto"/>
        <w:right w:val="none" w:sz="0" w:space="0" w:color="auto"/>
      </w:divBdr>
      <w:divsChild>
        <w:div w:id="285625083">
          <w:marLeft w:val="0"/>
          <w:marRight w:val="0"/>
          <w:marTop w:val="0"/>
          <w:marBottom w:val="0"/>
          <w:divBdr>
            <w:top w:val="none" w:sz="0" w:space="0" w:color="auto"/>
            <w:left w:val="none" w:sz="0" w:space="0" w:color="auto"/>
            <w:bottom w:val="none" w:sz="0" w:space="0" w:color="auto"/>
            <w:right w:val="none" w:sz="0" w:space="0" w:color="auto"/>
          </w:divBdr>
          <w:divsChild>
            <w:div w:id="19137056">
              <w:marLeft w:val="3"/>
              <w:marRight w:val="0"/>
              <w:marTop w:val="0"/>
              <w:marBottom w:val="0"/>
              <w:divBdr>
                <w:top w:val="none" w:sz="0" w:space="0" w:color="auto"/>
                <w:left w:val="none" w:sz="0" w:space="0" w:color="auto"/>
                <w:bottom w:val="none" w:sz="0" w:space="0" w:color="auto"/>
                <w:right w:val="none" w:sz="0" w:space="0" w:color="auto"/>
              </w:divBdr>
              <w:divsChild>
                <w:div w:id="111022381">
                  <w:marLeft w:val="0"/>
                  <w:marRight w:val="0"/>
                  <w:marTop w:val="0"/>
                  <w:marBottom w:val="0"/>
                  <w:divBdr>
                    <w:top w:val="none" w:sz="0" w:space="0" w:color="auto"/>
                    <w:left w:val="none" w:sz="0" w:space="0" w:color="auto"/>
                    <w:bottom w:val="none" w:sz="0" w:space="0" w:color="auto"/>
                    <w:right w:val="none" w:sz="0" w:space="0" w:color="auto"/>
                  </w:divBdr>
                </w:div>
              </w:divsChild>
            </w:div>
            <w:div w:id="578951450">
              <w:marLeft w:val="3"/>
              <w:marRight w:val="0"/>
              <w:marTop w:val="0"/>
              <w:marBottom w:val="0"/>
              <w:divBdr>
                <w:top w:val="none" w:sz="0" w:space="0" w:color="auto"/>
                <w:left w:val="none" w:sz="0" w:space="0" w:color="auto"/>
                <w:bottom w:val="none" w:sz="0" w:space="0" w:color="auto"/>
                <w:right w:val="none" w:sz="0" w:space="0" w:color="auto"/>
              </w:divBdr>
              <w:divsChild>
                <w:div w:id="3153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1123">
          <w:marLeft w:val="0"/>
          <w:marRight w:val="0"/>
          <w:marTop w:val="0"/>
          <w:marBottom w:val="0"/>
          <w:divBdr>
            <w:top w:val="none" w:sz="0" w:space="0" w:color="auto"/>
            <w:left w:val="none" w:sz="0" w:space="0" w:color="auto"/>
            <w:bottom w:val="none" w:sz="0" w:space="0" w:color="auto"/>
            <w:right w:val="none" w:sz="0" w:space="0" w:color="auto"/>
          </w:divBdr>
        </w:div>
      </w:divsChild>
    </w:div>
    <w:div w:id="936449180">
      <w:marLeft w:val="0"/>
      <w:marRight w:val="0"/>
      <w:marTop w:val="0"/>
      <w:marBottom w:val="0"/>
      <w:divBdr>
        <w:top w:val="none" w:sz="0" w:space="0" w:color="auto"/>
        <w:left w:val="none" w:sz="0" w:space="0" w:color="auto"/>
        <w:bottom w:val="none" w:sz="0" w:space="0" w:color="auto"/>
        <w:right w:val="none" w:sz="0" w:space="0" w:color="auto"/>
      </w:divBdr>
      <w:divsChild>
        <w:div w:id="1032462817">
          <w:marLeft w:val="0"/>
          <w:marRight w:val="0"/>
          <w:marTop w:val="0"/>
          <w:marBottom w:val="0"/>
          <w:divBdr>
            <w:top w:val="none" w:sz="0" w:space="0" w:color="auto"/>
            <w:left w:val="none" w:sz="0" w:space="0" w:color="auto"/>
            <w:bottom w:val="none" w:sz="0" w:space="0" w:color="auto"/>
            <w:right w:val="none" w:sz="0" w:space="0" w:color="auto"/>
          </w:divBdr>
          <w:divsChild>
            <w:div w:id="1370838097">
              <w:marLeft w:val="5"/>
              <w:marRight w:val="0"/>
              <w:marTop w:val="0"/>
              <w:marBottom w:val="0"/>
              <w:divBdr>
                <w:top w:val="none" w:sz="0" w:space="0" w:color="auto"/>
                <w:left w:val="none" w:sz="0" w:space="0" w:color="auto"/>
                <w:bottom w:val="none" w:sz="0" w:space="0" w:color="auto"/>
                <w:right w:val="none" w:sz="0" w:space="0" w:color="auto"/>
              </w:divBdr>
              <w:divsChild>
                <w:div w:id="1526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5685">
      <w:marLeft w:val="5"/>
      <w:marRight w:val="0"/>
      <w:marTop w:val="120"/>
      <w:marBottom w:val="0"/>
      <w:divBdr>
        <w:top w:val="none" w:sz="0" w:space="0" w:color="auto"/>
        <w:left w:val="none" w:sz="0" w:space="0" w:color="auto"/>
        <w:bottom w:val="none" w:sz="0" w:space="0" w:color="auto"/>
        <w:right w:val="none" w:sz="0" w:space="0" w:color="auto"/>
      </w:divBdr>
      <w:divsChild>
        <w:div w:id="808016060">
          <w:marLeft w:val="0"/>
          <w:marRight w:val="0"/>
          <w:marTop w:val="0"/>
          <w:marBottom w:val="0"/>
          <w:divBdr>
            <w:top w:val="none" w:sz="0" w:space="0" w:color="auto"/>
            <w:left w:val="none" w:sz="0" w:space="0" w:color="auto"/>
            <w:bottom w:val="none" w:sz="0" w:space="0" w:color="auto"/>
            <w:right w:val="none" w:sz="0" w:space="0" w:color="auto"/>
          </w:divBdr>
        </w:div>
      </w:divsChild>
    </w:div>
    <w:div w:id="975570670">
      <w:marLeft w:val="0"/>
      <w:marRight w:val="0"/>
      <w:marTop w:val="0"/>
      <w:marBottom w:val="0"/>
      <w:divBdr>
        <w:top w:val="none" w:sz="0" w:space="0" w:color="auto"/>
        <w:left w:val="none" w:sz="0" w:space="0" w:color="auto"/>
        <w:bottom w:val="none" w:sz="0" w:space="0" w:color="auto"/>
        <w:right w:val="none" w:sz="0" w:space="0" w:color="auto"/>
      </w:divBdr>
    </w:div>
    <w:div w:id="977875224">
      <w:marLeft w:val="4"/>
      <w:marRight w:val="0"/>
      <w:marTop w:val="0"/>
      <w:marBottom w:val="0"/>
      <w:divBdr>
        <w:top w:val="none" w:sz="0" w:space="0" w:color="auto"/>
        <w:left w:val="none" w:sz="0" w:space="0" w:color="auto"/>
        <w:bottom w:val="none" w:sz="0" w:space="0" w:color="auto"/>
        <w:right w:val="none" w:sz="0" w:space="0" w:color="auto"/>
      </w:divBdr>
      <w:divsChild>
        <w:div w:id="1648440772">
          <w:marLeft w:val="0"/>
          <w:marRight w:val="0"/>
          <w:marTop w:val="0"/>
          <w:marBottom w:val="0"/>
          <w:divBdr>
            <w:top w:val="none" w:sz="0" w:space="0" w:color="auto"/>
            <w:left w:val="none" w:sz="0" w:space="0" w:color="auto"/>
            <w:bottom w:val="none" w:sz="0" w:space="0" w:color="auto"/>
            <w:right w:val="none" w:sz="0" w:space="0" w:color="auto"/>
          </w:divBdr>
        </w:div>
      </w:divsChild>
    </w:div>
    <w:div w:id="1012760208">
      <w:marLeft w:val="0"/>
      <w:marRight w:val="0"/>
      <w:marTop w:val="0"/>
      <w:marBottom w:val="0"/>
      <w:divBdr>
        <w:top w:val="none" w:sz="0" w:space="0" w:color="auto"/>
        <w:left w:val="none" w:sz="0" w:space="0" w:color="auto"/>
        <w:bottom w:val="none" w:sz="0" w:space="0" w:color="auto"/>
        <w:right w:val="none" w:sz="0" w:space="0" w:color="auto"/>
      </w:divBdr>
    </w:div>
    <w:div w:id="1072850098">
      <w:marLeft w:val="0"/>
      <w:marRight w:val="0"/>
      <w:marTop w:val="0"/>
      <w:marBottom w:val="0"/>
      <w:divBdr>
        <w:top w:val="none" w:sz="0" w:space="0" w:color="auto"/>
        <w:left w:val="none" w:sz="0" w:space="0" w:color="auto"/>
        <w:bottom w:val="none" w:sz="0" w:space="0" w:color="auto"/>
        <w:right w:val="none" w:sz="0" w:space="0" w:color="auto"/>
      </w:divBdr>
      <w:divsChild>
        <w:div w:id="444468542">
          <w:marLeft w:val="0"/>
          <w:marRight w:val="0"/>
          <w:marTop w:val="0"/>
          <w:marBottom w:val="0"/>
          <w:divBdr>
            <w:top w:val="none" w:sz="0" w:space="0" w:color="auto"/>
            <w:left w:val="none" w:sz="0" w:space="0" w:color="auto"/>
            <w:bottom w:val="none" w:sz="0" w:space="0" w:color="auto"/>
            <w:right w:val="none" w:sz="0" w:space="0" w:color="auto"/>
          </w:divBdr>
        </w:div>
        <w:div w:id="452948391">
          <w:marLeft w:val="0"/>
          <w:marRight w:val="0"/>
          <w:marTop w:val="0"/>
          <w:marBottom w:val="0"/>
          <w:divBdr>
            <w:top w:val="none" w:sz="0" w:space="0" w:color="auto"/>
            <w:left w:val="none" w:sz="0" w:space="0" w:color="auto"/>
            <w:bottom w:val="none" w:sz="0" w:space="0" w:color="auto"/>
            <w:right w:val="none" w:sz="0" w:space="0" w:color="auto"/>
          </w:divBdr>
        </w:div>
        <w:div w:id="739786958">
          <w:marLeft w:val="0"/>
          <w:marRight w:val="0"/>
          <w:marTop w:val="0"/>
          <w:marBottom w:val="0"/>
          <w:divBdr>
            <w:top w:val="none" w:sz="0" w:space="0" w:color="auto"/>
            <w:left w:val="none" w:sz="0" w:space="0" w:color="auto"/>
            <w:bottom w:val="none" w:sz="0" w:space="0" w:color="auto"/>
            <w:right w:val="none" w:sz="0" w:space="0" w:color="auto"/>
          </w:divBdr>
        </w:div>
        <w:div w:id="868760125">
          <w:marLeft w:val="0"/>
          <w:marRight w:val="0"/>
          <w:marTop w:val="0"/>
          <w:marBottom w:val="0"/>
          <w:divBdr>
            <w:top w:val="none" w:sz="0" w:space="0" w:color="auto"/>
            <w:left w:val="none" w:sz="0" w:space="0" w:color="auto"/>
            <w:bottom w:val="none" w:sz="0" w:space="0" w:color="auto"/>
            <w:right w:val="none" w:sz="0" w:space="0" w:color="auto"/>
          </w:divBdr>
        </w:div>
      </w:divsChild>
    </w:div>
    <w:div w:id="1076972592">
      <w:marLeft w:val="4"/>
      <w:marRight w:val="0"/>
      <w:marTop w:val="0"/>
      <w:marBottom w:val="0"/>
      <w:divBdr>
        <w:top w:val="none" w:sz="0" w:space="0" w:color="auto"/>
        <w:left w:val="none" w:sz="0" w:space="0" w:color="auto"/>
        <w:bottom w:val="none" w:sz="0" w:space="0" w:color="auto"/>
        <w:right w:val="none" w:sz="0" w:space="0" w:color="auto"/>
      </w:divBdr>
      <w:divsChild>
        <w:div w:id="279149395">
          <w:marLeft w:val="0"/>
          <w:marRight w:val="0"/>
          <w:marTop w:val="0"/>
          <w:marBottom w:val="0"/>
          <w:divBdr>
            <w:top w:val="none" w:sz="0" w:space="0" w:color="auto"/>
            <w:left w:val="none" w:sz="0" w:space="0" w:color="auto"/>
            <w:bottom w:val="none" w:sz="0" w:space="0" w:color="auto"/>
            <w:right w:val="none" w:sz="0" w:space="0" w:color="auto"/>
          </w:divBdr>
        </w:div>
      </w:divsChild>
    </w:div>
    <w:div w:id="1083187435">
      <w:marLeft w:val="4"/>
      <w:marRight w:val="0"/>
      <w:marTop w:val="0"/>
      <w:marBottom w:val="0"/>
      <w:divBdr>
        <w:top w:val="none" w:sz="0" w:space="0" w:color="auto"/>
        <w:left w:val="none" w:sz="0" w:space="0" w:color="auto"/>
        <w:bottom w:val="none" w:sz="0" w:space="0" w:color="auto"/>
        <w:right w:val="none" w:sz="0" w:space="0" w:color="auto"/>
      </w:divBdr>
      <w:divsChild>
        <w:div w:id="588387381">
          <w:marLeft w:val="0"/>
          <w:marRight w:val="0"/>
          <w:marTop w:val="0"/>
          <w:marBottom w:val="0"/>
          <w:divBdr>
            <w:top w:val="none" w:sz="0" w:space="0" w:color="auto"/>
            <w:left w:val="none" w:sz="0" w:space="0" w:color="auto"/>
            <w:bottom w:val="none" w:sz="0" w:space="0" w:color="auto"/>
            <w:right w:val="none" w:sz="0" w:space="0" w:color="auto"/>
          </w:divBdr>
        </w:div>
      </w:divsChild>
    </w:div>
    <w:div w:id="1093550386">
      <w:marLeft w:val="0"/>
      <w:marRight w:val="0"/>
      <w:marTop w:val="0"/>
      <w:marBottom w:val="0"/>
      <w:divBdr>
        <w:top w:val="none" w:sz="0" w:space="0" w:color="auto"/>
        <w:left w:val="none" w:sz="0" w:space="0" w:color="auto"/>
        <w:bottom w:val="none" w:sz="0" w:space="0" w:color="auto"/>
        <w:right w:val="none" w:sz="0" w:space="0" w:color="auto"/>
      </w:divBdr>
    </w:div>
    <w:div w:id="1135566795">
      <w:marLeft w:val="5"/>
      <w:marRight w:val="0"/>
      <w:marTop w:val="120"/>
      <w:marBottom w:val="0"/>
      <w:divBdr>
        <w:top w:val="none" w:sz="0" w:space="0" w:color="auto"/>
        <w:left w:val="none" w:sz="0" w:space="0" w:color="auto"/>
        <w:bottom w:val="none" w:sz="0" w:space="0" w:color="auto"/>
        <w:right w:val="none" w:sz="0" w:space="0" w:color="auto"/>
      </w:divBdr>
      <w:divsChild>
        <w:div w:id="1222863664">
          <w:marLeft w:val="0"/>
          <w:marRight w:val="0"/>
          <w:marTop w:val="0"/>
          <w:marBottom w:val="0"/>
          <w:divBdr>
            <w:top w:val="none" w:sz="0" w:space="0" w:color="auto"/>
            <w:left w:val="none" w:sz="0" w:space="0" w:color="auto"/>
            <w:bottom w:val="none" w:sz="0" w:space="0" w:color="auto"/>
            <w:right w:val="none" w:sz="0" w:space="0" w:color="auto"/>
          </w:divBdr>
        </w:div>
      </w:divsChild>
    </w:div>
    <w:div w:id="1161039878">
      <w:marLeft w:val="4"/>
      <w:marRight w:val="0"/>
      <w:marTop w:val="0"/>
      <w:marBottom w:val="0"/>
      <w:divBdr>
        <w:top w:val="none" w:sz="0" w:space="0" w:color="auto"/>
        <w:left w:val="none" w:sz="0" w:space="0" w:color="auto"/>
        <w:bottom w:val="none" w:sz="0" w:space="0" w:color="auto"/>
        <w:right w:val="none" w:sz="0" w:space="0" w:color="auto"/>
      </w:divBdr>
      <w:divsChild>
        <w:div w:id="868881972">
          <w:marLeft w:val="0"/>
          <w:marRight w:val="0"/>
          <w:marTop w:val="0"/>
          <w:marBottom w:val="0"/>
          <w:divBdr>
            <w:top w:val="none" w:sz="0" w:space="0" w:color="auto"/>
            <w:left w:val="none" w:sz="0" w:space="0" w:color="auto"/>
            <w:bottom w:val="none" w:sz="0" w:space="0" w:color="auto"/>
            <w:right w:val="none" w:sz="0" w:space="0" w:color="auto"/>
          </w:divBdr>
        </w:div>
      </w:divsChild>
    </w:div>
    <w:div w:id="1162693434">
      <w:marLeft w:val="3"/>
      <w:marRight w:val="0"/>
      <w:marTop w:val="80"/>
      <w:marBottom w:val="20"/>
      <w:divBdr>
        <w:top w:val="none" w:sz="0" w:space="0" w:color="auto"/>
        <w:left w:val="none" w:sz="0" w:space="0" w:color="auto"/>
        <w:bottom w:val="none" w:sz="0" w:space="0" w:color="auto"/>
        <w:right w:val="none" w:sz="0" w:space="0" w:color="auto"/>
      </w:divBdr>
      <w:divsChild>
        <w:div w:id="721100016">
          <w:marLeft w:val="0"/>
          <w:marRight w:val="0"/>
          <w:marTop w:val="0"/>
          <w:marBottom w:val="0"/>
          <w:divBdr>
            <w:top w:val="none" w:sz="0" w:space="0" w:color="auto"/>
            <w:left w:val="none" w:sz="0" w:space="0" w:color="auto"/>
            <w:bottom w:val="none" w:sz="0" w:space="0" w:color="auto"/>
            <w:right w:val="none" w:sz="0" w:space="0" w:color="auto"/>
          </w:divBdr>
        </w:div>
      </w:divsChild>
    </w:div>
    <w:div w:id="1175531671">
      <w:marLeft w:val="0"/>
      <w:marRight w:val="0"/>
      <w:marTop w:val="40"/>
      <w:marBottom w:val="0"/>
      <w:divBdr>
        <w:top w:val="none" w:sz="0" w:space="0" w:color="auto"/>
        <w:left w:val="none" w:sz="0" w:space="0" w:color="auto"/>
        <w:bottom w:val="none" w:sz="0" w:space="0" w:color="auto"/>
        <w:right w:val="none" w:sz="0" w:space="0" w:color="auto"/>
      </w:divBdr>
      <w:divsChild>
        <w:div w:id="1907179032">
          <w:marLeft w:val="0"/>
          <w:marRight w:val="0"/>
          <w:marTop w:val="0"/>
          <w:marBottom w:val="0"/>
          <w:divBdr>
            <w:top w:val="none" w:sz="0" w:space="0" w:color="auto"/>
            <w:left w:val="none" w:sz="0" w:space="0" w:color="auto"/>
            <w:bottom w:val="none" w:sz="0" w:space="0" w:color="auto"/>
            <w:right w:val="none" w:sz="0" w:space="0" w:color="auto"/>
          </w:divBdr>
        </w:div>
      </w:divsChild>
    </w:div>
    <w:div w:id="1193541773">
      <w:marLeft w:val="4"/>
      <w:marRight w:val="0"/>
      <w:marTop w:val="0"/>
      <w:marBottom w:val="0"/>
      <w:divBdr>
        <w:top w:val="none" w:sz="0" w:space="0" w:color="auto"/>
        <w:left w:val="none" w:sz="0" w:space="0" w:color="auto"/>
        <w:bottom w:val="none" w:sz="0" w:space="0" w:color="auto"/>
        <w:right w:val="none" w:sz="0" w:space="0" w:color="auto"/>
      </w:divBdr>
      <w:divsChild>
        <w:div w:id="1606571256">
          <w:marLeft w:val="0"/>
          <w:marRight w:val="0"/>
          <w:marTop w:val="0"/>
          <w:marBottom w:val="0"/>
          <w:divBdr>
            <w:top w:val="none" w:sz="0" w:space="0" w:color="auto"/>
            <w:left w:val="none" w:sz="0" w:space="0" w:color="auto"/>
            <w:bottom w:val="none" w:sz="0" w:space="0" w:color="auto"/>
            <w:right w:val="none" w:sz="0" w:space="0" w:color="auto"/>
          </w:divBdr>
        </w:div>
      </w:divsChild>
    </w:div>
    <w:div w:id="1210800580">
      <w:marLeft w:val="4"/>
      <w:marRight w:val="0"/>
      <w:marTop w:val="0"/>
      <w:marBottom w:val="0"/>
      <w:divBdr>
        <w:top w:val="none" w:sz="0" w:space="0" w:color="auto"/>
        <w:left w:val="none" w:sz="0" w:space="0" w:color="auto"/>
        <w:bottom w:val="none" w:sz="0" w:space="0" w:color="auto"/>
        <w:right w:val="none" w:sz="0" w:space="0" w:color="auto"/>
      </w:divBdr>
      <w:divsChild>
        <w:div w:id="861361376">
          <w:marLeft w:val="0"/>
          <w:marRight w:val="0"/>
          <w:marTop w:val="0"/>
          <w:marBottom w:val="0"/>
          <w:divBdr>
            <w:top w:val="none" w:sz="0" w:space="0" w:color="auto"/>
            <w:left w:val="none" w:sz="0" w:space="0" w:color="auto"/>
            <w:bottom w:val="none" w:sz="0" w:space="0" w:color="auto"/>
            <w:right w:val="none" w:sz="0" w:space="0" w:color="auto"/>
          </w:divBdr>
        </w:div>
      </w:divsChild>
    </w:div>
    <w:div w:id="1212691356">
      <w:marLeft w:val="5"/>
      <w:marRight w:val="0"/>
      <w:marTop w:val="120"/>
      <w:marBottom w:val="0"/>
      <w:divBdr>
        <w:top w:val="none" w:sz="0" w:space="0" w:color="auto"/>
        <w:left w:val="none" w:sz="0" w:space="0" w:color="auto"/>
        <w:bottom w:val="none" w:sz="0" w:space="0" w:color="auto"/>
        <w:right w:val="none" w:sz="0" w:space="0" w:color="auto"/>
      </w:divBdr>
      <w:divsChild>
        <w:div w:id="678048376">
          <w:marLeft w:val="0"/>
          <w:marRight w:val="0"/>
          <w:marTop w:val="0"/>
          <w:marBottom w:val="0"/>
          <w:divBdr>
            <w:top w:val="none" w:sz="0" w:space="0" w:color="auto"/>
            <w:left w:val="none" w:sz="0" w:space="0" w:color="auto"/>
            <w:bottom w:val="none" w:sz="0" w:space="0" w:color="auto"/>
            <w:right w:val="none" w:sz="0" w:space="0" w:color="auto"/>
          </w:divBdr>
        </w:div>
      </w:divsChild>
    </w:div>
    <w:div w:id="1237666460">
      <w:marLeft w:val="0"/>
      <w:marRight w:val="0"/>
      <w:marTop w:val="40"/>
      <w:marBottom w:val="0"/>
      <w:divBdr>
        <w:top w:val="none" w:sz="0" w:space="0" w:color="auto"/>
        <w:left w:val="none" w:sz="0" w:space="0" w:color="auto"/>
        <w:bottom w:val="none" w:sz="0" w:space="0" w:color="auto"/>
        <w:right w:val="none" w:sz="0" w:space="0" w:color="auto"/>
      </w:divBdr>
      <w:divsChild>
        <w:div w:id="1150555920">
          <w:marLeft w:val="0"/>
          <w:marRight w:val="0"/>
          <w:marTop w:val="0"/>
          <w:marBottom w:val="0"/>
          <w:divBdr>
            <w:top w:val="none" w:sz="0" w:space="0" w:color="auto"/>
            <w:left w:val="none" w:sz="0" w:space="0" w:color="auto"/>
            <w:bottom w:val="none" w:sz="0" w:space="0" w:color="auto"/>
            <w:right w:val="none" w:sz="0" w:space="0" w:color="auto"/>
          </w:divBdr>
        </w:div>
      </w:divsChild>
    </w:div>
    <w:div w:id="1268580420">
      <w:marLeft w:val="5"/>
      <w:marRight w:val="0"/>
      <w:marTop w:val="120"/>
      <w:marBottom w:val="0"/>
      <w:divBdr>
        <w:top w:val="none" w:sz="0" w:space="0" w:color="auto"/>
        <w:left w:val="none" w:sz="0" w:space="0" w:color="auto"/>
        <w:bottom w:val="none" w:sz="0" w:space="0" w:color="auto"/>
        <w:right w:val="none" w:sz="0" w:space="0" w:color="auto"/>
      </w:divBdr>
      <w:divsChild>
        <w:div w:id="189228408">
          <w:marLeft w:val="0"/>
          <w:marRight w:val="0"/>
          <w:marTop w:val="0"/>
          <w:marBottom w:val="0"/>
          <w:divBdr>
            <w:top w:val="none" w:sz="0" w:space="0" w:color="auto"/>
            <w:left w:val="none" w:sz="0" w:space="0" w:color="auto"/>
            <w:bottom w:val="none" w:sz="0" w:space="0" w:color="auto"/>
            <w:right w:val="none" w:sz="0" w:space="0" w:color="auto"/>
          </w:divBdr>
        </w:div>
      </w:divsChild>
    </w:div>
    <w:div w:id="1274442853">
      <w:marLeft w:val="0"/>
      <w:marRight w:val="0"/>
      <w:marTop w:val="0"/>
      <w:marBottom w:val="0"/>
      <w:divBdr>
        <w:top w:val="none" w:sz="0" w:space="0" w:color="auto"/>
        <w:left w:val="none" w:sz="0" w:space="0" w:color="auto"/>
        <w:bottom w:val="none" w:sz="0" w:space="0" w:color="auto"/>
        <w:right w:val="none" w:sz="0" w:space="0" w:color="auto"/>
      </w:divBdr>
    </w:div>
    <w:div w:id="1289748842">
      <w:marLeft w:val="0"/>
      <w:marRight w:val="0"/>
      <w:marTop w:val="40"/>
      <w:marBottom w:val="0"/>
      <w:divBdr>
        <w:top w:val="none" w:sz="0" w:space="0" w:color="auto"/>
        <w:left w:val="none" w:sz="0" w:space="0" w:color="auto"/>
        <w:bottom w:val="none" w:sz="0" w:space="0" w:color="auto"/>
        <w:right w:val="none" w:sz="0" w:space="0" w:color="auto"/>
      </w:divBdr>
      <w:divsChild>
        <w:div w:id="1168517642">
          <w:marLeft w:val="0"/>
          <w:marRight w:val="0"/>
          <w:marTop w:val="0"/>
          <w:marBottom w:val="0"/>
          <w:divBdr>
            <w:top w:val="none" w:sz="0" w:space="0" w:color="auto"/>
            <w:left w:val="none" w:sz="0" w:space="0" w:color="auto"/>
            <w:bottom w:val="none" w:sz="0" w:space="0" w:color="auto"/>
            <w:right w:val="none" w:sz="0" w:space="0" w:color="auto"/>
          </w:divBdr>
        </w:div>
      </w:divsChild>
    </w:div>
    <w:div w:id="1366638788">
      <w:marLeft w:val="5"/>
      <w:marRight w:val="0"/>
      <w:marTop w:val="120"/>
      <w:marBottom w:val="0"/>
      <w:divBdr>
        <w:top w:val="none" w:sz="0" w:space="0" w:color="auto"/>
        <w:left w:val="none" w:sz="0" w:space="0" w:color="auto"/>
        <w:bottom w:val="none" w:sz="0" w:space="0" w:color="auto"/>
        <w:right w:val="none" w:sz="0" w:space="0" w:color="auto"/>
      </w:divBdr>
      <w:divsChild>
        <w:div w:id="1811558876">
          <w:marLeft w:val="0"/>
          <w:marRight w:val="0"/>
          <w:marTop w:val="0"/>
          <w:marBottom w:val="0"/>
          <w:divBdr>
            <w:top w:val="none" w:sz="0" w:space="0" w:color="auto"/>
            <w:left w:val="none" w:sz="0" w:space="0" w:color="auto"/>
            <w:bottom w:val="none" w:sz="0" w:space="0" w:color="auto"/>
            <w:right w:val="none" w:sz="0" w:space="0" w:color="auto"/>
          </w:divBdr>
        </w:div>
      </w:divsChild>
    </w:div>
    <w:div w:id="1424758348">
      <w:marLeft w:val="0"/>
      <w:marRight w:val="0"/>
      <w:marTop w:val="0"/>
      <w:marBottom w:val="0"/>
      <w:divBdr>
        <w:top w:val="none" w:sz="0" w:space="0" w:color="auto"/>
        <w:left w:val="none" w:sz="0" w:space="0" w:color="auto"/>
        <w:bottom w:val="none" w:sz="0" w:space="0" w:color="auto"/>
        <w:right w:val="none" w:sz="0" w:space="0" w:color="auto"/>
      </w:divBdr>
      <w:divsChild>
        <w:div w:id="1053584200">
          <w:marLeft w:val="0"/>
          <w:marRight w:val="0"/>
          <w:marTop w:val="0"/>
          <w:marBottom w:val="0"/>
          <w:divBdr>
            <w:top w:val="none" w:sz="0" w:space="0" w:color="auto"/>
            <w:left w:val="none" w:sz="0" w:space="0" w:color="auto"/>
            <w:bottom w:val="none" w:sz="0" w:space="0" w:color="auto"/>
            <w:right w:val="none" w:sz="0" w:space="0" w:color="auto"/>
          </w:divBdr>
          <w:divsChild>
            <w:div w:id="1515729054">
              <w:marLeft w:val="5"/>
              <w:marRight w:val="0"/>
              <w:marTop w:val="0"/>
              <w:marBottom w:val="0"/>
              <w:divBdr>
                <w:top w:val="none" w:sz="0" w:space="0" w:color="auto"/>
                <w:left w:val="none" w:sz="0" w:space="0" w:color="auto"/>
                <w:bottom w:val="none" w:sz="0" w:space="0" w:color="auto"/>
                <w:right w:val="none" w:sz="0" w:space="0" w:color="auto"/>
              </w:divBdr>
              <w:divsChild>
                <w:div w:id="77334447">
                  <w:marLeft w:val="0"/>
                  <w:marRight w:val="0"/>
                  <w:marTop w:val="0"/>
                  <w:marBottom w:val="0"/>
                  <w:divBdr>
                    <w:top w:val="none" w:sz="0" w:space="0" w:color="auto"/>
                    <w:left w:val="none" w:sz="0" w:space="0" w:color="auto"/>
                    <w:bottom w:val="none" w:sz="0" w:space="0" w:color="auto"/>
                    <w:right w:val="none" w:sz="0" w:space="0" w:color="auto"/>
                  </w:divBdr>
                </w:div>
              </w:divsChild>
            </w:div>
            <w:div w:id="1734617470">
              <w:marLeft w:val="5"/>
              <w:marRight w:val="0"/>
              <w:marTop w:val="0"/>
              <w:marBottom w:val="0"/>
              <w:divBdr>
                <w:top w:val="none" w:sz="0" w:space="0" w:color="auto"/>
                <w:left w:val="none" w:sz="0" w:space="0" w:color="auto"/>
                <w:bottom w:val="none" w:sz="0" w:space="0" w:color="auto"/>
                <w:right w:val="none" w:sz="0" w:space="0" w:color="auto"/>
              </w:divBdr>
              <w:divsChild>
                <w:div w:id="825629884">
                  <w:marLeft w:val="0"/>
                  <w:marRight w:val="0"/>
                  <w:marTop w:val="0"/>
                  <w:marBottom w:val="0"/>
                  <w:divBdr>
                    <w:top w:val="none" w:sz="0" w:space="0" w:color="auto"/>
                    <w:left w:val="none" w:sz="0" w:space="0" w:color="auto"/>
                    <w:bottom w:val="none" w:sz="0" w:space="0" w:color="auto"/>
                    <w:right w:val="none" w:sz="0" w:space="0" w:color="auto"/>
                  </w:divBdr>
                </w:div>
              </w:divsChild>
            </w:div>
            <w:div w:id="1482574646">
              <w:marLeft w:val="5"/>
              <w:marRight w:val="0"/>
              <w:marTop w:val="0"/>
              <w:marBottom w:val="0"/>
              <w:divBdr>
                <w:top w:val="none" w:sz="0" w:space="0" w:color="auto"/>
                <w:left w:val="none" w:sz="0" w:space="0" w:color="auto"/>
                <w:bottom w:val="none" w:sz="0" w:space="0" w:color="auto"/>
                <w:right w:val="none" w:sz="0" w:space="0" w:color="auto"/>
              </w:divBdr>
              <w:divsChild>
                <w:div w:id="1480151962">
                  <w:marLeft w:val="0"/>
                  <w:marRight w:val="0"/>
                  <w:marTop w:val="0"/>
                  <w:marBottom w:val="0"/>
                  <w:divBdr>
                    <w:top w:val="none" w:sz="0" w:space="0" w:color="auto"/>
                    <w:left w:val="none" w:sz="0" w:space="0" w:color="auto"/>
                    <w:bottom w:val="none" w:sz="0" w:space="0" w:color="auto"/>
                    <w:right w:val="none" w:sz="0" w:space="0" w:color="auto"/>
                  </w:divBdr>
                </w:div>
              </w:divsChild>
            </w:div>
            <w:div w:id="314266189">
              <w:marLeft w:val="5"/>
              <w:marRight w:val="0"/>
              <w:marTop w:val="0"/>
              <w:marBottom w:val="0"/>
              <w:divBdr>
                <w:top w:val="none" w:sz="0" w:space="0" w:color="auto"/>
                <w:left w:val="none" w:sz="0" w:space="0" w:color="auto"/>
                <w:bottom w:val="none" w:sz="0" w:space="0" w:color="auto"/>
                <w:right w:val="none" w:sz="0" w:space="0" w:color="auto"/>
              </w:divBdr>
              <w:divsChild>
                <w:div w:id="99647094">
                  <w:marLeft w:val="0"/>
                  <w:marRight w:val="0"/>
                  <w:marTop w:val="0"/>
                  <w:marBottom w:val="0"/>
                  <w:divBdr>
                    <w:top w:val="none" w:sz="0" w:space="0" w:color="auto"/>
                    <w:left w:val="none" w:sz="0" w:space="0" w:color="auto"/>
                    <w:bottom w:val="none" w:sz="0" w:space="0" w:color="auto"/>
                    <w:right w:val="none" w:sz="0" w:space="0" w:color="auto"/>
                  </w:divBdr>
                </w:div>
              </w:divsChild>
            </w:div>
            <w:div w:id="1036851428">
              <w:marLeft w:val="5"/>
              <w:marRight w:val="0"/>
              <w:marTop w:val="0"/>
              <w:marBottom w:val="0"/>
              <w:divBdr>
                <w:top w:val="none" w:sz="0" w:space="0" w:color="auto"/>
                <w:left w:val="none" w:sz="0" w:space="0" w:color="auto"/>
                <w:bottom w:val="none" w:sz="0" w:space="0" w:color="auto"/>
                <w:right w:val="none" w:sz="0" w:space="0" w:color="auto"/>
              </w:divBdr>
              <w:divsChild>
                <w:div w:id="1703630365">
                  <w:marLeft w:val="0"/>
                  <w:marRight w:val="0"/>
                  <w:marTop w:val="0"/>
                  <w:marBottom w:val="0"/>
                  <w:divBdr>
                    <w:top w:val="none" w:sz="0" w:space="0" w:color="auto"/>
                    <w:left w:val="none" w:sz="0" w:space="0" w:color="auto"/>
                    <w:bottom w:val="none" w:sz="0" w:space="0" w:color="auto"/>
                    <w:right w:val="none" w:sz="0" w:space="0" w:color="auto"/>
                  </w:divBdr>
                </w:div>
              </w:divsChild>
            </w:div>
            <w:div w:id="339284967">
              <w:marLeft w:val="5"/>
              <w:marRight w:val="0"/>
              <w:marTop w:val="0"/>
              <w:marBottom w:val="120"/>
              <w:divBdr>
                <w:top w:val="none" w:sz="0" w:space="0" w:color="auto"/>
                <w:left w:val="none" w:sz="0" w:space="0" w:color="auto"/>
                <w:bottom w:val="none" w:sz="0" w:space="0" w:color="auto"/>
                <w:right w:val="none" w:sz="0" w:space="0" w:color="auto"/>
              </w:divBdr>
              <w:divsChild>
                <w:div w:id="958534578">
                  <w:marLeft w:val="0"/>
                  <w:marRight w:val="0"/>
                  <w:marTop w:val="0"/>
                  <w:marBottom w:val="0"/>
                  <w:divBdr>
                    <w:top w:val="none" w:sz="0" w:space="0" w:color="auto"/>
                    <w:left w:val="none" w:sz="0" w:space="0" w:color="auto"/>
                    <w:bottom w:val="none" w:sz="0" w:space="0" w:color="auto"/>
                    <w:right w:val="none" w:sz="0" w:space="0" w:color="auto"/>
                  </w:divBdr>
                </w:div>
              </w:divsChild>
            </w:div>
            <w:div w:id="166791988">
              <w:marLeft w:val="5"/>
              <w:marRight w:val="0"/>
              <w:marTop w:val="0"/>
              <w:marBottom w:val="0"/>
              <w:divBdr>
                <w:top w:val="none" w:sz="0" w:space="0" w:color="auto"/>
                <w:left w:val="none" w:sz="0" w:space="0" w:color="auto"/>
                <w:bottom w:val="none" w:sz="0" w:space="0" w:color="auto"/>
                <w:right w:val="none" w:sz="0" w:space="0" w:color="auto"/>
              </w:divBdr>
              <w:divsChild>
                <w:div w:id="733283579">
                  <w:marLeft w:val="0"/>
                  <w:marRight w:val="0"/>
                  <w:marTop w:val="0"/>
                  <w:marBottom w:val="0"/>
                  <w:divBdr>
                    <w:top w:val="none" w:sz="0" w:space="0" w:color="auto"/>
                    <w:left w:val="none" w:sz="0" w:space="0" w:color="auto"/>
                    <w:bottom w:val="none" w:sz="0" w:space="0" w:color="auto"/>
                    <w:right w:val="none" w:sz="0" w:space="0" w:color="auto"/>
                  </w:divBdr>
                </w:div>
              </w:divsChild>
            </w:div>
            <w:div w:id="279067120">
              <w:marLeft w:val="5"/>
              <w:marRight w:val="0"/>
              <w:marTop w:val="0"/>
              <w:marBottom w:val="0"/>
              <w:divBdr>
                <w:top w:val="none" w:sz="0" w:space="0" w:color="auto"/>
                <w:left w:val="none" w:sz="0" w:space="0" w:color="auto"/>
                <w:bottom w:val="none" w:sz="0" w:space="0" w:color="auto"/>
                <w:right w:val="none" w:sz="0" w:space="0" w:color="auto"/>
              </w:divBdr>
              <w:divsChild>
                <w:div w:id="1219709334">
                  <w:marLeft w:val="0"/>
                  <w:marRight w:val="0"/>
                  <w:marTop w:val="0"/>
                  <w:marBottom w:val="0"/>
                  <w:divBdr>
                    <w:top w:val="none" w:sz="0" w:space="0" w:color="auto"/>
                    <w:left w:val="none" w:sz="0" w:space="0" w:color="auto"/>
                    <w:bottom w:val="none" w:sz="0" w:space="0" w:color="auto"/>
                    <w:right w:val="none" w:sz="0" w:space="0" w:color="auto"/>
                  </w:divBdr>
                </w:div>
              </w:divsChild>
            </w:div>
            <w:div w:id="1096753356">
              <w:marLeft w:val="5"/>
              <w:marRight w:val="0"/>
              <w:marTop w:val="0"/>
              <w:marBottom w:val="0"/>
              <w:divBdr>
                <w:top w:val="none" w:sz="0" w:space="0" w:color="auto"/>
                <w:left w:val="none" w:sz="0" w:space="0" w:color="auto"/>
                <w:bottom w:val="none" w:sz="0" w:space="0" w:color="auto"/>
                <w:right w:val="none" w:sz="0" w:space="0" w:color="auto"/>
              </w:divBdr>
              <w:divsChild>
                <w:div w:id="14212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4878">
          <w:marLeft w:val="0"/>
          <w:marRight w:val="0"/>
          <w:marTop w:val="0"/>
          <w:marBottom w:val="0"/>
          <w:divBdr>
            <w:top w:val="none" w:sz="0" w:space="0" w:color="auto"/>
            <w:left w:val="none" w:sz="0" w:space="0" w:color="auto"/>
            <w:bottom w:val="none" w:sz="0" w:space="0" w:color="auto"/>
            <w:right w:val="none" w:sz="0" w:space="0" w:color="auto"/>
          </w:divBdr>
          <w:divsChild>
            <w:div w:id="1657150160">
              <w:marLeft w:val="5"/>
              <w:marRight w:val="0"/>
              <w:marTop w:val="0"/>
              <w:marBottom w:val="0"/>
              <w:divBdr>
                <w:top w:val="none" w:sz="0" w:space="0" w:color="auto"/>
                <w:left w:val="none" w:sz="0" w:space="0" w:color="auto"/>
                <w:bottom w:val="none" w:sz="0" w:space="0" w:color="auto"/>
                <w:right w:val="none" w:sz="0" w:space="0" w:color="auto"/>
              </w:divBdr>
              <w:divsChild>
                <w:div w:id="920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221">
          <w:marLeft w:val="0"/>
          <w:marRight w:val="0"/>
          <w:marTop w:val="0"/>
          <w:marBottom w:val="0"/>
          <w:divBdr>
            <w:top w:val="none" w:sz="0" w:space="0" w:color="auto"/>
            <w:left w:val="none" w:sz="0" w:space="0" w:color="auto"/>
            <w:bottom w:val="none" w:sz="0" w:space="0" w:color="auto"/>
            <w:right w:val="none" w:sz="0" w:space="0" w:color="auto"/>
          </w:divBdr>
        </w:div>
      </w:divsChild>
    </w:div>
    <w:div w:id="1443955536">
      <w:marLeft w:val="5"/>
      <w:marRight w:val="0"/>
      <w:marTop w:val="120"/>
      <w:marBottom w:val="0"/>
      <w:divBdr>
        <w:top w:val="none" w:sz="0" w:space="0" w:color="auto"/>
        <w:left w:val="none" w:sz="0" w:space="0" w:color="auto"/>
        <w:bottom w:val="none" w:sz="0" w:space="0" w:color="auto"/>
        <w:right w:val="none" w:sz="0" w:space="0" w:color="auto"/>
      </w:divBdr>
      <w:divsChild>
        <w:div w:id="938172191">
          <w:marLeft w:val="0"/>
          <w:marRight w:val="0"/>
          <w:marTop w:val="0"/>
          <w:marBottom w:val="0"/>
          <w:divBdr>
            <w:top w:val="none" w:sz="0" w:space="0" w:color="auto"/>
            <w:left w:val="none" w:sz="0" w:space="0" w:color="auto"/>
            <w:bottom w:val="none" w:sz="0" w:space="0" w:color="auto"/>
            <w:right w:val="none" w:sz="0" w:space="0" w:color="auto"/>
          </w:divBdr>
        </w:div>
      </w:divsChild>
    </w:div>
    <w:div w:id="1555266634">
      <w:marLeft w:val="0"/>
      <w:marRight w:val="0"/>
      <w:marTop w:val="0"/>
      <w:marBottom w:val="0"/>
      <w:divBdr>
        <w:top w:val="none" w:sz="0" w:space="0" w:color="auto"/>
        <w:left w:val="none" w:sz="0" w:space="0" w:color="auto"/>
        <w:bottom w:val="none" w:sz="0" w:space="0" w:color="auto"/>
        <w:right w:val="none" w:sz="0" w:space="0" w:color="auto"/>
      </w:divBdr>
    </w:div>
    <w:div w:id="1632200294">
      <w:marLeft w:val="4"/>
      <w:marRight w:val="0"/>
      <w:marTop w:val="0"/>
      <w:marBottom w:val="0"/>
      <w:divBdr>
        <w:top w:val="none" w:sz="0" w:space="0" w:color="auto"/>
        <w:left w:val="none" w:sz="0" w:space="0" w:color="auto"/>
        <w:bottom w:val="none" w:sz="0" w:space="0" w:color="auto"/>
        <w:right w:val="none" w:sz="0" w:space="0" w:color="auto"/>
      </w:divBdr>
      <w:divsChild>
        <w:div w:id="1126310253">
          <w:marLeft w:val="0"/>
          <w:marRight w:val="0"/>
          <w:marTop w:val="0"/>
          <w:marBottom w:val="0"/>
          <w:divBdr>
            <w:top w:val="none" w:sz="0" w:space="0" w:color="auto"/>
            <w:left w:val="none" w:sz="0" w:space="0" w:color="auto"/>
            <w:bottom w:val="none" w:sz="0" w:space="0" w:color="auto"/>
            <w:right w:val="none" w:sz="0" w:space="0" w:color="auto"/>
          </w:divBdr>
        </w:div>
      </w:divsChild>
    </w:div>
    <w:div w:id="1650938414">
      <w:marLeft w:val="5"/>
      <w:marRight w:val="0"/>
      <w:marTop w:val="120"/>
      <w:marBottom w:val="0"/>
      <w:divBdr>
        <w:top w:val="none" w:sz="0" w:space="0" w:color="auto"/>
        <w:left w:val="none" w:sz="0" w:space="0" w:color="auto"/>
        <w:bottom w:val="none" w:sz="0" w:space="0" w:color="auto"/>
        <w:right w:val="none" w:sz="0" w:space="0" w:color="auto"/>
      </w:divBdr>
      <w:divsChild>
        <w:div w:id="713694349">
          <w:marLeft w:val="0"/>
          <w:marRight w:val="0"/>
          <w:marTop w:val="0"/>
          <w:marBottom w:val="0"/>
          <w:divBdr>
            <w:top w:val="none" w:sz="0" w:space="0" w:color="auto"/>
            <w:left w:val="none" w:sz="0" w:space="0" w:color="auto"/>
            <w:bottom w:val="none" w:sz="0" w:space="0" w:color="auto"/>
            <w:right w:val="none" w:sz="0" w:space="0" w:color="auto"/>
          </w:divBdr>
        </w:div>
      </w:divsChild>
    </w:div>
    <w:div w:id="1661885710">
      <w:marLeft w:val="4"/>
      <w:marRight w:val="0"/>
      <w:marTop w:val="0"/>
      <w:marBottom w:val="0"/>
      <w:divBdr>
        <w:top w:val="none" w:sz="0" w:space="0" w:color="auto"/>
        <w:left w:val="none" w:sz="0" w:space="0" w:color="auto"/>
        <w:bottom w:val="none" w:sz="0" w:space="0" w:color="auto"/>
        <w:right w:val="none" w:sz="0" w:space="0" w:color="auto"/>
      </w:divBdr>
      <w:divsChild>
        <w:div w:id="213545741">
          <w:marLeft w:val="0"/>
          <w:marRight w:val="0"/>
          <w:marTop w:val="0"/>
          <w:marBottom w:val="0"/>
          <w:divBdr>
            <w:top w:val="none" w:sz="0" w:space="0" w:color="auto"/>
            <w:left w:val="none" w:sz="0" w:space="0" w:color="auto"/>
            <w:bottom w:val="none" w:sz="0" w:space="0" w:color="auto"/>
            <w:right w:val="none" w:sz="0" w:space="0" w:color="auto"/>
          </w:divBdr>
        </w:div>
      </w:divsChild>
    </w:div>
    <w:div w:id="1663115974">
      <w:marLeft w:val="0"/>
      <w:marRight w:val="0"/>
      <w:marTop w:val="40"/>
      <w:marBottom w:val="0"/>
      <w:divBdr>
        <w:top w:val="none" w:sz="0" w:space="0" w:color="auto"/>
        <w:left w:val="none" w:sz="0" w:space="0" w:color="auto"/>
        <w:bottom w:val="none" w:sz="0" w:space="0" w:color="auto"/>
        <w:right w:val="none" w:sz="0" w:space="0" w:color="auto"/>
      </w:divBdr>
      <w:divsChild>
        <w:div w:id="1375736619">
          <w:marLeft w:val="0"/>
          <w:marRight w:val="0"/>
          <w:marTop w:val="0"/>
          <w:marBottom w:val="0"/>
          <w:divBdr>
            <w:top w:val="none" w:sz="0" w:space="0" w:color="auto"/>
            <w:left w:val="none" w:sz="0" w:space="0" w:color="auto"/>
            <w:bottom w:val="none" w:sz="0" w:space="0" w:color="auto"/>
            <w:right w:val="none" w:sz="0" w:space="0" w:color="auto"/>
          </w:divBdr>
        </w:div>
      </w:divsChild>
    </w:div>
    <w:div w:id="1692564330">
      <w:marLeft w:val="0"/>
      <w:marRight w:val="0"/>
      <w:marTop w:val="40"/>
      <w:marBottom w:val="0"/>
      <w:divBdr>
        <w:top w:val="none" w:sz="0" w:space="0" w:color="auto"/>
        <w:left w:val="none" w:sz="0" w:space="0" w:color="auto"/>
        <w:bottom w:val="none" w:sz="0" w:space="0" w:color="auto"/>
        <w:right w:val="none" w:sz="0" w:space="0" w:color="auto"/>
      </w:divBdr>
      <w:divsChild>
        <w:div w:id="1949387003">
          <w:marLeft w:val="0"/>
          <w:marRight w:val="0"/>
          <w:marTop w:val="0"/>
          <w:marBottom w:val="0"/>
          <w:divBdr>
            <w:top w:val="none" w:sz="0" w:space="0" w:color="auto"/>
            <w:left w:val="none" w:sz="0" w:space="0" w:color="auto"/>
            <w:bottom w:val="none" w:sz="0" w:space="0" w:color="auto"/>
            <w:right w:val="none" w:sz="0" w:space="0" w:color="auto"/>
          </w:divBdr>
        </w:div>
      </w:divsChild>
    </w:div>
    <w:div w:id="1732532619">
      <w:marLeft w:val="0"/>
      <w:marRight w:val="0"/>
      <w:marTop w:val="0"/>
      <w:marBottom w:val="0"/>
      <w:divBdr>
        <w:top w:val="none" w:sz="0" w:space="0" w:color="auto"/>
        <w:left w:val="none" w:sz="0" w:space="0" w:color="auto"/>
        <w:bottom w:val="none" w:sz="0" w:space="0" w:color="auto"/>
        <w:right w:val="none" w:sz="0" w:space="0" w:color="auto"/>
      </w:divBdr>
      <w:divsChild>
        <w:div w:id="238905592">
          <w:marLeft w:val="3"/>
          <w:marRight w:val="0"/>
          <w:marTop w:val="180"/>
          <w:marBottom w:val="0"/>
          <w:divBdr>
            <w:top w:val="none" w:sz="0" w:space="0" w:color="auto"/>
            <w:left w:val="none" w:sz="0" w:space="0" w:color="auto"/>
            <w:bottom w:val="none" w:sz="0" w:space="0" w:color="auto"/>
            <w:right w:val="none" w:sz="0" w:space="0" w:color="auto"/>
          </w:divBdr>
          <w:divsChild>
            <w:div w:id="888104270">
              <w:marLeft w:val="0"/>
              <w:marRight w:val="0"/>
              <w:marTop w:val="0"/>
              <w:marBottom w:val="0"/>
              <w:divBdr>
                <w:top w:val="none" w:sz="0" w:space="0" w:color="auto"/>
                <w:left w:val="none" w:sz="0" w:space="0" w:color="auto"/>
                <w:bottom w:val="none" w:sz="0" w:space="0" w:color="auto"/>
                <w:right w:val="none" w:sz="0" w:space="0" w:color="auto"/>
              </w:divBdr>
            </w:div>
          </w:divsChild>
        </w:div>
        <w:div w:id="1678389286">
          <w:marLeft w:val="3"/>
          <w:marRight w:val="0"/>
          <w:marTop w:val="180"/>
          <w:marBottom w:val="0"/>
          <w:divBdr>
            <w:top w:val="none" w:sz="0" w:space="0" w:color="auto"/>
            <w:left w:val="none" w:sz="0" w:space="0" w:color="auto"/>
            <w:bottom w:val="none" w:sz="0" w:space="0" w:color="auto"/>
            <w:right w:val="none" w:sz="0" w:space="0" w:color="auto"/>
          </w:divBdr>
          <w:divsChild>
            <w:div w:id="132211501">
              <w:marLeft w:val="0"/>
              <w:marRight w:val="0"/>
              <w:marTop w:val="0"/>
              <w:marBottom w:val="0"/>
              <w:divBdr>
                <w:top w:val="none" w:sz="0" w:space="0" w:color="auto"/>
                <w:left w:val="none" w:sz="0" w:space="0" w:color="auto"/>
                <w:bottom w:val="none" w:sz="0" w:space="0" w:color="auto"/>
                <w:right w:val="none" w:sz="0" w:space="0" w:color="auto"/>
              </w:divBdr>
            </w:div>
          </w:divsChild>
        </w:div>
        <w:div w:id="1339188724">
          <w:marLeft w:val="3"/>
          <w:marRight w:val="0"/>
          <w:marTop w:val="180"/>
          <w:marBottom w:val="0"/>
          <w:divBdr>
            <w:top w:val="none" w:sz="0" w:space="0" w:color="auto"/>
            <w:left w:val="none" w:sz="0" w:space="0" w:color="auto"/>
            <w:bottom w:val="none" w:sz="0" w:space="0" w:color="auto"/>
            <w:right w:val="none" w:sz="0" w:space="0" w:color="auto"/>
          </w:divBdr>
          <w:divsChild>
            <w:div w:id="771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07">
      <w:marLeft w:val="0"/>
      <w:marRight w:val="0"/>
      <w:marTop w:val="40"/>
      <w:marBottom w:val="0"/>
      <w:divBdr>
        <w:top w:val="none" w:sz="0" w:space="0" w:color="auto"/>
        <w:left w:val="none" w:sz="0" w:space="0" w:color="auto"/>
        <w:bottom w:val="none" w:sz="0" w:space="0" w:color="auto"/>
        <w:right w:val="none" w:sz="0" w:space="0" w:color="auto"/>
      </w:divBdr>
      <w:divsChild>
        <w:div w:id="1131752017">
          <w:marLeft w:val="0"/>
          <w:marRight w:val="0"/>
          <w:marTop w:val="0"/>
          <w:marBottom w:val="0"/>
          <w:divBdr>
            <w:top w:val="none" w:sz="0" w:space="0" w:color="auto"/>
            <w:left w:val="none" w:sz="0" w:space="0" w:color="auto"/>
            <w:bottom w:val="none" w:sz="0" w:space="0" w:color="auto"/>
            <w:right w:val="none" w:sz="0" w:space="0" w:color="auto"/>
          </w:divBdr>
        </w:div>
      </w:divsChild>
    </w:div>
    <w:div w:id="1789396367">
      <w:marLeft w:val="0"/>
      <w:marRight w:val="0"/>
      <w:marTop w:val="40"/>
      <w:marBottom w:val="0"/>
      <w:divBdr>
        <w:top w:val="none" w:sz="0" w:space="0" w:color="auto"/>
        <w:left w:val="none" w:sz="0" w:space="0" w:color="auto"/>
        <w:bottom w:val="none" w:sz="0" w:space="0" w:color="auto"/>
        <w:right w:val="none" w:sz="0" w:space="0" w:color="auto"/>
      </w:divBdr>
      <w:divsChild>
        <w:div w:id="1195772785">
          <w:marLeft w:val="0"/>
          <w:marRight w:val="0"/>
          <w:marTop w:val="0"/>
          <w:marBottom w:val="0"/>
          <w:divBdr>
            <w:top w:val="none" w:sz="0" w:space="0" w:color="auto"/>
            <w:left w:val="none" w:sz="0" w:space="0" w:color="auto"/>
            <w:bottom w:val="none" w:sz="0" w:space="0" w:color="auto"/>
            <w:right w:val="none" w:sz="0" w:space="0" w:color="auto"/>
          </w:divBdr>
        </w:div>
      </w:divsChild>
    </w:div>
    <w:div w:id="1789818367">
      <w:marLeft w:val="0"/>
      <w:marRight w:val="0"/>
      <w:marTop w:val="40"/>
      <w:marBottom w:val="0"/>
      <w:divBdr>
        <w:top w:val="none" w:sz="0" w:space="0" w:color="auto"/>
        <w:left w:val="none" w:sz="0" w:space="0" w:color="auto"/>
        <w:bottom w:val="none" w:sz="0" w:space="0" w:color="auto"/>
        <w:right w:val="none" w:sz="0" w:space="0" w:color="auto"/>
      </w:divBdr>
      <w:divsChild>
        <w:div w:id="2138374373">
          <w:marLeft w:val="0"/>
          <w:marRight w:val="0"/>
          <w:marTop w:val="0"/>
          <w:marBottom w:val="0"/>
          <w:divBdr>
            <w:top w:val="none" w:sz="0" w:space="0" w:color="auto"/>
            <w:left w:val="none" w:sz="0" w:space="0" w:color="auto"/>
            <w:bottom w:val="none" w:sz="0" w:space="0" w:color="auto"/>
            <w:right w:val="none" w:sz="0" w:space="0" w:color="auto"/>
          </w:divBdr>
        </w:div>
      </w:divsChild>
    </w:div>
    <w:div w:id="1814446960">
      <w:marLeft w:val="4"/>
      <w:marRight w:val="0"/>
      <w:marTop w:val="0"/>
      <w:marBottom w:val="0"/>
      <w:divBdr>
        <w:top w:val="none" w:sz="0" w:space="0" w:color="auto"/>
        <w:left w:val="none" w:sz="0" w:space="0" w:color="auto"/>
        <w:bottom w:val="none" w:sz="0" w:space="0" w:color="auto"/>
        <w:right w:val="none" w:sz="0" w:space="0" w:color="auto"/>
      </w:divBdr>
      <w:divsChild>
        <w:div w:id="99569215">
          <w:marLeft w:val="0"/>
          <w:marRight w:val="0"/>
          <w:marTop w:val="0"/>
          <w:marBottom w:val="0"/>
          <w:divBdr>
            <w:top w:val="none" w:sz="0" w:space="0" w:color="auto"/>
            <w:left w:val="none" w:sz="0" w:space="0" w:color="auto"/>
            <w:bottom w:val="none" w:sz="0" w:space="0" w:color="auto"/>
            <w:right w:val="none" w:sz="0" w:space="0" w:color="auto"/>
          </w:divBdr>
        </w:div>
      </w:divsChild>
    </w:div>
    <w:div w:id="1842773069">
      <w:marLeft w:val="0"/>
      <w:marRight w:val="0"/>
      <w:marTop w:val="0"/>
      <w:marBottom w:val="0"/>
      <w:divBdr>
        <w:top w:val="none" w:sz="0" w:space="0" w:color="auto"/>
        <w:left w:val="none" w:sz="0" w:space="0" w:color="auto"/>
        <w:bottom w:val="none" w:sz="0" w:space="0" w:color="auto"/>
        <w:right w:val="none" w:sz="0" w:space="0" w:color="auto"/>
      </w:divBdr>
    </w:div>
    <w:div w:id="1884169165">
      <w:marLeft w:val="4"/>
      <w:marRight w:val="0"/>
      <w:marTop w:val="0"/>
      <w:marBottom w:val="0"/>
      <w:divBdr>
        <w:top w:val="none" w:sz="0" w:space="0" w:color="auto"/>
        <w:left w:val="none" w:sz="0" w:space="0" w:color="auto"/>
        <w:bottom w:val="none" w:sz="0" w:space="0" w:color="auto"/>
        <w:right w:val="none" w:sz="0" w:space="0" w:color="auto"/>
      </w:divBdr>
      <w:divsChild>
        <w:div w:id="1938055374">
          <w:marLeft w:val="0"/>
          <w:marRight w:val="0"/>
          <w:marTop w:val="0"/>
          <w:marBottom w:val="0"/>
          <w:divBdr>
            <w:top w:val="none" w:sz="0" w:space="0" w:color="auto"/>
            <w:left w:val="none" w:sz="0" w:space="0" w:color="auto"/>
            <w:bottom w:val="none" w:sz="0" w:space="0" w:color="auto"/>
            <w:right w:val="none" w:sz="0" w:space="0" w:color="auto"/>
          </w:divBdr>
        </w:div>
      </w:divsChild>
    </w:div>
    <w:div w:id="1887372414">
      <w:marLeft w:val="4"/>
      <w:marRight w:val="0"/>
      <w:marTop w:val="0"/>
      <w:marBottom w:val="0"/>
      <w:divBdr>
        <w:top w:val="none" w:sz="0" w:space="0" w:color="auto"/>
        <w:left w:val="none" w:sz="0" w:space="0" w:color="auto"/>
        <w:bottom w:val="none" w:sz="0" w:space="0" w:color="auto"/>
        <w:right w:val="none" w:sz="0" w:space="0" w:color="auto"/>
      </w:divBdr>
      <w:divsChild>
        <w:div w:id="1712148962">
          <w:marLeft w:val="0"/>
          <w:marRight w:val="0"/>
          <w:marTop w:val="0"/>
          <w:marBottom w:val="0"/>
          <w:divBdr>
            <w:top w:val="none" w:sz="0" w:space="0" w:color="auto"/>
            <w:left w:val="none" w:sz="0" w:space="0" w:color="auto"/>
            <w:bottom w:val="none" w:sz="0" w:space="0" w:color="auto"/>
            <w:right w:val="none" w:sz="0" w:space="0" w:color="auto"/>
          </w:divBdr>
        </w:div>
      </w:divsChild>
    </w:div>
    <w:div w:id="1896232373">
      <w:marLeft w:val="5"/>
      <w:marRight w:val="0"/>
      <w:marTop w:val="120"/>
      <w:marBottom w:val="0"/>
      <w:divBdr>
        <w:top w:val="none" w:sz="0" w:space="0" w:color="auto"/>
        <w:left w:val="none" w:sz="0" w:space="0" w:color="auto"/>
        <w:bottom w:val="none" w:sz="0" w:space="0" w:color="auto"/>
        <w:right w:val="none" w:sz="0" w:space="0" w:color="auto"/>
      </w:divBdr>
      <w:divsChild>
        <w:div w:id="811559920">
          <w:marLeft w:val="0"/>
          <w:marRight w:val="0"/>
          <w:marTop w:val="0"/>
          <w:marBottom w:val="0"/>
          <w:divBdr>
            <w:top w:val="none" w:sz="0" w:space="0" w:color="auto"/>
            <w:left w:val="none" w:sz="0" w:space="0" w:color="auto"/>
            <w:bottom w:val="none" w:sz="0" w:space="0" w:color="auto"/>
            <w:right w:val="none" w:sz="0" w:space="0" w:color="auto"/>
          </w:divBdr>
        </w:div>
      </w:divsChild>
    </w:div>
    <w:div w:id="1941600175">
      <w:marLeft w:val="0"/>
      <w:marRight w:val="0"/>
      <w:marTop w:val="0"/>
      <w:marBottom w:val="0"/>
      <w:divBdr>
        <w:top w:val="none" w:sz="0" w:space="0" w:color="auto"/>
        <w:left w:val="none" w:sz="0" w:space="0" w:color="auto"/>
        <w:bottom w:val="none" w:sz="0" w:space="0" w:color="auto"/>
        <w:right w:val="none" w:sz="0" w:space="0" w:color="auto"/>
      </w:divBdr>
      <w:divsChild>
        <w:div w:id="1673143554">
          <w:marLeft w:val="0"/>
          <w:marRight w:val="0"/>
          <w:marTop w:val="0"/>
          <w:marBottom w:val="0"/>
          <w:divBdr>
            <w:top w:val="none" w:sz="0" w:space="0" w:color="auto"/>
            <w:left w:val="none" w:sz="0" w:space="0" w:color="auto"/>
            <w:bottom w:val="none" w:sz="0" w:space="0" w:color="auto"/>
            <w:right w:val="none" w:sz="0" w:space="0" w:color="auto"/>
          </w:divBdr>
        </w:div>
        <w:div w:id="2005234551">
          <w:marLeft w:val="0"/>
          <w:marRight w:val="0"/>
          <w:marTop w:val="0"/>
          <w:marBottom w:val="0"/>
          <w:divBdr>
            <w:top w:val="none" w:sz="0" w:space="0" w:color="auto"/>
            <w:left w:val="none" w:sz="0" w:space="0" w:color="auto"/>
            <w:bottom w:val="none" w:sz="0" w:space="0" w:color="auto"/>
            <w:right w:val="none" w:sz="0" w:space="0" w:color="auto"/>
          </w:divBdr>
        </w:div>
        <w:div w:id="1041367211">
          <w:marLeft w:val="0"/>
          <w:marRight w:val="0"/>
          <w:marTop w:val="0"/>
          <w:marBottom w:val="0"/>
          <w:divBdr>
            <w:top w:val="none" w:sz="0" w:space="0" w:color="auto"/>
            <w:left w:val="none" w:sz="0" w:space="0" w:color="auto"/>
            <w:bottom w:val="none" w:sz="0" w:space="0" w:color="auto"/>
            <w:right w:val="none" w:sz="0" w:space="0" w:color="auto"/>
          </w:divBdr>
        </w:div>
        <w:div w:id="864906564">
          <w:marLeft w:val="0"/>
          <w:marRight w:val="0"/>
          <w:marTop w:val="0"/>
          <w:marBottom w:val="0"/>
          <w:divBdr>
            <w:top w:val="none" w:sz="0" w:space="0" w:color="auto"/>
            <w:left w:val="none" w:sz="0" w:space="0" w:color="auto"/>
            <w:bottom w:val="none" w:sz="0" w:space="0" w:color="auto"/>
            <w:right w:val="none" w:sz="0" w:space="0" w:color="auto"/>
          </w:divBdr>
        </w:div>
      </w:divsChild>
    </w:div>
    <w:div w:id="1947342280">
      <w:marLeft w:val="0"/>
      <w:marRight w:val="0"/>
      <w:marTop w:val="40"/>
      <w:marBottom w:val="0"/>
      <w:divBdr>
        <w:top w:val="none" w:sz="0" w:space="0" w:color="auto"/>
        <w:left w:val="none" w:sz="0" w:space="0" w:color="auto"/>
        <w:bottom w:val="none" w:sz="0" w:space="0" w:color="auto"/>
        <w:right w:val="none" w:sz="0" w:space="0" w:color="auto"/>
      </w:divBdr>
      <w:divsChild>
        <w:div w:id="1210651582">
          <w:marLeft w:val="0"/>
          <w:marRight w:val="0"/>
          <w:marTop w:val="0"/>
          <w:marBottom w:val="0"/>
          <w:divBdr>
            <w:top w:val="none" w:sz="0" w:space="0" w:color="auto"/>
            <w:left w:val="none" w:sz="0" w:space="0" w:color="auto"/>
            <w:bottom w:val="none" w:sz="0" w:space="0" w:color="auto"/>
            <w:right w:val="none" w:sz="0" w:space="0" w:color="auto"/>
          </w:divBdr>
        </w:div>
      </w:divsChild>
    </w:div>
    <w:div w:id="1965189160">
      <w:marLeft w:val="4"/>
      <w:marRight w:val="0"/>
      <w:marTop w:val="0"/>
      <w:marBottom w:val="0"/>
      <w:divBdr>
        <w:top w:val="none" w:sz="0" w:space="0" w:color="auto"/>
        <w:left w:val="none" w:sz="0" w:space="0" w:color="auto"/>
        <w:bottom w:val="none" w:sz="0" w:space="0" w:color="auto"/>
        <w:right w:val="none" w:sz="0" w:space="0" w:color="auto"/>
      </w:divBdr>
      <w:divsChild>
        <w:div w:id="1449545243">
          <w:marLeft w:val="0"/>
          <w:marRight w:val="0"/>
          <w:marTop w:val="0"/>
          <w:marBottom w:val="0"/>
          <w:divBdr>
            <w:top w:val="none" w:sz="0" w:space="0" w:color="auto"/>
            <w:left w:val="none" w:sz="0" w:space="0" w:color="auto"/>
            <w:bottom w:val="none" w:sz="0" w:space="0" w:color="auto"/>
            <w:right w:val="none" w:sz="0" w:space="0" w:color="auto"/>
          </w:divBdr>
        </w:div>
      </w:divsChild>
    </w:div>
    <w:div w:id="1980958158">
      <w:marLeft w:val="4"/>
      <w:marRight w:val="0"/>
      <w:marTop w:val="0"/>
      <w:marBottom w:val="0"/>
      <w:divBdr>
        <w:top w:val="none" w:sz="0" w:space="0" w:color="auto"/>
        <w:left w:val="none" w:sz="0" w:space="0" w:color="auto"/>
        <w:bottom w:val="none" w:sz="0" w:space="0" w:color="auto"/>
        <w:right w:val="none" w:sz="0" w:space="0" w:color="auto"/>
      </w:divBdr>
      <w:divsChild>
        <w:div w:id="1590918513">
          <w:marLeft w:val="0"/>
          <w:marRight w:val="0"/>
          <w:marTop w:val="0"/>
          <w:marBottom w:val="0"/>
          <w:divBdr>
            <w:top w:val="none" w:sz="0" w:space="0" w:color="auto"/>
            <w:left w:val="none" w:sz="0" w:space="0" w:color="auto"/>
            <w:bottom w:val="none" w:sz="0" w:space="0" w:color="auto"/>
            <w:right w:val="none" w:sz="0" w:space="0" w:color="auto"/>
          </w:divBdr>
        </w:div>
      </w:divsChild>
    </w:div>
    <w:div w:id="1985548808">
      <w:marLeft w:val="0"/>
      <w:marRight w:val="0"/>
      <w:marTop w:val="40"/>
      <w:marBottom w:val="0"/>
      <w:divBdr>
        <w:top w:val="none" w:sz="0" w:space="0" w:color="auto"/>
        <w:left w:val="none" w:sz="0" w:space="0" w:color="auto"/>
        <w:bottom w:val="none" w:sz="0" w:space="0" w:color="auto"/>
        <w:right w:val="none" w:sz="0" w:space="0" w:color="auto"/>
      </w:divBdr>
      <w:divsChild>
        <w:div w:id="1268272457">
          <w:marLeft w:val="0"/>
          <w:marRight w:val="0"/>
          <w:marTop w:val="0"/>
          <w:marBottom w:val="0"/>
          <w:divBdr>
            <w:top w:val="none" w:sz="0" w:space="0" w:color="auto"/>
            <w:left w:val="none" w:sz="0" w:space="0" w:color="auto"/>
            <w:bottom w:val="none" w:sz="0" w:space="0" w:color="auto"/>
            <w:right w:val="none" w:sz="0" w:space="0" w:color="auto"/>
          </w:divBdr>
        </w:div>
      </w:divsChild>
    </w:div>
    <w:div w:id="2005237402">
      <w:marLeft w:val="5"/>
      <w:marRight w:val="0"/>
      <w:marTop w:val="0"/>
      <w:marBottom w:val="0"/>
      <w:divBdr>
        <w:top w:val="none" w:sz="0" w:space="0" w:color="auto"/>
        <w:left w:val="none" w:sz="0" w:space="0" w:color="auto"/>
        <w:bottom w:val="none" w:sz="0" w:space="0" w:color="auto"/>
        <w:right w:val="none" w:sz="0" w:space="0" w:color="auto"/>
      </w:divBdr>
      <w:divsChild>
        <w:div w:id="473838445">
          <w:marLeft w:val="0"/>
          <w:marRight w:val="0"/>
          <w:marTop w:val="0"/>
          <w:marBottom w:val="0"/>
          <w:divBdr>
            <w:top w:val="none" w:sz="0" w:space="0" w:color="auto"/>
            <w:left w:val="none" w:sz="0" w:space="0" w:color="auto"/>
            <w:bottom w:val="none" w:sz="0" w:space="0" w:color="auto"/>
            <w:right w:val="none" w:sz="0" w:space="0" w:color="auto"/>
          </w:divBdr>
        </w:div>
      </w:divsChild>
    </w:div>
    <w:div w:id="2015260315">
      <w:marLeft w:val="0"/>
      <w:marRight w:val="0"/>
      <w:marTop w:val="40"/>
      <w:marBottom w:val="0"/>
      <w:divBdr>
        <w:top w:val="none" w:sz="0" w:space="0" w:color="auto"/>
        <w:left w:val="none" w:sz="0" w:space="0" w:color="auto"/>
        <w:bottom w:val="none" w:sz="0" w:space="0" w:color="auto"/>
        <w:right w:val="none" w:sz="0" w:space="0" w:color="auto"/>
      </w:divBdr>
      <w:divsChild>
        <w:div w:id="1345017695">
          <w:marLeft w:val="0"/>
          <w:marRight w:val="0"/>
          <w:marTop w:val="0"/>
          <w:marBottom w:val="0"/>
          <w:divBdr>
            <w:top w:val="none" w:sz="0" w:space="0" w:color="auto"/>
            <w:left w:val="none" w:sz="0" w:space="0" w:color="auto"/>
            <w:bottom w:val="none" w:sz="0" w:space="0" w:color="auto"/>
            <w:right w:val="none" w:sz="0" w:space="0" w:color="auto"/>
          </w:divBdr>
        </w:div>
      </w:divsChild>
    </w:div>
    <w:div w:id="2025130663">
      <w:marLeft w:val="5"/>
      <w:marRight w:val="0"/>
      <w:marTop w:val="120"/>
      <w:marBottom w:val="0"/>
      <w:divBdr>
        <w:top w:val="none" w:sz="0" w:space="0" w:color="auto"/>
        <w:left w:val="none" w:sz="0" w:space="0" w:color="auto"/>
        <w:bottom w:val="none" w:sz="0" w:space="0" w:color="auto"/>
        <w:right w:val="none" w:sz="0" w:space="0" w:color="auto"/>
      </w:divBdr>
      <w:divsChild>
        <w:div w:id="1993170233">
          <w:marLeft w:val="0"/>
          <w:marRight w:val="0"/>
          <w:marTop w:val="0"/>
          <w:marBottom w:val="0"/>
          <w:divBdr>
            <w:top w:val="none" w:sz="0" w:space="0" w:color="auto"/>
            <w:left w:val="none" w:sz="0" w:space="0" w:color="auto"/>
            <w:bottom w:val="none" w:sz="0" w:space="0" w:color="auto"/>
            <w:right w:val="none" w:sz="0" w:space="0" w:color="auto"/>
          </w:divBdr>
        </w:div>
      </w:divsChild>
    </w:div>
    <w:div w:id="2033652764">
      <w:marLeft w:val="4"/>
      <w:marRight w:val="0"/>
      <w:marTop w:val="0"/>
      <w:marBottom w:val="0"/>
      <w:divBdr>
        <w:top w:val="none" w:sz="0" w:space="0" w:color="auto"/>
        <w:left w:val="none" w:sz="0" w:space="0" w:color="auto"/>
        <w:bottom w:val="none" w:sz="0" w:space="0" w:color="auto"/>
        <w:right w:val="none" w:sz="0" w:space="0" w:color="auto"/>
      </w:divBdr>
      <w:divsChild>
        <w:div w:id="863204056">
          <w:marLeft w:val="0"/>
          <w:marRight w:val="0"/>
          <w:marTop w:val="0"/>
          <w:marBottom w:val="0"/>
          <w:divBdr>
            <w:top w:val="none" w:sz="0" w:space="0" w:color="auto"/>
            <w:left w:val="none" w:sz="0" w:space="0" w:color="auto"/>
            <w:bottom w:val="none" w:sz="0" w:space="0" w:color="auto"/>
            <w:right w:val="none" w:sz="0" w:space="0" w:color="auto"/>
          </w:divBdr>
        </w:div>
      </w:divsChild>
    </w:div>
    <w:div w:id="2055109507">
      <w:marLeft w:val="0"/>
      <w:marRight w:val="0"/>
      <w:marTop w:val="40"/>
      <w:marBottom w:val="0"/>
      <w:divBdr>
        <w:top w:val="none" w:sz="0" w:space="0" w:color="auto"/>
        <w:left w:val="none" w:sz="0" w:space="0" w:color="auto"/>
        <w:bottom w:val="none" w:sz="0" w:space="0" w:color="auto"/>
        <w:right w:val="none" w:sz="0" w:space="0" w:color="auto"/>
      </w:divBdr>
      <w:divsChild>
        <w:div w:id="1636713266">
          <w:marLeft w:val="0"/>
          <w:marRight w:val="0"/>
          <w:marTop w:val="0"/>
          <w:marBottom w:val="0"/>
          <w:divBdr>
            <w:top w:val="none" w:sz="0" w:space="0" w:color="auto"/>
            <w:left w:val="none" w:sz="0" w:space="0" w:color="auto"/>
            <w:bottom w:val="none" w:sz="0" w:space="0" w:color="auto"/>
            <w:right w:val="none" w:sz="0" w:space="0" w:color="auto"/>
          </w:divBdr>
        </w:div>
      </w:divsChild>
    </w:div>
    <w:div w:id="2085174775">
      <w:marLeft w:val="0"/>
      <w:marRight w:val="0"/>
      <w:marTop w:val="40"/>
      <w:marBottom w:val="0"/>
      <w:divBdr>
        <w:top w:val="none" w:sz="0" w:space="0" w:color="auto"/>
        <w:left w:val="none" w:sz="0" w:space="0" w:color="auto"/>
        <w:bottom w:val="none" w:sz="0" w:space="0" w:color="auto"/>
        <w:right w:val="none" w:sz="0" w:space="0" w:color="auto"/>
      </w:divBdr>
      <w:divsChild>
        <w:div w:id="653871803">
          <w:marLeft w:val="0"/>
          <w:marRight w:val="0"/>
          <w:marTop w:val="0"/>
          <w:marBottom w:val="0"/>
          <w:divBdr>
            <w:top w:val="none" w:sz="0" w:space="0" w:color="auto"/>
            <w:left w:val="none" w:sz="0" w:space="0" w:color="auto"/>
            <w:bottom w:val="none" w:sz="0" w:space="0" w:color="auto"/>
            <w:right w:val="none" w:sz="0" w:space="0" w:color="auto"/>
          </w:divBdr>
        </w:div>
      </w:divsChild>
    </w:div>
    <w:div w:id="2092659845">
      <w:marLeft w:val="5"/>
      <w:marRight w:val="0"/>
      <w:marTop w:val="120"/>
      <w:marBottom w:val="0"/>
      <w:divBdr>
        <w:top w:val="none" w:sz="0" w:space="0" w:color="auto"/>
        <w:left w:val="none" w:sz="0" w:space="0" w:color="auto"/>
        <w:bottom w:val="none" w:sz="0" w:space="0" w:color="auto"/>
        <w:right w:val="none" w:sz="0" w:space="0" w:color="auto"/>
      </w:divBdr>
      <w:divsChild>
        <w:div w:id="68428992">
          <w:marLeft w:val="0"/>
          <w:marRight w:val="0"/>
          <w:marTop w:val="0"/>
          <w:marBottom w:val="0"/>
          <w:divBdr>
            <w:top w:val="none" w:sz="0" w:space="0" w:color="auto"/>
            <w:left w:val="none" w:sz="0" w:space="0" w:color="auto"/>
            <w:bottom w:val="none" w:sz="0" w:space="0" w:color="auto"/>
            <w:right w:val="none" w:sz="0" w:space="0" w:color="auto"/>
          </w:divBdr>
        </w:div>
      </w:divsChild>
    </w:div>
    <w:div w:id="2109231923">
      <w:marLeft w:val="0"/>
      <w:marRight w:val="0"/>
      <w:marTop w:val="0"/>
      <w:marBottom w:val="0"/>
      <w:divBdr>
        <w:top w:val="none" w:sz="0" w:space="0" w:color="auto"/>
        <w:left w:val="none" w:sz="0" w:space="0" w:color="auto"/>
        <w:bottom w:val="none" w:sz="0" w:space="0" w:color="auto"/>
        <w:right w:val="none" w:sz="0" w:space="0" w:color="auto"/>
      </w:divBdr>
    </w:div>
    <w:div w:id="2111050321">
      <w:marLeft w:val="4"/>
      <w:marRight w:val="0"/>
      <w:marTop w:val="0"/>
      <w:marBottom w:val="0"/>
      <w:divBdr>
        <w:top w:val="none" w:sz="0" w:space="0" w:color="auto"/>
        <w:left w:val="none" w:sz="0" w:space="0" w:color="auto"/>
        <w:bottom w:val="none" w:sz="0" w:space="0" w:color="auto"/>
        <w:right w:val="none" w:sz="0" w:space="0" w:color="auto"/>
      </w:divBdr>
      <w:divsChild>
        <w:div w:id="2068648571">
          <w:marLeft w:val="0"/>
          <w:marRight w:val="0"/>
          <w:marTop w:val="0"/>
          <w:marBottom w:val="0"/>
          <w:divBdr>
            <w:top w:val="none" w:sz="0" w:space="0" w:color="auto"/>
            <w:left w:val="none" w:sz="0" w:space="0" w:color="auto"/>
            <w:bottom w:val="none" w:sz="0" w:space="0" w:color="auto"/>
            <w:right w:val="none" w:sz="0" w:space="0" w:color="auto"/>
          </w:divBdr>
        </w:div>
      </w:divsChild>
    </w:div>
    <w:div w:id="2116096111">
      <w:marLeft w:val="0"/>
      <w:marRight w:val="0"/>
      <w:marTop w:val="40"/>
      <w:marBottom w:val="0"/>
      <w:divBdr>
        <w:top w:val="none" w:sz="0" w:space="0" w:color="auto"/>
        <w:left w:val="none" w:sz="0" w:space="0" w:color="auto"/>
        <w:bottom w:val="none" w:sz="0" w:space="0" w:color="auto"/>
        <w:right w:val="none" w:sz="0" w:space="0" w:color="auto"/>
      </w:divBdr>
      <w:divsChild>
        <w:div w:id="9291999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kcc-ex31_1.htm" TargetMode="External"/><Relationship Id="rId3" Type="http://schemas.openxmlformats.org/officeDocument/2006/relationships/webSettings" Target="webSettings.xml"/><Relationship Id="rId7" Type="http://schemas.openxmlformats.org/officeDocument/2006/relationships/hyperlink" Target="https://www.sec.gov/Archives/edgar/data/1326003/000119312507135385/dex99d.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326003/000119312518144042/d570147dex31.htm" TargetMode="External"/><Relationship Id="rId11" Type="http://schemas.openxmlformats.org/officeDocument/2006/relationships/fontTable" Target="fontTable.xml"/><Relationship Id="rId5" Type="http://schemas.openxmlformats.org/officeDocument/2006/relationships/hyperlink" Target="https://www.sec.gov/Archives/edgar/data/0001326003/000119312515083171/d885354dex992.htm" TargetMode="External"/><Relationship Id="rId10" Type="http://schemas.openxmlformats.org/officeDocument/2006/relationships/hyperlink" Target="bkcc-ex32.htm" TargetMode="External"/><Relationship Id="rId4" Type="http://schemas.openxmlformats.org/officeDocument/2006/relationships/hyperlink" Target="https://www.sec.gov/Archives/edgar/data/0001326003/000095017205001686/nyc951238.txt" TargetMode="External"/><Relationship Id="rId9" Type="http://schemas.openxmlformats.org/officeDocument/2006/relationships/hyperlink" Target="bkcc-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63150</Words>
  <Characters>359961</Characters>
  <Application>Microsoft Office Word</Application>
  <DocSecurity>0</DocSecurity>
  <Lines>2999</Lines>
  <Paragraphs>844</Paragraphs>
  <ScaleCrop>false</ScaleCrop>
  <Company/>
  <LinksUpToDate>false</LinksUpToDate>
  <CharactersWithSpaces>422267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