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1C87">
      <w:pPr>
        <w:divId w:val="482234361"/>
        <w:rPr>
          <w:rFonts w:eastAsia="Times New Roman"/>
          <w:vanish/>
          <w:sz w:val="20"/>
          <w:szCs w:val="20"/>
        </w:rPr>
      </w:pPr>
      <w:r>
        <w:rPr>
          <w:rFonts w:eastAsia="Times New Roman"/>
          <w:vanish/>
          <w:sz w:val="20"/>
          <w:szCs w:val="20"/>
        </w:rPr>
        <w:t xml:space="preserve">0001865120 false Q1 --12-31 0001865120 2022-01-01 2022-03-31 0001865120 </w:t>
      </w:r>
      <w:r>
        <w:rPr>
          <w:rFonts w:eastAsia="Times New Roman"/>
          <w:vanish/>
          <w:sz w:val="20"/>
          <w:szCs w:val="20"/>
        </w:rPr>
        <w:t>BRAC:UnitsEachConsistingOfOneShareOfCommonStockParValue0.000001PerShareAndOneRightToAcquire110OfOneShareOfCommonStockMember 2022-01-01 2022-03-31 0001865120 BRAC:CommonStockIncludedAsPartOfUnitsMember 2022-01-01 2022-03-31 0001865120 BRAC:RightsIncludedAsP</w:t>
      </w:r>
      <w:r>
        <w:rPr>
          <w:rFonts w:eastAsia="Times New Roman"/>
          <w:vanish/>
          <w:sz w:val="20"/>
          <w:szCs w:val="20"/>
        </w:rPr>
        <w:t>artOfUnitsMember 2022-01-01 2022-03-31 0001865120 2022-05-11 0001865120 2022-03-31 0001865120 2021-12-31 0001865120 us-gaap:CommonStockMember 2021-12-31 0001865120 us-gaap:AdditionalPaidInCapitalMember 2021-12-31 0001865120 us-gaap:RetainedEarningsMember 2</w:t>
      </w:r>
      <w:r>
        <w:rPr>
          <w:rFonts w:eastAsia="Times New Roman"/>
          <w:vanish/>
          <w:sz w:val="20"/>
          <w:szCs w:val="20"/>
        </w:rPr>
        <w:t>021-12-31 0001865120 us-gaap:CommonStockMember 2022-01-01 2022-03-31 0001865120 us-gaap:AdditionalPaidInCapitalMember 2022-01-01 2022-03-31 0001865120 us-gaap:RetainedEarningsMember 2022-01-01 2022-03-31 0001865120 us-gaap:CommonStockMember 2022-03-31 0001</w:t>
      </w:r>
      <w:r>
        <w:rPr>
          <w:rFonts w:eastAsia="Times New Roman"/>
          <w:vanish/>
          <w:sz w:val="20"/>
          <w:szCs w:val="20"/>
        </w:rPr>
        <w:t xml:space="preserve">865120 us-gaap:AdditionalPaidInCapitalMember 2022-03-31 0001865120 us-gaap:RetainedEarningsMember 2022-03-31 0001865120 us-gaap:IPOMember 2022-01-12 2022-01-13 0001865120 us-gaap:IPOMember 2022-01-13 0001865120 us-gaap:OverAllotmentOptionMember 2022-01-12 </w:t>
      </w:r>
      <w:r>
        <w:rPr>
          <w:rFonts w:eastAsia="Times New Roman"/>
          <w:vanish/>
          <w:sz w:val="20"/>
          <w:szCs w:val="20"/>
        </w:rPr>
        <w:t>2022-01-13 0001865120 us-gaap:OverAllotmentOptionMember 2022-02-06 2022-02-10 0001865120 us-gaap:PrivatePlacementMember 2022-02-06 2022-02-10 0001865120 us-gaap:PrivatePlacementMember 2022-02-10 0001865120 BRAC:BroadCapitalLLCMember us-gaap:OverAllotmentOp</w:t>
      </w:r>
      <w:r>
        <w:rPr>
          <w:rFonts w:eastAsia="Times New Roman"/>
          <w:vanish/>
          <w:sz w:val="20"/>
          <w:szCs w:val="20"/>
        </w:rPr>
        <w:t>tionMember 2022-02-06 2022-02-10 0001865120 BRAC:OverAllotmentOptionsMember 2022-02-06 2022-02-10 0001865120 2022-02-06 2022-02-10 0001865120 2022-01-12 2022-01-13 0001865120 BRAC:TrustAccountMember 2022-01-13 0001865120 2022-01-13 0001865120 BRAC:PostBusi</w:t>
      </w:r>
      <w:r>
        <w:rPr>
          <w:rFonts w:eastAsia="Times New Roman"/>
          <w:vanish/>
          <w:sz w:val="20"/>
          <w:szCs w:val="20"/>
        </w:rPr>
        <w:t>nessCombinationMember 2022-01-12 2022-01-13 0001865120 BRAC:TrustAccountMember 2022-01-12 2022-01-13 0001865120 2022-01-18 2022-01-19 0001865120 2022-01-10 2022-01-11 0001865120 us-gaap:PrivatePlacementMember 2022-01-12 2022-01-13 0001865120 us-gaap:Privat</w:t>
      </w:r>
      <w:r>
        <w:rPr>
          <w:rFonts w:eastAsia="Times New Roman"/>
          <w:vanish/>
          <w:sz w:val="20"/>
          <w:szCs w:val="20"/>
        </w:rPr>
        <w:t xml:space="preserve">ePlacementMember 2022-01-13 0001865120 BRAC:BroadCapitalLLCMember us-gaap:OverAllotmentOptionMember 2022-02-10 0001865120 BRAC:SponsorMember 2021-05-06 2021-05-07 0001865120 BRAC:SponsorMember 2021-05-07 0001865120 BRAC:SponsorMember 2021-05-24 2021-05-25 </w:t>
      </w:r>
      <w:r>
        <w:rPr>
          <w:rFonts w:eastAsia="Times New Roman"/>
          <w:vanish/>
          <w:sz w:val="20"/>
          <w:szCs w:val="20"/>
        </w:rPr>
        <w:t>0001865120 BRAC:FourIndependentDirectorsMember 2021-05-24 2021-05-25 0001865120 2022-02-07 2022-02-10 0001865120 BRAC:SponsorMember 2021-05-24 2021-05-25 0001865120 BRAC:SponsorMember 2021-04-16 0001865120 BRAC:SponsorMember 2022-03-31 0001865120 BRAC:Spon</w:t>
      </w:r>
      <w:r>
        <w:rPr>
          <w:rFonts w:eastAsia="Times New Roman"/>
          <w:vanish/>
          <w:sz w:val="20"/>
          <w:szCs w:val="20"/>
        </w:rPr>
        <w:t>sorMember 2022-01-18 2022-01-19 0001865120 BRAC:SponsorMember 2022-01-01 2022-03-31 0001865120 BRAC:AdministrativeSupportAgreementMember 2022-01-01 2022-03-31 0001865120 BRAC:UnderwritingAgreementMember 2022-02-09 0001865120 BRAC:UnderwritingAgreementMembe</w:t>
      </w:r>
      <w:r>
        <w:rPr>
          <w:rFonts w:eastAsia="Times New Roman"/>
          <w:vanish/>
          <w:sz w:val="20"/>
          <w:szCs w:val="20"/>
        </w:rPr>
        <w:t xml:space="preserve">r 2022-02-07 2022-02-09 0001865120 us-gaap:OverAllotmentOptionMember 2022-02-10 iso4217:USD xbrli:shares iso4217:USD xbrli:shares xbrli:pure </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divId w:val="441416641"/>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36"/>
          <w:szCs w:val="36"/>
        </w:rPr>
        <w:t>UNITED STATES</w:t>
      </w:r>
    </w:p>
    <w:p w:rsidR="00000000" w:rsidRDefault="00391C87">
      <w:pPr>
        <w:pStyle w:val="a3"/>
        <w:spacing w:before="0" w:beforeAutospacing="0" w:after="0" w:afterAutospacing="0"/>
        <w:jc w:val="center"/>
        <w:rPr>
          <w:sz w:val="20"/>
          <w:szCs w:val="20"/>
        </w:rPr>
      </w:pPr>
      <w:r>
        <w:rPr>
          <w:b/>
          <w:bCs/>
          <w:sz w:val="36"/>
          <w:szCs w:val="36"/>
        </w:rPr>
        <w:t>SECURITIES AND EXCHANGE COMMISSION</w:t>
      </w:r>
    </w:p>
    <w:p w:rsidR="00000000" w:rsidRDefault="00391C87">
      <w:pPr>
        <w:pStyle w:val="a3"/>
        <w:spacing w:before="0" w:beforeAutospacing="0" w:after="0" w:afterAutospacing="0"/>
        <w:jc w:val="center"/>
        <w:rPr>
          <w:sz w:val="20"/>
          <w:szCs w:val="20"/>
        </w:rPr>
      </w:pPr>
      <w:r>
        <w:rPr>
          <w:b/>
          <w:bCs/>
        </w:rPr>
        <w:t>Washington, D.C. 20549</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divId w:val="1113289086"/>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divId w:val="602803085"/>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tc>
          <w:tcPr>
            <w:tcW w:w="750" w:type="pct"/>
            <w:vAlign w:val="bottom"/>
            <w:hideMark/>
          </w:tcPr>
          <w:p w:rsidR="00000000" w:rsidRDefault="00391C87">
            <w:pPr>
              <w:jc w:val="center"/>
              <w:rPr>
                <w:rFonts w:eastAsia="Times New Roman"/>
                <w:sz w:val="20"/>
                <w:szCs w:val="20"/>
              </w:rPr>
            </w:pPr>
            <w:r>
              <w:rPr>
                <w:rFonts w:eastAsia="Times New Roman"/>
                <w:sz w:val="20"/>
                <w:szCs w:val="20"/>
              </w:rPr>
              <w:t>(Mark One)</w:t>
            </w:r>
          </w:p>
        </w:tc>
        <w:tc>
          <w:tcPr>
            <w:tcW w:w="3500" w:type="pct"/>
            <w:vAlign w:val="bottom"/>
            <w:hideMark/>
          </w:tcPr>
          <w:p w:rsidR="00000000" w:rsidRDefault="00391C87">
            <w:pPr>
              <w:rPr>
                <w:rFonts w:eastAsia="Times New Roman"/>
                <w:sz w:val="20"/>
                <w:szCs w:val="20"/>
              </w:rPr>
            </w:pPr>
            <w:r>
              <w:rPr>
                <w:rFonts w:eastAsia="Times New Roman"/>
                <w:sz w:val="20"/>
                <w:szCs w:val="20"/>
              </w:rPr>
              <w:t> </w:t>
            </w:r>
          </w:p>
        </w:tc>
        <w:tc>
          <w:tcPr>
            <w:tcW w:w="750" w:type="pct"/>
            <w:vAlign w:val="bottom"/>
            <w:hideMark/>
          </w:tcPr>
          <w:p w:rsidR="00000000" w:rsidRDefault="00391C8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91C87">
            <w:pPr>
              <w:jc w:val="cente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391C87">
            <w:pPr>
              <w:pStyle w:val="a3"/>
              <w:spacing w:before="0" w:beforeAutospacing="0" w:after="0" w:afterAutospacing="0"/>
              <w:jc w:val="center"/>
              <w:rPr>
                <w:sz w:val="20"/>
                <w:szCs w:val="20"/>
              </w:rPr>
            </w:pPr>
            <w:r>
              <w:rPr>
                <w:b/>
                <w:bCs/>
                <w:sz w:val="20"/>
                <w:szCs w:val="20"/>
              </w:rPr>
              <w:t>QUARTERLY REPORT PURSUANT TO SECTION 13 OR 15(d)</w:t>
            </w:r>
            <w:r>
              <w:rPr>
                <w:b/>
                <w:bCs/>
                <w:sz w:val="20"/>
                <w:szCs w:val="20"/>
              </w:rPr>
              <w:br/>
              <w:t>OF THE SECURITIES EXCHANGE ACT OF 1934</w:t>
            </w:r>
          </w:p>
          <w:p w:rsidR="00000000" w:rsidRDefault="00391C87">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31,</w:t>
            </w:r>
            <w:r>
              <w:rPr>
                <w:b/>
                <w:bCs/>
                <w:sz w:val="20"/>
                <w:szCs w:val="20"/>
              </w:rPr>
              <w:t xml:space="preserve"> </w:t>
            </w:r>
            <w:r>
              <w:rPr>
                <w:b/>
                <w:bCs/>
                <w:sz w:val="20"/>
                <w:szCs w:val="20"/>
              </w:rPr>
              <w:t>202</w:t>
            </w:r>
            <w:r>
              <w:rPr>
                <w:b/>
                <w:bCs/>
                <w:sz w:val="20"/>
                <w:szCs w:val="20"/>
              </w:rPr>
              <w:t>2</w:t>
            </w:r>
            <w:r>
              <w:rPr>
                <w:b/>
                <w:bCs/>
                <w:sz w:val="20"/>
                <w:szCs w:val="20"/>
              </w:rPr>
              <w:t xml:space="preserve"> </w:t>
            </w:r>
          </w:p>
        </w:tc>
        <w:tc>
          <w:tcPr>
            <w:tcW w:w="0" w:type="auto"/>
            <w:hideMark/>
          </w:tcPr>
          <w:p w:rsidR="00000000" w:rsidRDefault="00391C87">
            <w:pPr>
              <w:rPr>
                <w:rFonts w:eastAsia="Times New Roman"/>
                <w:sz w:val="20"/>
                <w:szCs w:val="20"/>
              </w:rPr>
            </w:pPr>
            <w:r>
              <w:rPr>
                <w:rFonts w:eastAsia="Times New Roman"/>
                <w:sz w:val="20"/>
                <w:szCs w:val="20"/>
              </w:rPr>
              <w:t> </w:t>
            </w:r>
          </w:p>
        </w:tc>
      </w:tr>
    </w:tbl>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 xml:space="preserve">or </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tc>
          <w:tcPr>
            <w:tcW w:w="750" w:type="pct"/>
            <w:hideMark/>
          </w:tcPr>
          <w:p w:rsidR="00000000" w:rsidRDefault="00391C87">
            <w:pPr>
              <w:jc w:val="center"/>
              <w:rPr>
                <w:rFonts w:eastAsia="Times New Roman"/>
                <w:sz w:val="20"/>
                <w:szCs w:val="20"/>
              </w:rPr>
            </w:pPr>
            <w:r>
              <w:rPr>
                <w:rFonts w:ascii="Segoe UI Symbol" w:eastAsia="Times New Roman" w:hAnsi="Segoe UI Symbol" w:cs="Segoe UI Symbol"/>
                <w:b/>
                <w:bCs/>
                <w:sz w:val="20"/>
                <w:szCs w:val="20"/>
              </w:rPr>
              <w:t>☐</w:t>
            </w:r>
          </w:p>
        </w:tc>
        <w:tc>
          <w:tcPr>
            <w:tcW w:w="3500" w:type="pct"/>
            <w:hideMark/>
          </w:tcPr>
          <w:p w:rsidR="00000000" w:rsidRDefault="00391C87">
            <w:pPr>
              <w:pStyle w:val="a3"/>
              <w:spacing w:before="0" w:beforeAutospacing="0" w:after="0" w:afterAutospacing="0"/>
              <w:jc w:val="center"/>
              <w:rPr>
                <w:sz w:val="20"/>
                <w:szCs w:val="20"/>
              </w:rPr>
            </w:pPr>
            <w:r>
              <w:rPr>
                <w:b/>
                <w:bCs/>
                <w:sz w:val="20"/>
                <w:szCs w:val="20"/>
              </w:rPr>
              <w:t>TRANSITION REPORT PURSUANT TO SECTION 13 OR 15(d)</w:t>
            </w:r>
            <w:r>
              <w:rPr>
                <w:b/>
                <w:bCs/>
                <w:sz w:val="20"/>
                <w:szCs w:val="20"/>
              </w:rPr>
              <w:br/>
            </w:r>
            <w:r>
              <w:rPr>
                <w:b/>
                <w:bCs/>
                <w:sz w:val="20"/>
                <w:szCs w:val="20"/>
              </w:rPr>
              <w:t>OF THE SECURITIES EXCHANGE ACT OF 1934</w:t>
            </w:r>
          </w:p>
          <w:p w:rsidR="00000000" w:rsidRDefault="00391C87">
            <w:pPr>
              <w:pStyle w:val="a3"/>
              <w:spacing w:before="0" w:beforeAutospacing="0" w:after="0" w:afterAutospacing="0"/>
              <w:jc w:val="center"/>
              <w:rPr>
                <w:sz w:val="20"/>
                <w:szCs w:val="20"/>
              </w:rPr>
            </w:pPr>
            <w:r>
              <w:rPr>
                <w:b/>
                <w:bCs/>
                <w:sz w:val="20"/>
                <w:szCs w:val="20"/>
              </w:rPr>
              <w:t xml:space="preserve">For the transition period from to </w:t>
            </w:r>
          </w:p>
        </w:tc>
        <w:tc>
          <w:tcPr>
            <w:tcW w:w="750" w:type="pct"/>
            <w:hideMark/>
          </w:tcPr>
          <w:p w:rsidR="00000000" w:rsidRDefault="00391C87">
            <w:pPr>
              <w:rPr>
                <w:rFonts w:eastAsia="Times New Roman"/>
                <w:sz w:val="20"/>
                <w:szCs w:val="20"/>
              </w:rPr>
            </w:pPr>
            <w:r>
              <w:rPr>
                <w:rFonts w:eastAsia="Times New Roman"/>
                <w:sz w:val="20"/>
                <w:szCs w:val="20"/>
              </w:rPr>
              <w:t> </w:t>
            </w:r>
          </w:p>
        </w:tc>
      </w:tr>
    </w:tbl>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shd w:val="clear" w:color="auto" w:fill="FFFFFF"/>
        </w:rPr>
        <w:t>001-4121</w:t>
      </w:r>
      <w:r>
        <w:rPr>
          <w:b/>
          <w:bCs/>
          <w:sz w:val="20"/>
          <w:szCs w:val="20"/>
          <w:shd w:val="clear" w:color="auto" w:fill="FFFFFF"/>
        </w:rPr>
        <w:t>2</w:t>
      </w:r>
    </w:p>
    <w:p w:rsidR="00000000" w:rsidRDefault="00391C87">
      <w:pPr>
        <w:pStyle w:val="a3"/>
        <w:spacing w:before="0" w:beforeAutospacing="0" w:after="0" w:afterAutospacing="0"/>
        <w:rPr>
          <w:sz w:val="20"/>
          <w:szCs w:val="20"/>
        </w:rPr>
      </w:pPr>
      <w:r>
        <w:rPr>
          <w:sz w:val="20"/>
          <w:szCs w:val="20"/>
        </w:rPr>
        <w:t> </w:t>
      </w:r>
    </w:p>
    <w:p w:rsidR="00000000" w:rsidRDefault="00391C87">
      <w:pPr>
        <w:divId w:val="458958279"/>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91C87">
      <w:pPr>
        <w:pStyle w:val="a3"/>
        <w:spacing w:before="0" w:beforeAutospacing="0" w:after="0" w:afterAutospacing="0"/>
        <w:jc w:val="center"/>
        <w:rPr>
          <w:sz w:val="20"/>
          <w:szCs w:val="20"/>
        </w:rPr>
      </w:pPr>
      <w:r>
        <w:rPr>
          <w:sz w:val="20"/>
          <w:szCs w:val="20"/>
          <w:shd w:val="clear" w:color="auto" w:fill="FFFFFF"/>
        </w:rPr>
        <w:t> </w:t>
      </w:r>
    </w:p>
    <w:p w:rsidR="00000000" w:rsidRDefault="00391C87">
      <w:pPr>
        <w:pStyle w:val="a3"/>
        <w:spacing w:before="0" w:beforeAutospacing="0" w:after="0" w:afterAutospacing="0"/>
        <w:jc w:val="center"/>
        <w:rPr>
          <w:sz w:val="20"/>
          <w:szCs w:val="20"/>
        </w:rPr>
      </w:pPr>
      <w:r>
        <w:rPr>
          <w:b/>
          <w:bCs/>
          <w:sz w:val="36"/>
          <w:szCs w:val="36"/>
          <w:shd w:val="clear" w:color="auto" w:fill="FFFFFF"/>
        </w:rPr>
        <w:t>BROAD CAPITAL ACQUISITION COR</w:t>
      </w:r>
      <w:r>
        <w:rPr>
          <w:b/>
          <w:bCs/>
          <w:sz w:val="36"/>
          <w:szCs w:val="36"/>
          <w:shd w:val="clear" w:color="auto" w:fill="FFFFFF"/>
        </w:rPr>
        <w:t>P</w:t>
      </w:r>
    </w:p>
    <w:p w:rsidR="00000000" w:rsidRDefault="00391C87">
      <w:pPr>
        <w:pStyle w:val="a3"/>
        <w:spacing w:before="0" w:beforeAutospacing="0" w:after="0" w:afterAutospacing="0"/>
        <w:jc w:val="center"/>
        <w:rPr>
          <w:sz w:val="20"/>
          <w:szCs w:val="20"/>
        </w:rPr>
      </w:pPr>
      <w:r>
        <w:rPr>
          <w:sz w:val="20"/>
          <w:szCs w:val="20"/>
        </w:rPr>
        <w:t>(Exact name of registrant as specified in its charter)</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divId w:val="757143242"/>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391C87">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rsidR="00000000" w:rsidRDefault="00391C87">
            <w:pPr>
              <w:rPr>
                <w:rFonts w:eastAsia="Times New Roman"/>
                <w:sz w:val="20"/>
                <w:szCs w:val="20"/>
              </w:rPr>
            </w:pPr>
            <w:r>
              <w:rPr>
                <w:rFonts w:eastAsia="Times New Roman"/>
                <w:sz w:val="20"/>
                <w:szCs w:val="20"/>
              </w:rPr>
              <w:t> </w:t>
            </w:r>
          </w:p>
        </w:tc>
        <w:tc>
          <w:tcPr>
            <w:tcW w:w="2450" w:type="pct"/>
            <w:hideMark/>
          </w:tcPr>
          <w:p w:rsidR="00000000" w:rsidRDefault="00391C87">
            <w:pPr>
              <w:jc w:val="center"/>
              <w:rPr>
                <w:rFonts w:eastAsia="Times New Roman"/>
                <w:sz w:val="20"/>
                <w:szCs w:val="20"/>
              </w:rPr>
            </w:pPr>
            <w:r>
              <w:rPr>
                <w:rFonts w:eastAsia="Times New Roman"/>
                <w:b/>
                <w:bCs/>
                <w:sz w:val="20"/>
                <w:szCs w:val="20"/>
                <w:shd w:val="clear" w:color="auto" w:fill="FFFFFF"/>
              </w:rPr>
              <w:t>86-338296</w:t>
            </w:r>
            <w:r>
              <w:rPr>
                <w:rFonts w:eastAsia="Times New Roman"/>
                <w:b/>
                <w:bCs/>
                <w:sz w:val="20"/>
                <w:szCs w:val="20"/>
                <w:shd w:val="clear" w:color="auto" w:fill="FFFFFF"/>
              </w:rPr>
              <w:t>7</w:t>
            </w:r>
          </w:p>
        </w:tc>
      </w:tr>
      <w:tr w:rsidR="00000000">
        <w:tc>
          <w:tcPr>
            <w:tcW w:w="0" w:type="auto"/>
            <w:hideMark/>
          </w:tcPr>
          <w:p w:rsidR="00000000" w:rsidRDefault="00391C87">
            <w:pPr>
              <w:pStyle w:val="a3"/>
              <w:spacing w:before="0" w:beforeAutospacing="0" w:after="0" w:afterAutospacing="0"/>
              <w:jc w:val="center"/>
              <w:rPr>
                <w:sz w:val="20"/>
                <w:szCs w:val="20"/>
              </w:rPr>
            </w:pPr>
            <w:r>
              <w:rPr>
                <w:sz w:val="20"/>
                <w:szCs w:val="20"/>
              </w:rPr>
              <w:t xml:space="preserve">(State </w:t>
            </w:r>
            <w:r>
              <w:rPr>
                <w:sz w:val="20"/>
                <w:szCs w:val="20"/>
              </w:rPr>
              <w:t>or other jurisdiction of</w:t>
            </w:r>
          </w:p>
          <w:p w:rsidR="00000000" w:rsidRDefault="00391C87">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rsidR="00000000" w:rsidRDefault="00391C87">
            <w:pPr>
              <w:rPr>
                <w:rFonts w:eastAsia="Times New Roman"/>
                <w:sz w:val="20"/>
                <w:szCs w:val="20"/>
              </w:rPr>
            </w:pPr>
            <w:r>
              <w:rPr>
                <w:rFonts w:eastAsia="Times New Roman"/>
                <w:b/>
                <w:bCs/>
                <w:sz w:val="20"/>
                <w:szCs w:val="20"/>
              </w:rPr>
              <w:t> </w:t>
            </w:r>
          </w:p>
        </w:tc>
        <w:tc>
          <w:tcPr>
            <w:tcW w:w="0" w:type="auto"/>
            <w:hideMark/>
          </w:tcPr>
          <w:p w:rsidR="00000000" w:rsidRDefault="00391C87">
            <w:pPr>
              <w:jc w:val="center"/>
              <w:rPr>
                <w:rFonts w:eastAsia="Times New Roman"/>
                <w:sz w:val="20"/>
                <w:szCs w:val="20"/>
              </w:rPr>
            </w:pPr>
            <w:r>
              <w:rPr>
                <w:rFonts w:eastAsia="Times New Roman"/>
                <w:sz w:val="20"/>
                <w:szCs w:val="20"/>
              </w:rPr>
              <w:t>(I.R.S. Employer Identification No.)</w:t>
            </w:r>
          </w:p>
        </w:tc>
      </w:tr>
      <w:tr w:rsidR="00000000">
        <w:tc>
          <w:tcPr>
            <w:tcW w:w="0" w:type="auto"/>
            <w:vAlign w:val="center"/>
            <w:hideMark/>
          </w:tcPr>
          <w:p w:rsidR="00000000" w:rsidRDefault="00391C87">
            <w:pPr>
              <w:rPr>
                <w:rFonts w:eastAsia="Times New Roman"/>
                <w:sz w:val="20"/>
                <w:szCs w:val="20"/>
              </w:rPr>
            </w:pPr>
            <w:r>
              <w:rPr>
                <w:rFonts w:eastAsia="Times New Roman"/>
                <w:sz w:val="20"/>
                <w:szCs w:val="20"/>
              </w:rPr>
              <w:t> </w:t>
            </w:r>
          </w:p>
        </w:tc>
        <w:tc>
          <w:tcPr>
            <w:tcW w:w="0" w:type="auto"/>
            <w:vAlign w:val="center"/>
            <w:hideMark/>
          </w:tcPr>
          <w:p w:rsidR="00000000" w:rsidRDefault="00391C87">
            <w:pPr>
              <w:rPr>
                <w:rFonts w:eastAsia="Times New Roman"/>
                <w:sz w:val="20"/>
                <w:szCs w:val="20"/>
              </w:rPr>
            </w:pPr>
            <w:r>
              <w:rPr>
                <w:rFonts w:eastAsia="Times New Roman"/>
                <w:sz w:val="20"/>
                <w:szCs w:val="20"/>
              </w:rPr>
              <w:t> </w:t>
            </w:r>
          </w:p>
        </w:tc>
        <w:tc>
          <w:tcPr>
            <w:tcW w:w="0" w:type="auto"/>
            <w:vAlign w:val="center"/>
            <w:hideMark/>
          </w:tcPr>
          <w:p w:rsidR="00000000" w:rsidRDefault="00391C87">
            <w:pPr>
              <w:rPr>
                <w:rFonts w:eastAsia="Times New Roman"/>
                <w:sz w:val="20"/>
                <w:szCs w:val="20"/>
              </w:rPr>
            </w:pPr>
            <w:r>
              <w:rPr>
                <w:rFonts w:eastAsia="Times New Roman"/>
                <w:sz w:val="20"/>
                <w:szCs w:val="20"/>
              </w:rPr>
              <w:t> </w:t>
            </w:r>
          </w:p>
        </w:tc>
      </w:tr>
      <w:tr w:rsidR="00000000">
        <w:tc>
          <w:tcPr>
            <w:tcW w:w="0" w:type="auto"/>
            <w:hideMark/>
          </w:tcPr>
          <w:p w:rsidR="00000000" w:rsidRDefault="00391C87">
            <w:pPr>
              <w:jc w:val="center"/>
              <w:rPr>
                <w:rFonts w:eastAsia="Times New Roman"/>
                <w:sz w:val="20"/>
                <w:szCs w:val="20"/>
              </w:rPr>
            </w:pPr>
            <w:r>
              <w:rPr>
                <w:rFonts w:eastAsia="Times New Roman"/>
                <w:b/>
                <w:bCs/>
                <w:sz w:val="20"/>
                <w:szCs w:val="20"/>
                <w:shd w:val="clear" w:color="auto" w:fill="FFFFFF"/>
              </w:rPr>
              <w:t>5345 Annabel Lan</w:t>
            </w:r>
            <w:r>
              <w:rPr>
                <w:rFonts w:eastAsia="Times New Roman"/>
                <w:b/>
                <w:bCs/>
                <w:sz w:val="20"/>
                <w:szCs w:val="20"/>
                <w:shd w:val="clear" w:color="auto" w:fill="FFFFFF"/>
              </w:rPr>
              <w:t>e</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Plan</w:t>
            </w:r>
            <w:r>
              <w:rPr>
                <w:rFonts w:eastAsia="Times New Roman"/>
                <w:b/>
                <w:bCs/>
                <w:sz w:val="20"/>
                <w:szCs w:val="20"/>
                <w:shd w:val="clear" w:color="auto" w:fill="FFFFFF"/>
              </w:rPr>
              <w:t>o</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Texa</w:t>
            </w:r>
            <w:r>
              <w:rPr>
                <w:rFonts w:eastAsia="Times New Roman"/>
                <w:b/>
                <w:bCs/>
                <w:sz w:val="20"/>
                <w:szCs w:val="20"/>
                <w:shd w:val="clear" w:color="auto" w:fill="FFFFFF"/>
              </w:rPr>
              <w:t>s</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b/>
                <w:bCs/>
                <w:sz w:val="20"/>
                <w:szCs w:val="20"/>
              </w:rPr>
              <w:t>7509</w:t>
            </w:r>
            <w:r>
              <w:rPr>
                <w:rFonts w:eastAsia="Times New Roman"/>
                <w:b/>
                <w:bCs/>
                <w:sz w:val="20"/>
                <w:szCs w:val="20"/>
              </w:rPr>
              <w:t>3</w:t>
            </w:r>
          </w:p>
        </w:tc>
      </w:tr>
      <w:tr w:rsidR="00000000">
        <w:tc>
          <w:tcPr>
            <w:tcW w:w="0" w:type="auto"/>
            <w:hideMark/>
          </w:tcPr>
          <w:p w:rsidR="00000000" w:rsidRDefault="00391C87">
            <w:pPr>
              <w:jc w:val="center"/>
              <w:rPr>
                <w:rFonts w:eastAsia="Times New Roman"/>
                <w:sz w:val="20"/>
                <w:szCs w:val="20"/>
              </w:rPr>
            </w:pPr>
            <w:r>
              <w:rPr>
                <w:rFonts w:eastAsia="Times New Roman"/>
                <w:sz w:val="20"/>
                <w:szCs w:val="20"/>
              </w:rPr>
              <w:t>(Address of principal executive offices)</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hideMark/>
          </w:tcPr>
          <w:p w:rsidR="00000000" w:rsidRDefault="00391C87">
            <w:pPr>
              <w:jc w:val="center"/>
              <w:rPr>
                <w:rFonts w:eastAsia="Times New Roman"/>
                <w:sz w:val="20"/>
                <w:szCs w:val="20"/>
              </w:rPr>
            </w:pPr>
            <w:r>
              <w:rPr>
                <w:rFonts w:eastAsia="Times New Roman"/>
                <w:sz w:val="20"/>
                <w:szCs w:val="20"/>
              </w:rPr>
              <w:t>(Zip Code)</w:t>
            </w:r>
          </w:p>
        </w:tc>
      </w:tr>
    </w:tbl>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shd w:val="clear" w:color="auto" w:fill="FFFFFF"/>
        </w:rPr>
        <w:t>(469</w:t>
      </w:r>
      <w:r>
        <w:rPr>
          <w:b/>
          <w:bCs/>
          <w:sz w:val="20"/>
          <w:szCs w:val="20"/>
          <w:shd w:val="clear" w:color="auto" w:fill="FFFFFF"/>
        </w:rPr>
        <w:t>)</w:t>
      </w:r>
      <w:r>
        <w:rPr>
          <w:b/>
          <w:bCs/>
          <w:sz w:val="20"/>
          <w:szCs w:val="20"/>
          <w:shd w:val="clear" w:color="auto" w:fill="FFFFFF"/>
        </w:rPr>
        <w:t xml:space="preserve"> </w:t>
      </w:r>
      <w:r>
        <w:rPr>
          <w:b/>
          <w:bCs/>
          <w:sz w:val="20"/>
          <w:szCs w:val="20"/>
          <w:shd w:val="clear" w:color="auto" w:fill="FFFFFF"/>
        </w:rPr>
        <w:t>951-308</w:t>
      </w:r>
      <w:r>
        <w:rPr>
          <w:b/>
          <w:bCs/>
          <w:sz w:val="20"/>
          <w:szCs w:val="20"/>
          <w:shd w:val="clear" w:color="auto" w:fill="FFFFFF"/>
        </w:rPr>
        <w:t>8</w:t>
      </w:r>
    </w:p>
    <w:p w:rsidR="00000000" w:rsidRDefault="00391C87">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hd w:val="clear" w:color="auto" w:fill="FFFFFF"/>
        <w:spacing w:before="0" w:beforeAutospacing="0" w:after="0" w:afterAutospacing="0"/>
        <w:jc w:val="center"/>
        <w:rPr>
          <w:sz w:val="20"/>
          <w:szCs w:val="20"/>
        </w:rPr>
      </w:pPr>
      <w:r>
        <w:rPr>
          <w:b/>
          <w:bCs/>
          <w:sz w:val="20"/>
          <w:szCs w:val="20"/>
        </w:rPr>
        <w:t>Securities registered pursuant to Section 12(b) of the Act:</w:t>
      </w:r>
    </w:p>
    <w:p w:rsidR="00000000" w:rsidRDefault="00391C87">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166"/>
        <w:gridCol w:w="1661"/>
        <w:gridCol w:w="166"/>
        <w:gridCol w:w="3322"/>
      </w:tblGrid>
      <w:tr w:rsidR="00000000">
        <w:tc>
          <w:tcPr>
            <w:tcW w:w="1800" w:type="pct"/>
            <w:tcBorders>
              <w:bottom w:val="single" w:sz="12" w:space="0" w:color="000000"/>
            </w:tcBorders>
            <w:vAlign w:val="bottom"/>
            <w:hideMark/>
          </w:tcPr>
          <w:p w:rsidR="00000000" w:rsidRDefault="00391C87">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rsidR="00000000" w:rsidRDefault="00391C87">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391C87">
            <w:pPr>
              <w:jc w:val="center"/>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vAlign w:val="bottom"/>
            <w:hideMark/>
          </w:tcPr>
          <w:p w:rsidR="00000000" w:rsidRDefault="00391C87">
            <w:pPr>
              <w:jc w:val="center"/>
              <w:rPr>
                <w:rFonts w:eastAsia="Times New Roman"/>
                <w:sz w:val="20"/>
                <w:szCs w:val="20"/>
              </w:rPr>
            </w:pPr>
            <w:r>
              <w:rPr>
                <w:rFonts w:eastAsia="Times New Roman"/>
                <w:sz w:val="20"/>
                <w:szCs w:val="20"/>
              </w:rPr>
              <w:t> </w:t>
            </w:r>
          </w:p>
        </w:tc>
        <w:tc>
          <w:tcPr>
            <w:tcW w:w="2000" w:type="pct"/>
            <w:tcBorders>
              <w:bottom w:val="single" w:sz="12" w:space="0" w:color="000000"/>
            </w:tcBorders>
            <w:vAlign w:val="bottom"/>
            <w:hideMark/>
          </w:tcPr>
          <w:p w:rsidR="00000000" w:rsidRDefault="00391C87">
            <w:pPr>
              <w:jc w:val="center"/>
              <w:rPr>
                <w:rFonts w:eastAsia="Times New Roman"/>
                <w:sz w:val="20"/>
                <w:szCs w:val="20"/>
              </w:rPr>
            </w:pPr>
            <w:r>
              <w:rPr>
                <w:rFonts w:eastAsia="Times New Roman"/>
                <w:b/>
                <w:bCs/>
                <w:sz w:val="20"/>
                <w:szCs w:val="20"/>
              </w:rPr>
              <w:t>Name of each exchange on which registered</w:t>
            </w:r>
          </w:p>
        </w:tc>
      </w:tr>
      <w:tr w:rsidR="00000000">
        <w:tc>
          <w:tcPr>
            <w:tcW w:w="0" w:type="auto"/>
            <w:vAlign w:val="bottom"/>
            <w:hideMark/>
          </w:tcPr>
          <w:p w:rsidR="00000000" w:rsidRDefault="00391C87">
            <w:pPr>
              <w:jc w:val="both"/>
              <w:rPr>
                <w:rFonts w:eastAsia="Times New Roman"/>
                <w:sz w:val="20"/>
                <w:szCs w:val="20"/>
              </w:rPr>
            </w:pPr>
            <w:r>
              <w:rPr>
                <w:rFonts w:eastAsia="Times New Roman"/>
                <w:sz w:val="20"/>
                <w:szCs w:val="20"/>
              </w:rPr>
              <w:t xml:space="preserve">Units, </w:t>
            </w:r>
            <w:r>
              <w:rPr>
                <w:rFonts w:eastAsia="Times New Roman"/>
                <w:sz w:val="20"/>
                <w:szCs w:val="20"/>
              </w:rPr>
              <w:t>each consisting of one share of common stock, par value $0.000001 per share, and one Right to acquire 1/10 of one share of common stoc</w:t>
            </w:r>
            <w:r>
              <w:rPr>
                <w:rFonts w:eastAsia="Times New Roman"/>
                <w:sz w:val="20"/>
                <w:szCs w:val="20"/>
              </w:rPr>
              <w:t>k</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BRAC</w:t>
            </w:r>
            <w:r>
              <w:rPr>
                <w:rFonts w:eastAsia="Times New Roman"/>
                <w:sz w:val="20"/>
                <w:szCs w:val="20"/>
              </w:rPr>
              <w:t>U</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vAlign w:val="bottom"/>
            <w:hideMark/>
          </w:tcPr>
          <w:p w:rsidR="00000000" w:rsidRDefault="00391C87">
            <w:pPr>
              <w:jc w:val="both"/>
              <w:rPr>
                <w:rFonts w:eastAsia="Times New Roman"/>
                <w:sz w:val="20"/>
                <w:szCs w:val="20"/>
              </w:rPr>
            </w:pPr>
            <w:r>
              <w:rPr>
                <w:rFonts w:eastAsia="Times New Roman"/>
                <w:sz w:val="20"/>
                <w:szCs w:val="20"/>
              </w:rPr>
              <w:t>common stock included as part of the Unit</w:t>
            </w:r>
            <w:r>
              <w:rPr>
                <w:rFonts w:eastAsia="Times New Roman"/>
                <w:sz w:val="20"/>
                <w:szCs w:val="20"/>
              </w:rPr>
              <w:t>s</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BRA</w:t>
            </w:r>
            <w:r>
              <w:rPr>
                <w:rFonts w:eastAsia="Times New Roman"/>
                <w:sz w:val="20"/>
                <w:szCs w:val="20"/>
              </w:rPr>
              <w:t>C</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vAlign w:val="bottom"/>
            <w:hideMark/>
          </w:tcPr>
          <w:p w:rsidR="00000000" w:rsidRDefault="00391C87">
            <w:pPr>
              <w:jc w:val="both"/>
              <w:rPr>
                <w:rFonts w:eastAsia="Times New Roman"/>
                <w:sz w:val="20"/>
                <w:szCs w:val="20"/>
              </w:rPr>
            </w:pPr>
            <w:r>
              <w:rPr>
                <w:rFonts w:eastAsia="Times New Roman"/>
                <w:sz w:val="20"/>
                <w:szCs w:val="20"/>
              </w:rPr>
              <w:t>Rights included as part of the Unit</w:t>
            </w:r>
            <w:r>
              <w:rPr>
                <w:rFonts w:eastAsia="Times New Roman"/>
                <w:sz w:val="20"/>
                <w:szCs w:val="20"/>
              </w:rPr>
              <w:t>s</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BRAC</w:t>
            </w:r>
            <w:r>
              <w:rPr>
                <w:rFonts w:eastAsia="Times New Roman"/>
                <w:sz w:val="20"/>
                <w:szCs w:val="20"/>
              </w:rPr>
              <w:t>R</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bl>
    <w:p w:rsidR="00000000" w:rsidRDefault="00391C87">
      <w:pPr>
        <w:pStyle w:val="a3"/>
        <w:shd w:val="clear" w:color="auto" w:fill="FFFFFF"/>
        <w:spacing w:before="0" w:beforeAutospacing="0" w:after="0" w:afterAutospacing="0"/>
        <w:jc w:val="center"/>
        <w:rPr>
          <w:sz w:val="20"/>
          <w:szCs w:val="20"/>
        </w:rPr>
      </w:pPr>
      <w:r>
        <w:rPr>
          <w:sz w:val="20"/>
          <w:szCs w:val="20"/>
        </w:rPr>
        <w:t> </w:t>
      </w:r>
    </w:p>
    <w:p w:rsidR="00000000" w:rsidRDefault="00391C87">
      <w:pPr>
        <w:pStyle w:val="a3"/>
        <w:shd w:val="clear" w:color="auto" w:fill="FFFFFF"/>
        <w:spacing w:before="0" w:beforeAutospacing="0" w:after="0" w:afterAutospacing="0"/>
        <w:jc w:val="center"/>
        <w:rPr>
          <w:sz w:val="20"/>
          <w:szCs w:val="20"/>
        </w:rPr>
      </w:pPr>
      <w:r>
        <w:rPr>
          <w:sz w:val="20"/>
          <w:szCs w:val="20"/>
        </w:rPr>
        <w:t>Securities registered pursuant to Section 12(g) of the Act: None</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divId w:val="953635181"/>
        <w:rPr>
          <w:rFonts w:eastAsia="Times New Roman"/>
          <w:sz w:val="2"/>
          <w:szCs w:val="2"/>
        </w:rPr>
      </w:pPr>
      <w:r>
        <w:rPr>
          <w:rFonts w:eastAsia="Times New Roman"/>
          <w:sz w:val="2"/>
          <w:szCs w:val="2"/>
        </w:rPr>
        <w:t> </w:t>
      </w:r>
    </w:p>
    <w:p w:rsidR="00000000" w:rsidRDefault="00391C87">
      <w:pPr>
        <w:pStyle w:val="a3"/>
        <w:spacing w:before="0" w:beforeAutospacing="0" w:after="0" w:afterAutospacing="0"/>
        <w:jc w:val="center"/>
        <w:rPr>
          <w:sz w:val="20"/>
          <w:szCs w:val="20"/>
        </w:rPr>
      </w:pPr>
      <w:r>
        <w:rPr>
          <w:sz w:val="20"/>
          <w:szCs w:val="20"/>
        </w:rPr>
        <w:lastRenderedPageBreak/>
        <w:t> </w:t>
      </w:r>
    </w:p>
    <w:p w:rsidR="00000000" w:rsidRDefault="00391C8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Indicate by check mark whether the registrant has submitted electronically and posted on its corporate Web site, if any, every Interactive Data File required to be</w:t>
      </w:r>
      <w:r>
        <w:rPr>
          <w:sz w:val="20"/>
          <w:szCs w:val="20"/>
        </w:rPr>
        <w:t xml:space="preserve"> submitted and posted pursuant to Rule 405 of Regulation S-T (§232.405 of this chapter) during the preceding 12 months (or for such shorter period that the registrant was required to submit and post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is a large accelerated filer, an accelerated filer, a non-accelerated filer, or a smaller reporting company. See the definitions of “large accelerated filer,” “accelerated filer,” “non-accelerated filer” and “smaller reporting company” in Ru</w:t>
      </w:r>
      <w:r>
        <w:rPr>
          <w:sz w:val="20"/>
          <w:szCs w:val="20"/>
        </w:rPr>
        <w:t>le 12b-2 of the Exchange Act.</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4706"/>
        <w:gridCol w:w="2880"/>
      </w:tblGrid>
      <w:tr w:rsidR="00000000">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0" w:type="auto"/>
            <w:vAlign w:val="bottom"/>
            <w:hideMark/>
          </w:tcPr>
          <w:p w:rsidR="00000000" w:rsidRDefault="00391C87">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720" w:type="dxa"/>
            <w:vAlign w:val="center"/>
            <w:hideMark/>
          </w:tcPr>
          <w:p w:rsidR="00000000" w:rsidRDefault="00391C87">
            <w:pPr>
              <w:rPr>
                <w:rFonts w:eastAsia="Times New Roman"/>
                <w:sz w:val="20"/>
                <w:szCs w:val="20"/>
              </w:rPr>
            </w:pPr>
            <w:r>
              <w:rPr>
                <w:rFonts w:eastAsia="Times New Roman"/>
                <w:sz w:val="20"/>
                <w:szCs w:val="20"/>
              </w:rPr>
              <w:t> </w:t>
            </w:r>
          </w:p>
        </w:tc>
        <w:tc>
          <w:tcPr>
            <w:tcW w:w="0" w:type="auto"/>
            <w:vAlign w:val="center"/>
            <w:hideMark/>
          </w:tcPr>
          <w:p w:rsidR="00000000" w:rsidRDefault="00391C87">
            <w:pPr>
              <w:rPr>
                <w:rFonts w:eastAsia="Times New Roman"/>
                <w:sz w:val="20"/>
                <w:szCs w:val="20"/>
              </w:rPr>
            </w:pPr>
            <w:r>
              <w:rPr>
                <w:rFonts w:eastAsia="Times New Roman"/>
                <w:sz w:val="20"/>
                <w:szCs w:val="20"/>
              </w:rPr>
              <w:t> </w:t>
            </w:r>
          </w:p>
        </w:tc>
        <w:tc>
          <w:tcPr>
            <w:tcW w:w="2880" w:type="dxa"/>
            <w:vAlign w:val="center"/>
            <w:hideMark/>
          </w:tcPr>
          <w:p w:rsidR="00000000" w:rsidRDefault="00391C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r>
              <w:rPr>
                <w:rFonts w:eastAsia="Times New Roman"/>
                <w:sz w:val="20"/>
                <w:szCs w:val="20"/>
              </w:rPr>
              <w:t xml:space="preserve"> (Do not check if a smaller reporting company)</w:t>
            </w:r>
          </w:p>
        </w:tc>
        <w:tc>
          <w:tcPr>
            <w:tcW w:w="0" w:type="auto"/>
            <w:vAlign w:val="bottom"/>
            <w:hideMark/>
          </w:tcPr>
          <w:p w:rsidR="00000000" w:rsidRDefault="00391C87">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r>
    </w:tbl>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Indi</w:t>
      </w:r>
      <w:r>
        <w:rPr>
          <w:sz w:val="20"/>
          <w:szCs w:val="20"/>
        </w:rPr>
        <w:t>cate by check mark whether the registrant is a shell company (as defined in Rule 12b-2 of the Act).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As of May 11, 2022, there were</w:t>
      </w:r>
      <w:r>
        <w:rPr>
          <w:sz w:val="20"/>
          <w:szCs w:val="20"/>
        </w:rPr>
        <w:t xml:space="preserve"> </w:t>
      </w:r>
      <w:r>
        <w:rPr>
          <w:sz w:val="20"/>
          <w:szCs w:val="20"/>
        </w:rPr>
        <w:t>11,147,38</w:t>
      </w:r>
      <w:r>
        <w:rPr>
          <w:sz w:val="20"/>
          <w:szCs w:val="20"/>
        </w:rPr>
        <w:t>1</w:t>
      </w:r>
      <w:r>
        <w:rPr>
          <w:sz w:val="20"/>
          <w:szCs w:val="20"/>
        </w:rPr>
        <w:t xml:space="preserve"> shares of common stock, par value $0.000001 per share, of the registrant issued and outstanding.</w:t>
      </w:r>
    </w:p>
    <w:p w:rsidR="00000000" w:rsidRDefault="00391C87">
      <w:pPr>
        <w:pStyle w:val="a3"/>
        <w:spacing w:before="0" w:beforeAutospacing="0" w:after="0" w:afterAutospacing="0"/>
        <w:rPr>
          <w:sz w:val="20"/>
          <w:szCs w:val="20"/>
        </w:rPr>
      </w:pPr>
      <w:r>
        <w:rPr>
          <w:sz w:val="20"/>
          <w:szCs w:val="20"/>
        </w:rPr>
        <w:t> </w:t>
      </w:r>
    </w:p>
    <w:p w:rsidR="00000000" w:rsidRDefault="00391C87">
      <w:pPr>
        <w:divId w:val="1605921266"/>
        <w:rPr>
          <w:rFonts w:eastAsia="Times New Roman"/>
          <w:sz w:val="2"/>
          <w:szCs w:val="2"/>
        </w:rPr>
      </w:pPr>
      <w:r>
        <w:rPr>
          <w:rFonts w:eastAsia="Times New Roman"/>
          <w:sz w:val="2"/>
          <w:szCs w:val="2"/>
        </w:rPr>
        <w:t> </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9241561"/>
        </w:trPr>
        <w:tc>
          <w:tcPr>
            <w:tcW w:w="5000" w:type="pct"/>
            <w:hideMark/>
          </w:tcPr>
          <w:p w:rsidR="00000000" w:rsidRDefault="00391C87">
            <w:pPr>
              <w:rPr>
                <w:rFonts w:eastAsia="Times New Roman"/>
                <w:sz w:val="20"/>
                <w:szCs w:val="20"/>
              </w:rPr>
            </w:pPr>
            <w:r>
              <w:rPr>
                <w:rFonts w:eastAsia="Times New Roman"/>
                <w:sz w:val="20"/>
                <w:szCs w:val="20"/>
              </w:rPr>
              <w:t> </w:t>
            </w:r>
          </w:p>
        </w:tc>
      </w:tr>
    </w:tbl>
    <w:p w:rsidR="00000000" w:rsidRDefault="00391C87">
      <w:pPr>
        <w:pStyle w:val="a3"/>
        <w:spacing w:before="0" w:beforeAutospacing="0" w:after="0" w:afterAutospacing="0"/>
        <w:divId w:val="1752116976"/>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shd w:val="clear" w:color="auto" w:fill="FFFFFF"/>
        </w:rPr>
        <w:t>BROAD CAPITAL ACQUISITION CORP</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FORM 10-Q FOR THE QUARTER ENDED MARCH 31, 2022</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TABLE OF CONTENTS</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center"/>
              <w:rPr>
                <w:rFonts w:eastAsia="Times New Roman"/>
                <w:sz w:val="20"/>
                <w:szCs w:val="20"/>
              </w:rPr>
            </w:pPr>
            <w:hyperlink w:anchor="j_001" w:history="1">
              <w:r>
                <w:rPr>
                  <w:rStyle w:val="a4"/>
                  <w:rFonts w:eastAsia="Times New Roman"/>
                  <w:sz w:val="20"/>
                  <w:szCs w:val="20"/>
                </w:rPr>
                <w:t>PART I. FINANCIAL INFORMATION</w:t>
              </w:r>
            </w:hyperlink>
          </w:p>
        </w:tc>
        <w:tc>
          <w:tcPr>
            <w:tcW w:w="720" w:type="dxa"/>
            <w:shd w:val="clear" w:color="auto" w:fill="CCEEFF"/>
            <w:vAlign w:val="bottom"/>
            <w:hideMark/>
          </w:tcPr>
          <w:p w:rsidR="00000000" w:rsidRDefault="00391C87">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1</w:t>
            </w:r>
          </w:p>
        </w:tc>
        <w:tc>
          <w:tcPr>
            <w:tcW w:w="0" w:type="auto"/>
            <w:shd w:val="clear" w:color="auto" w:fill="FFFFFF"/>
            <w:vAlign w:val="bottom"/>
            <w:hideMark/>
          </w:tcPr>
          <w:p w:rsidR="00000000" w:rsidRDefault="00391C87">
            <w:pPr>
              <w:jc w:val="both"/>
              <w:rPr>
                <w:rFonts w:eastAsia="Times New Roman"/>
                <w:sz w:val="20"/>
                <w:szCs w:val="20"/>
              </w:rPr>
            </w:pPr>
            <w:hyperlink w:anchor="j_002" w:history="1">
              <w:r>
                <w:rPr>
                  <w:rStyle w:val="a4"/>
                  <w:rFonts w:eastAsia="Times New Roman"/>
                  <w:sz w:val="20"/>
                  <w:szCs w:val="20"/>
                </w:rPr>
                <w:t>Financial Statements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F-1</w:t>
            </w:r>
          </w:p>
        </w:tc>
      </w:tr>
      <w:tr w:rsidR="00000000">
        <w:tc>
          <w:tcPr>
            <w:tcW w:w="0" w:type="auto"/>
            <w:shd w:val="clear" w:color="auto" w:fill="CCEE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391C87">
            <w:pPr>
              <w:jc w:val="both"/>
              <w:rPr>
                <w:rFonts w:eastAsia="Times New Roman"/>
                <w:sz w:val="20"/>
                <w:szCs w:val="20"/>
              </w:rPr>
            </w:pPr>
            <w:hyperlink w:anchor="j_003" w:history="1">
              <w:r>
                <w:rPr>
                  <w:rStyle w:val="a4"/>
                  <w:rFonts w:eastAsia="Times New Roman"/>
                  <w:sz w:val="20"/>
                  <w:szCs w:val="20"/>
                </w:rPr>
                <w:t>Balance Sheets March 31, 2022</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391C87">
            <w:pPr>
              <w:jc w:val="both"/>
              <w:rPr>
                <w:rFonts w:eastAsia="Times New Roman"/>
                <w:sz w:val="20"/>
                <w:szCs w:val="20"/>
              </w:rPr>
            </w:pPr>
            <w:hyperlink w:anchor="j_004" w:history="1">
              <w:r>
                <w:rPr>
                  <w:rStyle w:val="a4"/>
                  <w:rFonts w:eastAsia="Times New Roman"/>
                  <w:sz w:val="20"/>
                  <w:szCs w:val="20"/>
                </w:rPr>
                <w:t>Statements of Operations March 31, 2022 (UNAUDITED)</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F-2</w:t>
            </w:r>
          </w:p>
        </w:tc>
      </w:tr>
      <w:tr w:rsidR="00000000">
        <w:tc>
          <w:tcPr>
            <w:tcW w:w="0" w:type="auto"/>
            <w:shd w:val="clear" w:color="auto" w:fill="CCEE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391C87">
            <w:pPr>
              <w:jc w:val="both"/>
              <w:rPr>
                <w:rFonts w:eastAsia="Times New Roman"/>
                <w:sz w:val="20"/>
                <w:szCs w:val="20"/>
              </w:rPr>
            </w:pPr>
            <w:hyperlink w:anchor="j_005" w:history="1">
              <w:r>
                <w:rPr>
                  <w:rStyle w:val="a4"/>
                  <w:rFonts w:eastAsia="Times New Roman"/>
                  <w:sz w:val="20"/>
                  <w:szCs w:val="20"/>
                </w:rPr>
                <w:t>Statements of Changes in Stockholders’ Equity For The Three Months Ended Mar</w:t>
              </w:r>
              <w:r>
                <w:rPr>
                  <w:rStyle w:val="a4"/>
                  <w:rFonts w:eastAsia="Times New Roman"/>
                  <w:sz w:val="20"/>
                  <w:szCs w:val="20"/>
                </w:rPr>
                <w:t>ch 31, 2022 (UNAUDITED)</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391C87">
            <w:pPr>
              <w:jc w:val="both"/>
              <w:rPr>
                <w:rFonts w:eastAsia="Times New Roman"/>
                <w:sz w:val="20"/>
                <w:szCs w:val="20"/>
              </w:rPr>
            </w:pPr>
            <w:hyperlink w:anchor="j_006" w:history="1">
              <w:r>
                <w:rPr>
                  <w:rStyle w:val="a4"/>
                  <w:rFonts w:eastAsia="Times New Roman"/>
                  <w:sz w:val="20"/>
                  <w:szCs w:val="20"/>
                </w:rPr>
                <w:t>Statements of Cash Flows For The Three Months Ended March 31, 2022 (UNAUDITED)</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F-4</w:t>
            </w:r>
          </w:p>
        </w:tc>
      </w:tr>
      <w:tr w:rsidR="00000000">
        <w:tc>
          <w:tcPr>
            <w:tcW w:w="0" w:type="auto"/>
            <w:shd w:val="clear" w:color="auto" w:fill="CCEE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391C87">
            <w:pPr>
              <w:jc w:val="both"/>
              <w:rPr>
                <w:rFonts w:eastAsia="Times New Roman"/>
                <w:sz w:val="20"/>
                <w:szCs w:val="20"/>
              </w:rPr>
            </w:pPr>
            <w:hyperlink w:anchor="j_007" w:history="1">
              <w:r>
                <w:rPr>
                  <w:rStyle w:val="a4"/>
                  <w:rFonts w:eastAsia="Times New Roman"/>
                  <w:sz w:val="20"/>
                  <w:szCs w:val="20"/>
                </w:rPr>
                <w:t>Notes to Consolidated Financial Statements</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F-5</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2</w:t>
            </w:r>
          </w:p>
        </w:tc>
        <w:tc>
          <w:tcPr>
            <w:tcW w:w="0" w:type="auto"/>
            <w:shd w:val="clear" w:color="auto" w:fill="FFFFFF"/>
            <w:vAlign w:val="bottom"/>
            <w:hideMark/>
          </w:tcPr>
          <w:p w:rsidR="00000000" w:rsidRDefault="00391C87">
            <w:pPr>
              <w:jc w:val="both"/>
              <w:rPr>
                <w:rFonts w:eastAsia="Times New Roman"/>
                <w:sz w:val="20"/>
                <w:szCs w:val="20"/>
              </w:rPr>
            </w:pPr>
            <w:hyperlink w:anchor="j_008"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3</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391C87">
            <w:pPr>
              <w:jc w:val="both"/>
              <w:rPr>
                <w:rFonts w:eastAsia="Times New Roman"/>
                <w:sz w:val="20"/>
                <w:szCs w:val="20"/>
              </w:rPr>
            </w:pPr>
            <w:hyperlink w:anchor="j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6</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4</w:t>
            </w:r>
          </w:p>
        </w:tc>
        <w:tc>
          <w:tcPr>
            <w:tcW w:w="0" w:type="auto"/>
            <w:shd w:val="clear" w:color="auto" w:fill="FFFFFF"/>
            <w:vAlign w:val="bottom"/>
            <w:hideMark/>
          </w:tcPr>
          <w:p w:rsidR="00000000" w:rsidRDefault="00391C87">
            <w:pPr>
              <w:jc w:val="both"/>
              <w:rPr>
                <w:rFonts w:eastAsia="Times New Roman"/>
                <w:sz w:val="20"/>
                <w:szCs w:val="20"/>
              </w:rPr>
            </w:pPr>
            <w:hyperlink w:anchor="j_010" w:history="1">
              <w:r>
                <w:rPr>
                  <w:rStyle w:val="a4"/>
                  <w:rFonts w:eastAsia="Times New Roman"/>
                  <w:sz w:val="20"/>
                  <w:szCs w:val="20"/>
                </w:rPr>
                <w:t xml:space="preserve">Controls </w:t>
              </w:r>
              <w:r>
                <w:rPr>
                  <w:rStyle w:val="a4"/>
                  <w:rFonts w:eastAsia="Times New Roman"/>
                  <w:sz w:val="20"/>
                  <w:szCs w:val="20"/>
                </w:rPr>
                <w:t>and Procedures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6</w:t>
            </w:r>
          </w:p>
        </w:tc>
      </w:tr>
      <w:tr w:rsidR="00000000">
        <w:tc>
          <w:tcPr>
            <w:tcW w:w="0" w:type="auto"/>
            <w:shd w:val="clear" w:color="auto" w:fill="CCEE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center"/>
              <w:rPr>
                <w:rFonts w:eastAsia="Times New Roman"/>
                <w:sz w:val="20"/>
                <w:szCs w:val="20"/>
              </w:rPr>
            </w:pPr>
            <w:hyperlink w:anchor="j_011" w:history="1">
              <w:r>
                <w:rPr>
                  <w:rStyle w:val="a4"/>
                  <w:rFonts w:eastAsia="Times New Roman"/>
                  <w:sz w:val="20"/>
                  <w:szCs w:val="20"/>
                </w:rPr>
                <w:t>PART II. OTHER INFORMATION</w:t>
              </w:r>
            </w:hyperlink>
          </w:p>
        </w:tc>
        <w:tc>
          <w:tcPr>
            <w:tcW w:w="0" w:type="auto"/>
            <w:shd w:val="clear" w:color="auto" w:fill="CCEEFF"/>
            <w:hideMark/>
          </w:tcPr>
          <w:p w:rsidR="00000000" w:rsidRDefault="00391C87">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lastRenderedPageBreak/>
              <w:t>Item 1</w:t>
            </w:r>
          </w:p>
        </w:tc>
        <w:tc>
          <w:tcPr>
            <w:tcW w:w="0" w:type="auto"/>
            <w:shd w:val="clear" w:color="auto" w:fill="FFFFFF"/>
            <w:vAlign w:val="bottom"/>
            <w:hideMark/>
          </w:tcPr>
          <w:p w:rsidR="00000000" w:rsidRDefault="00391C87">
            <w:pPr>
              <w:jc w:val="both"/>
              <w:rPr>
                <w:rFonts w:eastAsia="Times New Roman"/>
                <w:sz w:val="20"/>
                <w:szCs w:val="20"/>
              </w:rPr>
            </w:pPr>
            <w:hyperlink w:anchor="j_012" w:history="1">
              <w:r>
                <w:rPr>
                  <w:rStyle w:val="a4"/>
                  <w:rFonts w:eastAsia="Times New Roman"/>
                  <w:sz w:val="20"/>
                  <w:szCs w:val="20"/>
                </w:rPr>
                <w:t>Legal Proceedings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7</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Item 1A</w:t>
            </w:r>
          </w:p>
        </w:tc>
        <w:tc>
          <w:tcPr>
            <w:tcW w:w="0" w:type="auto"/>
            <w:shd w:val="clear" w:color="auto" w:fill="CCEEFF"/>
            <w:vAlign w:val="bottom"/>
            <w:hideMark/>
          </w:tcPr>
          <w:p w:rsidR="00000000" w:rsidRDefault="00391C87">
            <w:pPr>
              <w:jc w:val="both"/>
              <w:rPr>
                <w:rFonts w:eastAsia="Times New Roman"/>
                <w:sz w:val="20"/>
                <w:szCs w:val="20"/>
              </w:rPr>
            </w:pPr>
            <w:hyperlink w:anchor="j_013" w:history="1">
              <w:r>
                <w:rPr>
                  <w:rStyle w:val="a4"/>
                  <w:rFonts w:eastAsia="Times New Roman"/>
                  <w:sz w:val="20"/>
                  <w:szCs w:val="20"/>
                </w:rPr>
                <w:t>Risk Factors</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7</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2</w:t>
            </w:r>
          </w:p>
        </w:tc>
        <w:tc>
          <w:tcPr>
            <w:tcW w:w="0" w:type="auto"/>
            <w:shd w:val="clear" w:color="auto" w:fill="FFFFFF"/>
            <w:vAlign w:val="bottom"/>
            <w:hideMark/>
          </w:tcPr>
          <w:p w:rsidR="00000000" w:rsidRDefault="00391C87">
            <w:pPr>
              <w:jc w:val="both"/>
              <w:rPr>
                <w:rFonts w:eastAsia="Times New Roman"/>
                <w:sz w:val="20"/>
                <w:szCs w:val="20"/>
              </w:rPr>
            </w:pPr>
            <w:hyperlink w:anchor="j_014" w:history="1">
              <w:r>
                <w:rPr>
                  <w:rStyle w:val="a4"/>
                  <w:rFonts w:eastAsia="Times New Roman"/>
                  <w:sz w:val="20"/>
                  <w:szCs w:val="20"/>
                </w:rPr>
                <w:t>Unregistered Sales of Equity Securi</w:t>
              </w:r>
              <w:r>
                <w:rPr>
                  <w:rStyle w:val="a4"/>
                  <w:rFonts w:eastAsia="Times New Roman"/>
                  <w:sz w:val="20"/>
                  <w:szCs w:val="20"/>
                </w:rPr>
                <w:t>ties and Use of Proceeds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7</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391C87">
            <w:pPr>
              <w:jc w:val="both"/>
              <w:rPr>
                <w:rFonts w:eastAsia="Times New Roman"/>
                <w:sz w:val="20"/>
                <w:szCs w:val="20"/>
              </w:rPr>
            </w:pPr>
            <w:hyperlink w:anchor="j_015"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8</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4</w:t>
            </w:r>
          </w:p>
        </w:tc>
        <w:tc>
          <w:tcPr>
            <w:tcW w:w="0" w:type="auto"/>
            <w:shd w:val="clear" w:color="auto" w:fill="FFFFFF"/>
            <w:vAlign w:val="bottom"/>
            <w:hideMark/>
          </w:tcPr>
          <w:p w:rsidR="00000000" w:rsidRDefault="00391C87">
            <w:pPr>
              <w:jc w:val="both"/>
              <w:rPr>
                <w:rFonts w:eastAsia="Times New Roman"/>
                <w:sz w:val="20"/>
                <w:szCs w:val="20"/>
              </w:rPr>
            </w:pPr>
            <w:hyperlink w:anchor="k_020"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8</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Item 5</w:t>
            </w:r>
          </w:p>
        </w:tc>
        <w:tc>
          <w:tcPr>
            <w:tcW w:w="0" w:type="auto"/>
            <w:shd w:val="clear" w:color="auto" w:fill="CCEEFF"/>
            <w:vAlign w:val="bottom"/>
            <w:hideMark/>
          </w:tcPr>
          <w:p w:rsidR="00000000" w:rsidRDefault="00391C87">
            <w:pPr>
              <w:jc w:val="both"/>
              <w:rPr>
                <w:rFonts w:eastAsia="Times New Roman"/>
                <w:sz w:val="20"/>
                <w:szCs w:val="20"/>
              </w:rPr>
            </w:pPr>
            <w:hyperlink w:anchor="k_021" w:history="1">
              <w:r>
                <w:rPr>
                  <w:rStyle w:val="a4"/>
                  <w:rFonts w:eastAsia="Times New Roman"/>
                  <w:sz w:val="20"/>
                  <w:szCs w:val="20"/>
                </w:rPr>
                <w:t>Other Information</w:t>
              </w:r>
            </w:hyperlink>
          </w:p>
        </w:tc>
        <w:tc>
          <w:tcPr>
            <w:tcW w:w="0" w:type="auto"/>
            <w:shd w:val="clear" w:color="auto" w:fill="CCEEFF"/>
            <w:vAlign w:val="bottom"/>
            <w:hideMark/>
          </w:tcPr>
          <w:p w:rsidR="00000000" w:rsidRDefault="00391C87">
            <w:pPr>
              <w:jc w:val="center"/>
              <w:rPr>
                <w:rFonts w:eastAsia="Times New Roman"/>
                <w:sz w:val="20"/>
                <w:szCs w:val="20"/>
              </w:rPr>
            </w:pPr>
            <w:r>
              <w:rPr>
                <w:rFonts w:eastAsia="Times New Roman"/>
                <w:sz w:val="20"/>
                <w:szCs w:val="20"/>
              </w:rPr>
              <w:t>8</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Item 6</w:t>
            </w:r>
          </w:p>
        </w:tc>
        <w:tc>
          <w:tcPr>
            <w:tcW w:w="0" w:type="auto"/>
            <w:shd w:val="clear" w:color="auto" w:fill="FFFFFF"/>
            <w:vAlign w:val="bottom"/>
            <w:hideMark/>
          </w:tcPr>
          <w:p w:rsidR="00000000" w:rsidRDefault="00391C87">
            <w:pPr>
              <w:jc w:val="both"/>
              <w:rPr>
                <w:rFonts w:eastAsia="Times New Roman"/>
                <w:sz w:val="20"/>
                <w:szCs w:val="20"/>
              </w:rPr>
            </w:pPr>
            <w:hyperlink w:anchor="k_022" w:history="1">
              <w:r>
                <w:rPr>
                  <w:rStyle w:val="a4"/>
                  <w:rFonts w:eastAsia="Times New Roman"/>
                  <w:sz w:val="20"/>
                  <w:szCs w:val="20"/>
                </w:rPr>
                <w:t>Exhibits</w:t>
              </w:r>
            </w:hyperlink>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8</w:t>
            </w:r>
          </w:p>
        </w:tc>
      </w:tr>
      <w:tr w:rsidR="00000000">
        <w:tc>
          <w:tcPr>
            <w:tcW w:w="0" w:type="auto"/>
            <w:shd w:val="clear" w:color="auto" w:fill="CCEEFF"/>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91C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391C87">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hyperlink w:anchor="k_023" w:history="1">
              <w:r>
                <w:rPr>
                  <w:rStyle w:val="a4"/>
                  <w:rFonts w:eastAsia="Times New Roman"/>
                  <w:sz w:val="20"/>
                  <w:szCs w:val="20"/>
                </w:rPr>
                <w:t>Signatures</w:t>
              </w:r>
            </w:hyperlink>
          </w:p>
        </w:tc>
        <w:tc>
          <w:tcPr>
            <w:tcW w:w="0" w:type="auto"/>
            <w:shd w:val="clear" w:color="auto" w:fill="FFFFFF"/>
            <w:hideMark/>
          </w:tcPr>
          <w:p w:rsidR="00000000" w:rsidRDefault="00391C8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center"/>
              <w:rPr>
                <w:rFonts w:eastAsia="Times New Roman"/>
                <w:sz w:val="20"/>
                <w:szCs w:val="20"/>
              </w:rPr>
            </w:pPr>
            <w:r>
              <w:rPr>
                <w:rFonts w:eastAsia="Times New Roman"/>
                <w:sz w:val="20"/>
                <w:szCs w:val="20"/>
              </w:rPr>
              <w:t>9</w:t>
            </w:r>
          </w:p>
        </w:tc>
      </w:tr>
    </w:tbl>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8589435"/>
        </w:trPr>
        <w:tc>
          <w:tcPr>
            <w:tcW w:w="5000" w:type="pct"/>
            <w:hideMark/>
          </w:tcPr>
          <w:p w:rsidR="00000000" w:rsidRDefault="00391C87">
            <w:pPr>
              <w:jc w:val="center"/>
              <w:rPr>
                <w:rFonts w:eastAsia="Times New Roman"/>
                <w:sz w:val="20"/>
                <w:szCs w:val="20"/>
              </w:rPr>
            </w:pPr>
            <w:r>
              <w:rPr>
                <w:rFonts w:eastAsia="Times New Roman"/>
                <w:sz w:val="20"/>
                <w:szCs w:val="20"/>
              </w:rPr>
              <w:t>2</w:t>
            </w:r>
          </w:p>
        </w:tc>
      </w:tr>
    </w:tbl>
    <w:p w:rsidR="00000000" w:rsidRDefault="00391C87">
      <w:pPr>
        <w:pStyle w:val="a3"/>
        <w:spacing w:before="0" w:beforeAutospacing="0" w:after="0" w:afterAutospacing="0"/>
        <w:divId w:val="862745875"/>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PART I — FINANCIAL INFORMATION</w:t>
      </w:r>
    </w:p>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rPr>
          <w:sz w:val="20"/>
          <w:szCs w:val="20"/>
        </w:rPr>
      </w:pPr>
      <w:r>
        <w:rPr>
          <w:sz w:val="20"/>
          <w:szCs w:val="20"/>
        </w:rPr>
        <w:t>Item 1. Financial Statements</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BROAD CAPITAL ACQUISITION CORP</w:t>
      </w:r>
    </w:p>
    <w:p w:rsidR="00000000" w:rsidRDefault="00391C87">
      <w:pPr>
        <w:pStyle w:val="a3"/>
        <w:spacing w:before="0" w:beforeAutospacing="0" w:after="0" w:afterAutospacing="0"/>
        <w:jc w:val="center"/>
        <w:rPr>
          <w:sz w:val="20"/>
          <w:szCs w:val="20"/>
        </w:rPr>
      </w:pPr>
      <w:r>
        <w:rPr>
          <w:b/>
          <w:bCs/>
          <w:sz w:val="20"/>
          <w:szCs w:val="20"/>
        </w:rPr>
        <w:t>BALANCE SHEETS</w:t>
      </w:r>
    </w:p>
    <w:p w:rsidR="00000000" w:rsidRDefault="00391C87">
      <w:pPr>
        <w:pStyle w:val="a3"/>
        <w:spacing w:before="0" w:beforeAutospacing="0" w:after="0" w:afterAutospacing="0"/>
        <w:jc w:val="center"/>
        <w:rPr>
          <w:sz w:val="20"/>
          <w:szCs w:val="20"/>
        </w:rPr>
      </w:pPr>
      <w:r>
        <w:rPr>
          <w:b/>
          <w:bCs/>
          <w:sz w:val="20"/>
          <w:szCs w:val="20"/>
        </w:rPr>
        <w:t>March 31, 2022</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s"/>
      </w:tblPr>
      <w:tblGrid>
        <w:gridCol w:w="4979"/>
        <w:gridCol w:w="161"/>
        <w:gridCol w:w="100"/>
        <w:gridCol w:w="1324"/>
        <w:gridCol w:w="78"/>
        <w:gridCol w:w="161"/>
        <w:gridCol w:w="100"/>
        <w:gridCol w:w="1324"/>
        <w:gridCol w:w="79"/>
      </w:tblGrid>
      <w:tr w:rsidR="00000000">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91C87">
            <w:pPr>
              <w:pStyle w:val="a3"/>
              <w:spacing w:before="0" w:beforeAutospacing="0" w:after="0" w:afterAutospacing="0"/>
              <w:jc w:val="center"/>
              <w:rPr>
                <w:sz w:val="20"/>
                <w:szCs w:val="20"/>
              </w:rPr>
            </w:pPr>
            <w:r>
              <w:rPr>
                <w:b/>
                <w:bCs/>
                <w:sz w:val="20"/>
                <w:szCs w:val="20"/>
              </w:rPr>
              <w:t>March 31, 2022</w:t>
            </w:r>
          </w:p>
          <w:p w:rsidR="00000000" w:rsidRDefault="00391C87">
            <w:pPr>
              <w:pStyle w:val="a3"/>
              <w:spacing w:before="0" w:beforeAutospacing="0" w:after="0" w:afterAutospacing="0"/>
              <w:jc w:val="center"/>
              <w:rPr>
                <w:sz w:val="20"/>
                <w:szCs w:val="20"/>
              </w:rPr>
            </w:pPr>
            <w:r>
              <w:rPr>
                <w:b/>
                <w:bCs/>
                <w:sz w:val="20"/>
                <w:szCs w:val="20"/>
              </w:rPr>
              <w:t>(unaudited)</w:t>
            </w:r>
          </w:p>
        </w:tc>
        <w:tc>
          <w:tcPr>
            <w:tcW w:w="0" w:type="auto"/>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91C87">
            <w:pPr>
              <w:pStyle w:val="a3"/>
              <w:spacing w:before="0" w:beforeAutospacing="0" w:after="0" w:afterAutospacing="0"/>
              <w:jc w:val="center"/>
              <w:rPr>
                <w:sz w:val="20"/>
                <w:szCs w:val="20"/>
              </w:rPr>
            </w:pPr>
            <w:r>
              <w:rPr>
                <w:b/>
                <w:bCs/>
                <w:sz w:val="20"/>
                <w:szCs w:val="20"/>
              </w:rPr>
              <w:t>December 31, 2021</w:t>
            </w:r>
          </w:p>
          <w:p w:rsidR="00000000" w:rsidRDefault="00391C87">
            <w:pPr>
              <w:pStyle w:val="a3"/>
              <w:spacing w:before="0" w:beforeAutospacing="0" w:after="0" w:afterAutospacing="0"/>
              <w:jc w:val="center"/>
              <w:rPr>
                <w:sz w:val="20"/>
                <w:szCs w:val="20"/>
              </w:rPr>
            </w:pPr>
            <w:r>
              <w:rPr>
                <w:b/>
                <w:bCs/>
                <w:sz w:val="20"/>
                <w:szCs w:val="20"/>
              </w:rPr>
              <w:t>(audited)</w:t>
            </w:r>
          </w:p>
        </w:tc>
        <w:tc>
          <w:tcPr>
            <w:tcW w:w="0" w:type="auto"/>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391C8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91C87">
            <w:pPr>
              <w:jc w:val="right"/>
              <w:rPr>
                <w:rFonts w:eastAsia="Times New Roman"/>
                <w:sz w:val="20"/>
                <w:szCs w:val="20"/>
              </w:rPr>
            </w:pPr>
            <w:r>
              <w:rPr>
                <w:rFonts w:eastAsia="Times New Roman"/>
                <w:sz w:val="20"/>
                <w:szCs w:val="20"/>
              </w:rPr>
              <w:t>639,346</w:t>
            </w:r>
          </w:p>
        </w:tc>
        <w:tc>
          <w:tcPr>
            <w:tcW w:w="50" w:type="pct"/>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91C87">
            <w:pPr>
              <w:jc w:val="right"/>
              <w:rPr>
                <w:rFonts w:eastAsia="Times New Roman"/>
                <w:sz w:val="20"/>
                <w:szCs w:val="20"/>
              </w:rPr>
            </w:pPr>
            <w:r>
              <w:rPr>
                <w:rFonts w:eastAsia="Times New Roman"/>
                <w:sz w:val="20"/>
                <w:szCs w:val="20"/>
              </w:rPr>
              <w:t>2,164</w:t>
            </w:r>
          </w:p>
        </w:tc>
        <w:tc>
          <w:tcPr>
            <w:tcW w:w="50" w:type="pct"/>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Deferred offering costs</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287,601</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639,346</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102,646,544</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103,285,890</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LIABILITIES AND SHAREHOLDERS’ DEFICIT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47,500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151,503</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Promissory note – related party</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133,357</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47,500</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284,860</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Deferred underwriter commission</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3,603,174</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284,860</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vanish/>
                <w:sz w:val="20"/>
                <w:szCs w:val="20"/>
              </w:rPr>
              <w:t>-</w:t>
            </w: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Common Stock subject to possible redemption;</w:t>
            </w:r>
            <w:r>
              <w:rPr>
                <w:rFonts w:eastAsia="Times New Roman"/>
                <w:sz w:val="20"/>
                <w:szCs w:val="20"/>
              </w:rPr>
              <w:t xml:space="preserve"> </w:t>
            </w:r>
            <w:r>
              <w:rPr>
                <w:rFonts w:eastAsia="Times New Roman"/>
                <w:sz w:val="20"/>
                <w:szCs w:val="20"/>
              </w:rPr>
              <w:t>11,500,00</w:t>
            </w:r>
            <w:r>
              <w:rPr>
                <w:rFonts w:eastAsia="Times New Roman"/>
                <w:sz w:val="20"/>
                <w:szCs w:val="20"/>
              </w:rPr>
              <w:t>0</w:t>
            </w:r>
            <w:r>
              <w:rPr>
                <w:rFonts w:eastAsia="Times New Roman"/>
                <w:sz w:val="20"/>
                <w:szCs w:val="20"/>
              </w:rPr>
              <w:t xml:space="preserve"> shares (at </w:t>
            </w:r>
            <w:r>
              <w:rPr>
                <w:rFonts w:eastAsia="Times New Roman"/>
                <w:sz w:val="20"/>
                <w:szCs w:val="20"/>
              </w:rPr>
              <w:t>$</w:t>
            </w:r>
            <w:r>
              <w:rPr>
                <w:rFonts w:eastAsia="Times New Roman"/>
                <w:sz w:val="20"/>
                <w:szCs w:val="20"/>
              </w:rPr>
              <w:t>10.1</w:t>
            </w:r>
            <w:r>
              <w:rPr>
                <w:rFonts w:eastAsia="Times New Roman"/>
                <w:sz w:val="20"/>
                <w:szCs w:val="20"/>
              </w:rPr>
              <w:t>0</w:t>
            </w:r>
            <w:r>
              <w:rPr>
                <w:rFonts w:eastAsia="Times New Roman"/>
                <w:sz w:val="20"/>
                <w:szCs w:val="20"/>
              </w:rPr>
              <w:t xml:space="preserve"> per share)</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102,606,597</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Shareholders’ Deficit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xml:space="preserve">Preference Shares,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w:t>
            </w:r>
            <w:r>
              <w:rPr>
                <w:rFonts w:eastAsia="Times New Roman"/>
                <w:sz w:val="20"/>
                <w:szCs w:val="20"/>
              </w:rPr>
              <w:t>issued and outstanding</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2,990,89</w:t>
            </w:r>
            <w:r>
              <w:rPr>
                <w:rFonts w:eastAsia="Times New Roman"/>
                <w:sz w:val="20"/>
                <w:szCs w:val="20"/>
              </w:rPr>
              <w:t>7</w:t>
            </w:r>
            <w:r>
              <w:rPr>
                <w:rFonts w:eastAsia="Times New Roman"/>
                <w:sz w:val="20"/>
                <w:szCs w:val="20"/>
              </w:rPr>
              <w:t xml:space="preserve"> issued and outstanding (excluding</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subject to possible redemption)</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24,997</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(2,923,884</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(20,095</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lastRenderedPageBreak/>
              <w:t>Total Shareholders’ Deficit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(2,923,881</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4,905</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Total Liabilities and Shareholders’ Deficit</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103,285,890</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289,765</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bl>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9154920"/>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rsidR="00000000" w:rsidRDefault="00391C87">
      <w:pPr>
        <w:pStyle w:val="a3"/>
        <w:spacing w:before="0" w:beforeAutospacing="0" w:after="0" w:afterAutospacing="0"/>
        <w:divId w:val="168058575"/>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BROAD CAPITAL ACQUISITION CORP</w:t>
      </w:r>
    </w:p>
    <w:p w:rsidR="00000000" w:rsidRDefault="00391C87">
      <w:pPr>
        <w:pStyle w:val="a3"/>
        <w:spacing w:before="0" w:beforeAutospacing="0" w:after="0" w:afterAutospacing="0"/>
        <w:jc w:val="center"/>
        <w:rPr>
          <w:sz w:val="20"/>
          <w:szCs w:val="20"/>
        </w:rPr>
      </w:pPr>
      <w:r>
        <w:rPr>
          <w:b/>
          <w:bCs/>
          <w:sz w:val="20"/>
          <w:szCs w:val="20"/>
        </w:rPr>
        <w:t>STATEMENT OF OPERATIONS</w:t>
      </w:r>
    </w:p>
    <w:p w:rsidR="00000000" w:rsidRDefault="00391C87">
      <w:pPr>
        <w:pStyle w:val="a3"/>
        <w:spacing w:before="0" w:beforeAutospacing="0" w:after="0" w:afterAutospacing="0"/>
        <w:jc w:val="center"/>
        <w:rPr>
          <w:sz w:val="20"/>
          <w:szCs w:val="20"/>
        </w:rPr>
      </w:pPr>
      <w:r>
        <w:rPr>
          <w:b/>
          <w:bCs/>
          <w:sz w:val="20"/>
          <w:szCs w:val="20"/>
        </w:rPr>
        <w:t>March 31, 2022</w:t>
      </w:r>
    </w:p>
    <w:p w:rsidR="00000000" w:rsidRDefault="00391C87">
      <w:pPr>
        <w:pStyle w:val="a3"/>
        <w:spacing w:before="0" w:beforeAutospacing="0" w:after="0" w:afterAutospacing="0"/>
        <w:jc w:val="center"/>
        <w:rPr>
          <w:sz w:val="20"/>
          <w:szCs w:val="20"/>
        </w:rPr>
      </w:pPr>
      <w:r>
        <w:rPr>
          <w:b/>
          <w:bCs/>
          <w:sz w:val="20"/>
          <w:szCs w:val="20"/>
        </w:rPr>
        <w:t>(UNAUDITED)</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Operations (Unaudited)"/>
      </w:tblPr>
      <w:tblGrid>
        <w:gridCol w:w="6640"/>
        <w:gridCol w:w="162"/>
        <w:gridCol w:w="100"/>
        <w:gridCol w:w="1325"/>
        <w:gridCol w:w="79"/>
      </w:tblGrid>
      <w:tr w:rsidR="00000000">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For the Three Months Ended</w:t>
            </w:r>
            <w:r>
              <w:rPr>
                <w:rFonts w:eastAsia="Times New Roman"/>
                <w:b/>
                <w:bCs/>
                <w:sz w:val="20"/>
                <w:szCs w:val="20"/>
              </w:rPr>
              <w:br/>
              <w:t>March 31, 2022</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c>
          <w:tcPr>
            <w:tcW w:w="0" w:type="auto"/>
            <w:gridSpan w:val="2"/>
            <w:vAlign w:val="bottom"/>
            <w:hideMark/>
          </w:tcPr>
          <w:p w:rsidR="00000000" w:rsidRDefault="00391C87">
            <w:pP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sz w:val="20"/>
                <w:szCs w:val="20"/>
              </w:rPr>
            </w:pPr>
            <w:r>
              <w:rPr>
                <w:rFonts w:eastAsia="Times New Roman"/>
                <w:sz w:val="20"/>
                <w:szCs w:val="20"/>
              </w:rPr>
              <w:t> </w:t>
            </w:r>
          </w:p>
        </w:tc>
      </w:tr>
      <w:tr w:rsidR="00000000">
        <w:tc>
          <w:tcPr>
            <w:tcW w:w="4000" w:type="pct"/>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xml:space="preserve">Formation </w:t>
            </w:r>
            <w:r>
              <w:rPr>
                <w:rFonts w:eastAsia="Times New Roman"/>
                <w:sz w:val="20"/>
                <w:szCs w:val="20"/>
              </w:rPr>
              <w:t>and operating costs</w:t>
            </w:r>
          </w:p>
        </w:tc>
        <w:tc>
          <w:tcPr>
            <w:tcW w:w="100" w:type="pct"/>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(459,413</w:t>
            </w:r>
          </w:p>
        </w:tc>
        <w:tc>
          <w:tcPr>
            <w:tcW w:w="50" w:type="pct"/>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(459,413</w:t>
            </w:r>
          </w:p>
        </w:tc>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Other Income</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39,948</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(419,465</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Weighted average shares outstanding of ordinary shares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11,901,642</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Basic and diluted net loss per ordinary share</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(0.04</w:t>
            </w:r>
          </w:p>
        </w:tc>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r>
    </w:tbl>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The accompanying notes are an inte</w:t>
      </w:r>
      <w:r>
        <w:rPr>
          <w:b/>
          <w:bCs/>
          <w:sz w:val="20"/>
          <w:szCs w:val="20"/>
        </w:rPr>
        <w:t>gral part of these unaudited financial statements.</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6916128"/>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rsidR="00000000" w:rsidRDefault="00391C87">
      <w:pPr>
        <w:pStyle w:val="a3"/>
        <w:spacing w:before="0" w:beforeAutospacing="0" w:after="0" w:afterAutospacing="0"/>
        <w:divId w:val="886258905"/>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BROAD CAPITAL ACQUISITION CORP</w:t>
      </w:r>
    </w:p>
    <w:p w:rsidR="00000000" w:rsidRDefault="00391C87">
      <w:pPr>
        <w:pStyle w:val="a3"/>
        <w:spacing w:before="0" w:beforeAutospacing="0" w:after="0" w:afterAutospacing="0"/>
        <w:jc w:val="center"/>
        <w:rPr>
          <w:sz w:val="20"/>
          <w:szCs w:val="20"/>
        </w:rPr>
      </w:pPr>
      <w:r>
        <w:rPr>
          <w:b/>
          <w:bCs/>
          <w:sz w:val="20"/>
          <w:szCs w:val="20"/>
        </w:rPr>
        <w:t>STATEMENT OF CHANGES IN STOCKHOLDERS’ EQUITY</w:t>
      </w:r>
    </w:p>
    <w:p w:rsidR="00000000" w:rsidRDefault="00391C87">
      <w:pPr>
        <w:pStyle w:val="a3"/>
        <w:spacing w:before="0" w:beforeAutospacing="0" w:after="0" w:afterAutospacing="0"/>
        <w:jc w:val="center"/>
        <w:rPr>
          <w:sz w:val="20"/>
          <w:szCs w:val="20"/>
        </w:rPr>
      </w:pPr>
      <w:r>
        <w:rPr>
          <w:b/>
          <w:bCs/>
          <w:sz w:val="20"/>
          <w:szCs w:val="20"/>
        </w:rPr>
        <w:t>FOR THE THREE MONTHS ENDED MARCH 31, 2022</w:t>
      </w:r>
    </w:p>
    <w:p w:rsidR="00000000" w:rsidRDefault="00391C87">
      <w:pPr>
        <w:pStyle w:val="a3"/>
        <w:spacing w:before="0" w:beforeAutospacing="0" w:after="0" w:afterAutospacing="0"/>
        <w:jc w:val="center"/>
        <w:rPr>
          <w:sz w:val="20"/>
          <w:szCs w:val="20"/>
        </w:rPr>
      </w:pPr>
      <w:r>
        <w:rPr>
          <w:b/>
          <w:bCs/>
          <w:sz w:val="20"/>
          <w:szCs w:val="20"/>
        </w:rPr>
        <w:t>(UNAUDITED)</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Unaudited)"/>
      </w:tblPr>
      <w:tblGrid>
        <w:gridCol w:w="2322"/>
        <w:gridCol w:w="50"/>
        <w:gridCol w:w="50"/>
        <w:gridCol w:w="967"/>
        <w:gridCol w:w="67"/>
        <w:gridCol w:w="50"/>
        <w:gridCol w:w="101"/>
        <w:gridCol w:w="630"/>
        <w:gridCol w:w="67"/>
        <w:gridCol w:w="50"/>
        <w:gridCol w:w="100"/>
        <w:gridCol w:w="1067"/>
        <w:gridCol w:w="67"/>
        <w:gridCol w:w="50"/>
        <w:gridCol w:w="114"/>
        <w:gridCol w:w="1020"/>
        <w:gridCol w:w="67"/>
        <w:gridCol w:w="50"/>
        <w:gridCol w:w="100"/>
        <w:gridCol w:w="1250"/>
        <w:gridCol w:w="67"/>
      </w:tblGrid>
      <w:tr w:rsidR="00000000">
        <w:trPr>
          <w:hidden/>
        </w:trPr>
        <w:tc>
          <w:tcPr>
            <w:tcW w:w="0" w:type="auto"/>
            <w:vAlign w:val="bottom"/>
            <w:hideMark/>
          </w:tcPr>
          <w:p w:rsidR="00000000" w:rsidRDefault="00391C87">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vanish/>
                <w:sz w:val="20"/>
                <w:szCs w:val="20"/>
              </w:rPr>
            </w:pPr>
            <w:r>
              <w:rPr>
                <w:rFonts w:eastAsia="Times New Roman"/>
                <w:b/>
                <w:bCs/>
                <w:vanish/>
                <w:sz w:val="20"/>
                <w:szCs w:val="20"/>
              </w:rPr>
              <w:t>Paid-In</w:t>
            </w:r>
            <w:r>
              <w:rPr>
                <w:rFonts w:eastAsia="Times New Roman"/>
                <w:b/>
                <w:bCs/>
                <w:vanish/>
                <w:sz w:val="20"/>
                <w:szCs w:val="20"/>
              </w:rPr>
              <w:br/>
              <w:t>Capital</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vanish/>
                <w:sz w:val="20"/>
                <w:szCs w:val="20"/>
              </w:rPr>
            </w:pPr>
            <w:r>
              <w:rPr>
                <w:rFonts w:eastAsia="Times New Roman"/>
                <w:b/>
                <w:bCs/>
                <w:vanish/>
                <w:sz w:val="20"/>
                <w:szCs w:val="20"/>
              </w:rPr>
              <w:t xml:space="preserve">Accumulated </w:t>
            </w:r>
            <w:r>
              <w:rPr>
                <w:rFonts w:eastAsia="Times New Roman"/>
                <w:b/>
                <w:bCs/>
                <w:vanish/>
                <w:sz w:val="20"/>
                <w:szCs w:val="20"/>
              </w:rPr>
              <w:br/>
              <w:t>Deficit</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vanish/>
                <w:sz w:val="20"/>
                <w:szCs w:val="20"/>
              </w:rPr>
            </w:pPr>
            <w:r>
              <w:rPr>
                <w:rFonts w:eastAsia="Times New Roman"/>
                <w:b/>
                <w:bCs/>
                <w:vanish/>
                <w:sz w:val="20"/>
                <w:szCs w:val="20"/>
              </w:rPr>
              <w:t>Stockholders’</w:t>
            </w:r>
            <w:r>
              <w:rPr>
                <w:rFonts w:eastAsia="Times New Roman"/>
                <w:b/>
                <w:bCs/>
                <w:vanish/>
                <w:sz w:val="20"/>
                <w:szCs w:val="20"/>
              </w:rPr>
              <w:br/>
              <w:t>Equity (Deficit)</w:t>
            </w:r>
          </w:p>
        </w:tc>
        <w:tc>
          <w:tcPr>
            <w:tcW w:w="0" w:type="auto"/>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91C87">
            <w:pPr>
              <w:jc w:val="center"/>
              <w:rPr>
                <w:rFonts w:eastAsia="Times New Roman"/>
                <w:b/>
                <w:bCs/>
                <w:sz w:val="20"/>
                <w:szCs w:val="20"/>
              </w:rPr>
            </w:pPr>
            <w:r>
              <w:rPr>
                <w:rFonts w:eastAsia="Times New Roman"/>
                <w:b/>
                <w:bCs/>
                <w:sz w:val="20"/>
                <w:szCs w:val="20"/>
              </w:rPr>
              <w:t>Common Stock</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91C87">
            <w:pPr>
              <w:jc w:val="center"/>
              <w:rPr>
                <w:rFonts w:eastAsia="Times New Roman"/>
                <w:b/>
                <w:bCs/>
                <w:sz w:val="20"/>
                <w:szCs w:val="20"/>
              </w:rPr>
            </w:pPr>
            <w:r>
              <w:rPr>
                <w:rFonts w:eastAsia="Times New Roman"/>
                <w:b/>
                <w:bCs/>
                <w:sz w:val="20"/>
                <w:szCs w:val="20"/>
              </w:rPr>
              <w:t>Additional</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91C87">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91C87">
            <w:pPr>
              <w:jc w:val="center"/>
              <w:rPr>
                <w:rFonts w:eastAsia="Times New Roman"/>
                <w:b/>
                <w:bCs/>
                <w:sz w:val="20"/>
                <w:szCs w:val="20"/>
              </w:rPr>
            </w:pPr>
            <w:r>
              <w:rPr>
                <w:rFonts w:eastAsia="Times New Roman"/>
                <w:b/>
                <w:bCs/>
                <w:sz w:val="20"/>
                <w:szCs w:val="20"/>
              </w:rPr>
              <w:t>Total</w:t>
            </w:r>
          </w:p>
        </w:tc>
        <w:tc>
          <w:tcPr>
            <w:tcW w:w="0" w:type="auto"/>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91C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Paid-In</w:t>
            </w:r>
            <w:r>
              <w:rPr>
                <w:rFonts w:eastAsia="Times New Roman"/>
                <w:b/>
                <w:bCs/>
                <w:sz w:val="20"/>
                <w:szCs w:val="20"/>
              </w:rPr>
              <w:br/>
              <w:t>Capital</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 xml:space="preserve">Accumulated </w:t>
            </w:r>
            <w:r>
              <w:rPr>
                <w:rFonts w:eastAsia="Times New Roman"/>
                <w:b/>
                <w:bCs/>
                <w:sz w:val="20"/>
                <w:szCs w:val="20"/>
              </w:rPr>
              <w:br/>
              <w:t>Deficit</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91C87">
            <w:pPr>
              <w:jc w:val="center"/>
              <w:rPr>
                <w:rFonts w:eastAsia="Times New Roman"/>
                <w:b/>
                <w:bCs/>
                <w:sz w:val="20"/>
                <w:szCs w:val="20"/>
              </w:rPr>
            </w:pPr>
            <w:r>
              <w:rPr>
                <w:rFonts w:eastAsia="Times New Roman"/>
                <w:b/>
                <w:bCs/>
                <w:sz w:val="20"/>
                <w:szCs w:val="20"/>
              </w:rPr>
              <w:t>Stockholders’</w:t>
            </w:r>
            <w:r>
              <w:rPr>
                <w:rFonts w:eastAsia="Times New Roman"/>
                <w:b/>
                <w:bCs/>
                <w:sz w:val="20"/>
                <w:szCs w:val="20"/>
              </w:rPr>
              <w:br/>
              <w:t>Equity (Deficit)</w:t>
            </w:r>
          </w:p>
        </w:tc>
        <w:tc>
          <w:tcPr>
            <w:tcW w:w="0" w:type="auto"/>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17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xml:space="preserve">Balance – </w:t>
            </w:r>
            <w:r>
              <w:rPr>
                <w:rFonts w:eastAsia="Times New Roman"/>
                <w:b/>
                <w:bCs/>
                <w:sz w:val="20"/>
                <w:szCs w:val="20"/>
              </w:rPr>
              <w:t>December 31, 2021</w:t>
            </w:r>
          </w:p>
        </w:tc>
        <w:tc>
          <w:tcPr>
            <w:tcW w:w="10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2,875,000</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3</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24,997</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(20,095</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4,905</w:t>
            </w:r>
          </w:p>
        </w:tc>
        <w:tc>
          <w:tcPr>
            <w:tcW w:w="50" w:type="pct"/>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xml:space="preserve">Balance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2,875,000</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3</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24,997</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(20,095</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4,905</w:t>
            </w:r>
          </w:p>
        </w:tc>
        <w:tc>
          <w:tcPr>
            <w:tcW w:w="0" w:type="auto"/>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Sale of Units in Initial Public Offering</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10,159,069</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101,590,680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r>
              <w:rPr>
                <w:rFonts w:eastAsia="Times New Roman"/>
                <w:sz w:val="20"/>
                <w:szCs w:val="20"/>
              </w:rPr>
              <w:t>  101,590,690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Common Stock subject to possible redemption</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(10,159,069</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(102,606,587</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(101,606,597</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Sale of Placement Units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451,130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Offering and Underwriting costs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Deferred underwriting commission</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Forfeiture of Insider Shares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pStyle w:val="a3"/>
              <w:spacing w:before="0" w:beforeAutospacing="0" w:after="0" w:afterAutospacing="0"/>
              <w:jc w:val="right"/>
              <w:rPr>
                <w:sz w:val="20"/>
                <w:szCs w:val="20"/>
              </w:rPr>
            </w:pPr>
            <w:r>
              <w:rPr>
                <w:sz w:val="20"/>
                <w:szCs w:val="20"/>
              </w:rPr>
              <w:t>(335,233</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Re-classification</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(419,465</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(419,465</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Balance – March 31, 2022</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2,990,897</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3</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(2,923,884</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b/>
                <w:bCs/>
                <w:sz w:val="20"/>
                <w:szCs w:val="20"/>
              </w:rPr>
            </w:pPr>
            <w:r>
              <w:rPr>
                <w:rFonts w:eastAsia="Times New Roman"/>
                <w:b/>
                <w:bCs/>
                <w:sz w:val="20"/>
                <w:szCs w:val="20"/>
              </w:rPr>
              <w:t>(2,923,881</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r>
      <w:tr w:rsidR="00000000">
        <w:trPr>
          <w:hidden/>
        </w:trPr>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vanish/>
                <w:sz w:val="20"/>
                <w:szCs w:val="20"/>
              </w:rPr>
            </w:pPr>
            <w:r>
              <w:rPr>
                <w:rFonts w:eastAsia="Times New Roman"/>
                <w:vanish/>
                <w:sz w:val="20"/>
                <w:szCs w:val="20"/>
              </w:rPr>
              <w:t>Balance</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2,990,897</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3</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(2,923,884</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vanish/>
                <w:sz w:val="20"/>
                <w:szCs w:val="20"/>
              </w:rPr>
            </w:pPr>
            <w:r>
              <w:rPr>
                <w:rFonts w:eastAsia="Times New Roman"/>
                <w:b/>
                <w:bCs/>
                <w:vanish/>
                <w:sz w:val="20"/>
                <w:szCs w:val="20"/>
              </w:rPr>
              <w:t>(2,923,881</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vanish/>
                <w:sz w:val="20"/>
                <w:szCs w:val="20"/>
              </w:rPr>
            </w:pPr>
            <w:r>
              <w:rPr>
                <w:rFonts w:eastAsia="Times New Roman"/>
                <w:b/>
                <w:bCs/>
                <w:vanish/>
                <w:sz w:val="20"/>
                <w:szCs w:val="20"/>
              </w:rPr>
              <w:t>)</w:t>
            </w:r>
          </w:p>
        </w:tc>
      </w:tr>
    </w:tbl>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lastRenderedPageBreak/>
        <w:t>The accompanying notes are an integral part of these unaudited financial statements.</w:t>
      </w:r>
    </w:p>
    <w:p w:rsidR="00000000" w:rsidRDefault="00391C8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09371996"/>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rsidR="00000000" w:rsidRDefault="00391C87">
      <w:pPr>
        <w:pStyle w:val="a3"/>
        <w:spacing w:before="0" w:beforeAutospacing="0" w:after="0" w:afterAutospacing="0"/>
        <w:divId w:val="332533784"/>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BROAD CAPITAL ACQUISITION CORP</w:t>
      </w:r>
    </w:p>
    <w:p w:rsidR="00000000" w:rsidRDefault="00391C87">
      <w:pPr>
        <w:pStyle w:val="a3"/>
        <w:spacing w:before="0" w:beforeAutospacing="0" w:after="0" w:afterAutospacing="0"/>
        <w:jc w:val="center"/>
        <w:rPr>
          <w:sz w:val="20"/>
          <w:szCs w:val="20"/>
        </w:rPr>
      </w:pPr>
      <w:r>
        <w:rPr>
          <w:b/>
          <w:bCs/>
          <w:sz w:val="20"/>
          <w:szCs w:val="20"/>
        </w:rPr>
        <w:t>STATEMENT OF CASH FLOWS</w:t>
      </w:r>
    </w:p>
    <w:p w:rsidR="00000000" w:rsidRDefault="00391C87">
      <w:pPr>
        <w:pStyle w:val="a3"/>
        <w:spacing w:before="0" w:beforeAutospacing="0" w:after="0" w:afterAutospacing="0"/>
        <w:jc w:val="center"/>
        <w:rPr>
          <w:sz w:val="20"/>
          <w:szCs w:val="20"/>
        </w:rPr>
      </w:pPr>
      <w:r>
        <w:rPr>
          <w:b/>
          <w:bCs/>
          <w:sz w:val="20"/>
          <w:szCs w:val="20"/>
        </w:rPr>
        <w:t xml:space="preserve">FOR </w:t>
      </w:r>
      <w:r>
        <w:rPr>
          <w:b/>
          <w:bCs/>
          <w:sz w:val="20"/>
          <w:szCs w:val="20"/>
        </w:rPr>
        <w:t>THE THREE MONTHS ENDED MARCH 31, 2022</w:t>
      </w:r>
    </w:p>
    <w:p w:rsidR="00000000" w:rsidRDefault="00391C87">
      <w:pPr>
        <w:pStyle w:val="a3"/>
        <w:spacing w:before="0" w:beforeAutospacing="0" w:after="0" w:afterAutospacing="0"/>
        <w:jc w:val="center"/>
        <w:rPr>
          <w:sz w:val="20"/>
          <w:szCs w:val="20"/>
        </w:rPr>
      </w:pPr>
      <w:r>
        <w:rPr>
          <w:b/>
          <w:bCs/>
          <w:sz w:val="20"/>
          <w:szCs w:val="20"/>
        </w:rPr>
        <w:t>(UNAUDITED)</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ash Flows (Unaudited)"/>
      </w:tblPr>
      <w:tblGrid>
        <w:gridCol w:w="6640"/>
        <w:gridCol w:w="162"/>
        <w:gridCol w:w="100"/>
        <w:gridCol w:w="1325"/>
        <w:gridCol w:w="79"/>
      </w:tblGrid>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4000" w:type="pct"/>
            <w:shd w:val="clear" w:color="auto" w:fill="FFFFFF"/>
            <w:vAlign w:val="bottom"/>
            <w:hideMark/>
          </w:tcPr>
          <w:p w:rsidR="00000000" w:rsidRDefault="00391C87">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391C87">
            <w:pPr>
              <w:jc w:val="right"/>
              <w:rPr>
                <w:rFonts w:eastAsia="Times New Roman"/>
                <w:sz w:val="20"/>
                <w:szCs w:val="20"/>
              </w:rPr>
            </w:pPr>
            <w:r>
              <w:rPr>
                <w:rFonts w:eastAsia="Times New Roman"/>
                <w:sz w:val="20"/>
                <w:szCs w:val="20"/>
              </w:rPr>
              <w:t>(419,465</w:t>
            </w:r>
          </w:p>
        </w:tc>
        <w:tc>
          <w:tcPr>
            <w:tcW w:w="50" w:type="pct"/>
            <w:shd w:val="clear" w:color="auto" w:fill="FFFFFF"/>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91C87">
            <w:pPr>
              <w:rPr>
                <w:rFonts w:eastAsia="Times New Roman"/>
                <w:b/>
                <w:bCs/>
                <w:sz w:val="20"/>
                <w:szCs w:val="20"/>
              </w:rPr>
            </w:pPr>
            <w:r>
              <w:rPr>
                <w:rFonts w:eastAsia="Times New Roman"/>
                <w:b/>
                <w:bCs/>
                <w:sz w:val="20"/>
                <w:szCs w:val="20"/>
              </w:rPr>
              <w:t xml:space="preserve">Adjustments to reconcile </w:t>
            </w:r>
            <w:r>
              <w:rPr>
                <w:rFonts w:eastAsia="Times New Roman"/>
                <w:b/>
                <w:bCs/>
                <w:sz w:val="20"/>
                <w:szCs w:val="20"/>
              </w:rPr>
              <w:t>net loss to net cash used in operating activities: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(39,948</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(103,827</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xml:space="preserve">Net </w:t>
            </w:r>
            <w:r>
              <w:rPr>
                <w:rFonts w:eastAsia="Times New Roman"/>
                <w:b/>
                <w:bCs/>
                <w:sz w:val="20"/>
                <w:szCs w:val="20"/>
              </w:rPr>
              <w:t>cash used in operating activities</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(563,240</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Cash flows from investing activities: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Investment of cash in Trust Account</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(102,606,596</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(102,606,596</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Proceeds from sale of Units, net of IPO costs</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99,429,074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Proceeds from sale of Placement Units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4,511,301</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Repayment of promissory note – related party</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(133,357</w:t>
            </w:r>
          </w:p>
        </w:tc>
        <w:tc>
          <w:tcPr>
            <w:tcW w:w="0" w:type="auto"/>
            <w:shd w:val="clear" w:color="auto" w:fill="CCEEFF"/>
            <w:tcMar>
              <w:top w:w="0" w:type="dxa"/>
              <w:left w:w="0" w:type="dxa"/>
              <w:bottom w:w="30" w:type="dxa"/>
              <w:right w:w="0" w:type="dxa"/>
            </w:tcMar>
            <w:vAlign w:val="bottom"/>
            <w:hideMark/>
          </w:tcPr>
          <w:p w:rsidR="00000000" w:rsidRDefault="00391C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xml:space="preserve">Net </w:t>
            </w:r>
            <w:r>
              <w:rPr>
                <w:rFonts w:eastAsia="Times New Roman"/>
                <w:b/>
                <w:bCs/>
                <w:sz w:val="20"/>
                <w:szCs w:val="20"/>
              </w:rPr>
              <w:t>cash provided by financing activities</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103,807,018</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Net change in cash</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637,182</w:t>
            </w:r>
          </w:p>
        </w:tc>
        <w:tc>
          <w:tcPr>
            <w:tcW w:w="0" w:type="auto"/>
            <w:shd w:val="clear" w:color="auto" w:fill="FFFFFF"/>
            <w:tcMar>
              <w:top w:w="0" w:type="dxa"/>
              <w:left w:w="0" w:type="dxa"/>
              <w:bottom w:w="3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Cash at the beginning of the period</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2,164</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Cash at the end of the period</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91C8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91C87">
            <w:pPr>
              <w:jc w:val="right"/>
              <w:rPr>
                <w:rFonts w:eastAsia="Times New Roman"/>
                <w:b/>
                <w:bCs/>
                <w:sz w:val="20"/>
                <w:szCs w:val="20"/>
              </w:rPr>
            </w:pPr>
            <w:r>
              <w:rPr>
                <w:rFonts w:eastAsia="Times New Roman"/>
                <w:b/>
                <w:bCs/>
                <w:sz w:val="20"/>
                <w:szCs w:val="20"/>
              </w:rPr>
              <w:t>639,346</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91C87">
            <w:pPr>
              <w:rPr>
                <w:rFonts w:eastAsia="Times New Roman"/>
                <w:b/>
                <w:bCs/>
                <w:sz w:val="20"/>
                <w:szCs w:val="20"/>
              </w:rPr>
            </w:pPr>
            <w:r>
              <w:rPr>
                <w:rFonts w:eastAsia="Times New Roman"/>
                <w:b/>
                <w:bCs/>
                <w:sz w:val="20"/>
                <w:szCs w:val="20"/>
              </w:rPr>
              <w:t xml:space="preserve">Supplemental disclosure </w:t>
            </w:r>
            <w:r>
              <w:rPr>
                <w:rFonts w:eastAsia="Times New Roman"/>
                <w:b/>
                <w:bCs/>
                <w:sz w:val="20"/>
                <w:szCs w:val="20"/>
              </w:rPr>
              <w:t>of non-cash investing and financing activities:</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3,555,674</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91C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91C87">
            <w:pPr>
              <w:jc w:val="right"/>
              <w:rPr>
                <w:rFonts w:eastAsia="Times New Roman"/>
                <w:sz w:val="20"/>
                <w:szCs w:val="20"/>
              </w:rPr>
            </w:pPr>
            <w:r>
              <w:rPr>
                <w:rFonts w:eastAsia="Times New Roman"/>
                <w:sz w:val="20"/>
                <w:szCs w:val="20"/>
              </w:rPr>
              <w:t>102,606,597</w:t>
            </w:r>
          </w:p>
        </w:tc>
        <w:tc>
          <w:tcPr>
            <w:tcW w:w="0" w:type="auto"/>
            <w:shd w:val="clear" w:color="auto" w:fill="FFFF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xml:space="preserve">Deferred offering costs </w:t>
            </w:r>
            <w:r>
              <w:rPr>
                <w:rFonts w:eastAsia="Times New Roman"/>
                <w:sz w:val="20"/>
                <w:szCs w:val="20"/>
              </w:rPr>
              <w:t>paid for by Promissory note – related party</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91C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91C87">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50" w:type="dxa"/>
              <w:right w:w="0" w:type="dxa"/>
            </w:tcMar>
            <w:vAlign w:val="bottom"/>
            <w:hideMark/>
          </w:tcPr>
          <w:p w:rsidR="00000000" w:rsidRDefault="00391C87">
            <w:pPr>
              <w:rPr>
                <w:rFonts w:eastAsia="Times New Roman"/>
                <w:sz w:val="20"/>
                <w:szCs w:val="20"/>
              </w:rPr>
            </w:pPr>
            <w:r>
              <w:rPr>
                <w:rFonts w:eastAsia="Times New Roman"/>
                <w:sz w:val="20"/>
                <w:szCs w:val="20"/>
              </w:rPr>
              <w:t> </w:t>
            </w:r>
          </w:p>
        </w:tc>
      </w:tr>
    </w:tbl>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The accompanying notes are an integral part of these unaudited financial statements.</w:t>
      </w:r>
    </w:p>
    <w:p w:rsidR="00000000" w:rsidRDefault="00391C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407923"/>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rsidR="00000000" w:rsidRDefault="00391C87">
      <w:pPr>
        <w:pStyle w:val="a3"/>
        <w:spacing w:before="0" w:beforeAutospacing="0" w:after="0" w:afterAutospacing="0"/>
        <w:divId w:val="19624533"/>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BROAD CAPITAL ACQUISITION CORP</w:t>
      </w:r>
    </w:p>
    <w:p w:rsidR="00000000" w:rsidRDefault="00391C87">
      <w:pPr>
        <w:pStyle w:val="a3"/>
        <w:spacing w:before="0" w:beforeAutospacing="0" w:after="0" w:afterAutospacing="0"/>
        <w:jc w:val="center"/>
        <w:rPr>
          <w:sz w:val="20"/>
          <w:szCs w:val="20"/>
        </w:rPr>
      </w:pPr>
      <w:r>
        <w:rPr>
          <w:sz w:val="20"/>
          <w:szCs w:val="20"/>
        </w:rPr>
        <w:t> </w:t>
      </w:r>
    </w:p>
    <w:p w:rsidR="00000000" w:rsidRDefault="00391C87">
      <w:pPr>
        <w:pStyle w:val="a3"/>
        <w:spacing w:before="0" w:beforeAutospacing="0" w:after="0" w:afterAutospacing="0"/>
        <w:jc w:val="center"/>
        <w:rPr>
          <w:sz w:val="20"/>
          <w:szCs w:val="20"/>
        </w:rPr>
      </w:pPr>
      <w:r>
        <w:rPr>
          <w:b/>
          <w:bCs/>
          <w:sz w:val="20"/>
          <w:szCs w:val="20"/>
        </w:rPr>
        <w:t>NOTES TO FINANCIAL STATEMENTS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DESCRIPTION OF ORGANIZATION, BUSINESS OPERATION</w:t>
      </w:r>
      <w:r>
        <w:rPr>
          <w:b/>
          <w:bCs/>
          <w:sz w:val="20"/>
          <w:szCs w:val="20"/>
        </w:rPr>
        <w:t>S</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Broad Capital Acquisition Corp (the “Company”) is a blank check company incorporated in the State of Delaware on April 16, 2021. The Company was formed for the purpose of acquiring, engaging in a share exc</w:t>
      </w:r>
      <w:r>
        <w:rPr>
          <w:sz w:val="20"/>
          <w:szCs w:val="20"/>
        </w:rPr>
        <w:t>hange, share reconstruction and amalgamation with, purchasing all or substantially all of the assets of, entering into contractual arrangements with, or engaging in any other similar business combination with one or more businesses or entities (“Business C</w:t>
      </w:r>
      <w:r>
        <w:rPr>
          <w:sz w:val="20"/>
          <w:szCs w:val="20"/>
        </w:rPr>
        <w:t>ombination”). The Company is not limited to a particular industry or sector for purposes of consummating a Business Combination.</w:t>
      </w:r>
    </w:p>
    <w:p w:rsidR="00000000" w:rsidRDefault="00391C87">
      <w:pPr>
        <w:pStyle w:val="a3"/>
        <w:spacing w:before="0" w:beforeAutospacing="0" w:after="0" w:afterAutospacing="0"/>
        <w:jc w:val="both"/>
        <w:rPr>
          <w:sz w:val="20"/>
          <w:szCs w:val="20"/>
        </w:rPr>
      </w:pPr>
      <w:r>
        <w:rPr>
          <w:sz w:val="20"/>
          <w:szCs w:val="20"/>
        </w:rPr>
        <w:lastRenderedPageBreak/>
        <w:t> </w:t>
      </w:r>
    </w:p>
    <w:p w:rsidR="00000000" w:rsidRDefault="00391C87">
      <w:pPr>
        <w:pStyle w:val="a3"/>
        <w:shd w:val="clear" w:color="auto" w:fill="FFFFFF"/>
        <w:spacing w:before="0" w:beforeAutospacing="0" w:after="0" w:afterAutospacing="0"/>
        <w:jc w:val="both"/>
        <w:rPr>
          <w:sz w:val="20"/>
          <w:szCs w:val="20"/>
        </w:rPr>
      </w:pPr>
      <w:r>
        <w:rPr>
          <w:sz w:val="20"/>
          <w:szCs w:val="20"/>
        </w:rPr>
        <w:t>As of March 31, 2022, the Company had not commenced any operations. All activity for the (inception) through December 31, 202</w:t>
      </w:r>
      <w:r>
        <w:rPr>
          <w:sz w:val="20"/>
          <w:szCs w:val="20"/>
        </w:rPr>
        <w:t>1 and the three months ended March 31, 2022 relates to the Company’s formation and the Initial Public Offering (as defined below). The Company will not generate any operating revenues until after the completion of its initial Business Combination, at the e</w:t>
      </w:r>
      <w:r>
        <w:rPr>
          <w:sz w:val="20"/>
          <w:szCs w:val="20"/>
        </w:rPr>
        <w:t>arliest. The Company will generate non-operating income in the form of interest income on cash and cash equivalents from the proceeds derived from the Initial Public Offering. The Company has selected December 31 as its fiscal year end. The Company is an e</w:t>
      </w:r>
      <w:r>
        <w:rPr>
          <w:sz w:val="20"/>
          <w:szCs w:val="20"/>
        </w:rPr>
        <w:t>arly stage and emerging growth company and, as such, the Company is subject to all of the risks associated with early stage and emerging growth companies.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Company’s sponsor is Broad Capital LLC, a Delaware limited liability company (the “Sponsor”). T</w:t>
      </w:r>
      <w:r>
        <w:rPr>
          <w:sz w:val="20"/>
          <w:szCs w:val="20"/>
        </w:rPr>
        <w:t>he registration statement for the Company’s Initial Public Offering was declared effective on January 10, 2022. 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(the “Units” and, with respect to the shares of common s</w:t>
      </w:r>
      <w:r>
        <w:rPr>
          <w:sz w:val="20"/>
          <w:szCs w:val="20"/>
        </w:rPr>
        <w:t xml:space="preserve">tock included in the Units being offered, the “Public Shares”),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 xml:space="preserve"> (the “Initial Public Offering”), and incurring transaction costs of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w:t>
      </w:r>
      <w:r>
        <w:rPr>
          <w:sz w:val="20"/>
          <w:szCs w:val="20"/>
        </w:rPr>
        <w:t>commissions (see Note 6). The Company granted the underwriter a 45-day option to purchase up to an additional</w:t>
      </w:r>
      <w:r>
        <w:rPr>
          <w:sz w:val="20"/>
          <w:szCs w:val="20"/>
        </w:rPr>
        <w:t xml:space="preserve"> </w:t>
      </w:r>
      <w:r>
        <w:rPr>
          <w:sz w:val="20"/>
          <w:szCs w:val="20"/>
        </w:rPr>
        <w:t>1,500,00</w:t>
      </w:r>
      <w:r>
        <w:rPr>
          <w:sz w:val="20"/>
          <w:szCs w:val="20"/>
        </w:rPr>
        <w:t>0</w:t>
      </w:r>
      <w:r>
        <w:rPr>
          <w:sz w:val="20"/>
          <w:szCs w:val="20"/>
        </w:rPr>
        <w:t xml:space="preserve"> Units at the Initial Public Offering price to cover over-allotments, if any. On February 9, 2022, the Underwriters partially exercised t</w:t>
      </w:r>
      <w:r>
        <w:rPr>
          <w:sz w:val="20"/>
          <w:szCs w:val="20"/>
        </w:rPr>
        <w: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Simultaneously with the consummati</w:t>
      </w:r>
      <w:r>
        <w:rPr>
          <w:sz w:val="20"/>
          <w:szCs w:val="20"/>
        </w:rPr>
        <w:t>on of the closing of the Initial Public Offering, the Company consummated the private placement of an aggregate of</w:t>
      </w:r>
      <w:r>
        <w:rPr>
          <w:sz w:val="20"/>
          <w:szCs w:val="20"/>
        </w:rPr>
        <w:t xml:space="preserve"> </w:t>
      </w:r>
      <w:r>
        <w:rPr>
          <w:sz w:val="20"/>
          <w:szCs w:val="20"/>
        </w:rPr>
        <w:t>446,35</w:t>
      </w:r>
      <w:r>
        <w:rPr>
          <w:sz w:val="20"/>
          <w:szCs w:val="20"/>
        </w:rPr>
        <w:t>8</w:t>
      </w:r>
      <w:r>
        <w:rPr>
          <w:sz w:val="20"/>
          <w:szCs w:val="20"/>
        </w:rPr>
        <w:t xml:space="preserve"> units (the “Placement Units”) to the Sponsor at a price of </w:t>
      </w:r>
      <w:r>
        <w:rPr>
          <w:sz w:val="20"/>
          <w:szCs w:val="20"/>
        </w:rPr>
        <w:t>$</w:t>
      </w:r>
      <w:r>
        <w:rPr>
          <w:sz w:val="20"/>
          <w:szCs w:val="20"/>
        </w:rPr>
        <w:t>10.0</w:t>
      </w:r>
      <w:r>
        <w:rPr>
          <w:sz w:val="20"/>
          <w:szCs w:val="20"/>
        </w:rPr>
        <w:t>0</w:t>
      </w:r>
      <w:r>
        <w:rPr>
          <w:sz w:val="20"/>
          <w:szCs w:val="20"/>
        </w:rPr>
        <w:t xml:space="preserve"> per Placement Unit, generating total gross proceeds of </w:t>
      </w:r>
      <w:r>
        <w:rPr>
          <w:sz w:val="20"/>
          <w:szCs w:val="20"/>
        </w:rPr>
        <w:t>$</w:t>
      </w:r>
      <w:r>
        <w:rPr>
          <w:sz w:val="20"/>
          <w:szCs w:val="20"/>
        </w:rPr>
        <w:t>4,463,58</w:t>
      </w:r>
      <w:r>
        <w:rPr>
          <w:sz w:val="20"/>
          <w:szCs w:val="20"/>
        </w:rPr>
        <w:t>0</w:t>
      </w:r>
      <w:r>
        <w:rPr>
          <w:sz w:val="20"/>
          <w:szCs w:val="20"/>
        </w:rPr>
        <w:t xml:space="preserve"> (</w:t>
      </w:r>
      <w:r>
        <w:rPr>
          <w:sz w:val="20"/>
          <w:szCs w:val="20"/>
        </w:rPr>
        <w:t>the “Private Placement”) (see Note 4). With the exercise of the overallotment, the Company consummated the Private Placement of an additional</w:t>
      </w:r>
      <w:r>
        <w:rPr>
          <w:sz w:val="20"/>
          <w:szCs w:val="20"/>
        </w:rPr>
        <w:t xml:space="preserve"> </w:t>
      </w:r>
      <w:r>
        <w:rPr>
          <w:sz w:val="20"/>
          <w:szCs w:val="20"/>
        </w:rPr>
        <w:t>4,77</w:t>
      </w:r>
      <w:r>
        <w:rPr>
          <w:sz w:val="20"/>
          <w:szCs w:val="20"/>
        </w:rPr>
        <w:t>2</w:t>
      </w:r>
      <w:r>
        <w:rPr>
          <w:sz w:val="20"/>
          <w:szCs w:val="20"/>
        </w:rPr>
        <w:t xml:space="preserve"> Placement Units to Broad Capital LLC, a Delaware limited liability company (the “Sponsor”), generating gross</w:t>
      </w:r>
      <w:r>
        <w:rPr>
          <w:sz w:val="20"/>
          <w:szCs w:val="20"/>
        </w:rPr>
        <w:t xml:space="preserve"> proceeds of </w:t>
      </w:r>
      <w:r>
        <w:rPr>
          <w:sz w:val="20"/>
          <w:szCs w:val="20"/>
        </w:rPr>
        <w:t>$</w:t>
      </w:r>
      <w:r>
        <w:rPr>
          <w:sz w:val="20"/>
          <w:szCs w:val="20"/>
        </w:rPr>
        <w:t>47,72</w:t>
      </w:r>
      <w:r>
        <w:rPr>
          <w:sz w:val="20"/>
          <w:szCs w:val="20"/>
        </w:rPr>
        <w:t>0</w:t>
      </w:r>
      <w:r>
        <w:rPr>
          <w:sz w:val="20"/>
          <w:szCs w:val="20"/>
        </w:rPr>
        <w: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February 10, 2022, the underwriters partially exercised the over-allotment option and purchased an additional</w:t>
      </w:r>
      <w:r>
        <w:rPr>
          <w:sz w:val="20"/>
          <w:szCs w:val="20"/>
        </w:rPr>
        <w:t xml:space="preserve"> </w:t>
      </w:r>
      <w:r>
        <w:rPr>
          <w:sz w:val="20"/>
          <w:szCs w:val="20"/>
        </w:rPr>
        <w:t>159,06</w:t>
      </w:r>
      <w:r>
        <w:rPr>
          <w:sz w:val="20"/>
          <w:szCs w:val="20"/>
        </w:rPr>
        <w:t>9</w:t>
      </w:r>
      <w:r>
        <w:rPr>
          <w:sz w:val="20"/>
          <w:szCs w:val="20"/>
        </w:rPr>
        <w:t xml:space="preserve"> Units, generating gross proceeds of </w:t>
      </w:r>
      <w:r>
        <w:rPr>
          <w:sz w:val="20"/>
          <w:szCs w:val="20"/>
        </w:rPr>
        <w:t>$</w:t>
      </w:r>
      <w:r>
        <w:rPr>
          <w:sz w:val="20"/>
          <w:szCs w:val="20"/>
        </w:rPr>
        <w:t>1,590,69</w:t>
      </w:r>
      <w:r>
        <w:rPr>
          <w:sz w:val="20"/>
          <w:szCs w:val="20"/>
        </w:rPr>
        <w:t>0</w:t>
      </w:r>
      <w:r>
        <w:rPr>
          <w:sz w:val="20"/>
          <w:szCs w:val="20"/>
        </w:rPr>
        <w:t xml:space="preserve"> and forfeited the remainder of the option, which is</w:t>
      </w:r>
      <w:r>
        <w:rPr>
          <w:sz w:val="20"/>
          <w:szCs w:val="20"/>
        </w:rPr>
        <w:t xml:space="preserve"> </w:t>
      </w:r>
      <w:r>
        <w:rPr>
          <w:sz w:val="20"/>
          <w:szCs w:val="20"/>
        </w:rPr>
        <w:t>335,23</w:t>
      </w:r>
      <w:r>
        <w:rPr>
          <w:sz w:val="20"/>
          <w:szCs w:val="20"/>
        </w:rPr>
        <w:t>3</w:t>
      </w:r>
      <w:r>
        <w:rPr>
          <w:sz w:val="20"/>
          <w:szCs w:val="20"/>
        </w:rPr>
        <w:t xml:space="preserve"> shar</w:t>
      </w:r>
      <w:r>
        <w:rPr>
          <w:sz w:val="20"/>
          <w:szCs w:val="20"/>
        </w:rPr>
        <w:t>es of common stock.</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In connection with the closing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(which amount includes </w:t>
      </w:r>
      <w:r>
        <w:rPr>
          <w:sz w:val="20"/>
          <w:szCs w:val="20"/>
        </w:rPr>
        <w:t>$</w:t>
      </w:r>
      <w:r>
        <w:rPr>
          <w:sz w:val="20"/>
          <w:szCs w:val="20"/>
        </w:rPr>
        <w:t>31,81</w:t>
      </w:r>
      <w:r>
        <w:rPr>
          <w:sz w:val="20"/>
          <w:szCs w:val="20"/>
        </w:rPr>
        <w:t>4</w:t>
      </w:r>
      <w:r>
        <w:rPr>
          <w:sz w:val="20"/>
          <w:szCs w:val="20"/>
        </w:rPr>
        <w:t xml:space="preserve"> of the Underwriters’ deferred discount) was placed in a U.S.-based trust account established for the benefit of the Company’s public shareholders, maintained by Continental Stock Transfer &amp; Trust Company, acting as trustee.</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Following the closing </w:t>
      </w:r>
      <w:r>
        <w:rPr>
          <w:sz w:val="20"/>
          <w:szCs w:val="20"/>
        </w:rPr>
        <w:t xml:space="preserve">of the Initial Public Offering on January 13, 2022, an amount of </w:t>
      </w:r>
      <w:r>
        <w:rPr>
          <w:sz w:val="20"/>
          <w:szCs w:val="20"/>
        </w:rPr>
        <w:t>$</w:t>
      </w:r>
      <w:r>
        <w:rPr>
          <w:sz w:val="20"/>
          <w:szCs w:val="20"/>
        </w:rPr>
        <w:t>101,000,00</w:t>
      </w:r>
      <w:r>
        <w:rPr>
          <w:sz w:val="20"/>
          <w:szCs w:val="20"/>
        </w:rPr>
        <w:t>0</w:t>
      </w:r>
      <w:r>
        <w:rPr>
          <w:sz w:val="20"/>
          <w:szCs w:val="20"/>
        </w:rPr>
        <w:t xml:space="preserve"> (</w:t>
      </w:r>
      <w:r>
        <w:rPr>
          <w:sz w:val="20"/>
          <w:szCs w:val="20"/>
        </w:rPr>
        <w:t>$</w:t>
      </w:r>
      <w:r>
        <w:rPr>
          <w:sz w:val="20"/>
          <w:szCs w:val="20"/>
        </w:rPr>
        <w:t>10.1</w:t>
      </w:r>
      <w:r>
        <w:rPr>
          <w:sz w:val="20"/>
          <w:szCs w:val="20"/>
        </w:rPr>
        <w:t>0</w:t>
      </w:r>
      <w:r>
        <w:rPr>
          <w:sz w:val="20"/>
          <w:szCs w:val="20"/>
        </w:rPr>
        <w:t xml:space="preserve"> per Unit) from the net proceeds of the sale of the Units in the Initial Public Offering and a portion of the proceeds from the sale of the Placement Units was placed in a</w:t>
      </w:r>
      <w:r>
        <w:rPr>
          <w:sz w:val="20"/>
          <w:szCs w:val="20"/>
        </w:rPr>
        <w:t xml:space="preserve"> trust account (the “Trust Account”), located in the United States and held as cash items or may be invested in U.S. government securities, within the meaning set forth in Section 2(a)(16) of the Investment Company Act, with a maturity of 185 days or less,</w:t>
      </w:r>
      <w:r>
        <w:rPr>
          <w:sz w:val="20"/>
          <w:szCs w:val="20"/>
        </w:rPr>
        <w:t xml:space="preserve"> or in any open-ended investment company that holds itself out as a money market fund meeting the conditions of Rule 2a-7 of the Investment Company Act, as determined by the Company, until the earlier of: (i) the consummation of a Business Combination or (</w:t>
      </w:r>
      <w:r>
        <w:rPr>
          <w:sz w:val="20"/>
          <w:szCs w:val="20"/>
        </w:rPr>
        <w:t>ii) the distribution of the funds in the Trust Account to the Company’s stockholders, as described below.</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5074673"/>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rsidR="00000000" w:rsidRDefault="00391C87">
      <w:pPr>
        <w:pStyle w:val="a3"/>
        <w:spacing w:before="0" w:beforeAutospacing="0" w:after="0" w:afterAutospacing="0"/>
        <w:divId w:val="72894275"/>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Company’</w:t>
      </w:r>
      <w:r>
        <w:rPr>
          <w:sz w:val="20"/>
          <w:szCs w:val="20"/>
        </w:rPr>
        <w:t>s management has broad discretion with respect to the specific application of the net proceeds of the Initial Public Offering and the sale of Placement Units, although substantially all of the net proceeds are intended to be applied generally toward consum</w:t>
      </w:r>
      <w:r>
        <w:rPr>
          <w:sz w:val="20"/>
          <w:szCs w:val="20"/>
        </w:rPr>
        <w:t>mating a Business Combination. There is no assurance that the Company will be able to complete a Business Combination successfully. The Company must complete one or more initial Business Combinations with one or more operating businesses or assets with a f</w:t>
      </w:r>
      <w:r>
        <w:rPr>
          <w:sz w:val="20"/>
          <w:szCs w:val="20"/>
        </w:rPr>
        <w:t>air market value equal to at least</w:t>
      </w:r>
      <w:r>
        <w:rPr>
          <w:sz w:val="20"/>
          <w:szCs w:val="20"/>
        </w:rPr>
        <w:t xml:space="preserve"> </w:t>
      </w:r>
      <w:r>
        <w:rPr>
          <w:sz w:val="20"/>
          <w:szCs w:val="20"/>
        </w:rPr>
        <w:t>8</w:t>
      </w:r>
      <w:r>
        <w:rPr>
          <w:sz w:val="20"/>
          <w:szCs w:val="20"/>
        </w:rPr>
        <w:t>0</w:t>
      </w:r>
      <w:r>
        <w:rPr>
          <w:sz w:val="20"/>
          <w:szCs w:val="20"/>
        </w:rPr>
        <w:t>% of the value of the net assets held in the Trust Account (as defined below) (excluding the deferred underwriting commissions and taxes payable on the interest earned on the Trust Account).</w:t>
      </w:r>
      <w:r>
        <w:rPr>
          <w:sz w:val="20"/>
          <w:szCs w:val="20"/>
        </w:rPr>
        <w:t xml:space="preserve"> </w:t>
      </w:r>
      <w:r>
        <w:rPr>
          <w:sz w:val="20"/>
          <w:szCs w:val="20"/>
        </w:rPr>
        <w:t>The Company will only comple</w:t>
      </w:r>
      <w:r>
        <w:rPr>
          <w:sz w:val="20"/>
          <w:szCs w:val="20"/>
        </w:rPr>
        <w:t>te a Business Combination if the post transaction company owns or acquires 50% or more of the outstanding voting securities of the target or otherwise acquires a controlling interest in the target business sufficient for it not to be required to register a</w:t>
      </w:r>
      <w:r>
        <w:rPr>
          <w:sz w:val="20"/>
          <w:szCs w:val="20"/>
        </w:rPr>
        <w:t>s an investment company under the Investment Company Act of 1940, as amended (the “Investment Company Act”)</w:t>
      </w:r>
      <w:r>
        <w:rPr>
          <w:sz w:val="20"/>
          <w:szCs w:val="20"/>
        </w:rPr>
        <w: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Upon the closing of the Initial Public Offering, management has agreed that an amount equal to at least </w:t>
      </w:r>
      <w:r>
        <w:rPr>
          <w:sz w:val="20"/>
          <w:szCs w:val="20"/>
        </w:rPr>
        <w:t>$</w:t>
      </w:r>
      <w:r>
        <w:rPr>
          <w:sz w:val="20"/>
          <w:szCs w:val="20"/>
        </w:rPr>
        <w:t>10.1</w:t>
      </w:r>
      <w:r>
        <w:rPr>
          <w:sz w:val="20"/>
          <w:szCs w:val="20"/>
        </w:rPr>
        <w:t>0</w:t>
      </w:r>
      <w:r>
        <w:rPr>
          <w:sz w:val="20"/>
          <w:szCs w:val="20"/>
        </w:rPr>
        <w:t xml:space="preserve"> per Unit sold in the Initial Publi</w:t>
      </w:r>
      <w:r>
        <w:rPr>
          <w:sz w:val="20"/>
          <w:szCs w:val="20"/>
        </w:rPr>
        <w:t>c Offering, including proceeds of the Placement Units, will be held in a trust account (“Trust Account”), located in the United States and invested only in U.S. government securities, within the meaning set forth in Section 2(a)(16) of the Investment Compa</w:t>
      </w:r>
      <w:r>
        <w:rPr>
          <w:sz w:val="20"/>
          <w:szCs w:val="20"/>
        </w:rPr>
        <w:t>ny Act, with a maturity of 185 days or less or in any open-ended investment company that holds itself out as a money market fund selected by the Company meeting certain conditions of Rule 2a-7 of the Investment Company Act, as determined by the Company, un</w:t>
      </w:r>
      <w:r>
        <w:rPr>
          <w:sz w:val="20"/>
          <w:szCs w:val="20"/>
        </w:rPr>
        <w:t>til the earlier of: (i) the completion of a Business Combination and (ii) the distribution of the funds held in the Trust Account, as described below.</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The Company will provide the holders of the outstanding Public Shares (the “Public Shareholders”) with </w:t>
      </w:r>
      <w:r>
        <w:rPr>
          <w:sz w:val="20"/>
          <w:szCs w:val="20"/>
        </w:rPr>
        <w:t>the opportunity to redeem all or a portion of their Public Shares either (i) in connection with a shareholders meeting called to approve the Business Combination or (ii) by means of a tender offer in connection with the Business Combination. The decision a</w:t>
      </w:r>
      <w:r>
        <w:rPr>
          <w:sz w:val="20"/>
          <w:szCs w:val="20"/>
        </w:rPr>
        <w:t>s to whether the Company will seek shareholder approval of a Business Combination or conduct a tender offer will be made by the Company. The Public Shareholders will be entitled to redeem their Public Shares for a pro rata portion of the amount then in the</w:t>
      </w:r>
      <w:r>
        <w:rPr>
          <w:sz w:val="20"/>
          <w:szCs w:val="20"/>
        </w:rPr>
        <w:t xml:space="preserve"> Trust Account (initially anticipated to be </w:t>
      </w:r>
      <w:r>
        <w:rPr>
          <w:sz w:val="20"/>
          <w:szCs w:val="20"/>
        </w:rPr>
        <w:t>$</w:t>
      </w:r>
      <w:r>
        <w:rPr>
          <w:sz w:val="20"/>
          <w:szCs w:val="20"/>
        </w:rPr>
        <w:t>10.1</w:t>
      </w:r>
      <w:r>
        <w:rPr>
          <w:sz w:val="20"/>
          <w:szCs w:val="20"/>
        </w:rPr>
        <w:t>0</w:t>
      </w:r>
      <w:r>
        <w:rPr>
          <w:sz w:val="20"/>
          <w:szCs w:val="20"/>
        </w:rPr>
        <w:t xml:space="preserve"> per Public Share, plus any pro rata interest then in the Trust Account, net of taxes payable). The Public Shares subject to redemption will be recorded at a redemption value and classified as temporary equ</w:t>
      </w:r>
      <w:r>
        <w:rPr>
          <w:sz w:val="20"/>
          <w:szCs w:val="20"/>
        </w:rPr>
        <w:t>ity upon the completion of the Initial Public Offering in accordance with the Accounting Standards Codification (“ASC”) Topic 480 “</w:t>
      </w:r>
      <w:r>
        <w:rPr>
          <w:i/>
          <w:iCs/>
          <w:sz w:val="20"/>
          <w:szCs w:val="20"/>
        </w:rPr>
        <w:t>Distinguishing Liabilities from Equity</w:t>
      </w:r>
      <w:r>
        <w:rPr>
          <w:sz w:val="20"/>
          <w:szCs w:val="20"/>
        </w:rPr>
        <w: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Company will not redeem Public Shares in an amount that would cause its net ta</w:t>
      </w:r>
      <w:r>
        <w:rPr>
          <w:sz w:val="20"/>
          <w:szCs w:val="20"/>
        </w:rPr>
        <w:t xml:space="preserve">ngible assets to be less than </w:t>
      </w:r>
      <w:r>
        <w:rPr>
          <w:sz w:val="20"/>
          <w:szCs w:val="20"/>
        </w:rPr>
        <w:t>$</w:t>
      </w:r>
      <w:r>
        <w:rPr>
          <w:sz w:val="20"/>
          <w:szCs w:val="20"/>
        </w:rPr>
        <w:t>5,000,00</w:t>
      </w:r>
      <w:r>
        <w:rPr>
          <w:sz w:val="20"/>
          <w:szCs w:val="20"/>
        </w:rPr>
        <w:t>1</w:t>
      </w:r>
      <w:r>
        <w:rPr>
          <w:sz w:val="20"/>
          <w:szCs w:val="20"/>
        </w:rPr>
        <w:t xml:space="preserve"> (so that it does not then become subject to the SEC’s “penny stock” rules) or any greater net tangible asset or cash requirement which may be contained in the agreement relating to the Business Combination. If the C</w:t>
      </w:r>
      <w:r>
        <w:rPr>
          <w:sz w:val="20"/>
          <w:szCs w:val="20"/>
        </w:rPr>
        <w:t>ompany seeks shareholder approval of the Business Combination, the Company will proceed with a Business Combination if a majority of the outstanding shares voted are voted in favor of the Business Combination, or such other vote as required by law or stock</w:t>
      </w:r>
      <w:r>
        <w:rPr>
          <w:sz w:val="20"/>
          <w:szCs w:val="20"/>
        </w:rPr>
        <w:t xml:space="preserve"> exchange rule. If a shareholder vote is not required by applicable law or stock exchange listing requirements and the Company does not decide to hold a shareholder vote for business or other reasons, the Company will, pursuant to its second amended and re</w:t>
      </w:r>
      <w:r>
        <w:rPr>
          <w:sz w:val="20"/>
          <w:szCs w:val="20"/>
        </w:rPr>
        <w:t>stated certificate of incorporation (the “Certificate of Incorporation”), conduct the redemptions pursuant to the tender offer rules of the U.S. Securities and Exchange Commission (“SEC”) and file tender offer documents with the SEC prior to completing a B</w:t>
      </w:r>
      <w:r>
        <w:rPr>
          <w:sz w:val="20"/>
          <w:szCs w:val="20"/>
        </w:rPr>
        <w:t>usiness Combination.</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If, however, shareholder approval of the transaction is required by applicable law or stock exchange listing requirements, or the Company decides to obtain shareholder approval for business or other reasons, the Company will offer to</w:t>
      </w:r>
      <w:r>
        <w:rPr>
          <w:sz w:val="20"/>
          <w:szCs w:val="20"/>
        </w:rPr>
        <w:t xml:space="preserve"> redeem shares in conjunction with a proxy solicitation pursuant to the proxy rules and not pursuant to the tender offer rules. If the Company seeks shareholder approval in connection with a Business Combination, the Sponsor has agreed to vote its Insider </w:t>
      </w:r>
      <w:r>
        <w:rPr>
          <w:sz w:val="20"/>
          <w:szCs w:val="20"/>
        </w:rPr>
        <w:t>shares (as defined in Note 5) and any Public Shares purchased during or after the Public Offering in favor of approving a Business Combination. Additionally, each Public Shareholder may elect to redeem their Public Shares without voting, and if they do vot</w:t>
      </w:r>
      <w:r>
        <w:rPr>
          <w:sz w:val="20"/>
          <w:szCs w:val="20"/>
        </w:rPr>
        <w:t>e, irrespective of whether they vote for or against the proposed transaction.</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Notwithstanding the foregoing, if the Company seeks shareholder approval of a Business Combination and it does not conduct redemptions pursuant to the tender offer rules, the C</w:t>
      </w:r>
      <w:r>
        <w:rPr>
          <w:sz w:val="20"/>
          <w:szCs w:val="20"/>
        </w:rPr>
        <w:t xml:space="preserve">ertificate of Incorporation will provide that a Public Shareholder, together with any affiliate of such shareholder or any other person with whom such shareholder is acting in concert or as a “group” (as defined under Section 13 of the Securities Exchange </w:t>
      </w:r>
      <w:r>
        <w:rPr>
          <w:sz w:val="20"/>
          <w:szCs w:val="20"/>
        </w:rPr>
        <w:t>Act of 1934, as amended (the “Exchange Act”)), will be restricted from redeeming its shares with respect to more than an aggregate of 20% of the Public Shares, without the prior consent of the Company.</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holders of the Insider Shares have agreed (a) to</w:t>
      </w:r>
      <w:r>
        <w:rPr>
          <w:sz w:val="20"/>
          <w:szCs w:val="20"/>
        </w:rPr>
        <w:t xml:space="preserve"> waive their redemption rights with respect to the Insider Shares and Public Shares held by them in connection with the completion of a Business Combination and (b) not to propose an amendment to the Certificate of Incorporation (i) to modify the substance</w:t>
      </w:r>
      <w:r>
        <w:rPr>
          <w:sz w:val="20"/>
          <w:szCs w:val="20"/>
        </w:rPr>
        <w:t xml:space="preserve"> or timing of the Company’s obligation to allow redemptions in connection with a Business Combination or to redeem</w:t>
      </w:r>
      <w:r>
        <w:rPr>
          <w:sz w:val="20"/>
          <w:szCs w:val="20"/>
        </w:rPr>
        <w:t xml:space="preserve"> </w:t>
      </w:r>
      <w:r>
        <w:rPr>
          <w:sz w:val="20"/>
          <w:szCs w:val="20"/>
        </w:rPr>
        <w:t>10</w:t>
      </w:r>
      <w:r>
        <w:rPr>
          <w:sz w:val="20"/>
          <w:szCs w:val="20"/>
        </w:rPr>
        <w:t>0</w:t>
      </w:r>
      <w:r>
        <w:rPr>
          <w:sz w:val="20"/>
          <w:szCs w:val="20"/>
        </w:rPr>
        <w:t>% of its Public Shares if the Company does not complete a Business Combination within the Combination Period (as defined below) or (ii) wi</w:t>
      </w:r>
      <w:r>
        <w:rPr>
          <w:sz w:val="20"/>
          <w:szCs w:val="20"/>
        </w:rPr>
        <w:t>th respect to any other provision relating to shareholders’ rights or pre-business combination activity, unless the Company provides the Public Shareholders with the opportunity to redeem their Public Shares in conjunction with any such amendment.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If the</w:t>
      </w:r>
      <w:r>
        <w:rPr>
          <w:sz w:val="20"/>
          <w:szCs w:val="20"/>
        </w:rPr>
        <w:t xml:space="preserve"> Company has not completed a Business Combination within 12 months (or 15 months, or 18 months, as applicable from the closing of the Initial Public Offering (the “Combination Period”), the Company will (i) cease all operations except for the purpose of wi</w:t>
      </w:r>
      <w:r>
        <w:rPr>
          <w:sz w:val="20"/>
          <w:szCs w:val="20"/>
        </w:rPr>
        <w:t>nding up, (ii) as promptly as reasonably possible but not more than ten business days thereafter, redeem the Public Shares, at a per-share price, payable in cash, equal to the aggregate amount then on deposit in the Trust Account, including interest earned</w:t>
      </w:r>
      <w:r>
        <w:rPr>
          <w:sz w:val="20"/>
          <w:szCs w:val="20"/>
        </w:rPr>
        <w:t xml:space="preserve"> on the funds held in the Trust Account and not previously released to pay taxes (less up to </w:t>
      </w:r>
      <w:r>
        <w:rPr>
          <w:sz w:val="20"/>
          <w:szCs w:val="20"/>
        </w:rPr>
        <w:t>$</w:t>
      </w:r>
      <w:r>
        <w:rPr>
          <w:sz w:val="20"/>
          <w:szCs w:val="20"/>
        </w:rPr>
        <w:t>100,00</w:t>
      </w:r>
      <w:r>
        <w:rPr>
          <w:sz w:val="20"/>
          <w:szCs w:val="20"/>
        </w:rPr>
        <w:t>0</w:t>
      </w:r>
      <w:r>
        <w:rPr>
          <w:sz w:val="20"/>
          <w:szCs w:val="20"/>
        </w:rPr>
        <w:t xml:space="preserve"> of interest to pay dissolution expenses), divided by the number of then outstanding Public Shares, which redemption will completely extinguish Public Shar</w:t>
      </w:r>
      <w:r>
        <w:rPr>
          <w:sz w:val="20"/>
          <w:szCs w:val="20"/>
        </w:rPr>
        <w:t>eholders’ rights as shareholders (including the right to receive further liquidating distributions, if any), and (iii) as promptly as reasonably possible following such redemption, subject to the approval of the Company’s remaining shareholders and the Com</w:t>
      </w:r>
      <w:r>
        <w:rPr>
          <w:sz w:val="20"/>
          <w:szCs w:val="20"/>
        </w:rPr>
        <w:t>pany’s board of directors, dissolve and liquidate, subject in each case to the Company’s obligations under Delaware law to provide for claims of creditors and the requirements of other applicable law.</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6069490"/>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rsidR="00000000" w:rsidRDefault="00391C87">
      <w:pPr>
        <w:pStyle w:val="a3"/>
        <w:spacing w:before="0" w:beforeAutospacing="0" w:after="0" w:afterAutospacing="0"/>
        <w:divId w:val="1270312553"/>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The </w:t>
      </w:r>
      <w:r>
        <w:rPr>
          <w:sz w:val="20"/>
          <w:szCs w:val="20"/>
        </w:rPr>
        <w:t>holders of the Insider Shares have agreed to waive their liquidation rights with respect to the Insider shares if the Company fails to complete a Business Combination within the Combination Period. However, if the holders of Insider shares acquire Public S</w:t>
      </w:r>
      <w:r>
        <w:rPr>
          <w:sz w:val="20"/>
          <w:szCs w:val="20"/>
        </w:rPr>
        <w:t>hares in or after the Initial Public Offering, such Public Shares will be entitled to liquidating distributions from the Trust Account if the Company fails to complete a Business Combination within the Combination Period. The underwriters have agreed to wa</w:t>
      </w:r>
      <w:r>
        <w:rPr>
          <w:sz w:val="20"/>
          <w:szCs w:val="20"/>
        </w:rPr>
        <w:t>ive their rights to their deferred underwriting commission (see Note 6) held in the Trust Account in the event the Company does not complete a Business Combination within the Combination Period and, in such event, such amounts will be included with the oth</w:t>
      </w:r>
      <w:r>
        <w:rPr>
          <w:sz w:val="20"/>
          <w:szCs w:val="20"/>
        </w:rPr>
        <w:t>er funds held in the Trust Account that will be available to fund the redemption of the Public Shares.</w:t>
      </w:r>
      <w:r>
        <w:rPr>
          <w:sz w:val="20"/>
          <w:szCs w:val="20"/>
        </w:rPr>
        <w:t xml:space="preserve"> </w:t>
      </w:r>
      <w:r>
        <w:rPr>
          <w:sz w:val="20"/>
          <w:szCs w:val="20"/>
        </w:rPr>
        <w:t>In the event of such distribution, it is possible that the per share value of the assets remaining available for distribution will be less than the Initi</w:t>
      </w:r>
      <w:r>
        <w:rPr>
          <w:sz w:val="20"/>
          <w:szCs w:val="20"/>
        </w:rPr>
        <w:t>al Public Offering price per Unit ($10.00)</w:t>
      </w:r>
      <w:r>
        <w:rPr>
          <w:sz w:val="20"/>
          <w:szCs w:val="20"/>
        </w:rPr>
        <w:t>.</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In order to protect the amounts held in the Trust Account, the Sponsor has agreed to be liable to the Company if and to the extent any claims by a third party for services rendered or products sold to the Compa</w:t>
      </w:r>
      <w:r>
        <w:rPr>
          <w:sz w:val="20"/>
          <w:szCs w:val="20"/>
        </w:rPr>
        <w:t>ny, or a prospective target business with which the Company has discussed entering into a transaction agreement, reduce the amount of funds in the Trust Account to below (i) $10.10 per Public Share or (ii) such lesser amount per Public Share held in the Tr</w:t>
      </w:r>
      <w:r>
        <w:rPr>
          <w:sz w:val="20"/>
          <w:szCs w:val="20"/>
        </w:rPr>
        <w:t>ust Account as of the date of the liquidation of the Trust Account, if less than $10.10 per Public Share due to reductions in the value of the trust assets, in each case net of the amount of interest which may be withdrawn to pay taxes, except as to any cl</w:t>
      </w:r>
      <w:r>
        <w:rPr>
          <w:sz w:val="20"/>
          <w:szCs w:val="20"/>
        </w:rPr>
        <w:t>aims by a third party who executed a waiver of any and all rights to seek access to the Trust Account and except as to any claims under the Company’s indemnity of the underwriters of the Initial Public Offering against certain liabilities, including liabil</w:t>
      </w:r>
      <w:r>
        <w:rPr>
          <w:sz w:val="20"/>
          <w:szCs w:val="20"/>
        </w:rPr>
        <w:t>ities under the Securities Act of 1933, as amended (the “Securities Act”). Moreover, in the event that an executed waiver is deemed to be unenforceable against a third party, the Sponsor will not be responsible to the extent of any liability for such third</w:t>
      </w:r>
      <w:r>
        <w:rPr>
          <w:sz w:val="20"/>
          <w:szCs w:val="20"/>
        </w:rPr>
        <w:t>-party claims</w:t>
      </w:r>
      <w:r>
        <w:rPr>
          <w:sz w:val="20"/>
          <w:szCs w:val="20"/>
        </w:rPr>
        <w:t>.</w:t>
      </w:r>
      <w:r>
        <w:rPr>
          <w:sz w:val="20"/>
          <w:szCs w:val="20"/>
        </w:rPr>
        <w:t xml:space="preserve"> The Company will seek to reduce the possibility that the Sponsor will have to indemnify the Trust Account due to claims of creditors by endeavoring to have all vendors, service providers (except for the Company’s independent registered accou</w:t>
      </w:r>
      <w:r>
        <w:rPr>
          <w:sz w:val="20"/>
          <w:szCs w:val="20"/>
        </w:rPr>
        <w:t>nting firm), prospective target businesses and other entities with which the Company does business, execute agreements with the Company waiving any right, title, interest or claim of any kind in or to monies held in the Trust Account.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Liquidity and Capit</w:t>
      </w:r>
      <w:r>
        <w:rPr>
          <w:b/>
          <w:bCs/>
          <w:sz w:val="20"/>
          <w:szCs w:val="20"/>
        </w:rPr>
        <w:t>al Resources</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As of March 31, 2022, the Company had </w:t>
      </w:r>
      <w:r>
        <w:rPr>
          <w:sz w:val="20"/>
          <w:szCs w:val="20"/>
        </w:rPr>
        <w:t>$</w:t>
      </w:r>
      <w:r>
        <w:rPr>
          <w:sz w:val="20"/>
          <w:szCs w:val="20"/>
        </w:rPr>
        <w:t>639,34</w:t>
      </w:r>
      <w:r>
        <w:rPr>
          <w:sz w:val="20"/>
          <w:szCs w:val="20"/>
        </w:rPr>
        <w:t>6</w:t>
      </w:r>
      <w:r>
        <w:rPr>
          <w:sz w:val="20"/>
          <w:szCs w:val="20"/>
        </w:rPr>
        <w:t xml:space="preserve"> of cash in its operating bank account.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The Company’s liquidity needs prior to the consummation of the Initial Public Offering were satisfied through the payment of </w:t>
      </w:r>
      <w:r>
        <w:rPr>
          <w:sz w:val="20"/>
          <w:szCs w:val="20"/>
        </w:rPr>
        <w:t>$</w:t>
      </w:r>
      <w:r>
        <w:rPr>
          <w:sz w:val="20"/>
          <w:szCs w:val="20"/>
        </w:rPr>
        <w:t>25,00</w:t>
      </w:r>
      <w:r>
        <w:rPr>
          <w:sz w:val="20"/>
          <w:szCs w:val="20"/>
        </w:rPr>
        <w:t>0</w:t>
      </w:r>
      <w:r>
        <w:rPr>
          <w:sz w:val="20"/>
          <w:szCs w:val="20"/>
        </w:rPr>
        <w:t xml:space="preserve"> from the Sponsor to </w:t>
      </w:r>
      <w:r>
        <w:rPr>
          <w:sz w:val="20"/>
          <w:szCs w:val="20"/>
        </w:rPr>
        <w:t xml:space="preserve">cover for certain offering costs on the Company’s behalf in exchange for issuance of Insider shares (as defined in Note 4. Following the Initial Public Offering of the Company on January 13, 2022, a total of </w:t>
      </w:r>
      <w:r>
        <w:rPr>
          <w:sz w:val="20"/>
          <w:szCs w:val="20"/>
        </w:rPr>
        <w:t>$</w:t>
      </w:r>
      <w:r>
        <w:rPr>
          <w:sz w:val="20"/>
          <w:szCs w:val="20"/>
        </w:rPr>
        <w:t>133,53</w:t>
      </w:r>
      <w:r>
        <w:rPr>
          <w:sz w:val="20"/>
          <w:szCs w:val="20"/>
        </w:rPr>
        <w:t>3</w:t>
      </w:r>
      <w:r>
        <w:rPr>
          <w:sz w:val="20"/>
          <w:szCs w:val="20"/>
        </w:rPr>
        <w:t xml:space="preserve"> under the promissory note was repaid on</w:t>
      </w:r>
      <w:r>
        <w:rPr>
          <w:sz w:val="20"/>
          <w:szCs w:val="20"/>
        </w:rPr>
        <w:t xml:space="preserve"> January 19, 2022. Subsequent to the consummation of the Initial Public Offering, the Company’s liquidity has been satisfied through the net proceeds from the consummation of the Initial Public Offering and the Private Placement held outside of the Trust A</w:t>
      </w:r>
      <w:r>
        <w:rPr>
          <w:sz w:val="20"/>
          <w:szCs w:val="20"/>
        </w:rPr>
        <w:t xml:space="preserve">ccount. In addition, in order to finance transaction costs in connection with a Business Combination, the Sponsor or an affiliate of the Sponsor, or certain of the Company’s officers and directors may, but are not obligated to, provide the Company Working </w:t>
      </w:r>
      <w:r>
        <w:rPr>
          <w:sz w:val="20"/>
          <w:szCs w:val="20"/>
        </w:rPr>
        <w:t>Capital Loans (as defined in Note 4). As of March 31, 2022, there were no amounts outstanding under any Working Capital Loan.</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Based on the foregoing, management believes that the Company will have sufficient working capital and borrowing capacity to meet</w:t>
      </w:r>
      <w:r>
        <w:rPr>
          <w:sz w:val="20"/>
          <w:szCs w:val="20"/>
        </w:rPr>
        <w:t xml:space="preserve"> its needs through the earlier of the consummation of a Business Combination or one year from this filing. Over this time period, the Company will be using the funds held outside of the Trust Account for paying existing accounts payable, identifying and ev</w:t>
      </w:r>
      <w:r>
        <w:rPr>
          <w:sz w:val="20"/>
          <w:szCs w:val="20"/>
        </w:rPr>
        <w:t>aluating prospective initial Business Combination candidates, performing due diligence on prospective target businesses, paying for travel expenditures, selecting the target business to merge with or acquire, and structuring, negotiating and consummating t</w:t>
      </w:r>
      <w:r>
        <w:rPr>
          <w:sz w:val="20"/>
          <w:szCs w:val="20"/>
        </w:rPr>
        <w:t>he Business Combination.</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Going Concern Consideration</w:t>
      </w:r>
    </w:p>
    <w:p w:rsidR="00000000" w:rsidRDefault="00391C87">
      <w:pPr>
        <w:pStyle w:val="a3"/>
        <w:shd w:val="clear" w:color="auto" w:fill="FFFFFF"/>
        <w:spacing w:before="0" w:beforeAutospacing="0" w:after="0" w:afterAutospacing="0"/>
        <w:jc w:val="both"/>
        <w:rPr>
          <w:sz w:val="20"/>
          <w:szCs w:val="20"/>
        </w:rPr>
      </w:pPr>
      <w:r>
        <w:rPr>
          <w:b/>
          <w:bCs/>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 expects to incur significant costs in pursuit of its financing and acquisition plans. In connection with the Company’s assessment of going concern considerations in accordance with Accoun</w:t>
      </w:r>
      <w:r>
        <w:rPr>
          <w:sz w:val="20"/>
          <w:szCs w:val="20"/>
        </w:rPr>
        <w:t>ting Standards Update (“ASU”) 2014-15, “Disclosures of Uncertainties about an Entity’s Ability to Continue as a Going Concern,” management has determined that if the Company is unsuccessful in consummating an initial business combination within the prescri</w:t>
      </w:r>
      <w:r>
        <w:rPr>
          <w:sz w:val="20"/>
          <w:szCs w:val="20"/>
        </w:rPr>
        <w:t>bed period of time from the closing of the Initial Public Offering, the requirement that the Company cease all operations, redeem the public shares and thereafter liquidate and dissolve raises substantial doubt about the ability to continue as a going conc</w:t>
      </w:r>
      <w:r>
        <w:rPr>
          <w:sz w:val="20"/>
          <w:szCs w:val="20"/>
        </w:rPr>
        <w:t>ern. The balance sheet does not include any adjustments that might result from the outcome of this uncertainty. Management has determined that the Company has funds that are sufficient to fund the working capital needs of the Company until the consummation</w:t>
      </w:r>
      <w:r>
        <w:rPr>
          <w:sz w:val="20"/>
          <w:szCs w:val="20"/>
        </w:rPr>
        <w:t xml:space="preserve"> of an initial business combination or the winding up of the Company as stipulated in the Company’s amended and restated memorandum of association. The accompanying financial statement has been prepared in conformity with generally accepted accounting prin</w:t>
      </w:r>
      <w:r>
        <w:rPr>
          <w:sz w:val="20"/>
          <w:szCs w:val="20"/>
        </w:rPr>
        <w:t>ciples in the United States of America (“GAAP”), which contemplate continuation of the Company as a going concern.</w:t>
      </w:r>
    </w:p>
    <w:p w:rsidR="00000000" w:rsidRDefault="00391C8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27606667"/>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rsidR="00000000" w:rsidRDefault="00391C87">
      <w:pPr>
        <w:pStyle w:val="a3"/>
        <w:spacing w:before="0" w:beforeAutospacing="0" w:after="0" w:afterAutospacing="0"/>
        <w:divId w:val="970012903"/>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SUMMARY OF SIGNIFICANT ACCOUNTING POLICIE</w:t>
      </w:r>
      <w:r>
        <w:rPr>
          <w:b/>
          <w:bCs/>
          <w:sz w:val="20"/>
          <w:szCs w:val="20"/>
        </w:rPr>
        <w: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Basis of Presentation</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accompany</w:t>
      </w:r>
      <w:r>
        <w:rPr>
          <w:sz w:val="20"/>
          <w:szCs w:val="20"/>
        </w:rPr>
        <w:t>ing financial statements are presented in U.S. Dollars and conformity with accounting principles generally accepted in the United States of America (“GAAP”) and pursuant to the rules and regulations of the SEC.</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Emerging Growth Company</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Company is an</w:t>
      </w:r>
      <w:r>
        <w:rPr>
          <w:sz w:val="20"/>
          <w:szCs w:val="20"/>
        </w:rPr>
        <w:t xml:space="preserve"> “emerging growth company,” as defined in Section 2(a) of the Securities Act, as modified by the Jumpstart Our Business Startups Act of 2012 (the “JOBS Act”), and it may take advantage of certain exemptions from various reporting requirements that are appl</w:t>
      </w:r>
      <w:r>
        <w:rPr>
          <w:sz w:val="20"/>
          <w:szCs w:val="20"/>
        </w:rPr>
        <w:t>icable to other public companies that are not emerging growth companies including, but not limited to, not being required to comply with the auditor attestation requirements of Section 404 of the Sarbanes-Oxley Act, reduced disclosure obligations regarding</w:t>
      </w:r>
      <w:r>
        <w:rPr>
          <w:sz w:val="20"/>
          <w:szCs w:val="20"/>
        </w:rPr>
        <w:t xml:space="preserve"> executive compensation in its periodic reports and proxy statements, and exemptions from the requirements of holding a nonbinding advisory vote on executive compensation and stockholder approval of any golden parachute payments not previously approved.</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Securities Act registration statement </w:t>
      </w:r>
      <w:r>
        <w:rPr>
          <w:sz w:val="20"/>
          <w:szCs w:val="20"/>
        </w:rPr>
        <w:t>declared effective or do not have a class of securities registered under the Exchange Act) are required to comply with the new or revised financial accounting standards. The JOBS Act provides that a company can elect to opt out of the extended transition p</w:t>
      </w:r>
      <w:r>
        <w:rPr>
          <w:sz w:val="20"/>
          <w:szCs w:val="20"/>
        </w:rPr>
        <w:t>eriod and comply with the requirements that apply to non-emerging growth companies but any such election to opt out is irrevocable. The Company has elected not to opt out of such extended transition period which means that when a standard is issued or revi</w:t>
      </w:r>
      <w:r>
        <w:rPr>
          <w:sz w:val="20"/>
          <w:szCs w:val="20"/>
        </w:rPr>
        <w:t>sed and it has different application dates for public or private companies, the Company, as an emerging growth company, can adopt the new or revised standard at the time private companies adopt the new or revised standard. This may make comparison of the C</w:t>
      </w:r>
      <w:r>
        <w:rPr>
          <w:sz w:val="20"/>
          <w:szCs w:val="20"/>
        </w:rPr>
        <w:t>ompany’s financial statements with another public company which is neither an emerging growth company nor an emerging growth company which has opted out of using the extended transition period difficult or impossible because of the potential differences in</w:t>
      </w:r>
      <w:r>
        <w:rPr>
          <w:sz w:val="20"/>
          <w:szCs w:val="20"/>
        </w:rPr>
        <w:t xml:space="preserve"> accounting standards used.</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Use of Estimates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w:t>
      </w:r>
      <w:r>
        <w:rPr>
          <w:sz w:val="20"/>
          <w:szCs w:val="20"/>
        </w:rPr>
        <w:t>ssets and liabilities at the date of the financial statements and the reported amounts of revenues and expenses during the reporting period.</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Making </w:t>
      </w:r>
      <w:r>
        <w:rPr>
          <w:sz w:val="20"/>
          <w:szCs w:val="20"/>
        </w:rPr>
        <w:t>estimates requires management to exercise significant judgment. It is at least reasonably possible that the estimate of the effect of a condition, situation or set of circumstances that existed at the date of the financial statements, which management cons</w:t>
      </w:r>
      <w:r>
        <w:rPr>
          <w:sz w:val="20"/>
          <w:szCs w:val="20"/>
        </w:rPr>
        <w:t>idered in formulating its estimate, could change in the near term due to one or more future confirming events. Accordingly, the actual results could differ significantly from those estimates.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Cash and Cash Equivalents</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 considers all short-te</w:t>
      </w:r>
      <w:r>
        <w:rPr>
          <w:sz w:val="20"/>
          <w:szCs w:val="20"/>
        </w:rPr>
        <w:t>rm investments with an original maturity of three months or less when purchased to be cash equivalents. The Company had</w:t>
      </w:r>
      <w:r>
        <w:rPr>
          <w:sz w:val="20"/>
          <w:szCs w:val="20"/>
        </w:rPr>
        <w:t xml:space="preserve"> </w:t>
      </w:r>
      <w:r>
        <w:rPr>
          <w:sz w:val="20"/>
          <w:szCs w:val="20"/>
        </w:rPr>
        <w:t>n</w:t>
      </w:r>
      <w:r>
        <w:rPr>
          <w:sz w:val="20"/>
          <w:szCs w:val="20"/>
        </w:rPr>
        <w:t>o</w:t>
      </w:r>
      <w:r>
        <w:rPr>
          <w:sz w:val="20"/>
          <w:szCs w:val="20"/>
        </w:rPr>
        <w:t xml:space="preserve"> cash equivalents as of March 31, 2022.</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Marketable Securities Held in Trust Account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As of March 31, 2022, substantially all of the</w:t>
      </w:r>
      <w:r>
        <w:rPr>
          <w:sz w:val="20"/>
          <w:szCs w:val="20"/>
        </w:rPr>
        <w:t xml:space="preserve"> assets held in the Trust Account were held in government securities (United States Treasury Bills). As of March 31, 2022, the balance in the Trust Account was </w:t>
      </w:r>
      <w:r>
        <w:rPr>
          <w:sz w:val="20"/>
          <w:szCs w:val="20"/>
        </w:rPr>
        <w:t>$</w:t>
      </w:r>
      <w:r>
        <w:rPr>
          <w:sz w:val="20"/>
          <w:szCs w:val="20"/>
        </w:rPr>
        <w:t>102,646,54</w:t>
      </w:r>
      <w:r>
        <w:rPr>
          <w:sz w:val="20"/>
          <w:szCs w:val="20"/>
        </w:rPr>
        <w:t>4</w:t>
      </w:r>
      <w:r>
        <w:rPr>
          <w:sz w:val="20"/>
          <w:szCs w:val="20"/>
        </w:rPr>
        <w:t>.</w:t>
      </w:r>
    </w:p>
    <w:p w:rsidR="00000000" w:rsidRDefault="00391C87">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71786324"/>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rsidR="00000000" w:rsidRDefault="00391C87">
      <w:pPr>
        <w:pStyle w:val="a3"/>
        <w:spacing w:before="0" w:beforeAutospacing="0" w:after="0" w:afterAutospacing="0"/>
        <w:divId w:val="424308797"/>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Deferred offering costs</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Deferred </w:t>
      </w:r>
      <w:r>
        <w:rPr>
          <w:sz w:val="20"/>
          <w:szCs w:val="20"/>
        </w:rPr>
        <w:t>offering costs consist of underwriting, legal, accounting and other expenses incurred through the balance sheet date that are directly related to the Proposed Offering and that will be charged to stockholders’ equity upon the completion of the Proposed Off</w:t>
      </w:r>
      <w:r>
        <w:rPr>
          <w:sz w:val="20"/>
          <w:szCs w:val="20"/>
        </w:rPr>
        <w:t>ering. Should the Proposed Offering have proved to be unsuccessful, these deferred costs, as well as additional expenses incurred, would have been charged to operations.</w:t>
      </w:r>
    </w:p>
    <w:p w:rsidR="00000000" w:rsidRDefault="00391C87">
      <w:pPr>
        <w:pStyle w:val="a3"/>
        <w:shd w:val="clear" w:color="auto" w:fill="FFFFFF"/>
        <w:spacing w:before="0" w:beforeAutospacing="0" w:after="0" w:afterAutospacing="0"/>
        <w:ind w:firstLine="709"/>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Income Taxes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 complies with the accounting and reporting requirements o</w:t>
      </w:r>
      <w:r>
        <w:rPr>
          <w:sz w:val="20"/>
          <w:szCs w:val="20"/>
        </w:rPr>
        <w:t>f ASC Topic 740, “Income Taxes,” which requires an asset and liability approach to financial accounting and reporting for income taxes. Deferred income tax assets and liabilities are computed for differences between the financial statement and tax bases of</w:t>
      </w:r>
      <w:r>
        <w:rPr>
          <w:sz w:val="20"/>
          <w:szCs w:val="20"/>
        </w:rPr>
        <w:t xml:space="preserve"> assets and liabilities that will result in future taxable or deductible amounts, based on enacted tax laws and rates applicable to the periods in which the differences are expected to affect taxable income. Valuation allowances are established, when neces</w:t>
      </w:r>
      <w:r>
        <w:rPr>
          <w:sz w:val="20"/>
          <w:szCs w:val="20"/>
        </w:rPr>
        <w:t>sary, to reduce deferred tax assets to the amount expected to be realized.</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ASC Topic 740 prescribes a recognition threshold and a measurement attribute for the financial statement recognition and measurement of tax positions taken or expected to be taken</w:t>
      </w:r>
      <w:r>
        <w:rPr>
          <w:sz w:val="20"/>
          <w:szCs w:val="20"/>
        </w:rPr>
        <w:t xml:space="preserve"> in a tax return. For those benefits to be recognized, a tax position must be more-likely-than-not to be sustained upon examination by taxing authorities. The Company’s management determined the United States is the Company’s only major tax jurisdiction. T</w:t>
      </w:r>
      <w:r>
        <w:rPr>
          <w:sz w:val="20"/>
          <w:szCs w:val="20"/>
        </w:rPr>
        <w:t>he Company recognizes accrued interest and penalties related to unrecognized tax benefits, if any, as income tax expense. There were</w:t>
      </w:r>
      <w:r>
        <w:rPr>
          <w:sz w:val="20"/>
          <w:szCs w:val="20"/>
        </w:rPr>
        <w:t xml:space="preserve"> </w:t>
      </w:r>
      <w:r>
        <w:rPr>
          <w:sz w:val="20"/>
          <w:szCs w:val="20"/>
        </w:rPr>
        <w:t>n</w:t>
      </w:r>
      <w:r>
        <w:rPr>
          <w:sz w:val="20"/>
          <w:szCs w:val="20"/>
        </w:rPr>
        <w:t>o</w:t>
      </w:r>
      <w:r>
        <w:rPr>
          <w:sz w:val="20"/>
          <w:szCs w:val="20"/>
        </w:rPr>
        <w:t xml:space="preserve"> unrecognized tax benefits as of March 31, 2022 and</w:t>
      </w:r>
      <w:r>
        <w:rPr>
          <w:sz w:val="20"/>
          <w:szCs w:val="20"/>
        </w:rPr>
        <w:t xml:space="preserve"> </w:t>
      </w:r>
      <w:r>
        <w:rPr>
          <w:sz w:val="20"/>
          <w:szCs w:val="20"/>
        </w:rPr>
        <w:t>n</w:t>
      </w:r>
      <w:r>
        <w:rPr>
          <w:sz w:val="20"/>
          <w:szCs w:val="20"/>
        </w:rPr>
        <w:t>o</w:t>
      </w:r>
      <w:r>
        <w:rPr>
          <w:sz w:val="20"/>
          <w:szCs w:val="20"/>
        </w:rPr>
        <w:t xml:space="preserve"> amounts accrued for interest and penalties. The Company is current</w:t>
      </w:r>
      <w:r>
        <w:rPr>
          <w:sz w:val="20"/>
          <w:szCs w:val="20"/>
        </w:rPr>
        <w:t>ly not aware of any issues under review that could result in significant payments, accruals or material deviation from its position. The Company is subject to income tax examinations by major taxing authorities since inception.</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provision for income t</w:t>
      </w:r>
      <w:r>
        <w:rPr>
          <w:sz w:val="20"/>
          <w:szCs w:val="20"/>
        </w:rPr>
        <w:t>axes was deemed to be de minimis for the three months ended March 31, 2022.</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Net loss per share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The Company complies with accounting and disclosure requirements of ASC Topic 260, “Earnings Per Share.” Net loss per share is computed by dividing net loss </w:t>
      </w:r>
      <w:r>
        <w:rPr>
          <w:sz w:val="20"/>
          <w:szCs w:val="20"/>
        </w:rPr>
        <w:t xml:space="preserve">by the weighted average number of common stock outstanding during the period, excluding common stock subject to forfeiture. As of March 31, 2022, the Company did not have any dilutive securities and other contracts that could, potentially, be exercised or </w:t>
      </w:r>
      <w:r>
        <w:rPr>
          <w:sz w:val="20"/>
          <w:szCs w:val="20"/>
        </w:rPr>
        <w:t>converted into common stock and then share in the earnings of the Company. As a result, diluted loss per share is the same as basic loss per share for the periods presented.</w:t>
      </w:r>
    </w:p>
    <w:p w:rsidR="00000000" w:rsidRDefault="00391C87">
      <w:pPr>
        <w:pStyle w:val="a3"/>
        <w:shd w:val="clear" w:color="auto" w:fill="FFFFFF"/>
        <w:spacing w:before="0" w:beforeAutospacing="0" w:after="0" w:afterAutospacing="0"/>
        <w:ind w:firstLine="708"/>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Concentration of Credit Risk</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Financial </w:t>
      </w:r>
      <w:r>
        <w:rPr>
          <w:sz w:val="20"/>
          <w:szCs w:val="20"/>
        </w:rPr>
        <w:t xml:space="preserve">instruments that potentially subject the Company to concentration of credit risk consist of a cash account in a financial institution which, at times may exceed the Federal depository insurance coverage of </w:t>
      </w:r>
      <w:r>
        <w:rPr>
          <w:sz w:val="20"/>
          <w:szCs w:val="20"/>
        </w:rPr>
        <w:t>$</w:t>
      </w:r>
      <w:r>
        <w:rPr>
          <w:sz w:val="20"/>
          <w:szCs w:val="20"/>
        </w:rPr>
        <w:t>250,00</w:t>
      </w:r>
      <w:r>
        <w:rPr>
          <w:sz w:val="20"/>
          <w:szCs w:val="20"/>
        </w:rPr>
        <w:t>0</w:t>
      </w:r>
      <w:r>
        <w:rPr>
          <w:sz w:val="20"/>
          <w:szCs w:val="20"/>
        </w:rPr>
        <w:t>. On March 31, 2022, the Company had not e</w:t>
      </w:r>
      <w:r>
        <w:rPr>
          <w:sz w:val="20"/>
          <w:szCs w:val="20"/>
        </w:rPr>
        <w:t>xperienced losses on this account and management believes the Company is not exposed to significant risks on such account.</w:t>
      </w:r>
    </w:p>
    <w:p w:rsidR="00000000" w:rsidRDefault="00391C87">
      <w:pPr>
        <w:pStyle w:val="a3"/>
        <w:shd w:val="clear" w:color="auto" w:fill="FFFFFF"/>
        <w:spacing w:before="0" w:beforeAutospacing="0" w:after="0" w:afterAutospacing="0"/>
        <w:ind w:firstLine="708"/>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Fair Value of Financial Instruments</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fair value of the Company’s assets and liabilities, which qualify as financial instrument</w:t>
      </w:r>
      <w:r>
        <w:rPr>
          <w:sz w:val="20"/>
          <w:szCs w:val="20"/>
        </w:rPr>
        <w:t>s under ASC Topic 820, “Fair Value Measurements and Disclosures,” approximates the carrying amounts represented in the accompanying balance sheet, primarily due to their short-term nature.</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Recent Accounting Standards</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w:t>
      </w:r>
      <w:r>
        <w:rPr>
          <w:sz w:val="20"/>
          <w:szCs w:val="20"/>
        </w:rPr>
        <w:t>s management does not believe that any recently issued, but not yet effective, accounting standards updates, if currently adopted, would have a material effect on the accompanying financial statement.</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Risks and Uncertainties</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Management is currently eva</w:t>
      </w:r>
      <w:r>
        <w:rPr>
          <w:sz w:val="20"/>
          <w:szCs w:val="20"/>
        </w:rPr>
        <w:t>luating the impact of the COVID-19 pandemic on the industry and has concluded that while it is reasonably possible that the virus could have a negative effect on the Company’s financial position, results of its operations, close of the Initial Public Offer</w:t>
      </w:r>
      <w:r>
        <w:rPr>
          <w:sz w:val="20"/>
          <w:szCs w:val="20"/>
        </w:rPr>
        <w:t>ing, and/or search for a target company, the specific impact is not readily determinable as of the date of these financial statements. The financial statements do not include any adjustments that might result from the outcome of this uncertainty.</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2051168"/>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rsidR="00000000" w:rsidRDefault="00391C87">
      <w:pPr>
        <w:pStyle w:val="a3"/>
        <w:spacing w:before="0" w:beforeAutospacing="0" w:after="0" w:afterAutospacing="0"/>
        <w:divId w:val="2109152499"/>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INITIAL PUBLIC OFFERIN</w:t>
      </w:r>
      <w:r>
        <w:rPr>
          <w:b/>
          <w:bCs/>
          <w:sz w:val="20"/>
          <w:szCs w:val="20"/>
        </w:rPr>
        <w:t>G</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Each Unit consists of one share of common stock and one right to r</w:t>
      </w:r>
      <w:r>
        <w:rPr>
          <w:sz w:val="20"/>
          <w:szCs w:val="20"/>
        </w:rPr>
        <w:t>eceive one-tenth (1/10) of one share of common stock upon the consummation of an initial business combination</w:t>
      </w:r>
      <w:r>
        <w:rPr>
          <w:sz w:val="20"/>
          <w:szCs w:val="20"/>
        </w:rPr>
        <w: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As of January 13, 2022, the Company closed its Initial Public Offering and incurred transaction costs of approximately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w:t>
      </w:r>
      <w:r>
        <w:rPr>
          <w:sz w:val="20"/>
          <w:szCs w:val="20"/>
        </w:rPr>
        <w:t>500,00</w:t>
      </w:r>
      <w:r>
        <w:rPr>
          <w:sz w:val="20"/>
          <w:szCs w:val="20"/>
        </w:rPr>
        <w:t>0</w:t>
      </w:r>
      <w:r>
        <w:rPr>
          <w:sz w:val="20"/>
          <w:szCs w:val="20"/>
        </w:rPr>
        <w:t xml:space="preserve"> was for deferred underwriting commissions.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w:t>
      </w:r>
      <w:r>
        <w:rPr>
          <w:sz w:val="20"/>
          <w:szCs w:val="20"/>
        </w:rPr>
        <w:t xml:space="preserve">ng gross proceeds of </w:t>
      </w:r>
      <w:r>
        <w:rPr>
          <w:sz w:val="20"/>
          <w:szCs w:val="20"/>
        </w:rPr>
        <w:t>$</w:t>
      </w:r>
      <w:r>
        <w:rPr>
          <w:sz w:val="20"/>
          <w:szCs w:val="20"/>
        </w:rPr>
        <w:t>1,590,69</w:t>
      </w:r>
      <w:r>
        <w:rPr>
          <w:sz w:val="20"/>
          <w:szCs w:val="20"/>
        </w:rPr>
        <w:t>0</w:t>
      </w:r>
      <w:r>
        <w:rPr>
          <w:sz w:val="20"/>
          <w:szCs w:val="20"/>
        </w:rPr>
        <w:t>, and forfeited the remainder of the option.</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PRIVATE PLACEMEN</w:t>
      </w:r>
      <w:r>
        <w:rPr>
          <w:b/>
          <w:bCs/>
          <w:sz w:val="20"/>
          <w:szCs w:val="20"/>
        </w:rPr>
        <w:t>T</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Simultaneously </w:t>
      </w:r>
      <w:r>
        <w:rPr>
          <w:sz w:val="20"/>
          <w:szCs w:val="20"/>
        </w:rPr>
        <w:t>with the closing of the Initial Public Offering, the Sponsor purchased an aggregate of</w:t>
      </w:r>
      <w:r>
        <w:rPr>
          <w:sz w:val="20"/>
          <w:szCs w:val="20"/>
        </w:rPr>
        <w:t xml:space="preserve"> </w:t>
      </w:r>
      <w:r>
        <w:rPr>
          <w:sz w:val="20"/>
          <w:szCs w:val="20"/>
        </w:rPr>
        <w:t>446,35</w:t>
      </w:r>
      <w:r>
        <w:rPr>
          <w:sz w:val="20"/>
          <w:szCs w:val="20"/>
        </w:rPr>
        <w:t>8</w:t>
      </w:r>
      <w:r>
        <w:rPr>
          <w:sz w:val="20"/>
          <w:szCs w:val="20"/>
        </w:rPr>
        <w:t xml:space="preserve"> Placement Units at a price of </w:t>
      </w:r>
      <w:r>
        <w:rPr>
          <w:sz w:val="20"/>
          <w:szCs w:val="20"/>
        </w:rPr>
        <w:t>$</w:t>
      </w:r>
      <w:r>
        <w:rPr>
          <w:sz w:val="20"/>
          <w:szCs w:val="20"/>
        </w:rPr>
        <w:t>10.00</w:t>
      </w:r>
      <w:r>
        <w:rPr>
          <w:sz w:val="20"/>
          <w:szCs w:val="20"/>
        </w:rPr>
        <w:t xml:space="preserve"> </w:t>
      </w:r>
      <w:r>
        <w:rPr>
          <w:sz w:val="20"/>
          <w:szCs w:val="20"/>
        </w:rPr>
        <w:t>per Placement Unit (</w:t>
      </w:r>
      <w:r>
        <w:rPr>
          <w:sz w:val="20"/>
          <w:szCs w:val="20"/>
        </w:rPr>
        <w:t>$</w:t>
      </w:r>
      <w:r>
        <w:rPr>
          <w:sz w:val="20"/>
          <w:szCs w:val="20"/>
        </w:rPr>
        <w:t>4,463,58</w:t>
      </w:r>
      <w:r>
        <w:rPr>
          <w:sz w:val="20"/>
          <w:szCs w:val="20"/>
        </w:rPr>
        <w:t>0</w:t>
      </w:r>
      <w:r>
        <w:rPr>
          <w:sz w:val="20"/>
          <w:szCs w:val="20"/>
        </w:rPr>
        <w:t xml:space="preserve"> in the aggregate).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The proceeds from the sale of the Placement Units were added to the net </w:t>
      </w:r>
      <w:r>
        <w:rPr>
          <w:sz w:val="20"/>
          <w:szCs w:val="20"/>
        </w:rPr>
        <w:t>proceeds from the Initial Public Offering held in the Trust Account. The Placement Units are identical to the Units sold in the Initial Public Offering. If the Company does not complete a Business Combination within the Combination Period, the proceeds fro</w:t>
      </w:r>
      <w:r>
        <w:rPr>
          <w:sz w:val="20"/>
          <w:szCs w:val="20"/>
        </w:rPr>
        <w:t>m the sale of the Placement Units will be used to fund the redemption of the Public Shares (subject to the requirements of applicable law) and the Placement Units will expire worthless.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Simultaneously with the closing of the Over-Allotment, the Company c</w:t>
      </w:r>
      <w:r>
        <w:rPr>
          <w:sz w:val="20"/>
          <w:szCs w:val="20"/>
        </w:rPr>
        <w:t>ompleted the private sale of an additional</w:t>
      </w:r>
      <w:r>
        <w:rPr>
          <w:sz w:val="20"/>
          <w:szCs w:val="20"/>
        </w:rPr>
        <w:t xml:space="preserve"> </w:t>
      </w:r>
      <w:r>
        <w:rPr>
          <w:sz w:val="20"/>
          <w:szCs w:val="20"/>
        </w:rPr>
        <w:t>4,77</w:t>
      </w:r>
      <w:r>
        <w:rPr>
          <w:sz w:val="20"/>
          <w:szCs w:val="20"/>
        </w:rPr>
        <w:t>2</w:t>
      </w:r>
      <w:r>
        <w:rPr>
          <w:sz w:val="20"/>
          <w:szCs w:val="20"/>
        </w:rPr>
        <w:t xml:space="preserve"> placement units at a purchase price of </w:t>
      </w:r>
      <w:r>
        <w:rPr>
          <w:sz w:val="20"/>
          <w:szCs w:val="20"/>
        </w:rPr>
        <w:t>$</w:t>
      </w:r>
      <w:r>
        <w:rPr>
          <w:sz w:val="20"/>
          <w:szCs w:val="20"/>
        </w:rPr>
        <w:t>10.0</w:t>
      </w:r>
      <w:r>
        <w:rPr>
          <w:sz w:val="20"/>
          <w:szCs w:val="20"/>
        </w:rPr>
        <w:t>0</w:t>
      </w:r>
      <w:r>
        <w:rPr>
          <w:sz w:val="20"/>
          <w:szCs w:val="20"/>
        </w:rPr>
        <w:t xml:space="preserve"> per placement unit, to the Company’s sponsor, Broad Capital LLC, generating additional gross proceeds to the Company of </w:t>
      </w:r>
      <w:r>
        <w:rPr>
          <w:sz w:val="20"/>
          <w:szCs w:val="20"/>
        </w:rPr>
        <w:t>$</w:t>
      </w:r>
      <w:r>
        <w:rPr>
          <w:sz w:val="20"/>
          <w:szCs w:val="20"/>
        </w:rPr>
        <w:t>47,72</w:t>
      </w:r>
      <w:r>
        <w:rPr>
          <w:sz w:val="20"/>
          <w:szCs w:val="20"/>
        </w:rPr>
        <w:t>0</w:t>
      </w:r>
      <w:r>
        <w:rPr>
          <w:sz w:val="20"/>
          <w:szCs w:val="20"/>
        </w:rPr>
        <w: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In connection with the closing</w:t>
      </w:r>
      <w:r>
        <w:rPr>
          <w:sz w:val="20"/>
          <w:szCs w:val="20"/>
        </w:rPr>
        <w:t xml:space="preserve">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was placed in a U.S.-based trust account established for the benefit of the</w:t>
      </w:r>
      <w:r>
        <w:rPr>
          <w:sz w:val="20"/>
          <w:szCs w:val="20"/>
        </w:rPr>
        <w:t xml:space="preserve"> Company’s public shareholders, maintained by Continental Stock Transfer &amp; Trust Company, acting as trustee.</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RELATED PARTY TRANSACTION</w:t>
      </w:r>
      <w:r>
        <w:rPr>
          <w:b/>
          <w:bCs/>
          <w:sz w:val="20"/>
          <w:szCs w:val="20"/>
        </w:rPr>
        <w: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Insider shares</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May 7, 2021, the Sponsor purchased</w:t>
      </w:r>
      <w:r>
        <w:rPr>
          <w:sz w:val="20"/>
          <w:szCs w:val="20"/>
        </w:rPr>
        <w:t xml:space="preserve"> </w:t>
      </w:r>
      <w:r>
        <w:rPr>
          <w:sz w:val="20"/>
          <w:szCs w:val="20"/>
        </w:rPr>
        <w:t>2,875,00</w:t>
      </w:r>
      <w:r>
        <w:rPr>
          <w:sz w:val="20"/>
          <w:szCs w:val="20"/>
        </w:rPr>
        <w:t>0</w:t>
      </w:r>
      <w:r>
        <w:rPr>
          <w:sz w:val="20"/>
          <w:szCs w:val="20"/>
        </w:rPr>
        <w:t xml:space="preserve"> insider shares for an aggregate purchase pr</w:t>
      </w:r>
      <w:r>
        <w:rPr>
          <w:sz w:val="20"/>
          <w:szCs w:val="20"/>
        </w:rPr>
        <w:t xml:space="preserve">ice of </w:t>
      </w:r>
      <w:r>
        <w:rPr>
          <w:sz w:val="20"/>
          <w:szCs w:val="20"/>
        </w:rPr>
        <w:t>$</w:t>
      </w:r>
      <w:r>
        <w:rPr>
          <w:sz w:val="20"/>
          <w:szCs w:val="20"/>
        </w:rPr>
        <w:t>25,00</w:t>
      </w:r>
      <w:r>
        <w:rPr>
          <w:sz w:val="20"/>
          <w:szCs w:val="20"/>
        </w:rPr>
        <w:t>0</w:t>
      </w:r>
      <w:r>
        <w:rPr>
          <w:sz w:val="20"/>
          <w:szCs w:val="20"/>
        </w:rPr>
        <w:t>. The number of insider shares will equal, on an as-converted basis, approximately</w:t>
      </w:r>
      <w:r>
        <w:rPr>
          <w:sz w:val="20"/>
          <w:szCs w:val="20"/>
        </w:rPr>
        <w:t xml:space="preserve"> </w:t>
      </w:r>
      <w:r>
        <w:rPr>
          <w:sz w:val="20"/>
          <w:szCs w:val="20"/>
        </w:rPr>
        <w:t>2</w:t>
      </w:r>
      <w:r>
        <w:rPr>
          <w:sz w:val="20"/>
          <w:szCs w:val="20"/>
        </w:rPr>
        <w:t>0</w:t>
      </w:r>
      <w:r>
        <w:rPr>
          <w:sz w:val="20"/>
          <w:szCs w:val="20"/>
        </w:rPr>
        <w:t>% of the Company’s issued and outstanding shares of ordinary shares after the Initial Public Offering.</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shd w:val="clear" w:color="auto" w:fill="FFFFFF"/>
        </w:rPr>
        <w:t>On May 25, 2021, our sponsor transferred</w:t>
      </w:r>
      <w:r>
        <w:rPr>
          <w:sz w:val="20"/>
          <w:szCs w:val="20"/>
          <w:shd w:val="clear" w:color="auto" w:fill="FFFFFF"/>
        </w:rPr>
        <w:t xml:space="preserve"> </w:t>
      </w:r>
      <w:r>
        <w:rPr>
          <w:sz w:val="20"/>
          <w:szCs w:val="20"/>
          <w:shd w:val="clear" w:color="auto" w:fill="FFFFFF"/>
        </w:rPr>
        <w:t>80,00</w:t>
      </w:r>
      <w:r>
        <w:rPr>
          <w:sz w:val="20"/>
          <w:szCs w:val="20"/>
          <w:shd w:val="clear" w:color="auto" w:fill="FFFFFF"/>
        </w:rPr>
        <w:t>0</w:t>
      </w:r>
      <w:r>
        <w:rPr>
          <w:sz w:val="20"/>
          <w:szCs w:val="20"/>
          <w:shd w:val="clear" w:color="auto" w:fill="FFFFFF"/>
        </w:rPr>
        <w:t xml:space="preserve"> insi</w:t>
      </w:r>
      <w:r>
        <w:rPr>
          <w:sz w:val="20"/>
          <w:szCs w:val="20"/>
          <w:shd w:val="clear" w:color="auto" w:fill="FFFFFF"/>
        </w:rPr>
        <w:t>der shares of common stock among our four independent directors, leaving</w:t>
      </w:r>
      <w:r>
        <w:rPr>
          <w:sz w:val="20"/>
          <w:szCs w:val="20"/>
          <w:shd w:val="clear" w:color="auto" w:fill="FFFFFF"/>
        </w:rPr>
        <w:t xml:space="preserve"> </w:t>
      </w:r>
      <w:r>
        <w:rPr>
          <w:sz w:val="20"/>
          <w:szCs w:val="20"/>
          <w:shd w:val="clear" w:color="auto" w:fill="FFFFFF"/>
        </w:rPr>
        <w:t>2,795,00</w:t>
      </w:r>
      <w:r>
        <w:rPr>
          <w:sz w:val="20"/>
          <w:szCs w:val="20"/>
          <w:shd w:val="clear" w:color="auto" w:fill="FFFFFF"/>
        </w:rPr>
        <w:t>0</w:t>
      </w:r>
      <w:r>
        <w:rPr>
          <w:sz w:val="20"/>
          <w:szCs w:val="20"/>
          <w:shd w:val="clear" w:color="auto" w:fill="FFFFFF"/>
        </w:rPr>
        <w:t xml:space="preserve"> insider shares held by our sponsor. </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Due to the over-allotment option being partially exercised by the underwriter on February 10, 2022 (see note 6), the Sponsor forfeited</w:t>
      </w:r>
      <w:r>
        <w:rPr>
          <w:sz w:val="20"/>
          <w:szCs w:val="20"/>
        </w:rPr>
        <w:t xml:space="preserve"> </w:t>
      </w:r>
      <w:r>
        <w:rPr>
          <w:sz w:val="20"/>
          <w:szCs w:val="20"/>
        </w:rPr>
        <w:t>335,23</w:t>
      </w:r>
      <w:r>
        <w:rPr>
          <w:sz w:val="20"/>
          <w:szCs w:val="20"/>
        </w:rPr>
        <w:t>3</w:t>
      </w:r>
      <w:r>
        <w:rPr>
          <w:sz w:val="20"/>
          <w:szCs w:val="20"/>
        </w:rPr>
        <w:t xml:space="preserve"> insider shares. As of March 31, 2022, there were</w:t>
      </w:r>
      <w:r>
        <w:rPr>
          <w:sz w:val="20"/>
          <w:szCs w:val="20"/>
        </w:rPr>
        <w:t xml:space="preserve"> </w:t>
      </w:r>
      <w:r>
        <w:rPr>
          <w:sz w:val="20"/>
          <w:szCs w:val="20"/>
        </w:rPr>
        <w:t>2,990,89</w:t>
      </w:r>
      <w:r>
        <w:rPr>
          <w:sz w:val="20"/>
          <w:szCs w:val="20"/>
        </w:rPr>
        <w:t>7</w:t>
      </w:r>
      <w:r>
        <w:rPr>
          <w:sz w:val="20"/>
          <w:szCs w:val="20"/>
        </w:rPr>
        <w:t xml:space="preserve"> insider shares issued and outstanding and</w:t>
      </w:r>
      <w:r>
        <w:rPr>
          <w:sz w:val="20"/>
          <w:szCs w:val="20"/>
        </w:rPr>
        <w:t xml:space="preserve"> </w:t>
      </w:r>
      <w:r>
        <w:rPr>
          <w:sz w:val="20"/>
          <w:szCs w:val="20"/>
        </w:rPr>
        <w:t>n</w:t>
      </w:r>
      <w:r>
        <w:rPr>
          <w:sz w:val="20"/>
          <w:szCs w:val="20"/>
        </w:rPr>
        <w:t>o</w:t>
      </w:r>
      <w:r>
        <w:rPr>
          <w:sz w:val="20"/>
          <w:szCs w:val="20"/>
        </w:rPr>
        <w:t xml:space="preserve"> further insider shares are subject to forfeiture.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initial stockholders have agreed not to transfer, assign or sell any of the common stoc</w:t>
      </w:r>
      <w:r>
        <w:rPr>
          <w:sz w:val="20"/>
          <w:szCs w:val="20"/>
        </w:rPr>
        <w:t>k (except to certain permitted transferees as disclosed herein) until, with respect to any of the common stock, the earlier of (i) six months after the date of the consummation of a Business Combination, or (ii) the date on which the closing price of the C</w:t>
      </w:r>
      <w:r>
        <w:rPr>
          <w:sz w:val="20"/>
          <w:szCs w:val="20"/>
        </w:rPr>
        <w:t>ompany’s common stock equals or exceeds $12.00 per share (as adjusted for share subdivisions, share dividends, reorganizations and recapitalizations) for any 20 trading days within any 30-trading day period commencing after a Business Combination, or earli</w:t>
      </w:r>
      <w:r>
        <w:rPr>
          <w:sz w:val="20"/>
          <w:szCs w:val="20"/>
        </w:rPr>
        <w:t>er, if, subsequent to a Business Combination, the Company consummates a subsequent liquidation, merger, share exchange or other similar transaction which results in all of the Company’s stockholders having the right to exchange their common stock for cash,</w:t>
      </w:r>
      <w:r>
        <w:rPr>
          <w:sz w:val="20"/>
          <w:szCs w:val="20"/>
        </w:rPr>
        <w:t xml:space="preserve"> securities or other property</w:t>
      </w:r>
      <w:r>
        <w:rPr>
          <w:sz w:val="20"/>
          <w:szCs w:val="20"/>
        </w:rPr>
        <w:t>.</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2653612"/>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rsidR="00000000" w:rsidRDefault="00391C87">
      <w:pPr>
        <w:pStyle w:val="a3"/>
        <w:spacing w:before="0" w:beforeAutospacing="0" w:after="0" w:afterAutospacing="0"/>
        <w:divId w:val="686643194"/>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b/>
          <w:bCs/>
          <w:sz w:val="20"/>
          <w:szCs w:val="20"/>
        </w:rPr>
        <w:t>Promissory Note – Related Party</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 xml:space="preserve">April 16, 2021, the Sponsor issued an unsecured promissory note to the Company, pursuant to which the Company may borrow up to an aggregate principal amount of </w:t>
      </w:r>
      <w:r>
        <w:rPr>
          <w:sz w:val="20"/>
          <w:szCs w:val="20"/>
        </w:rPr>
        <w:t>$</w:t>
      </w:r>
      <w:r>
        <w:rPr>
          <w:sz w:val="20"/>
          <w:szCs w:val="20"/>
        </w:rPr>
        <w:t>300,00</w:t>
      </w:r>
      <w:r>
        <w:rPr>
          <w:sz w:val="20"/>
          <w:szCs w:val="20"/>
        </w:rPr>
        <w:t>0</w:t>
      </w:r>
      <w:r>
        <w:rPr>
          <w:sz w:val="20"/>
          <w:szCs w:val="20"/>
        </w:rPr>
        <w:t>, to be used for payment of costs related to the Initial Public Offering. The note is no</w:t>
      </w:r>
      <w:r>
        <w:rPr>
          <w:sz w:val="20"/>
          <w:szCs w:val="20"/>
        </w:rPr>
        <w:t xml:space="preserve">n-interest bearing and payable on the earlier of (i) March 31, 2022 or (ii) the consummation of the Initial Public Offering pursuant to an Amendment to Promissory Note effective September 30, 2021. The Company had borrowed </w:t>
      </w:r>
      <w:r>
        <w:rPr>
          <w:sz w:val="20"/>
          <w:szCs w:val="20"/>
        </w:rPr>
        <w:t>$</w:t>
      </w:r>
      <w:r>
        <w:rPr>
          <w:sz w:val="20"/>
          <w:szCs w:val="20"/>
        </w:rPr>
        <w:t>133,35</w:t>
      </w:r>
      <w:r>
        <w:rPr>
          <w:sz w:val="20"/>
          <w:szCs w:val="20"/>
        </w:rPr>
        <w:t>7</w:t>
      </w:r>
      <w:r>
        <w:rPr>
          <w:sz w:val="20"/>
          <w:szCs w:val="20"/>
        </w:rPr>
        <w:t xml:space="preserve"> under the promissory not</w:t>
      </w:r>
      <w:r>
        <w:rPr>
          <w:sz w:val="20"/>
          <w:szCs w:val="20"/>
        </w:rPr>
        <w:t xml:space="preserve">e with the Sponsor. Following the closing of the Initial Public Offering on January 13, 2022, the Company repaid a total of </w:t>
      </w:r>
      <w:r>
        <w:rPr>
          <w:sz w:val="20"/>
          <w:szCs w:val="20"/>
        </w:rPr>
        <w:t>$</w:t>
      </w:r>
      <w:r>
        <w:rPr>
          <w:sz w:val="20"/>
          <w:szCs w:val="20"/>
        </w:rPr>
        <w:t>133,35</w:t>
      </w:r>
      <w:r>
        <w:rPr>
          <w:sz w:val="20"/>
          <w:szCs w:val="20"/>
        </w:rPr>
        <w:t>7</w:t>
      </w:r>
      <w:r>
        <w:rPr>
          <w:sz w:val="20"/>
          <w:szCs w:val="20"/>
        </w:rPr>
        <w:t xml:space="preserve"> under the promissory note on January 19, 2022.</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Related Party Loans</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In order to finance transaction costs in connection </w:t>
      </w:r>
      <w:r>
        <w:rPr>
          <w:sz w:val="20"/>
          <w:szCs w:val="20"/>
        </w:rPr>
        <w:t>with a Business Combination, the Sponsor or an affiliate of the Sponsor, or certain of the Company’s officers and directors may, but are not obligated to, loan the Company funds as may be required (“Working Capital Loans”). Such Working Capital Loans would</w:t>
      </w:r>
      <w:r>
        <w:rPr>
          <w:sz w:val="20"/>
          <w:szCs w:val="20"/>
        </w:rPr>
        <w:t xml:space="preserve"> be evidenced by promissory notes. The notes may be repaid upon completion of a Business Combination, without interest, or, at the lender’s discretion, up to </w:t>
      </w:r>
      <w:r>
        <w:rPr>
          <w:sz w:val="20"/>
          <w:szCs w:val="20"/>
        </w:rPr>
        <w:t>$</w:t>
      </w:r>
      <w:r>
        <w:rPr>
          <w:sz w:val="20"/>
          <w:szCs w:val="20"/>
        </w:rPr>
        <w:t>1,500,000</w:t>
      </w:r>
      <w:r>
        <w:rPr>
          <w:sz w:val="20"/>
          <w:szCs w:val="20"/>
        </w:rPr>
        <w:t xml:space="preserve"> </w:t>
      </w:r>
      <w:r>
        <w:rPr>
          <w:sz w:val="20"/>
          <w:szCs w:val="20"/>
        </w:rPr>
        <w:t>of the notes may be converted upon completion of a Business Combination into units at a</w:t>
      </w:r>
      <w:r>
        <w:rPr>
          <w:sz w:val="20"/>
          <w:szCs w:val="20"/>
        </w:rPr>
        <w:t xml:space="preserve"> price of </w:t>
      </w:r>
      <w:r>
        <w:rPr>
          <w:sz w:val="20"/>
          <w:szCs w:val="20"/>
        </w:rPr>
        <w:t>$</w:t>
      </w:r>
      <w:r>
        <w:rPr>
          <w:sz w:val="20"/>
          <w:szCs w:val="20"/>
        </w:rPr>
        <w:t>10.0</w:t>
      </w:r>
      <w:r>
        <w:rPr>
          <w:sz w:val="20"/>
          <w:szCs w:val="20"/>
        </w:rPr>
        <w:t>0</w:t>
      </w:r>
      <w:r>
        <w:rPr>
          <w:sz w:val="20"/>
          <w:szCs w:val="20"/>
        </w:rPr>
        <w:t xml:space="preserve"> per unit. Such units would be identical to the Placement Units. In the event that a Business Combination does not close, the Company may use a portion of proceeds held outside the Trust Account to repay the Working Capital Loans but no pro</w:t>
      </w:r>
      <w:r>
        <w:rPr>
          <w:sz w:val="20"/>
          <w:szCs w:val="20"/>
        </w:rPr>
        <w:t>ceeds held in the Trust Account would be used to repay the Working Capital Loans. As of March 31, 2022, there were</w:t>
      </w:r>
      <w:r>
        <w:rPr>
          <w:sz w:val="20"/>
          <w:szCs w:val="20"/>
        </w:rPr>
        <w:t xml:space="preserve"> </w:t>
      </w:r>
      <w:r>
        <w:rPr>
          <w:sz w:val="20"/>
          <w:szCs w:val="20"/>
        </w:rPr>
        <w:t>n</w:t>
      </w:r>
      <w:r>
        <w:rPr>
          <w:sz w:val="20"/>
          <w:szCs w:val="20"/>
        </w:rPr>
        <w:t>o</w:t>
      </w:r>
      <w:r>
        <w:rPr>
          <w:sz w:val="20"/>
          <w:szCs w:val="20"/>
        </w:rPr>
        <w:t xml:space="preserve"> amounts outstanding under the Working Capital Loans.</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Administrative Services Arrangement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Commencing </w:t>
      </w:r>
      <w:r>
        <w:rPr>
          <w:sz w:val="20"/>
          <w:szCs w:val="20"/>
        </w:rPr>
        <w:t xml:space="preserve">on the date the Units were first listed on the Nasdaq, the Company agreed to pay the Sponsor </w:t>
      </w:r>
      <w:r>
        <w:rPr>
          <w:sz w:val="20"/>
          <w:szCs w:val="20"/>
        </w:rPr>
        <w:t>$</w:t>
      </w:r>
      <w:r>
        <w:rPr>
          <w:sz w:val="20"/>
          <w:szCs w:val="20"/>
        </w:rPr>
        <w:t>10,00</w:t>
      </w:r>
      <w:r>
        <w:rPr>
          <w:sz w:val="20"/>
          <w:szCs w:val="20"/>
        </w:rPr>
        <w:t>0</w:t>
      </w:r>
      <w:r>
        <w:rPr>
          <w:sz w:val="20"/>
          <w:szCs w:val="20"/>
        </w:rPr>
        <w:t xml:space="preserve"> per month for office space, utilities and secretarial and administrative support for up to 18 months. Upon completion of the Initial Business Combination o</w:t>
      </w:r>
      <w:r>
        <w:rPr>
          <w:sz w:val="20"/>
          <w:szCs w:val="20"/>
        </w:rPr>
        <w:t>r the Company’s liquidation, the Company will cease paying these monthly fees.</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COMMITMENTS AND CONTINGENCIE</w:t>
      </w:r>
      <w:r>
        <w:rPr>
          <w:b/>
          <w:bCs/>
          <w:sz w:val="20"/>
          <w:szCs w:val="20"/>
        </w:rPr>
        <w: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Registration Rights</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holders of the insider shares and Placement Units that may be issued upon conversion of Working Capital Loans</w:t>
      </w:r>
      <w:r>
        <w:rPr>
          <w:sz w:val="20"/>
          <w:szCs w:val="20"/>
        </w:rPr>
        <w:t xml:space="preserve"> (and any shares of ordinary shares issuable upon the exercise of the Placement Units or units issued upon conversion of the Working Capital Loans and upon conversion of the Insider shares) will be entitled to registration rights pursuant to a registration</w:t>
      </w:r>
      <w:r>
        <w:rPr>
          <w:sz w:val="20"/>
          <w:szCs w:val="20"/>
        </w:rPr>
        <w:t xml:space="preserve"> rights agreement to be signed prior to or on the effective date of Initial Public Offering requiring the Company to register such securities for resale. The holders of these securities will be entitled to make up to three demands, excluding short form reg</w:t>
      </w:r>
      <w:r>
        <w:rPr>
          <w:sz w:val="20"/>
          <w:szCs w:val="20"/>
        </w:rPr>
        <w:t xml:space="preserve">istration demands, that the Company register such securities. In addition, the holders have certain “piggy-back” registration rights with respect to registration statements filed subsequent to completion of a Business Combination and rights to require the </w:t>
      </w:r>
      <w:r>
        <w:rPr>
          <w:sz w:val="20"/>
          <w:szCs w:val="20"/>
        </w:rPr>
        <w:t>Company to register for resale such securities pursuant to Rule 415 under the Securities Act. However, the registration rights agreement provides that the Company will not be required to effect or permit any registration or cause any registration statement</w:t>
      </w:r>
      <w:r>
        <w:rPr>
          <w:sz w:val="20"/>
          <w:szCs w:val="20"/>
        </w:rPr>
        <w:t xml:space="preserve"> to become effective until the securities covered thereby are released from their lock-up restrictions. The Company will bear the expenses incurred in connection with the filing of any such registration statements.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Underwriting Agreement</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February 9,</w:t>
      </w:r>
      <w:r>
        <w:rPr>
          <w:sz w:val="20"/>
          <w:szCs w:val="20"/>
        </w:rPr>
        <w:t xml:space="preserve">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w:t>
      </w:r>
      <w:r>
        <w:rPr>
          <w:sz w:val="20"/>
          <w:szCs w:val="20"/>
        </w:rPr>
        <w:t xml:space="preserve"> option, less the underwriting discounts and commissions.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The underwriters were entitled to a cash underwriting discount of </w:t>
      </w:r>
      <w:r>
        <w:rPr>
          <w:sz w:val="20"/>
          <w:szCs w:val="20"/>
        </w:rPr>
        <w:t>$</w:t>
      </w:r>
      <w:r>
        <w:rPr>
          <w:sz w:val="20"/>
          <w:szCs w:val="20"/>
        </w:rPr>
        <w:t>0.2</w:t>
      </w:r>
      <w:r>
        <w:rPr>
          <w:sz w:val="20"/>
          <w:szCs w:val="20"/>
        </w:rPr>
        <w:t>0</w:t>
      </w:r>
      <w:r>
        <w:rPr>
          <w:sz w:val="20"/>
          <w:szCs w:val="20"/>
        </w:rPr>
        <w:t xml:space="preserve"> per Unit, or </w:t>
      </w:r>
      <w:r>
        <w:rPr>
          <w:sz w:val="20"/>
          <w:szCs w:val="20"/>
        </w:rPr>
        <w:t>$</w:t>
      </w:r>
      <w:r>
        <w:rPr>
          <w:sz w:val="20"/>
          <w:szCs w:val="20"/>
        </w:rPr>
        <w:t>2,000,00</w:t>
      </w:r>
      <w:r>
        <w:rPr>
          <w:sz w:val="20"/>
          <w:szCs w:val="20"/>
        </w:rPr>
        <w:t>0</w:t>
      </w:r>
      <w:r>
        <w:rPr>
          <w:sz w:val="20"/>
          <w:szCs w:val="20"/>
        </w:rPr>
        <w:t xml:space="preserve"> in the aggregate (or </w:t>
      </w:r>
      <w:r>
        <w:rPr>
          <w:sz w:val="20"/>
          <w:szCs w:val="20"/>
        </w:rPr>
        <w:t>$</w:t>
      </w:r>
      <w:r>
        <w:rPr>
          <w:sz w:val="20"/>
          <w:szCs w:val="20"/>
        </w:rPr>
        <w:t>2,300,00</w:t>
      </w:r>
      <w:r>
        <w:rPr>
          <w:sz w:val="20"/>
          <w:szCs w:val="20"/>
        </w:rPr>
        <w:t>0</w:t>
      </w:r>
      <w:r>
        <w:rPr>
          <w:sz w:val="20"/>
          <w:szCs w:val="20"/>
        </w:rPr>
        <w:t xml:space="preserve"> in the aggregate if the underwriters’ over-allotment option is exerc</w:t>
      </w:r>
      <w:r>
        <w:rPr>
          <w:sz w:val="20"/>
          <w:szCs w:val="20"/>
        </w:rPr>
        <w:t xml:space="preserve">ised in full), payable upon the closing of the Initial Public Offering. In addition, the underwriters were entitled to a deferred fee of </w:t>
      </w:r>
      <w:r>
        <w:rPr>
          <w:sz w:val="20"/>
          <w:szCs w:val="20"/>
        </w:rPr>
        <w:t>$</w:t>
      </w:r>
      <w:r>
        <w:rPr>
          <w:sz w:val="20"/>
          <w:szCs w:val="20"/>
        </w:rPr>
        <w:t>0.3</w:t>
      </w:r>
      <w:r>
        <w:rPr>
          <w:sz w:val="20"/>
          <w:szCs w:val="20"/>
        </w:rPr>
        <w:t>5</w:t>
      </w:r>
      <w:r>
        <w:rPr>
          <w:sz w:val="20"/>
          <w:szCs w:val="20"/>
        </w:rPr>
        <w:t xml:space="preserve"> per Unit, or </w:t>
      </w:r>
      <w:r>
        <w:rPr>
          <w:sz w:val="20"/>
          <w:szCs w:val="20"/>
        </w:rPr>
        <w:t>$</w:t>
      </w:r>
      <w:r>
        <w:rPr>
          <w:sz w:val="20"/>
          <w:szCs w:val="20"/>
        </w:rPr>
        <w:t>3,500,00</w:t>
      </w:r>
      <w:r>
        <w:rPr>
          <w:sz w:val="20"/>
          <w:szCs w:val="20"/>
        </w:rPr>
        <w:t>0</w:t>
      </w:r>
      <w:r>
        <w:rPr>
          <w:sz w:val="20"/>
          <w:szCs w:val="20"/>
        </w:rPr>
        <w:t xml:space="preserve"> in the aggregate (or </w:t>
      </w:r>
      <w:r>
        <w:rPr>
          <w:sz w:val="20"/>
          <w:szCs w:val="20"/>
        </w:rPr>
        <w:t>$</w:t>
      </w:r>
      <w:r>
        <w:rPr>
          <w:sz w:val="20"/>
          <w:szCs w:val="20"/>
        </w:rPr>
        <w:t>4,025,00</w:t>
      </w:r>
      <w:r>
        <w:rPr>
          <w:sz w:val="20"/>
          <w:szCs w:val="20"/>
        </w:rPr>
        <w:t>0</w:t>
      </w:r>
      <w:r>
        <w:rPr>
          <w:sz w:val="20"/>
          <w:szCs w:val="20"/>
        </w:rPr>
        <w:t xml:space="preserve"> in the aggregate if the underwriters’ over-allotment opti</w:t>
      </w:r>
      <w:r>
        <w:rPr>
          <w:sz w:val="20"/>
          <w:szCs w:val="20"/>
        </w:rPr>
        <w:t>on is exercised in full). The deferred fee will become payable to the underwriters from the amounts held in the Trust Account solely in the event that the Company completes a Business Combination, subject to the terms of the underwriting agreement.</w:t>
      </w:r>
    </w:p>
    <w:p w:rsidR="00000000" w:rsidRDefault="00391C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9088546"/>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rsidR="00000000" w:rsidRDefault="00391C87">
      <w:pPr>
        <w:pStyle w:val="a3"/>
        <w:spacing w:before="0" w:beforeAutospacing="0" w:after="0" w:afterAutospacing="0"/>
        <w:divId w:val="72749691"/>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On February 10, 2022, the underwriters purchased an additional</w:t>
      </w:r>
      <w:r>
        <w:rPr>
          <w:sz w:val="20"/>
          <w:szCs w:val="20"/>
        </w:rPr>
        <w:t xml:space="preserve"> </w:t>
      </w:r>
      <w:r>
        <w:rPr>
          <w:sz w:val="20"/>
          <w:szCs w:val="20"/>
        </w:rPr>
        <w:t>159,06</w:t>
      </w:r>
      <w:r>
        <w:rPr>
          <w:sz w:val="20"/>
          <w:szCs w:val="20"/>
        </w:rPr>
        <w:t>9</w:t>
      </w:r>
      <w:r>
        <w:rPr>
          <w:sz w:val="20"/>
          <w:szCs w:val="20"/>
        </w:rPr>
        <w:t xml:space="preserve"> Option Units pursuant to the exercise of the over-allotment option. The Option Units were sold at an offering price of </w:t>
      </w:r>
      <w:r>
        <w:rPr>
          <w:sz w:val="20"/>
          <w:szCs w:val="20"/>
        </w:rPr>
        <w:t>$</w:t>
      </w:r>
      <w:r>
        <w:rPr>
          <w:sz w:val="20"/>
          <w:szCs w:val="20"/>
        </w:rPr>
        <w:t>10.0</w:t>
      </w:r>
      <w:r>
        <w:rPr>
          <w:sz w:val="20"/>
          <w:szCs w:val="20"/>
        </w:rPr>
        <w:t>0</w:t>
      </w:r>
      <w:r>
        <w:rPr>
          <w:sz w:val="20"/>
          <w:szCs w:val="20"/>
        </w:rPr>
        <w:t xml:space="preserve"> </w:t>
      </w:r>
      <w:r>
        <w:rPr>
          <w:sz w:val="20"/>
          <w:szCs w:val="20"/>
        </w:rPr>
        <w:t xml:space="preserve">per Unit, generating additional gross proceeds to the Company of </w:t>
      </w:r>
      <w:r>
        <w:rPr>
          <w:sz w:val="20"/>
          <w:szCs w:val="20"/>
        </w:rPr>
        <w:t>$</w:t>
      </w:r>
      <w:r>
        <w:rPr>
          <w:sz w:val="20"/>
          <w:szCs w:val="20"/>
        </w:rPr>
        <w:t>1,590,69</w:t>
      </w:r>
      <w:r>
        <w:rPr>
          <w:sz w:val="20"/>
          <w:szCs w:val="20"/>
        </w:rPr>
        <w:t>0</w:t>
      </w:r>
      <w:r>
        <w:rPr>
          <w:sz w:val="20"/>
          <w:szCs w:val="20"/>
        </w:rPr>
        <w:t>.</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STOCKHOLDERS’ EQUIT</w:t>
      </w:r>
      <w:r>
        <w:rPr>
          <w:b/>
          <w:bCs/>
          <w:sz w:val="20"/>
          <w:szCs w:val="20"/>
        </w:rPr>
        <w:t>Y</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ind w:firstLine="720"/>
        <w:jc w:val="both"/>
        <w:rPr>
          <w:sz w:val="20"/>
          <w:szCs w:val="20"/>
        </w:rPr>
      </w:pPr>
      <w:r>
        <w:rPr>
          <w:b/>
          <w:bCs/>
          <w:i/>
          <w:iCs/>
          <w:sz w:val="20"/>
          <w:szCs w:val="20"/>
        </w:rPr>
        <w:t>Common Stock</w:t>
      </w:r>
      <w:r>
        <w:rPr>
          <w:sz w:val="20"/>
          <w:szCs w:val="20"/>
        </w:rPr>
        <w:t xml:space="preserve"> — Our Certificate of Incorporation authorizes the Company to issue</w:t>
      </w:r>
      <w:r>
        <w:rPr>
          <w:sz w:val="20"/>
          <w:szCs w:val="20"/>
        </w:rPr>
        <w:t xml:space="preserve"> </w:t>
      </w:r>
      <w:r>
        <w:rPr>
          <w:sz w:val="20"/>
          <w:szCs w:val="20"/>
        </w:rPr>
        <w:t>100,000,000</w:t>
      </w:r>
      <w:r>
        <w:rPr>
          <w:sz w:val="20"/>
          <w:szCs w:val="20"/>
        </w:rPr>
        <w:t xml:space="preserve"> </w:t>
      </w:r>
      <w:r>
        <w:rPr>
          <w:sz w:val="20"/>
          <w:szCs w:val="20"/>
        </w:rPr>
        <w:t xml:space="preserve">shares of common stock with a par value of </w:t>
      </w:r>
      <w:r>
        <w:rPr>
          <w:sz w:val="20"/>
          <w:szCs w:val="20"/>
        </w:rPr>
        <w:t>$</w:t>
      </w:r>
      <w:r>
        <w:rPr>
          <w:sz w:val="20"/>
          <w:szCs w:val="20"/>
        </w:rPr>
        <w:t>0.000001</w:t>
      </w:r>
      <w:r>
        <w:rPr>
          <w:sz w:val="20"/>
          <w:szCs w:val="20"/>
        </w:rPr>
        <w:t xml:space="preserve"> </w:t>
      </w:r>
      <w:r>
        <w:rPr>
          <w:sz w:val="20"/>
          <w:szCs w:val="20"/>
        </w:rPr>
        <w:t>p</w:t>
      </w:r>
      <w:r>
        <w:rPr>
          <w:sz w:val="20"/>
          <w:szCs w:val="20"/>
        </w:rPr>
        <w:t>er share. Holders of the Company’s common stock are entitled to one vote for each share. On March 31, 2022, there were</w:t>
      </w:r>
      <w:r>
        <w:rPr>
          <w:sz w:val="20"/>
          <w:szCs w:val="20"/>
        </w:rPr>
        <w:t xml:space="preserve"> </w:t>
      </w:r>
      <w:r>
        <w:rPr>
          <w:sz w:val="20"/>
          <w:szCs w:val="20"/>
        </w:rPr>
        <w:t>2,990,897</w:t>
      </w:r>
      <w:r>
        <w:rPr>
          <w:sz w:val="20"/>
          <w:szCs w:val="20"/>
        </w:rPr>
        <w:t xml:space="preserve"> </w:t>
      </w:r>
      <w:r>
        <w:rPr>
          <w:sz w:val="20"/>
          <w:szCs w:val="20"/>
        </w:rPr>
        <w:t>(excluding</w:t>
      </w:r>
      <w:r>
        <w:rPr>
          <w:sz w:val="20"/>
          <w:szCs w:val="20"/>
        </w:rPr>
        <w:t xml:space="preserve"> </w:t>
      </w:r>
      <w:r>
        <w:rPr>
          <w:sz w:val="20"/>
          <w:szCs w:val="20"/>
        </w:rPr>
        <w:t>10,159,069</w:t>
      </w:r>
      <w:r>
        <w:rPr>
          <w:sz w:val="20"/>
          <w:szCs w:val="20"/>
        </w:rPr>
        <w:t xml:space="preserve"> </w:t>
      </w:r>
      <w:r>
        <w:rPr>
          <w:sz w:val="20"/>
          <w:szCs w:val="20"/>
        </w:rPr>
        <w:t>shares subject to possible redemption) shares of Common stock issued and outstanding.</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ind w:firstLine="720"/>
        <w:jc w:val="both"/>
        <w:rPr>
          <w:sz w:val="20"/>
          <w:szCs w:val="20"/>
        </w:rPr>
      </w:pPr>
      <w:r>
        <w:rPr>
          <w:b/>
          <w:bCs/>
          <w:i/>
          <w:iCs/>
          <w:sz w:val="20"/>
          <w:szCs w:val="20"/>
        </w:rPr>
        <w:t>Preferred Shares</w:t>
      </w:r>
      <w:r>
        <w:rPr>
          <w:sz w:val="20"/>
          <w:szCs w:val="20"/>
        </w:rPr>
        <w:t xml:space="preserve"> </w:t>
      </w:r>
      <w:r>
        <w:rPr>
          <w:sz w:val="20"/>
          <w:szCs w:val="20"/>
        </w:rPr>
        <w:t>— The Company is authorized to issue</w:t>
      </w:r>
      <w:r>
        <w:rPr>
          <w:sz w:val="20"/>
          <w:szCs w:val="20"/>
        </w:rPr>
        <w:t xml:space="preserve"> </w:t>
      </w:r>
      <w:r>
        <w:rPr>
          <w:sz w:val="20"/>
          <w:szCs w:val="20"/>
        </w:rPr>
        <w:t>1,000,00</w:t>
      </w:r>
      <w:r>
        <w:rPr>
          <w:sz w:val="20"/>
          <w:szCs w:val="20"/>
        </w:rPr>
        <w:t>0</w:t>
      </w:r>
      <w:r>
        <w:rPr>
          <w:sz w:val="20"/>
          <w:szCs w:val="20"/>
        </w:rPr>
        <w:t xml:space="preserve"> shares of preferred stock with a par value of </w:t>
      </w:r>
      <w:r>
        <w:rPr>
          <w:sz w:val="20"/>
          <w:szCs w:val="20"/>
        </w:rPr>
        <w:t>$</w:t>
      </w:r>
      <w:r>
        <w:rPr>
          <w:sz w:val="20"/>
          <w:szCs w:val="20"/>
        </w:rPr>
        <w:t>0.00000</w:t>
      </w:r>
      <w:r>
        <w:rPr>
          <w:sz w:val="20"/>
          <w:szCs w:val="20"/>
        </w:rPr>
        <w:t>1</w:t>
      </w:r>
      <w:r>
        <w:rPr>
          <w:sz w:val="20"/>
          <w:szCs w:val="20"/>
        </w:rPr>
        <w:t xml:space="preserve"> per share with such designation, rights and preferences as may be determined from time to time by the Company’s Board of Directors. On March 31, 2022, th</w:t>
      </w:r>
      <w:r>
        <w:rPr>
          <w:sz w:val="20"/>
          <w:szCs w:val="20"/>
        </w:rPr>
        <w:t>ere were no preferred shares issued or outstanding.</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pacing w:before="0" w:beforeAutospacing="0" w:after="0" w:afterAutospacing="0"/>
        <w:ind w:firstLine="720"/>
        <w:jc w:val="both"/>
        <w:rPr>
          <w:sz w:val="20"/>
          <w:szCs w:val="20"/>
        </w:rPr>
      </w:pPr>
      <w:r>
        <w:rPr>
          <w:b/>
          <w:bCs/>
          <w:i/>
          <w:iCs/>
          <w:sz w:val="20"/>
          <w:szCs w:val="20"/>
        </w:rPr>
        <w:t xml:space="preserve">Rights </w:t>
      </w:r>
      <w:r>
        <w:rPr>
          <w:sz w:val="20"/>
          <w:szCs w:val="20"/>
        </w:rPr>
        <w:t>—</w:t>
      </w:r>
      <w:r>
        <w:rPr>
          <w:sz w:val="20"/>
          <w:szCs w:val="20"/>
        </w:rPr>
        <w:t xml:space="preserve"> </w:t>
      </w:r>
      <w:r>
        <w:rPr>
          <w:sz w:val="20"/>
          <w:szCs w:val="20"/>
        </w:rPr>
        <w:t xml:space="preserve">Except in cases where the Company is not the surviving company in a Business Combination, each holder of a Public Right will automatically receive one-tenth (1/10) of one share of common stock </w:t>
      </w:r>
      <w:r>
        <w:rPr>
          <w:sz w:val="20"/>
          <w:szCs w:val="20"/>
        </w:rPr>
        <w:t xml:space="preserve">upon consummation of a Business Combination, even if the holder of a Public Right converted all shares held by him, her or it in connection with a Business Combination or an amendment to the Company’s Amended and Restated Certificate of Incorporation with </w:t>
      </w:r>
      <w:r>
        <w:rPr>
          <w:sz w:val="20"/>
          <w:szCs w:val="20"/>
        </w:rPr>
        <w:t>respect to its pre-business combination activities. In the event that the Company will not be the surviving company upon completion of a Business Combination, each holder of a Public Right will be required to affirmatively convert his, her or its rights in</w:t>
      </w:r>
      <w:r>
        <w:rPr>
          <w:sz w:val="20"/>
          <w:szCs w:val="20"/>
        </w:rPr>
        <w:t xml:space="preserve"> order to receive the one-tenth (1/10) of a share underlying each Public Right upon consummation of the Business Combination</w:t>
      </w:r>
      <w:r>
        <w:rPr>
          <w:sz w:val="20"/>
          <w:szCs w:val="20"/>
        </w:rPr>
        <w: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 Company will not issue fractional shares in connection with an exchange of Public Rights. Fractional shares will either be r</w:t>
      </w:r>
      <w:r>
        <w:rPr>
          <w:sz w:val="20"/>
          <w:szCs w:val="20"/>
        </w:rPr>
        <w:t>ounded down to the nearest whole share or otherwise addressed in accordance with the applicable provisions of the Delaware General Corporation Law. As a result, the holders of the Public Rights must hold rights in multiples of 10 in order to receive shares</w:t>
      </w:r>
      <w:r>
        <w:rPr>
          <w:sz w:val="20"/>
          <w:szCs w:val="20"/>
        </w:rPr>
        <w:t xml:space="preserve"> for all of the holders’ rights upon closing of a Business Combination.</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SUBSEQUENT EVENT</w:t>
      </w:r>
      <w:r>
        <w:rPr>
          <w:b/>
          <w:bCs/>
          <w:sz w:val="20"/>
          <w:szCs w:val="20"/>
        </w:rPr>
        <w:t>S</w:t>
      </w:r>
    </w:p>
    <w:p w:rsidR="00000000" w:rsidRDefault="00391C87">
      <w:pPr>
        <w:pStyle w:val="a3"/>
        <w:spacing w:before="0" w:beforeAutospacing="0" w:after="0" w:afterAutospacing="0"/>
        <w:ind w:firstLine="300"/>
        <w:jc w:val="both"/>
        <w:rPr>
          <w:sz w:val="20"/>
          <w:szCs w:val="20"/>
        </w:rPr>
      </w:pPr>
      <w:r>
        <w:rPr>
          <w:sz w:val="20"/>
          <w:szCs w:val="20"/>
        </w:rPr>
        <w:t> </w:t>
      </w:r>
    </w:p>
    <w:p w:rsidR="00000000" w:rsidRDefault="00391C87">
      <w:pPr>
        <w:pStyle w:val="a3"/>
        <w:shd w:val="clear" w:color="auto" w:fill="FFFFFF"/>
        <w:spacing w:before="0" w:beforeAutospacing="0" w:after="0" w:afterAutospacing="0"/>
        <w:ind w:firstLine="720"/>
        <w:jc w:val="both"/>
        <w:rPr>
          <w:sz w:val="20"/>
          <w:szCs w:val="20"/>
        </w:rPr>
      </w:pPr>
      <w:r>
        <w:rPr>
          <w:sz w:val="20"/>
          <w:szCs w:val="20"/>
        </w:rPr>
        <w:t>In accordance with ASC Topic 855, “Subsequent Events”</w:t>
      </w:r>
      <w:r>
        <w:rPr>
          <w:sz w:val="20"/>
          <w:szCs w:val="20"/>
        </w:rPr>
        <w:t>, which establishes general standards of accounting for and disclosure of events that occur after the balance sheet date but before financial statements are issued, the Company has evaluated all events or transactions that occurred through the date the fin</w:t>
      </w:r>
      <w:r>
        <w:rPr>
          <w:sz w:val="20"/>
          <w:szCs w:val="20"/>
        </w:rPr>
        <w:t>ancial statements were available to issue.</w:t>
      </w:r>
    </w:p>
    <w:p w:rsidR="00000000" w:rsidRDefault="00391C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58848645"/>
        </w:trPr>
        <w:tc>
          <w:tcPr>
            <w:tcW w:w="5000" w:type="pct"/>
            <w:hideMark/>
          </w:tcPr>
          <w:p w:rsidR="00000000" w:rsidRDefault="00391C8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rsidR="00000000" w:rsidRDefault="00391C87">
      <w:pPr>
        <w:pStyle w:val="a3"/>
        <w:spacing w:before="0" w:beforeAutospacing="0" w:after="0" w:afterAutospacing="0"/>
        <w:divId w:val="813105738"/>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ITEM 2. MANAGEMENT’S DISCUSSION AND ANALYSIS OF FINANCIAL CONDITION AND RESULTS OF OPERATIONS</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sz w:val="20"/>
          <w:szCs w:val="20"/>
        </w:rPr>
        <w:t xml:space="preserve">References in this report (the “Quarterly Report”) to “we,” “us” or the “Company” refer to Broad Capital </w:t>
      </w:r>
      <w:r>
        <w:rPr>
          <w:sz w:val="20"/>
          <w:szCs w:val="20"/>
        </w:rPr>
        <w:t>Acquisition Corp. References to our “management” or our “management team” refer to our officers and directors, and references to the “Sponsor” refer to Broad Capital, LLC. The following discussion and analysis of the Company’s financial condition and resul</w:t>
      </w:r>
      <w:r>
        <w:rPr>
          <w:sz w:val="20"/>
          <w:szCs w:val="20"/>
        </w:rPr>
        <w:t>ts of operations should be read in conjunction with the consolidated financial statements and the notes thereto contained elsewhere in this Quarterly Report. Certain information contained in the discussion and analysis set forth below includes forward-look</w:t>
      </w:r>
      <w:r>
        <w:rPr>
          <w:sz w:val="20"/>
          <w:szCs w:val="20"/>
        </w:rPr>
        <w:t>ing statements that involve risks and uncertainties.</w:t>
      </w:r>
    </w:p>
    <w:p w:rsidR="00000000" w:rsidRDefault="00391C87">
      <w:pPr>
        <w:pStyle w:val="a3"/>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Special Note Regarding Forward-Looking Statements</w:t>
      </w:r>
    </w:p>
    <w:p w:rsidR="00000000" w:rsidRDefault="00391C87">
      <w:pPr>
        <w:pStyle w:val="a3"/>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This Quarterly Report on Form 10-Q includes “forward-looking statements” </w:t>
      </w:r>
      <w:r>
        <w:rPr>
          <w:sz w:val="20"/>
          <w:szCs w:val="20"/>
        </w:rPr>
        <w:t>within the meaning of Section 27A of the Securities Act and Section 21E of the Exchange Act that are not historical facts, and involve risks and uncertainties that could cause actual results to differ materially from those expected and projected. All state</w:t>
      </w:r>
      <w:r>
        <w:rPr>
          <w:sz w:val="20"/>
          <w:szCs w:val="20"/>
        </w:rPr>
        <w:t>ments other than statements of historical fact included in this Form 10-Q including statements in this “Management’s Discussion and Analysis of Financial Condition and Results of Operations” regarding the Company’s financial position, business strategy and</w:t>
      </w:r>
      <w:r>
        <w:rPr>
          <w:sz w:val="20"/>
          <w:szCs w:val="20"/>
        </w:rPr>
        <w:t xml:space="preserve"> the plans and objectives of management for future operations, are forward-looking statements. Words such as “expect,” “believe,” “anticipate,” “intend,” “estimate,” “seek” and variations and similar words and expressions are intended to identify such forw</w:t>
      </w:r>
      <w:r>
        <w:rPr>
          <w:sz w:val="20"/>
          <w:szCs w:val="20"/>
        </w:rPr>
        <w:t>ard-looking statements. Such forward-looking statements relate to future events or future performance, but reflect management’s current beliefs, based on information currently available. A number of factors could cause actual events, performance or results</w:t>
      </w:r>
      <w:r>
        <w:rPr>
          <w:sz w:val="20"/>
          <w:szCs w:val="20"/>
        </w:rPr>
        <w:t xml:space="preserve"> to differ materially from the events, performance and results discussed in the forward-looking statements. For information identifying important factors that could cause actual results to differ materially from those anticipated in the forward-looking sta</w:t>
      </w:r>
      <w:r>
        <w:rPr>
          <w:sz w:val="20"/>
          <w:szCs w:val="20"/>
        </w:rPr>
        <w:t>tements, please refer to the Risk Factors section of the Company’s Annual Report on Form 10-K for the year ending December 31, 2021 filed with the SEC on March 31, 2022. The Company’s securities filings can be accessed on the EDGAR section of the SEC’s web</w:t>
      </w:r>
      <w:r>
        <w:rPr>
          <w:sz w:val="20"/>
          <w:szCs w:val="20"/>
        </w:rPr>
        <w:t>site at www.sec.gov. Except as expressly required by applicable securities law, the Company disclaims any intention or obligation to update or revise any forward-looking statements whether as a result of new information, future events or otherwise.</w:t>
      </w:r>
    </w:p>
    <w:p w:rsidR="00000000" w:rsidRDefault="00391C87">
      <w:pPr>
        <w:pStyle w:val="a3"/>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Overv</w:t>
      </w:r>
      <w:r>
        <w:rPr>
          <w:b/>
          <w:bCs/>
          <w:sz w:val="20"/>
          <w:szCs w:val="20"/>
        </w:rPr>
        <w:t>iew</w:t>
      </w:r>
    </w:p>
    <w:p w:rsidR="00000000" w:rsidRDefault="00391C87">
      <w:pPr>
        <w:pStyle w:val="a3"/>
        <w:spacing w:before="0" w:beforeAutospacing="0" w:after="0" w:afterAutospacing="0"/>
        <w:ind w:firstLine="72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We are a blank check company incorporated as a Delaware corporation and formed for the purpose of effecting a merger, capital stock exchange, asset acquisition, stock purchase, reorganization or similar business combination (“Business Combination”) w</w:t>
      </w:r>
      <w:r>
        <w:rPr>
          <w:sz w:val="20"/>
          <w:szCs w:val="20"/>
        </w:rPr>
        <w:t xml:space="preserve">ith one or more businesses. We intend to effectuate our initial Business Combination using cash from the proceeds our initial public offering (“Initial Public Offering”) and the private placement of the placement units (“Placement Units”), the proceeds of </w:t>
      </w:r>
      <w:r>
        <w:rPr>
          <w:sz w:val="20"/>
          <w:szCs w:val="20"/>
        </w:rPr>
        <w:t>the sale of our shares in connection with our initial Business Combination (pursuant to backstop agreements we may enter into), shares issued to the owners of the target, debt issued to banks or other lenders or the owners of the target, or a combination o</w:t>
      </w:r>
      <w:r>
        <w:rPr>
          <w:sz w:val="20"/>
          <w:szCs w:val="20"/>
        </w:rPr>
        <w:t>f the foregoing.</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issuance of additional shares of common stock in connection with an initial Business Combination to the owners of the target or other investors:</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91C87">
            <w:pPr>
              <w:jc w:val="both"/>
              <w:rPr>
                <w:rFonts w:eastAsia="Times New Roman"/>
                <w:sz w:val="20"/>
                <w:szCs w:val="20"/>
              </w:rPr>
            </w:pPr>
            <w:r>
              <w:rPr>
                <w:rFonts w:eastAsia="Times New Roman"/>
                <w:sz w:val="20"/>
                <w:szCs w:val="20"/>
              </w:rPr>
              <w:t> </w:t>
            </w:r>
          </w:p>
        </w:tc>
        <w:tc>
          <w:tcPr>
            <w:tcW w:w="360" w:type="dxa"/>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may significantly dilute the equity interest of investors in our Initial Public Of</w:t>
            </w:r>
            <w:r>
              <w:rPr>
                <w:rFonts w:eastAsia="Times New Roman"/>
                <w:sz w:val="20"/>
                <w:szCs w:val="20"/>
              </w:rPr>
              <w:t>fering, which dilution would increase if the anti-dilution provisions in the insider shares resulted in the issuance of common stock on a greater than one-to-one basis;</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may subordinate the rights of holders of our common stock if preferred stock is is</w:t>
            </w:r>
            <w:r>
              <w:rPr>
                <w:rFonts w:eastAsia="Times New Roman"/>
                <w:sz w:val="20"/>
                <w:szCs w:val="20"/>
              </w:rPr>
              <w:t>sued with rights senior to those afforded our common stock;</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 xml:space="preserve">could </w:t>
            </w:r>
            <w:r>
              <w:rPr>
                <w:rFonts w:eastAsia="Times New Roman"/>
                <w:sz w:val="20"/>
                <w:szCs w:val="20"/>
              </w:rPr>
              <w:t>cause a change in control if a substantial number of shares of our common stock is issued, which may affect, among other things, our ability to use our net operating loss carry forwards, if any, and could result in the resignation or removal of our present</w:t>
            </w:r>
            <w:r>
              <w:rPr>
                <w:rFonts w:eastAsia="Times New Roman"/>
                <w:sz w:val="20"/>
                <w:szCs w:val="20"/>
              </w:rPr>
              <w:t xml:space="preserve"> officers and directors;</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may have the effect of delaying or preventing a change of control of us by diluting the stock ownership or voting rights of a person seeking to obtain control of us; and</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may adversely affect prevailing market prices for o</w:t>
            </w:r>
            <w:r>
              <w:rPr>
                <w:rFonts w:eastAsia="Times New Roman"/>
                <w:sz w:val="20"/>
                <w:szCs w:val="20"/>
              </w:rPr>
              <w:t>ur common stock and/or rights.</w:t>
            </w:r>
          </w:p>
        </w:tc>
      </w:tr>
    </w:tbl>
    <w:p w:rsidR="00000000" w:rsidRDefault="00391C87">
      <w:pPr>
        <w:pStyle w:val="a3"/>
        <w:spacing w:before="0" w:beforeAutospacing="0" w:after="0" w:afterAutospacing="0"/>
        <w:ind w:left="96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Similarly, if we issue debt securities or otherwise incur significant debt to banks or other lenders or the owners of a target, it could result in:</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91C87">
            <w:pPr>
              <w:jc w:val="both"/>
              <w:rPr>
                <w:rFonts w:eastAsia="Times New Roman"/>
                <w:sz w:val="20"/>
                <w:szCs w:val="20"/>
              </w:rPr>
            </w:pPr>
            <w:r>
              <w:rPr>
                <w:rFonts w:eastAsia="Times New Roman"/>
                <w:sz w:val="20"/>
                <w:szCs w:val="20"/>
              </w:rPr>
              <w:t> </w:t>
            </w:r>
          </w:p>
        </w:tc>
        <w:tc>
          <w:tcPr>
            <w:tcW w:w="360" w:type="dxa"/>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default and foreclosure on our assets if our operating revenues afte</w:t>
            </w:r>
            <w:r>
              <w:rPr>
                <w:rFonts w:eastAsia="Times New Roman"/>
                <w:sz w:val="20"/>
                <w:szCs w:val="20"/>
              </w:rPr>
              <w:t>r an initial Business Combination are insufficient to repay our debt obligations;</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 xml:space="preserve">acceleration </w:t>
            </w:r>
            <w:r>
              <w:rPr>
                <w:rFonts w:eastAsia="Times New Roman"/>
                <w:sz w:val="20"/>
                <w:szCs w:val="20"/>
              </w:rPr>
              <w:t>of our obligations to repay the indebtedness even if we make all principal and interest payments when due if we breach certain covenants that require the maintenance of certain financial ratios or reserves without a waiver or renegotiation of that covenant</w:t>
            </w:r>
            <w:r>
              <w:rPr>
                <w:rFonts w:eastAsia="Times New Roman"/>
                <w:sz w:val="20"/>
                <w:szCs w:val="20"/>
              </w:rPr>
              <w:t>;</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our immediate payment of all principal and accrued interest, if any, if the debt security is payable on demand;</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our inability to obtain necessary additional financing if the debt security contains covenants restricting our ability to obtain suc</w:t>
            </w:r>
            <w:r>
              <w:rPr>
                <w:rFonts w:eastAsia="Times New Roman"/>
                <w:sz w:val="20"/>
                <w:szCs w:val="20"/>
              </w:rPr>
              <w:t>h financing while the debt security is outstanding;</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our inability to pay dividends on our common stock;</w:t>
            </w:r>
          </w:p>
        </w:tc>
      </w:tr>
    </w:tbl>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253140"/>
        </w:trPr>
        <w:tc>
          <w:tcPr>
            <w:tcW w:w="5000" w:type="pct"/>
            <w:hideMark/>
          </w:tcPr>
          <w:p w:rsidR="00000000" w:rsidRDefault="00391C87">
            <w:pPr>
              <w:jc w:val="center"/>
              <w:rPr>
                <w:rFonts w:eastAsia="Times New Roman"/>
                <w:sz w:val="20"/>
                <w:szCs w:val="20"/>
              </w:rPr>
            </w:pPr>
            <w:r>
              <w:rPr>
                <w:rFonts w:eastAsia="Times New Roman"/>
                <w:sz w:val="20"/>
                <w:szCs w:val="20"/>
              </w:rPr>
              <w:t>3</w:t>
            </w:r>
          </w:p>
        </w:tc>
      </w:tr>
    </w:tbl>
    <w:p w:rsidR="00000000" w:rsidRDefault="00391C87">
      <w:pPr>
        <w:pStyle w:val="a3"/>
        <w:spacing w:before="0" w:beforeAutospacing="0" w:after="0" w:afterAutospacing="0"/>
        <w:divId w:val="1237590679"/>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391C87">
            <w:pPr>
              <w:jc w:val="both"/>
              <w:rPr>
                <w:rFonts w:eastAsia="Times New Roman"/>
                <w:sz w:val="20"/>
                <w:szCs w:val="20"/>
              </w:rPr>
            </w:pPr>
            <w:r>
              <w:rPr>
                <w:rFonts w:eastAsia="Times New Roman"/>
                <w:sz w:val="20"/>
                <w:szCs w:val="20"/>
              </w:rPr>
              <w:t> </w:t>
            </w:r>
          </w:p>
        </w:tc>
        <w:tc>
          <w:tcPr>
            <w:tcW w:w="360" w:type="dxa"/>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 xml:space="preserve">using </w:t>
            </w:r>
            <w:r>
              <w:rPr>
                <w:rFonts w:eastAsia="Times New Roman"/>
                <w:sz w:val="20"/>
                <w:szCs w:val="20"/>
              </w:rPr>
              <w:t>a substantial portion of our cash flow to pay principal and interest on our debt, which will reduce the funds available for dividends on our common stock if declared, our ability to pay expenses, make capital expenditures and acquisitions, and fund other g</w:t>
            </w:r>
            <w:r>
              <w:rPr>
                <w:rFonts w:eastAsia="Times New Roman"/>
                <w:sz w:val="20"/>
                <w:szCs w:val="20"/>
              </w:rPr>
              <w:t>eneral corporate purposes;</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limitations on our flexibility in planning for and reacting to changes in our business and in the industry in which we operate;</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increased vulnerability to adverse changes in general economic, industry and competitive co</w:t>
            </w:r>
            <w:r>
              <w:rPr>
                <w:rFonts w:eastAsia="Times New Roman"/>
                <w:sz w:val="20"/>
                <w:szCs w:val="20"/>
              </w:rPr>
              <w:t>nditions and adverse changes in government regulation;</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requirements, and execution of our strategy; and</w:t>
            </w:r>
          </w:p>
        </w:tc>
      </w:tr>
      <w:tr w:rsidR="00000000">
        <w:tc>
          <w:tcPr>
            <w:tcW w:w="0" w:type="auto"/>
            <w:hideMark/>
          </w:tcPr>
          <w:p w:rsidR="00000000" w:rsidRDefault="00391C87">
            <w:pPr>
              <w:jc w:val="both"/>
              <w:rPr>
                <w:rFonts w:eastAsia="Times New Roman"/>
                <w:sz w:val="20"/>
                <w:szCs w:val="20"/>
              </w:rPr>
            </w:pPr>
            <w:r>
              <w:rPr>
                <w:rFonts w:eastAsia="Times New Roman"/>
                <w:sz w:val="20"/>
                <w:szCs w:val="20"/>
              </w:rPr>
              <w:t> </w:t>
            </w:r>
          </w:p>
        </w:tc>
        <w:tc>
          <w:tcPr>
            <w:tcW w:w="0" w:type="auto"/>
            <w:hideMark/>
          </w:tcPr>
          <w:p w:rsidR="00000000" w:rsidRDefault="00391C87">
            <w:pPr>
              <w:jc w:val="both"/>
              <w:rPr>
                <w:rFonts w:eastAsia="Times New Roman"/>
                <w:sz w:val="20"/>
                <w:szCs w:val="20"/>
              </w:rPr>
            </w:pPr>
            <w:r>
              <w:rPr>
                <w:rFonts w:eastAsia="Times New Roman"/>
                <w:sz w:val="20"/>
                <w:szCs w:val="20"/>
              </w:rPr>
              <w:t>●</w:t>
            </w:r>
          </w:p>
        </w:tc>
        <w:tc>
          <w:tcPr>
            <w:tcW w:w="0" w:type="auto"/>
            <w:hideMark/>
          </w:tcPr>
          <w:p w:rsidR="00000000" w:rsidRDefault="00391C87">
            <w:pPr>
              <w:jc w:val="both"/>
              <w:rPr>
                <w:rFonts w:eastAsia="Times New Roman"/>
                <w:sz w:val="20"/>
                <w:szCs w:val="20"/>
              </w:rPr>
            </w:pPr>
            <w:r>
              <w:rPr>
                <w:rFonts w:eastAsia="Times New Roman"/>
                <w:sz w:val="20"/>
                <w:szCs w:val="20"/>
              </w:rPr>
              <w:t xml:space="preserve">other </w:t>
            </w:r>
            <w:r>
              <w:rPr>
                <w:rFonts w:eastAsia="Times New Roman"/>
                <w:sz w:val="20"/>
                <w:szCs w:val="20"/>
              </w:rPr>
              <w:t>purposes and other disadvantages compared to our competitors who have less debt.</w:t>
            </w:r>
          </w:p>
        </w:tc>
      </w:tr>
    </w:tbl>
    <w:p w:rsidR="00000000" w:rsidRDefault="00391C87">
      <w:pPr>
        <w:pStyle w:val="a3"/>
        <w:spacing w:before="0" w:beforeAutospacing="0" w:after="0" w:afterAutospacing="0"/>
        <w:ind w:left="96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We expect to continue to incur significant costs in the pursuit of our acquisition plans. We cannot assure you that our plans to complete our initial Business Combination w</w:t>
      </w:r>
      <w:r>
        <w:rPr>
          <w:sz w:val="20"/>
          <w:szCs w:val="20"/>
        </w:rPr>
        <w:t>ill be successful.</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Results of Operations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We have neither engaged in any operations nor generated any revenues to date. Our only activities since inception have been organizational activities and those necessary to prepare for our Initial Public Offerin</w:t>
      </w:r>
      <w:r>
        <w:rPr>
          <w:sz w:val="20"/>
          <w:szCs w:val="20"/>
        </w:rPr>
        <w:t>g, described below, and identifying a target for our initial Business Combination. We do not expect to generate any operating revenues until after completion of our initial Business Combination. We generated non-operating income in the form of interest inc</w:t>
      </w:r>
      <w:r>
        <w:rPr>
          <w:sz w:val="20"/>
          <w:szCs w:val="20"/>
        </w:rPr>
        <w:t>ome on marketable securities held in the Trust Account of $39,948 for the three months ended March 31, 2022. We incur expenses as a result of being a public company (for legal, financial reporting, accounting and auditing compliance), as well as for due di</w:t>
      </w:r>
      <w:r>
        <w:rPr>
          <w:sz w:val="20"/>
          <w:szCs w:val="20"/>
        </w:rPr>
        <w:t>ligence expenses in connection with completing our initial Business Combination and have a net loss of $419,465 for the three months ended March 31, 2022</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Liquidity and Capital Resources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On January 13, 2022, we consummated our Initial Public Offering of</w:t>
      </w:r>
      <w:r>
        <w:rPr>
          <w:sz w:val="20"/>
          <w:szCs w:val="20"/>
        </w:rPr>
        <w:t xml:space="preserve"> 10,000,000 Units at $10.00 per Unit, generating gross proceeds of $10,000,000 and incurring transaction costs of $6,917,226, of which $3,500,000 was for deferred underwriting commissions. On February 9, 2022, the Underwriters partially exercised the over-</w:t>
      </w:r>
      <w:r>
        <w:rPr>
          <w:sz w:val="20"/>
          <w:szCs w:val="20"/>
        </w:rPr>
        <w:t>allotment option and on February 10, 2022, purchased an additional 159,069 Units from the Company (the “Over-Allotment Units”), generating gross proceeds of $1,590,690, and forfeited the remainder of the option.</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Simultaneously with the consummation of th</w:t>
      </w:r>
      <w:r>
        <w:rPr>
          <w:sz w:val="20"/>
          <w:szCs w:val="20"/>
        </w:rPr>
        <w:t>e closing of the Initial Public Offering, the Company consummated the private placement of an aggregate of 446,358 units (the “Placement Units”) to the Sponsor at a price of $10.00 per Placement Unit, generating total gross proceeds of $4,463,580 (the “Pri</w:t>
      </w:r>
      <w:r>
        <w:rPr>
          <w:sz w:val="20"/>
          <w:szCs w:val="20"/>
        </w:rPr>
        <w:t>vate Placement”). With the exercise of the overallotment, the Company consummated the Private Placement of an additional 4,772 Placement Units to Broad Capital LLC, a Delaware limited liability company (the “Sponsor”), generating gross proceeds of $47,720.</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We intend to use substantially all of the funds held in the trust account, including any amounts representing interest earned on the trust account (less deferred underwriting commissions), to complete our initial business combination. We may withdraw in</w:t>
      </w:r>
      <w:r>
        <w:rPr>
          <w:sz w:val="20"/>
          <w:szCs w:val="20"/>
        </w:rPr>
        <w:t>terest to pay taxes. We estimate our annual franchise tax obligations, based on the number of shares of our common stock currently authorized and outstanding, to be $200,000, which is the maximum amount of annual franchise taxes payable by us as a Delaware</w:t>
      </w:r>
      <w:r>
        <w:rPr>
          <w:sz w:val="20"/>
          <w:szCs w:val="20"/>
        </w:rPr>
        <w:t xml:space="preserve"> corporation per annum, which we may pay from funds from this IPO held outside of the trust account or from interest earned on the funds held in our trust account and released to us for this purpose. Our annual income tax obligations will depend on the amo</w:t>
      </w:r>
      <w:r>
        <w:rPr>
          <w:sz w:val="20"/>
          <w:szCs w:val="20"/>
        </w:rPr>
        <w:t>unt of interest and other income earned on the amounts held in the trust account. We expect the interest earned on the amount in the trust account will be sufficient to pay our income taxes. To the extent that our capital stock or debt is used, in whole or</w:t>
      </w:r>
      <w:r>
        <w:rPr>
          <w:sz w:val="20"/>
          <w:szCs w:val="20"/>
        </w:rPr>
        <w:t xml:space="preserve"> in part, as consideration to complete our initial business combination, the remaining proceeds held in the trust account will be used as working capital to finance the operations of the target business or businesses, make other acquisitions and pursue our</w:t>
      </w:r>
      <w:r>
        <w:rPr>
          <w:sz w:val="20"/>
          <w:szCs w:val="20"/>
        </w:rPr>
        <w:t xml:space="preserve"> growth strategies.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Prior to the completion of our initial business combination, we will have available to us the approximately $650,000 of proceeds held outside the trust account. We will use these funds to identify and evaluate target businesses, perfo</w:t>
      </w:r>
      <w:r>
        <w:rPr>
          <w:sz w:val="20"/>
          <w:szCs w:val="20"/>
        </w:rPr>
        <w:t>rm business due diligence on prospective target businesses, travel to and from the offices, plants or similar locations of prospective target businesses or their or owners, review corporate documents and material agreements of prospective target businesses</w:t>
      </w:r>
      <w:r>
        <w:rPr>
          <w:sz w:val="20"/>
          <w:szCs w:val="20"/>
        </w:rPr>
        <w:t>, and structure, negotiate and complete an initial business combination.</w:t>
      </w:r>
    </w:p>
    <w:p w:rsidR="00000000" w:rsidRDefault="00391C8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3793631"/>
        </w:trPr>
        <w:tc>
          <w:tcPr>
            <w:tcW w:w="5000" w:type="pct"/>
            <w:hideMark/>
          </w:tcPr>
          <w:p w:rsidR="00000000" w:rsidRDefault="00391C87">
            <w:pPr>
              <w:jc w:val="center"/>
              <w:rPr>
                <w:rFonts w:eastAsia="Times New Roman"/>
                <w:sz w:val="20"/>
                <w:szCs w:val="20"/>
              </w:rPr>
            </w:pPr>
            <w:r>
              <w:rPr>
                <w:rFonts w:eastAsia="Times New Roman"/>
                <w:sz w:val="20"/>
                <w:szCs w:val="20"/>
              </w:rPr>
              <w:t>4</w:t>
            </w:r>
          </w:p>
        </w:tc>
      </w:tr>
    </w:tbl>
    <w:p w:rsidR="00000000" w:rsidRDefault="00391C87">
      <w:pPr>
        <w:pStyle w:val="a3"/>
        <w:spacing w:before="0" w:beforeAutospacing="0" w:after="0" w:afterAutospacing="0"/>
        <w:divId w:val="1493714014"/>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order to fund working capital deficiencies or finance transaction costs in connection with an intended initial business combination, our sponsor or an affiliate of our CEO or certain of our officers and directors may, but are not obligated to, loan us fund</w:t>
      </w:r>
      <w:r>
        <w:rPr>
          <w:sz w:val="20"/>
          <w:szCs w:val="20"/>
        </w:rPr>
        <w:t>s on a non-interest bearing basis as may be required. If we complete our initial business combination, we will repay such loaned amounts. In the event that our initial business combination does not close, we may use a portion of the working capital held ou</w:t>
      </w:r>
      <w:r>
        <w:rPr>
          <w:sz w:val="20"/>
          <w:szCs w:val="20"/>
        </w:rPr>
        <w:t>tside the trust account to repay such loaned amounts but no proceeds from our trust account would be used for such repayment.</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Up to $1,500,000 of such loans may be convertible into units, at a price of $10.00 per unit at the option of the lender, upon co</w:t>
      </w:r>
      <w:r>
        <w:rPr>
          <w:sz w:val="20"/>
          <w:szCs w:val="20"/>
        </w:rPr>
        <w:t>nsummation of our initial business combination. The units would be identical to the placement units. Other than as described above, the terms of such loans by our officers and directors, if any, have not been determined and no written agreements exist with</w:t>
      </w:r>
      <w:r>
        <w:rPr>
          <w:sz w:val="20"/>
          <w:szCs w:val="20"/>
        </w:rPr>
        <w:t xml:space="preserve"> respect to such loans. We do not expect to seek loans from parties other than our sponsor or an affiliate of our CEO as we do not believe third parties will be willing to loan such funds and provide a waiver against any and all rights to seek access to fu</w:t>
      </w:r>
      <w:r>
        <w:rPr>
          <w:sz w:val="20"/>
          <w:szCs w:val="20"/>
        </w:rPr>
        <w:t>nds in our trust account.</w:t>
      </w:r>
    </w:p>
    <w:p w:rsidR="00000000" w:rsidRDefault="00391C87">
      <w:pPr>
        <w:pStyle w:val="a3"/>
        <w:shd w:val="clear" w:color="auto" w:fill="FFFFFF"/>
        <w:spacing w:before="0" w:beforeAutospacing="0" w:after="0" w:afterAutospacing="0"/>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We expect our primary liquidity requirements during the 18-month period subsequent to our IPO to include approximately $390,000 for legal, accounting, due diligence, travel and other expenses associated with structuring, negotia</w:t>
      </w:r>
      <w:r>
        <w:rPr>
          <w:sz w:val="20"/>
          <w:szCs w:val="20"/>
        </w:rPr>
        <w:t>ting and documenting successful business combinations; $60,000 for legal and accounting fees related to regulatory reporting requirements; $180,000 for office space, utilities and secretarial and administrative support; and approximately $20,000 for workin</w:t>
      </w:r>
      <w:r>
        <w:rPr>
          <w:sz w:val="20"/>
          <w:szCs w:val="20"/>
        </w:rPr>
        <w:t>g capital that will be used for miscellaneous expenses and reserves.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These amounts are estimates and may differ materially from our actual expenses. In addition, we could use a portion of the funds not being placed in trust to pay commitment fees for fin</w:t>
      </w:r>
      <w:r>
        <w:rPr>
          <w:sz w:val="20"/>
          <w:szCs w:val="20"/>
        </w:rPr>
        <w:t>ancing, fees to consultants to assist us with our search for a target business or as a down payment or to fund a “no-shop” provision (a provision designed to keep target businesses from “shopping” around for transactions with other companies or investors o</w:t>
      </w:r>
      <w:r>
        <w:rPr>
          <w:sz w:val="20"/>
          <w:szCs w:val="20"/>
        </w:rPr>
        <w:t>n terms more favorable to such target businesses) with respect to a particular proposed initial business combination, although we do not have any current intention to do so. If we entered into an agreement where we paid for the right to receive exclusivity</w:t>
      </w:r>
      <w:r>
        <w:rPr>
          <w:sz w:val="20"/>
          <w:szCs w:val="20"/>
        </w:rPr>
        <w:t xml:space="preserve"> from a target business, the amount that would be used as a down payment or to fund a “no-shop” provision would be determined based on the terms of the specific business combination and the amount of our available funds at the time. Our forfeiture of such </w:t>
      </w:r>
      <w:r>
        <w:rPr>
          <w:sz w:val="20"/>
          <w:szCs w:val="20"/>
        </w:rPr>
        <w:t>funds (whether as a result of our breach or otherwise) could result in our not having sufficient funds to continue searching for, or conducting due diligence with respect to, prospective target businesses.</w:t>
      </w:r>
    </w:p>
    <w:p w:rsidR="00000000" w:rsidRDefault="00391C87">
      <w:pPr>
        <w:pStyle w:val="a3"/>
        <w:shd w:val="clear" w:color="auto" w:fill="FFFFFF"/>
        <w:spacing w:before="0" w:beforeAutospacing="0" w:after="0" w:afterAutospacing="0"/>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We do not believe we will need to raise addition</w:t>
      </w:r>
      <w:r>
        <w:rPr>
          <w:sz w:val="20"/>
          <w:szCs w:val="20"/>
        </w:rPr>
        <w:t>al funds in order to meet the expenditures required for operating our business. However, if our estimates of the costs of identifying a target business, undertaking in-depth due diligence and negotiating an initial business combination are less than the ac</w:t>
      </w:r>
      <w:r>
        <w:rPr>
          <w:sz w:val="20"/>
          <w:szCs w:val="20"/>
        </w:rPr>
        <w:t xml:space="preserve">tual amount necessary to do so, we may have insufficient funds available to operate our business prior to our initial business combination. Moreover, we may need to obtain additional financing either to complete our initial business combination or because </w:t>
      </w:r>
      <w:r>
        <w:rPr>
          <w:sz w:val="20"/>
          <w:szCs w:val="20"/>
        </w:rPr>
        <w:t>we become obligated to redeem a significant number of our public shares upon completion of our initial business combination, in which case we may issue additional securities or incur debt in connection with such business combination. In addition, we intend</w:t>
      </w:r>
      <w:r>
        <w:rPr>
          <w:sz w:val="20"/>
          <w:szCs w:val="20"/>
        </w:rPr>
        <w:t xml:space="preserve"> to target businesses larger than we could acquire with the net proceeds of the IPO and the sale of the placement units, and may as a result be required to seek additional financing to complete such proposed initial business combination. Subject to complia</w:t>
      </w:r>
      <w:r>
        <w:rPr>
          <w:sz w:val="20"/>
          <w:szCs w:val="20"/>
        </w:rPr>
        <w:t>nce with applicable securities laws, we would only complete such financing simultaneously with the completion of our initial business combination. If we are unable to complete our initial business combination because we do not have sufficient funds availab</w:t>
      </w:r>
      <w:r>
        <w:rPr>
          <w:sz w:val="20"/>
          <w:szCs w:val="20"/>
        </w:rPr>
        <w:t>le to us, we will be forced to cease operations and liquidate the trust account. In addition, following our initial business combination, if cash on hand is insufficient, we may need to obtain additional financing in order to meet our obligations.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 xml:space="preserve">Going </w:t>
      </w:r>
      <w:r>
        <w:rPr>
          <w:b/>
          <w:bCs/>
          <w:sz w:val="20"/>
          <w:szCs w:val="20"/>
        </w:rPr>
        <w:t>Concern</w:t>
      </w:r>
    </w:p>
    <w:p w:rsidR="00000000" w:rsidRDefault="00391C87">
      <w:pPr>
        <w:pStyle w:val="a3"/>
        <w:spacing w:before="0" w:beforeAutospacing="0" w:after="0" w:afterAutospacing="0"/>
        <w:ind w:firstLine="36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In connection with our assessment of going concern considerations in accordance with Financial Accounting Standard Board’s Accounting Standards Update (“ASU”) 2014-15, “</w:t>
      </w:r>
      <w:r>
        <w:rPr>
          <w:sz w:val="20"/>
          <w:szCs w:val="20"/>
        </w:rPr>
        <w:t>Disclosures of Uncertainties about an Entity’s Ability to Continue as a Going Concern,” we have until January 13, 2023 to consummate a Business Combination subject to extension to July 13, 2023. It is uncertain that we will be able to consummate a Business</w:t>
      </w:r>
      <w:r>
        <w:rPr>
          <w:sz w:val="20"/>
          <w:szCs w:val="20"/>
        </w:rPr>
        <w:t xml:space="preserve"> Combination by this time. If a Business Combination is not consummated by this date, there will be a mandatory liquidation and subsequent dissolution. Management has determined that the mandatory liquidation, should a Business Combination not occur, and p</w:t>
      </w:r>
      <w:r>
        <w:rPr>
          <w:sz w:val="20"/>
          <w:szCs w:val="20"/>
        </w:rPr>
        <w:t>otential subsequent dissolution raises substantial doubt about our ability to continue as a going concern.</w:t>
      </w:r>
    </w:p>
    <w:p w:rsidR="00000000" w:rsidRDefault="00391C87">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7826440"/>
        </w:trPr>
        <w:tc>
          <w:tcPr>
            <w:tcW w:w="5000" w:type="pct"/>
            <w:hideMark/>
          </w:tcPr>
          <w:p w:rsidR="00000000" w:rsidRDefault="00391C87">
            <w:pPr>
              <w:jc w:val="center"/>
              <w:rPr>
                <w:rFonts w:eastAsia="Times New Roman"/>
                <w:sz w:val="20"/>
                <w:szCs w:val="20"/>
              </w:rPr>
            </w:pPr>
            <w:r>
              <w:rPr>
                <w:rFonts w:eastAsia="Times New Roman"/>
                <w:sz w:val="20"/>
                <w:szCs w:val="20"/>
              </w:rPr>
              <w:t>5</w:t>
            </w:r>
          </w:p>
        </w:tc>
      </w:tr>
    </w:tbl>
    <w:p w:rsidR="00000000" w:rsidRDefault="00391C87">
      <w:pPr>
        <w:pStyle w:val="a3"/>
        <w:spacing w:before="0" w:beforeAutospacing="0" w:after="0" w:afterAutospacing="0"/>
        <w:divId w:val="1734236327"/>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b/>
          <w:bCs/>
          <w:sz w:val="20"/>
          <w:szCs w:val="20"/>
        </w:rPr>
        <w:t>Off-Balance Sheet Financing Arrangements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We have no obligations, assets or liabilities, which would be considered off-balance sheet arrang</w:t>
      </w:r>
      <w:r>
        <w:rPr>
          <w:sz w:val="20"/>
          <w:szCs w:val="20"/>
        </w:rPr>
        <w:t>ements as of March 31, 2022. We do not participate in transactions that create relationships with unconsolidated entities or financial partnerships, often referred to as variable interest entities, which would have been established for the purpose of facil</w:t>
      </w:r>
      <w:r>
        <w:rPr>
          <w:sz w:val="20"/>
          <w:szCs w:val="20"/>
        </w:rPr>
        <w:t>itating off-balance sheet arrangements. We have not entered into any off-balance sheet financing arrangements, established any special purpose entities, guaranteed any debt or commitments of other entities, or purchased any non-financial assets.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Contract</w:t>
      </w:r>
      <w:r>
        <w:rPr>
          <w:b/>
          <w:bCs/>
          <w:sz w:val="20"/>
          <w:szCs w:val="20"/>
        </w:rPr>
        <w:t>ual Obligations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We do not have any long-term debt, capital lease obligations, operating lease obligations or long-term liabilities, other than an agreement to pay an affiliate of our Sponsor a monthly fee of $10,000 for office space, utilities and admini</w:t>
      </w:r>
      <w:r>
        <w:rPr>
          <w:sz w:val="20"/>
          <w:szCs w:val="20"/>
        </w:rPr>
        <w:t>strative support provided to the Company. We began incurring these fees on January 13, 2022 and will continue to incur these fees monthly until the earlier of the completion of the initial Business Combination and the Company’s liquidation.</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The underwrit</w:t>
      </w:r>
      <w:r>
        <w:rPr>
          <w:sz w:val="20"/>
          <w:szCs w:val="20"/>
        </w:rPr>
        <w:t>er is entitled to deferred commissions of $3,555,674 from the Units sold in the Initial Public Offering. The deferred commissions will become payable to the underwriter from the amounts held in the Trust Account solely in the event that we complete a Busin</w:t>
      </w:r>
      <w:r>
        <w:rPr>
          <w:sz w:val="20"/>
          <w:szCs w:val="20"/>
        </w:rPr>
        <w:t>ess Combination, subject to the terms of the underwriting agreement.</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Critical Accounting Policies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The preparation of financial statements and related disclosures in conformity with accounting principles generally accepted in the United States of Americ</w:t>
      </w:r>
      <w:r>
        <w:rPr>
          <w:sz w:val="20"/>
          <w:szCs w:val="20"/>
        </w:rPr>
        <w:t>a requires management to make estimates and assumptions that affect the reported amounts of assets and liabilities, disclosure of contingent assets and liabilities at the date of the financial statements, and income and expenses during the periods reported</w:t>
      </w:r>
      <w:r>
        <w:rPr>
          <w:sz w:val="20"/>
          <w:szCs w:val="20"/>
        </w:rPr>
        <w:t>. Actual results could materially differ from those estimates. We have not identified any critical accounting policies</w:t>
      </w:r>
    </w:p>
    <w:p w:rsidR="00000000" w:rsidRDefault="00391C87">
      <w:pPr>
        <w:pStyle w:val="a3"/>
        <w:shd w:val="clear" w:color="auto" w:fill="FFFFFF"/>
        <w:spacing w:before="0" w:beforeAutospacing="0" w:after="0" w:afterAutospacing="0"/>
        <w:ind w:firstLine="36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b/>
          <w:bCs/>
          <w:sz w:val="20"/>
          <w:szCs w:val="20"/>
        </w:rPr>
        <w:t>Recent Accounting Pronouncements</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jc w:val="both"/>
        <w:rPr>
          <w:sz w:val="20"/>
          <w:szCs w:val="20"/>
        </w:rPr>
      </w:pPr>
      <w:r>
        <w:rPr>
          <w:sz w:val="20"/>
          <w:szCs w:val="20"/>
        </w:rPr>
        <w:t xml:space="preserve">Management </w:t>
      </w:r>
      <w:r>
        <w:rPr>
          <w:sz w:val="20"/>
          <w:szCs w:val="20"/>
        </w:rPr>
        <w:t>does not believe that any recently issued, but not yet effective, accounting pronouncements, if currently adopted, would have a material effect on our condensed consolidated financial statements.</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rPr>
          <w:sz w:val="20"/>
          <w:szCs w:val="20"/>
        </w:rPr>
      </w:pPr>
      <w:r>
        <w:rPr>
          <w:b/>
          <w:bCs/>
          <w:sz w:val="20"/>
          <w:szCs w:val="20"/>
        </w:rPr>
        <w:t xml:space="preserve">ITEM </w:t>
      </w:r>
      <w:r>
        <w:rPr>
          <w:b/>
          <w:bCs/>
          <w:sz w:val="20"/>
          <w:szCs w:val="20"/>
        </w:rPr>
        <w:t>3. QUANTITATIVE AND QUALITATIVE DISCLOSURES ABOUT MARKET RISK</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sz w:val="20"/>
          <w:szCs w:val="20"/>
        </w:rPr>
        <w:t>Following the consummation of our Initial Public Offering, the net proceeds of our Initial Public Offering, including amounts in the Trust Account, have been invested in U.S. government treasu</w:t>
      </w:r>
      <w:r>
        <w:rPr>
          <w:sz w:val="20"/>
          <w:szCs w:val="20"/>
        </w:rPr>
        <w:t>ry bills, notes or bonds with a maturity of 185 days or less or in certain money market funds that invest solely in US treasuries. Due to the short-term nature of these investments, we do not believe that there will be an associated material exposure to in</w:t>
      </w:r>
      <w:r>
        <w:rPr>
          <w:sz w:val="20"/>
          <w:szCs w:val="20"/>
        </w:rPr>
        <w:t>terest rate risk.</w:t>
      </w:r>
    </w:p>
    <w:p w:rsidR="00000000" w:rsidRDefault="00391C87">
      <w:pPr>
        <w:pStyle w:val="a3"/>
        <w:spacing w:before="0" w:beforeAutospacing="0" w:after="0" w:afterAutospacing="0"/>
        <w:jc w:val="both"/>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ITEM 4. CONTROLS AND PROCEDURES</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Disclosure controls and procedures are controls and other procedures that are designed to ensure that information required to be disclosed in our reports filed or submitted under the Exchange Act is rec</w:t>
      </w:r>
      <w:r>
        <w:rPr>
          <w:sz w:val="20"/>
          <w:szCs w:val="20"/>
        </w:rPr>
        <w:t>orded, processed, summarized and reported within the time periods specified in the SEC’s rules and forms. Disclosure controls and procedures include, without limitation, controls and procedures designed to ensure that information required to be disclosed i</w:t>
      </w:r>
      <w:r>
        <w:rPr>
          <w:sz w:val="20"/>
          <w:szCs w:val="20"/>
        </w:rPr>
        <w:t>n our reports filed or submitted under the Exchange Act is accumulated and communicated to our management, including our Chief Executive Officer, to allow timely decisions regarding required disclosure.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i/>
          <w:iCs/>
          <w:sz w:val="20"/>
          <w:szCs w:val="20"/>
        </w:rPr>
        <w:t>Evaluation of Disclosure Controls and Procedures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Disclosure controls and procedures are designed to ensure that information required to be disclosed by us in our Exchange Act reports is recorded, processed, summarized, and reported within the time periods specified in the SEC’s rules and forms, and that </w:t>
      </w:r>
      <w:r>
        <w:rPr>
          <w:sz w:val="20"/>
          <w:szCs w:val="20"/>
        </w:rPr>
        <w:t>such information is accumulated and communicated to our management, including our principal executive officer and principal financial officer or persons performing similar functions, as appropriate to allow timely decisions regarding required disclosure.</w:t>
      </w:r>
    </w:p>
    <w:p w:rsidR="00000000" w:rsidRDefault="00391C8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4182770"/>
        </w:trPr>
        <w:tc>
          <w:tcPr>
            <w:tcW w:w="5000" w:type="pct"/>
            <w:hideMark/>
          </w:tcPr>
          <w:p w:rsidR="00000000" w:rsidRDefault="00391C87">
            <w:pPr>
              <w:jc w:val="center"/>
              <w:rPr>
                <w:rFonts w:eastAsia="Times New Roman"/>
                <w:sz w:val="20"/>
                <w:szCs w:val="20"/>
              </w:rPr>
            </w:pPr>
            <w:r>
              <w:rPr>
                <w:rFonts w:eastAsia="Times New Roman"/>
                <w:sz w:val="20"/>
                <w:szCs w:val="20"/>
              </w:rPr>
              <w:t>6</w:t>
            </w:r>
          </w:p>
        </w:tc>
      </w:tr>
    </w:tbl>
    <w:p w:rsidR="00000000" w:rsidRDefault="00391C87">
      <w:pPr>
        <w:pStyle w:val="a3"/>
        <w:spacing w:before="0" w:beforeAutospacing="0" w:after="0" w:afterAutospacing="0"/>
        <w:divId w:val="1446391262"/>
        <w:rPr>
          <w:sz w:val="20"/>
          <w:szCs w:val="20"/>
        </w:rPr>
      </w:pPr>
      <w:r>
        <w:rPr>
          <w:sz w:val="20"/>
          <w:szCs w:val="20"/>
        </w:rPr>
        <w:t> </w:t>
      </w:r>
    </w:p>
    <w:p w:rsidR="00000000" w:rsidRDefault="00391C87">
      <w:pPr>
        <w:pStyle w:val="a3"/>
        <w:spacing w:before="0" w:beforeAutospacing="0" w:after="0" w:afterAutospacing="0"/>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Under </w:t>
      </w:r>
      <w:r>
        <w:rPr>
          <w:sz w:val="20"/>
          <w:szCs w:val="20"/>
        </w:rPr>
        <w:t xml:space="preserve">the supervision and with the participation of our management, including our principal executive officer and principal financial and accounting officer, we conducted an evaluation of the effectiveness of our disclosure controls and procedures as of the end </w:t>
      </w:r>
      <w:r>
        <w:rPr>
          <w:sz w:val="20"/>
          <w:szCs w:val="20"/>
        </w:rPr>
        <w:t>of the fiscal quarter ended March 31, 2022, as such term is defined in Rules 13a-15(e) and 15d-15(e) under the Exchange Act. Based on this evaluation, our principal executive officer and principal financial and accounting officer have concluded that during</w:t>
      </w:r>
      <w:r>
        <w:rPr>
          <w:sz w:val="20"/>
          <w:szCs w:val="20"/>
        </w:rPr>
        <w:t xml:space="preserve"> the period covered by this report, our disclosure controls and procedures were not effective at a reasonable assurance level and, accordingly, provided reasonable assurance that the information required to be disclosed by us in reports filed under the Exc</w:t>
      </w:r>
      <w:r>
        <w:rPr>
          <w:sz w:val="20"/>
          <w:szCs w:val="20"/>
        </w:rPr>
        <w:t>hange Act is recorded, processed, summarized and reported within the time periods specified in the SEC’s rules and forms.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i/>
          <w:iCs/>
          <w:sz w:val="20"/>
          <w:szCs w:val="20"/>
        </w:rPr>
        <w:t>Changes in Internal Control over Financial Reporting</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During the most recently completed fiscal quarter ended March 31, 2022, there</w:t>
      </w:r>
      <w:r>
        <w:rPr>
          <w:sz w:val="20"/>
          <w:szCs w:val="20"/>
        </w:rPr>
        <w:t xml:space="preserve"> was no change in our internal control over financial reporting that has materially affected, or is reasonably likely to materially affect, our internal control over financial reporting.</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center"/>
        <w:rPr>
          <w:sz w:val="20"/>
          <w:szCs w:val="20"/>
        </w:rPr>
      </w:pPr>
      <w:r>
        <w:rPr>
          <w:b/>
          <w:bCs/>
          <w:sz w:val="20"/>
          <w:szCs w:val="20"/>
          <w:shd w:val="clear" w:color="auto" w:fill="FFFFFF"/>
        </w:rPr>
        <w:t>PART II - OTHER INFORMATION</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1. Legal Proceedings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None.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w:t>
      </w:r>
      <w:r>
        <w:rPr>
          <w:b/>
          <w:bCs/>
          <w:sz w:val="20"/>
          <w:szCs w:val="20"/>
        </w:rPr>
        <w:t>tem 1A. Risk Factors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As of the date of this Quarterly Report on Form 10-Q, there have been no material changes to the risk factors disclosed in our final prospectus dated January 10, 2022 filed with the SEC, except we may disclose changes to such factors</w:t>
      </w:r>
      <w:r>
        <w:rPr>
          <w:sz w:val="20"/>
          <w:szCs w:val="20"/>
        </w:rPr>
        <w:t xml:space="preserve"> or disclose additional factors from time to time in our future filings with the SEC. Any of these factors could result in a significant or material adverse effect on our results of operations or financial condition. Additional risk factors not presently k</w:t>
      </w:r>
      <w:r>
        <w:rPr>
          <w:sz w:val="20"/>
          <w:szCs w:val="20"/>
        </w:rPr>
        <w:t>nown to us or that we currently deem immaterial may also impair our business or results of operations.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2. Unregistered Sale of Equity Securities and Use of Proceeds.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i/>
          <w:iCs/>
          <w:sz w:val="20"/>
          <w:szCs w:val="20"/>
        </w:rPr>
        <w:t>Unregistered Sales of Equity Securities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January 13, 2022, simultaneously with the consummation of the closing of the Initial Public Offering, the Company consummated the private placement of an aggregate of 446,358 units (the “Private Placement Units”) to Broad Capital LLC, the sponsor of the Co</w:t>
      </w:r>
      <w:r>
        <w:rPr>
          <w:sz w:val="20"/>
          <w:szCs w:val="20"/>
        </w:rPr>
        <w:t>mpany (the “Sponsor”), at a price of $10.00 per Private Placement Unit, generating total gross proceeds of $4,463,580 (the “Private Placement”). On February 10, 2022, the underwriters partially exercised the over-allotment option and purchased an additiona</w:t>
      </w:r>
      <w:r>
        <w:rPr>
          <w:sz w:val="20"/>
          <w:szCs w:val="20"/>
        </w:rPr>
        <w:t>l 159,069 Units, generating gross proceeds of $1,590,690 and forfeited the remainder of the option, which is 335,233 shares of common stock. The issuance of the Private Placement Units was made pursuant to the exemption from registration contained in Secti</w:t>
      </w:r>
      <w:r>
        <w:rPr>
          <w:sz w:val="20"/>
          <w:szCs w:val="20"/>
        </w:rPr>
        <w:t>on 4(a)(2) of the Securities Act. With the exercise of the overallotment, the Company consummated the Private Placement of an additional 4,772 Placement Units to Broad Capital LLC, a Delaware limited liability company (the “Sponsor”), generating gross proc</w:t>
      </w:r>
      <w:r>
        <w:rPr>
          <w:sz w:val="20"/>
          <w:szCs w:val="20"/>
        </w:rPr>
        <w:t>eeds of $47,720.</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i/>
          <w:iCs/>
          <w:sz w:val="20"/>
          <w:szCs w:val="20"/>
        </w:rPr>
        <w:t>Use of Proceeds from the Public Offering</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shd w:val="clear" w:color="auto" w:fill="FFFFFF"/>
        </w:rPr>
        <w:t>In connection with the closing and sale of the Over-Allotment Units and the additional private placement units (together, the “Over-Allotment Closing”), a total of $1,606,597 in proceeds from th</w:t>
      </w:r>
      <w:r>
        <w:rPr>
          <w:sz w:val="20"/>
          <w:szCs w:val="20"/>
          <w:shd w:val="clear" w:color="auto" w:fill="FFFFFF"/>
        </w:rPr>
        <w:t>e Over-Allotment Closing (which amount includes $31,814 of the Underwriters’ deferred discount) was placed in a U.S.-based trust account established for the benefit of the Company’s public shareholders, maintained by Continental Stock Transfer &amp; Trust Comp</w:t>
      </w:r>
      <w:r>
        <w:rPr>
          <w:sz w:val="20"/>
          <w:szCs w:val="20"/>
          <w:shd w:val="clear" w:color="auto" w:fill="FFFFFF"/>
        </w:rPr>
        <w:t>any, acting as trustee. The proceeds held in the trust account may be invested by the trustee only in U.S. government securities with a maturity of 180 days or less or in money market funds investing solely in U.S. government treasury obligations and meeti</w:t>
      </w:r>
      <w:r>
        <w:rPr>
          <w:sz w:val="20"/>
          <w:szCs w:val="20"/>
          <w:shd w:val="clear" w:color="auto" w:fill="FFFFFF"/>
        </w:rPr>
        <w:t>ng certain conditions under Rule 2a-7 under the Investment Company Act.</w:t>
      </w:r>
    </w:p>
    <w:p w:rsidR="00000000" w:rsidRDefault="00391C8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4747287"/>
        </w:trPr>
        <w:tc>
          <w:tcPr>
            <w:tcW w:w="5000" w:type="pct"/>
            <w:hideMark/>
          </w:tcPr>
          <w:p w:rsidR="00000000" w:rsidRDefault="00391C87">
            <w:pPr>
              <w:jc w:val="center"/>
              <w:rPr>
                <w:rFonts w:eastAsia="Times New Roman"/>
                <w:sz w:val="20"/>
                <w:szCs w:val="20"/>
              </w:rPr>
            </w:pPr>
            <w:r>
              <w:rPr>
                <w:rFonts w:eastAsia="Times New Roman"/>
                <w:sz w:val="20"/>
                <w:szCs w:val="20"/>
              </w:rPr>
              <w:t>7</w:t>
            </w:r>
          </w:p>
        </w:tc>
      </w:tr>
    </w:tbl>
    <w:p w:rsidR="00000000" w:rsidRDefault="00391C87">
      <w:pPr>
        <w:pStyle w:val="a3"/>
        <w:spacing w:before="0" w:beforeAutospacing="0" w:after="0" w:afterAutospacing="0"/>
        <w:divId w:val="1297683167"/>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3. Defaults Upon Senior Securities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None.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4. Mine Safety Disclosures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Not Applicable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5. Other Information</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None.</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b/>
          <w:bCs/>
          <w:sz w:val="20"/>
          <w:szCs w:val="20"/>
        </w:rPr>
        <w:t>Item 6. Exhibits</w:t>
      </w:r>
    </w:p>
    <w:p w:rsidR="00000000" w:rsidRDefault="00391C87">
      <w:pPr>
        <w:pStyle w:val="a3"/>
        <w:shd w:val="clear" w:color="auto" w:fill="FFFFFF"/>
        <w:spacing w:before="0" w:beforeAutospacing="0" w:after="0" w:afterAutospacing="0"/>
        <w:jc w:val="both"/>
        <w:rPr>
          <w:sz w:val="20"/>
          <w:szCs w:val="20"/>
        </w:rPr>
      </w:pPr>
      <w:r>
        <w:rPr>
          <w:sz w:val="20"/>
          <w:szCs w:val="20"/>
        </w:rPr>
        <w:t> </w:t>
      </w:r>
    </w:p>
    <w:p w:rsidR="00000000" w:rsidRDefault="00391C87">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following exhibits are filed as part of, or incorporated by reference into, this Quarterly Report on Form 10-Q.</w:t>
      </w:r>
    </w:p>
    <w:p w:rsidR="00000000" w:rsidRDefault="00391C87">
      <w:pPr>
        <w:pStyle w:val="a3"/>
        <w:shd w:val="clear" w:color="auto" w:fill="FFFFFF"/>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shd w:val="clear" w:color="auto" w:fill="FFFFFF"/>
            <w:hideMark/>
          </w:tcPr>
          <w:p w:rsidR="00000000" w:rsidRDefault="00391C87">
            <w:pPr>
              <w:rPr>
                <w:rFonts w:eastAsia="Times New Roman"/>
                <w:sz w:val="20"/>
                <w:szCs w:val="20"/>
              </w:rPr>
            </w:pPr>
            <w:r>
              <w:rPr>
                <w:rFonts w:eastAsia="Times New Roman"/>
                <w:b/>
                <w:bCs/>
                <w:sz w:val="20"/>
                <w:szCs w:val="20"/>
              </w:rPr>
              <w:t>No.</w:t>
            </w:r>
          </w:p>
        </w:tc>
        <w:tc>
          <w:tcPr>
            <w:tcW w:w="144" w:type="dxa"/>
            <w:shd w:val="clear" w:color="auto" w:fill="FFFFFF"/>
            <w:hideMark/>
          </w:tcPr>
          <w:p w:rsidR="00000000" w:rsidRDefault="00391C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hideMark/>
          </w:tcPr>
          <w:p w:rsidR="00000000" w:rsidRDefault="00391C87">
            <w:pPr>
              <w:jc w:val="both"/>
              <w:rPr>
                <w:rFonts w:eastAsia="Times New Roman"/>
                <w:sz w:val="20"/>
                <w:szCs w:val="20"/>
              </w:rPr>
            </w:pPr>
            <w:r>
              <w:rPr>
                <w:rFonts w:eastAsia="Times New Roman"/>
                <w:b/>
                <w:bCs/>
                <w:sz w:val="20"/>
                <w:szCs w:val="20"/>
              </w:rPr>
              <w:t>Description of Exhibits</w:t>
            </w:r>
          </w:p>
        </w:tc>
      </w:tr>
      <w:tr w:rsidR="00000000">
        <w:tc>
          <w:tcPr>
            <w:tcW w:w="0" w:type="auto"/>
            <w:shd w:val="clear" w:color="auto" w:fill="auto"/>
            <w:vAlign w:val="center"/>
            <w:hideMark/>
          </w:tcPr>
          <w:p w:rsidR="00000000" w:rsidRDefault="00391C87">
            <w:pPr>
              <w:pStyle w:val="a3"/>
              <w:spacing w:before="0" w:beforeAutospacing="0" w:after="0" w:afterAutospacing="0"/>
              <w:rPr>
                <w:sz w:val="20"/>
                <w:szCs w:val="20"/>
              </w:rPr>
            </w:pPr>
            <w:r>
              <w:rPr>
                <w:sz w:val="20"/>
                <w:szCs w:val="20"/>
              </w:rPr>
              <w:t>31.1*</w:t>
            </w:r>
          </w:p>
          <w:p w:rsidR="00000000" w:rsidRDefault="00391C87">
            <w:pPr>
              <w:pStyle w:val="a3"/>
              <w:spacing w:before="0" w:beforeAutospacing="0" w:after="0" w:afterAutospacing="0"/>
              <w:rPr>
                <w:sz w:val="20"/>
                <w:szCs w:val="20"/>
              </w:rPr>
            </w:pPr>
            <w:r>
              <w:rPr>
                <w:sz w:val="20"/>
                <w:szCs w:val="20"/>
              </w:rPr>
              <w:t> </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hyperlink r:id="rId5" w:history="1">
              <w:r>
                <w:rPr>
                  <w:rStyle w:val="a4"/>
                  <w:rFonts w:eastAsia="Times New Roman"/>
                  <w:sz w:val="20"/>
                  <w:szCs w:val="20"/>
                  <w:shd w:val="clear" w:color="auto" w:fill="FFFFFF"/>
                </w:rPr>
                <w:t>Certification of Principal Executive Officer Pursuant to Securities Exchan</w:t>
              </w:r>
              <w:r>
                <w:rPr>
                  <w:rStyle w:val="a4"/>
                  <w:rFonts w:eastAsia="Times New Roman"/>
                  <w:sz w:val="20"/>
                  <w:szCs w:val="20"/>
                  <w:shd w:val="clear" w:color="auto" w:fill="FFFFFF"/>
                </w:rPr>
                <w:t>ge Act Rules 13a-14(a) and 15(d)-14(a), as adopted Pursuant to Section 302 of the Sarbanes-Oxley Act of 2002</w:t>
              </w:r>
            </w:hyperlink>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31.2*</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hyperlink r:id="rId6" w:history="1">
              <w:r>
                <w:rPr>
                  <w:rStyle w:val="a4"/>
                  <w:rFonts w:eastAsia="Times New Roman"/>
                  <w:sz w:val="20"/>
                  <w:szCs w:val="20"/>
                  <w:shd w:val="clear" w:color="auto" w:fill="FFFFFF"/>
                </w:rPr>
                <w:t xml:space="preserve">Certification </w:t>
              </w:r>
              <w:r>
                <w:rPr>
                  <w:rStyle w:val="a4"/>
                  <w:rFonts w:eastAsia="Times New Roman"/>
                  <w:sz w:val="20"/>
                  <w:szCs w:val="20"/>
                  <w:shd w:val="clear" w:color="auto" w:fill="FFFFFF"/>
                </w:rPr>
                <w:t>of Principal Financial Officer Pursuant to Securities Exchange Act Rules 13a-14(a) and 15(d)-14(a), as adopted Pursuant to Section 302 of the Sarbanes-Oxley Act of 2002</w:t>
              </w:r>
            </w:hyperlink>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32.1*</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hyperlink r:id="rId7" w:history="1">
              <w:r>
                <w:rPr>
                  <w:rStyle w:val="a4"/>
                  <w:rFonts w:eastAsia="Times New Roman"/>
                  <w:sz w:val="20"/>
                  <w:szCs w:val="20"/>
                  <w:shd w:val="clear" w:color="auto" w:fill="FFFFFF"/>
                </w:rPr>
                <w:t>Certification of Principal Executive Officer Pursua</w:t>
              </w:r>
              <w:r>
                <w:rPr>
                  <w:rStyle w:val="a4"/>
                  <w:rFonts w:eastAsia="Times New Roman"/>
                  <w:sz w:val="20"/>
                  <w:szCs w:val="20"/>
                  <w:shd w:val="clear" w:color="auto" w:fill="FFFFFF"/>
                </w:rPr>
                <w:t>nt to 18 U.S.C. Section 1350, as adopted Pursuant to Section 906 of the Sarbanes-Oxley Act of 2002</w:t>
              </w:r>
            </w:hyperlink>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32.2*</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hyperlink r:id="rId8" w:history="1">
              <w:r>
                <w:rPr>
                  <w:rStyle w:val="a4"/>
                  <w:rFonts w:eastAsia="Times New Roman"/>
                  <w:sz w:val="20"/>
                  <w:szCs w:val="20"/>
                  <w:shd w:val="clear" w:color="auto" w:fill="FFFFFF"/>
                </w:rPr>
                <w:t>Certification of Principal Financial Officer Pursuant to 18 U.S.C. Section 1350, as adopted Pursuant to Section 906 of th</w:t>
              </w:r>
              <w:r>
                <w:rPr>
                  <w:rStyle w:val="a4"/>
                  <w:rFonts w:eastAsia="Times New Roman"/>
                  <w:sz w:val="20"/>
                  <w:szCs w:val="20"/>
                  <w:shd w:val="clear" w:color="auto" w:fill="FFFFFF"/>
                </w:rPr>
                <w:t>e Sarbanes-Oxley Act of 2002</w:t>
              </w:r>
            </w:hyperlink>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101.INS*</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shd w:val="clear" w:color="auto" w:fill="FFFFFF"/>
              </w:rPr>
              <w:t>Inline XBRL Instance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101.CAL*</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shd w:val="clear" w:color="auto" w:fill="FFFFFF"/>
              </w:rPr>
              <w:t>Inline XBRL Instance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101.SCH*</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shd w:val="clear" w:color="auto" w:fill="FFFFFF"/>
              </w:rPr>
              <w:t>Inline XBRL Taxonomy Extension Schema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101.DEF*</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shd w:val="clear" w:color="auto" w:fill="FFFFFF"/>
              </w:rPr>
              <w:t xml:space="preserve">Inline </w:t>
            </w:r>
            <w:r>
              <w:rPr>
                <w:rFonts w:eastAsia="Times New Roman"/>
                <w:sz w:val="20"/>
                <w:szCs w:val="20"/>
                <w:shd w:val="clear" w:color="auto" w:fill="FFFFFF"/>
              </w:rPr>
              <w:t>XBRL Taxonomy Extension Definition Linkbase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101.LAB*</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rPr>
              <w:t>Inline XBRL Taxonomy Extension Labels Linkbase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101.PRE*</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rPr>
              <w:t>Inline XBRL Taxonomy Extension Presentation Linkbase Document</w:t>
            </w:r>
          </w:p>
        </w:tc>
      </w:tr>
      <w:tr w:rsidR="00000000">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104</w:t>
            </w:r>
          </w:p>
        </w:tc>
        <w:tc>
          <w:tcPr>
            <w:tcW w:w="0" w:type="auto"/>
            <w:shd w:val="clear" w:color="auto" w:fill="auto"/>
            <w:vAlign w:val="center"/>
            <w:hideMark/>
          </w:tcPr>
          <w:p w:rsidR="00000000" w:rsidRDefault="00391C87">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391C87">
            <w:pPr>
              <w:jc w:val="both"/>
              <w:rPr>
                <w:rFonts w:eastAsia="Times New Roman"/>
                <w:sz w:val="20"/>
                <w:szCs w:val="20"/>
              </w:rPr>
            </w:pPr>
            <w:r>
              <w:rPr>
                <w:rFonts w:eastAsia="Times New Roman"/>
                <w:sz w:val="20"/>
                <w:szCs w:val="20"/>
              </w:rPr>
              <w:t xml:space="preserve">Cover Page Interactive Data File (formatted as inline </w:t>
            </w:r>
            <w:r>
              <w:rPr>
                <w:rFonts w:eastAsia="Times New Roman"/>
                <w:sz w:val="20"/>
                <w:szCs w:val="20"/>
              </w:rPr>
              <w:t>XBRL and contained in Exhibit 101)</w:t>
            </w:r>
          </w:p>
        </w:tc>
      </w:tr>
    </w:tbl>
    <w:p w:rsidR="00000000" w:rsidRDefault="00391C87">
      <w:pPr>
        <w:pStyle w:val="a3"/>
        <w:spacing w:before="0" w:beforeAutospacing="0" w:after="0" w:afterAutospacing="0"/>
        <w:ind w:firstLine="360"/>
        <w:rPr>
          <w:sz w:val="20"/>
          <w:szCs w:val="20"/>
        </w:rPr>
      </w:pPr>
      <w:r>
        <w:rPr>
          <w:sz w:val="20"/>
          <w:szCs w:val="20"/>
        </w:rPr>
        <w:t> </w:t>
      </w:r>
    </w:p>
    <w:p w:rsidR="00000000" w:rsidRDefault="00391C87">
      <w:pPr>
        <w:pStyle w:val="a3"/>
        <w:spacing w:before="0" w:beforeAutospacing="0" w:after="0" w:afterAutospacing="0"/>
        <w:ind w:firstLine="360"/>
        <w:rPr>
          <w:sz w:val="20"/>
          <w:szCs w:val="20"/>
        </w:rPr>
      </w:pPr>
      <w:r>
        <w:rPr>
          <w:sz w:val="20"/>
          <w:szCs w:val="20"/>
        </w:rPr>
        <w:t>* Filed herewith</w:t>
      </w:r>
    </w:p>
    <w:p w:rsidR="00000000" w:rsidRDefault="00391C8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7542225"/>
        </w:trPr>
        <w:tc>
          <w:tcPr>
            <w:tcW w:w="5000" w:type="pct"/>
            <w:hideMark/>
          </w:tcPr>
          <w:p w:rsidR="00000000" w:rsidRDefault="00391C87">
            <w:pPr>
              <w:jc w:val="center"/>
              <w:rPr>
                <w:rFonts w:eastAsia="Times New Roman"/>
                <w:sz w:val="20"/>
                <w:szCs w:val="20"/>
              </w:rPr>
            </w:pPr>
            <w:r>
              <w:rPr>
                <w:rFonts w:eastAsia="Times New Roman"/>
                <w:sz w:val="20"/>
                <w:szCs w:val="20"/>
              </w:rPr>
              <w:t>8</w:t>
            </w:r>
          </w:p>
        </w:tc>
      </w:tr>
    </w:tbl>
    <w:p w:rsidR="00000000" w:rsidRDefault="00391C87">
      <w:pPr>
        <w:pStyle w:val="a3"/>
        <w:spacing w:before="0" w:beforeAutospacing="0" w:after="0" w:afterAutospacing="0"/>
        <w:divId w:val="1165703085"/>
        <w:rPr>
          <w:sz w:val="20"/>
          <w:szCs w:val="20"/>
        </w:rPr>
      </w:pPr>
      <w:r>
        <w:rPr>
          <w:sz w:val="20"/>
          <w:szCs w:val="20"/>
        </w:rPr>
        <w:t> </w:t>
      </w:r>
    </w:p>
    <w:p w:rsidR="00000000" w:rsidRDefault="00391C87">
      <w:pPr>
        <w:pStyle w:val="a3"/>
        <w:spacing w:before="0" w:beforeAutospacing="0" w:after="0" w:afterAutospacing="0"/>
        <w:rPr>
          <w:sz w:val="20"/>
          <w:szCs w:val="20"/>
        </w:rPr>
      </w:pPr>
      <w:r>
        <w:rPr>
          <w:b/>
          <w:bCs/>
          <w:sz w:val="20"/>
          <w:szCs w:val="20"/>
        </w:rPr>
        <w:t> </w:t>
      </w:r>
    </w:p>
    <w:p w:rsidR="00000000" w:rsidRDefault="00391C87">
      <w:pPr>
        <w:pStyle w:val="a3"/>
        <w:spacing w:before="0" w:beforeAutospacing="0" w:after="0" w:afterAutospacing="0"/>
        <w:jc w:val="center"/>
        <w:rPr>
          <w:sz w:val="20"/>
          <w:szCs w:val="20"/>
        </w:rPr>
      </w:pPr>
      <w:r>
        <w:rPr>
          <w:b/>
          <w:bCs/>
          <w:sz w:val="20"/>
          <w:szCs w:val="20"/>
        </w:rPr>
        <w:t>SIGNATURES</w:t>
      </w:r>
    </w:p>
    <w:p w:rsidR="00000000" w:rsidRDefault="00391C87">
      <w:pPr>
        <w:pStyle w:val="a3"/>
        <w:spacing w:before="0" w:beforeAutospacing="0" w:after="0" w:afterAutospacing="0"/>
        <w:jc w:val="center"/>
        <w:rPr>
          <w:sz w:val="20"/>
          <w:szCs w:val="20"/>
        </w:rPr>
      </w:pPr>
      <w:r>
        <w:rPr>
          <w:b/>
          <w:bCs/>
          <w:sz w:val="20"/>
          <w:szCs w:val="20"/>
        </w:rPr>
        <w:t> </w:t>
      </w:r>
    </w:p>
    <w:p w:rsidR="00000000" w:rsidRDefault="00391C87">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391C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391C87">
            <w:pPr>
              <w:rPr>
                <w:rFonts w:eastAsia="Times New Roman"/>
                <w:sz w:val="20"/>
                <w:szCs w:val="20"/>
              </w:rPr>
            </w:pPr>
            <w:r>
              <w:rPr>
                <w:rFonts w:eastAsia="Times New Roman"/>
                <w:sz w:val="20"/>
                <w:szCs w:val="20"/>
              </w:rPr>
              <w:t> </w:t>
            </w:r>
          </w:p>
        </w:tc>
        <w:tc>
          <w:tcPr>
            <w:tcW w:w="0" w:type="auto"/>
            <w:gridSpan w:val="2"/>
            <w:hideMark/>
          </w:tcPr>
          <w:p w:rsidR="00000000" w:rsidRDefault="00391C87">
            <w:pPr>
              <w:rPr>
                <w:rFonts w:eastAsia="Times New Roman"/>
                <w:sz w:val="20"/>
                <w:szCs w:val="20"/>
              </w:rPr>
            </w:pPr>
            <w:r>
              <w:rPr>
                <w:rFonts w:eastAsia="Times New Roman"/>
                <w:b/>
                <w:bCs/>
                <w:sz w:val="20"/>
                <w:szCs w:val="20"/>
              </w:rPr>
              <w:t>Broad Capital Acquisition Corp</w:t>
            </w:r>
          </w:p>
        </w:tc>
      </w:tr>
      <w:tr w:rsidR="00000000">
        <w:tc>
          <w:tcPr>
            <w:tcW w:w="0" w:type="auto"/>
            <w:hideMark/>
          </w:tcPr>
          <w:p w:rsidR="00000000" w:rsidRDefault="00391C87">
            <w:pPr>
              <w:rPr>
                <w:rFonts w:eastAsia="Times New Roman"/>
                <w:sz w:val="20"/>
                <w:szCs w:val="20"/>
              </w:rPr>
            </w:pPr>
            <w:r>
              <w:rPr>
                <w:rFonts w:eastAsia="Times New Roman"/>
                <w:sz w:val="20"/>
                <w:szCs w:val="20"/>
              </w:rPr>
              <w:t> </w:t>
            </w:r>
          </w:p>
        </w:tc>
        <w:tc>
          <w:tcPr>
            <w:tcW w:w="0" w:type="auto"/>
            <w:gridSpan w:val="2"/>
            <w:hideMark/>
          </w:tcPr>
          <w:p w:rsidR="00000000" w:rsidRDefault="00391C87">
            <w:pPr>
              <w:rPr>
                <w:rFonts w:eastAsia="Times New Roman"/>
                <w:sz w:val="20"/>
                <w:szCs w:val="20"/>
              </w:rPr>
            </w:pPr>
            <w:r>
              <w:rPr>
                <w:rFonts w:eastAsia="Times New Roman"/>
                <w:sz w:val="20"/>
                <w:szCs w:val="20"/>
              </w:rPr>
              <w:t> </w:t>
            </w:r>
          </w:p>
        </w:tc>
      </w:tr>
      <w:tr w:rsidR="00000000">
        <w:tc>
          <w:tcPr>
            <w:tcW w:w="2500" w:type="pct"/>
            <w:tcMar>
              <w:top w:w="0" w:type="dxa"/>
              <w:left w:w="0" w:type="dxa"/>
              <w:bottom w:w="30" w:type="dxa"/>
              <w:right w:w="0" w:type="dxa"/>
            </w:tcMar>
            <w:hideMark/>
          </w:tcPr>
          <w:p w:rsidR="00000000" w:rsidRDefault="00391C87">
            <w:pPr>
              <w:rPr>
                <w:rFonts w:eastAsia="Times New Roman"/>
                <w:sz w:val="20"/>
                <w:szCs w:val="20"/>
              </w:rPr>
            </w:pPr>
            <w:r>
              <w:rPr>
                <w:rFonts w:eastAsia="Times New Roman"/>
                <w:sz w:val="20"/>
                <w:szCs w:val="20"/>
              </w:rPr>
              <w:t>Date: May 13, 2022</w:t>
            </w:r>
          </w:p>
        </w:tc>
        <w:tc>
          <w:tcPr>
            <w:tcW w:w="150" w:type="pct"/>
            <w:tcMar>
              <w:top w:w="0" w:type="dxa"/>
              <w:left w:w="0" w:type="dxa"/>
              <w:bottom w:w="30" w:type="dxa"/>
              <w:right w:w="0" w:type="dxa"/>
            </w:tcMar>
            <w:hideMark/>
          </w:tcPr>
          <w:p w:rsidR="00000000" w:rsidRDefault="00391C87">
            <w:pPr>
              <w:rPr>
                <w:rFonts w:eastAsia="Times New Roman"/>
                <w:sz w:val="20"/>
                <w:szCs w:val="20"/>
              </w:rPr>
            </w:pPr>
            <w:r>
              <w:rPr>
                <w:rFonts w:eastAsia="Times New Roman"/>
                <w:sz w:val="20"/>
                <w:szCs w:val="20"/>
              </w:rPr>
              <w:t>By:</w:t>
            </w:r>
          </w:p>
        </w:tc>
        <w:tc>
          <w:tcPr>
            <w:tcW w:w="2350" w:type="pct"/>
            <w:tcBorders>
              <w:bottom w:val="single" w:sz="12" w:space="0" w:color="000000"/>
            </w:tcBorders>
            <w:hideMark/>
          </w:tcPr>
          <w:p w:rsidR="00000000" w:rsidRDefault="00391C87">
            <w:pPr>
              <w:rPr>
                <w:rFonts w:eastAsia="Times New Roman"/>
                <w:sz w:val="20"/>
                <w:szCs w:val="20"/>
              </w:rPr>
            </w:pPr>
            <w:r>
              <w:rPr>
                <w:rFonts w:eastAsia="Times New Roman"/>
                <w:sz w:val="20"/>
                <w:szCs w:val="20"/>
              </w:rPr>
              <w:t xml:space="preserve">/s/ </w:t>
            </w:r>
            <w:r>
              <w:rPr>
                <w:rFonts w:eastAsia="Times New Roman"/>
                <w:i/>
                <w:iCs/>
                <w:sz w:val="20"/>
                <w:szCs w:val="20"/>
              </w:rPr>
              <w:t>Johann Ts</w:t>
            </w:r>
            <w:r>
              <w:rPr>
                <w:rFonts w:eastAsia="Times New Roman"/>
                <w:i/>
                <w:iCs/>
                <w:sz w:val="20"/>
                <w:szCs w:val="20"/>
              </w:rPr>
              <w:t>e</w:t>
            </w:r>
          </w:p>
        </w:tc>
      </w:tr>
      <w:tr w:rsidR="00000000">
        <w:tc>
          <w:tcPr>
            <w:tcW w:w="0" w:type="auto"/>
            <w:hideMark/>
          </w:tcPr>
          <w:p w:rsidR="00000000" w:rsidRDefault="00391C87">
            <w:pPr>
              <w:rPr>
                <w:rFonts w:eastAsia="Times New Roman"/>
                <w:sz w:val="20"/>
                <w:szCs w:val="20"/>
              </w:rPr>
            </w:pPr>
            <w:r>
              <w:rPr>
                <w:rFonts w:eastAsia="Times New Roman"/>
                <w:sz w:val="20"/>
                <w:szCs w:val="20"/>
              </w:rPr>
              <w:t> </w:t>
            </w:r>
          </w:p>
        </w:tc>
        <w:tc>
          <w:tcPr>
            <w:tcW w:w="0" w:type="auto"/>
            <w:hideMark/>
          </w:tcPr>
          <w:p w:rsidR="00000000" w:rsidRDefault="00391C87">
            <w:pPr>
              <w:rPr>
                <w:rFonts w:eastAsia="Times New Roman"/>
                <w:sz w:val="20"/>
                <w:szCs w:val="20"/>
              </w:rPr>
            </w:pPr>
            <w:r>
              <w:rPr>
                <w:rFonts w:eastAsia="Times New Roman"/>
                <w:sz w:val="20"/>
                <w:szCs w:val="20"/>
              </w:rPr>
              <w:t> </w:t>
            </w:r>
          </w:p>
        </w:tc>
        <w:tc>
          <w:tcPr>
            <w:tcW w:w="0" w:type="auto"/>
            <w:hideMark/>
          </w:tcPr>
          <w:p w:rsidR="00000000" w:rsidRDefault="00391C87">
            <w:pPr>
              <w:pStyle w:val="a3"/>
              <w:spacing w:before="0" w:beforeAutospacing="0" w:after="0" w:afterAutospacing="0"/>
              <w:rPr>
                <w:sz w:val="20"/>
                <w:szCs w:val="20"/>
              </w:rPr>
            </w:pPr>
            <w:r>
              <w:rPr>
                <w:sz w:val="20"/>
                <w:szCs w:val="20"/>
              </w:rPr>
              <w:t>Johann Tse</w:t>
            </w:r>
          </w:p>
          <w:p w:rsidR="00000000" w:rsidRDefault="00391C87">
            <w:pPr>
              <w:pStyle w:val="a3"/>
              <w:spacing w:before="0" w:beforeAutospacing="0" w:after="0" w:afterAutospacing="0"/>
              <w:rPr>
                <w:sz w:val="20"/>
                <w:szCs w:val="20"/>
              </w:rPr>
            </w:pPr>
            <w:r>
              <w:rPr>
                <w:sz w:val="20"/>
                <w:szCs w:val="20"/>
              </w:rPr>
              <w:t>Chief Executive Officer</w:t>
            </w:r>
          </w:p>
        </w:tc>
      </w:tr>
    </w:tbl>
    <w:p w:rsidR="00000000" w:rsidRDefault="00391C87">
      <w:pPr>
        <w:divId w:val="93848788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938487881"/>
        </w:trPr>
        <w:tc>
          <w:tcPr>
            <w:tcW w:w="5000" w:type="pct"/>
            <w:hideMark/>
          </w:tcPr>
          <w:p w:rsidR="00000000" w:rsidRDefault="00391C87">
            <w:pPr>
              <w:jc w:val="center"/>
              <w:rPr>
                <w:rFonts w:eastAsia="Times New Roman"/>
                <w:sz w:val="20"/>
                <w:szCs w:val="20"/>
              </w:rPr>
            </w:pPr>
            <w:r>
              <w:rPr>
                <w:rFonts w:eastAsia="Times New Roman"/>
                <w:sz w:val="20"/>
                <w:szCs w:val="20"/>
              </w:rPr>
              <w:t>9</w:t>
            </w:r>
          </w:p>
        </w:tc>
      </w:tr>
    </w:tbl>
    <w:p w:rsidR="00391C87" w:rsidRDefault="00391C87">
      <w:pPr>
        <w:divId w:val="938487881"/>
        <w:rPr>
          <w:rFonts w:eastAsia="Times New Roman"/>
        </w:rPr>
      </w:pPr>
    </w:p>
    <w:sectPr w:rsidR="00391C8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1C87"/>
    <w:rsid w:val="00391C87"/>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broadcapitalacquisitioncorp.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533">
      <w:marLeft w:val="0"/>
      <w:marRight w:val="0"/>
      <w:marTop w:val="120"/>
      <w:marBottom w:val="0"/>
      <w:divBdr>
        <w:top w:val="none" w:sz="0" w:space="0" w:color="auto"/>
        <w:left w:val="none" w:sz="0" w:space="0" w:color="auto"/>
        <w:bottom w:val="none" w:sz="0" w:space="0" w:color="auto"/>
        <w:right w:val="none" w:sz="0" w:space="0" w:color="auto"/>
      </w:divBdr>
    </w:div>
    <w:div w:id="69154920">
      <w:marLeft w:val="0"/>
      <w:marRight w:val="0"/>
      <w:marTop w:val="0"/>
      <w:marBottom w:val="120"/>
      <w:divBdr>
        <w:top w:val="none" w:sz="0" w:space="0" w:color="auto"/>
        <w:left w:val="none" w:sz="0" w:space="0" w:color="auto"/>
        <w:bottom w:val="single" w:sz="12" w:space="0" w:color="000000"/>
        <w:right w:val="none" w:sz="0" w:space="0" w:color="auto"/>
      </w:divBdr>
    </w:div>
    <w:div w:id="72749691">
      <w:marLeft w:val="0"/>
      <w:marRight w:val="0"/>
      <w:marTop w:val="120"/>
      <w:marBottom w:val="0"/>
      <w:divBdr>
        <w:top w:val="none" w:sz="0" w:space="0" w:color="auto"/>
        <w:left w:val="none" w:sz="0" w:space="0" w:color="auto"/>
        <w:bottom w:val="none" w:sz="0" w:space="0" w:color="auto"/>
        <w:right w:val="none" w:sz="0" w:space="0" w:color="auto"/>
      </w:divBdr>
    </w:div>
    <w:div w:id="72894275">
      <w:marLeft w:val="0"/>
      <w:marRight w:val="0"/>
      <w:marTop w:val="120"/>
      <w:marBottom w:val="0"/>
      <w:divBdr>
        <w:top w:val="none" w:sz="0" w:space="0" w:color="auto"/>
        <w:left w:val="none" w:sz="0" w:space="0" w:color="auto"/>
        <w:bottom w:val="none" w:sz="0" w:space="0" w:color="auto"/>
        <w:right w:val="none" w:sz="0" w:space="0" w:color="auto"/>
      </w:divBdr>
    </w:div>
    <w:div w:id="132407923">
      <w:marLeft w:val="0"/>
      <w:marRight w:val="0"/>
      <w:marTop w:val="0"/>
      <w:marBottom w:val="120"/>
      <w:divBdr>
        <w:top w:val="none" w:sz="0" w:space="0" w:color="auto"/>
        <w:left w:val="none" w:sz="0" w:space="0" w:color="auto"/>
        <w:bottom w:val="single" w:sz="12" w:space="0" w:color="000000"/>
        <w:right w:val="none" w:sz="0" w:space="0" w:color="auto"/>
      </w:divBdr>
    </w:div>
    <w:div w:id="163253140">
      <w:marLeft w:val="0"/>
      <w:marRight w:val="0"/>
      <w:marTop w:val="0"/>
      <w:marBottom w:val="120"/>
      <w:divBdr>
        <w:top w:val="none" w:sz="0" w:space="0" w:color="auto"/>
        <w:left w:val="none" w:sz="0" w:space="0" w:color="auto"/>
        <w:bottom w:val="single" w:sz="12" w:space="0" w:color="000000"/>
        <w:right w:val="none" w:sz="0" w:space="0" w:color="auto"/>
      </w:divBdr>
    </w:div>
    <w:div w:id="168058575">
      <w:marLeft w:val="0"/>
      <w:marRight w:val="0"/>
      <w:marTop w:val="120"/>
      <w:marBottom w:val="0"/>
      <w:divBdr>
        <w:top w:val="none" w:sz="0" w:space="0" w:color="auto"/>
        <w:left w:val="none" w:sz="0" w:space="0" w:color="auto"/>
        <w:bottom w:val="none" w:sz="0" w:space="0" w:color="auto"/>
        <w:right w:val="none" w:sz="0" w:space="0" w:color="auto"/>
      </w:divBdr>
    </w:div>
    <w:div w:id="332533784">
      <w:marLeft w:val="0"/>
      <w:marRight w:val="0"/>
      <w:marTop w:val="120"/>
      <w:marBottom w:val="0"/>
      <w:divBdr>
        <w:top w:val="none" w:sz="0" w:space="0" w:color="auto"/>
        <w:left w:val="none" w:sz="0" w:space="0" w:color="auto"/>
        <w:bottom w:val="none" w:sz="0" w:space="0" w:color="auto"/>
        <w:right w:val="none" w:sz="0" w:space="0" w:color="auto"/>
      </w:divBdr>
    </w:div>
    <w:div w:id="363793631">
      <w:marLeft w:val="0"/>
      <w:marRight w:val="0"/>
      <w:marTop w:val="0"/>
      <w:marBottom w:val="120"/>
      <w:divBdr>
        <w:top w:val="none" w:sz="0" w:space="0" w:color="auto"/>
        <w:left w:val="none" w:sz="0" w:space="0" w:color="auto"/>
        <w:bottom w:val="single" w:sz="12" w:space="0" w:color="000000"/>
        <w:right w:val="none" w:sz="0" w:space="0" w:color="auto"/>
      </w:divBdr>
    </w:div>
    <w:div w:id="424308797">
      <w:marLeft w:val="0"/>
      <w:marRight w:val="0"/>
      <w:marTop w:val="12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99346645">
      <w:marLeft w:val="0"/>
      <w:marRight w:val="0"/>
      <w:marTop w:val="0"/>
      <w:marBottom w:val="0"/>
      <w:divBdr>
        <w:top w:val="none" w:sz="0" w:space="0" w:color="auto"/>
        <w:left w:val="none" w:sz="0" w:space="0" w:color="auto"/>
        <w:bottom w:val="none" w:sz="0" w:space="0" w:color="auto"/>
        <w:right w:val="none" w:sz="0" w:space="0" w:color="auto"/>
      </w:divBdr>
      <w:divsChild>
        <w:div w:id="1605921266">
          <w:marLeft w:val="0"/>
          <w:marRight w:val="0"/>
          <w:marTop w:val="0"/>
          <w:marBottom w:val="0"/>
          <w:divBdr>
            <w:top w:val="single" w:sz="12" w:space="0" w:color="000000"/>
            <w:left w:val="none" w:sz="0" w:space="0" w:color="auto"/>
            <w:bottom w:val="single" w:sz="36" w:space="0" w:color="000000"/>
            <w:right w:val="none" w:sz="0" w:space="0" w:color="auto"/>
          </w:divBdr>
        </w:div>
      </w:divsChild>
    </w:div>
    <w:div w:id="512383070">
      <w:marLeft w:val="0"/>
      <w:marRight w:val="0"/>
      <w:marTop w:val="0"/>
      <w:marBottom w:val="0"/>
      <w:divBdr>
        <w:top w:val="none" w:sz="0" w:space="0" w:color="auto"/>
        <w:left w:val="none" w:sz="0" w:space="0" w:color="auto"/>
        <w:bottom w:val="none" w:sz="0" w:space="0" w:color="auto"/>
        <w:right w:val="none" w:sz="0" w:space="0" w:color="auto"/>
      </w:divBdr>
      <w:divsChild>
        <w:div w:id="602803085">
          <w:marLeft w:val="0"/>
          <w:marRight w:val="0"/>
          <w:marTop w:val="0"/>
          <w:marBottom w:val="0"/>
          <w:divBdr>
            <w:top w:val="single" w:sz="12" w:space="0" w:color="000000"/>
            <w:left w:val="none" w:sz="0" w:space="0" w:color="auto"/>
            <w:bottom w:val="none" w:sz="0" w:space="0" w:color="auto"/>
            <w:right w:val="none" w:sz="0" w:space="0" w:color="auto"/>
          </w:divBdr>
        </w:div>
      </w:divsChild>
    </w:div>
    <w:div w:id="518589435">
      <w:marLeft w:val="0"/>
      <w:marRight w:val="0"/>
      <w:marTop w:val="0"/>
      <w:marBottom w:val="120"/>
      <w:divBdr>
        <w:top w:val="none" w:sz="0" w:space="0" w:color="auto"/>
        <w:left w:val="none" w:sz="0" w:space="0" w:color="auto"/>
        <w:bottom w:val="single" w:sz="12" w:space="0" w:color="000000"/>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sChild>
        <w:div w:id="1113289086">
          <w:marLeft w:val="0"/>
          <w:marRight w:val="0"/>
          <w:marTop w:val="0"/>
          <w:marBottom w:val="0"/>
          <w:divBdr>
            <w:top w:val="single" w:sz="12" w:space="0" w:color="000000"/>
            <w:left w:val="none" w:sz="0" w:space="0" w:color="auto"/>
            <w:bottom w:val="none" w:sz="0" w:space="0" w:color="auto"/>
            <w:right w:val="none" w:sz="0" w:space="0" w:color="auto"/>
          </w:divBdr>
        </w:div>
      </w:divsChild>
    </w:div>
    <w:div w:id="679088546">
      <w:marLeft w:val="0"/>
      <w:marRight w:val="0"/>
      <w:marTop w:val="0"/>
      <w:marBottom w:val="120"/>
      <w:divBdr>
        <w:top w:val="none" w:sz="0" w:space="0" w:color="auto"/>
        <w:left w:val="none" w:sz="0" w:space="0" w:color="auto"/>
        <w:bottom w:val="single" w:sz="12" w:space="0" w:color="000000"/>
        <w:right w:val="none" w:sz="0" w:space="0" w:color="auto"/>
      </w:divBdr>
    </w:div>
    <w:div w:id="686643194">
      <w:marLeft w:val="0"/>
      <w:marRight w:val="0"/>
      <w:marTop w:val="120"/>
      <w:marBottom w:val="0"/>
      <w:divBdr>
        <w:top w:val="none" w:sz="0" w:space="0" w:color="auto"/>
        <w:left w:val="none" w:sz="0" w:space="0" w:color="auto"/>
        <w:bottom w:val="none" w:sz="0" w:space="0" w:color="auto"/>
        <w:right w:val="none" w:sz="0" w:space="0" w:color="auto"/>
      </w:divBdr>
    </w:div>
    <w:div w:id="712653612">
      <w:marLeft w:val="0"/>
      <w:marRight w:val="0"/>
      <w:marTop w:val="0"/>
      <w:marBottom w:val="120"/>
      <w:divBdr>
        <w:top w:val="none" w:sz="0" w:space="0" w:color="auto"/>
        <w:left w:val="none" w:sz="0" w:space="0" w:color="auto"/>
        <w:bottom w:val="single" w:sz="12" w:space="0" w:color="000000"/>
        <w:right w:val="none" w:sz="0" w:space="0" w:color="auto"/>
      </w:divBdr>
    </w:div>
    <w:div w:id="794182770">
      <w:marLeft w:val="0"/>
      <w:marRight w:val="0"/>
      <w:marTop w:val="0"/>
      <w:marBottom w:val="120"/>
      <w:divBdr>
        <w:top w:val="none" w:sz="0" w:space="0" w:color="auto"/>
        <w:left w:val="none" w:sz="0" w:space="0" w:color="auto"/>
        <w:bottom w:val="single" w:sz="12" w:space="0" w:color="000000"/>
        <w:right w:val="none" w:sz="0" w:space="0" w:color="auto"/>
      </w:divBdr>
    </w:div>
    <w:div w:id="809371996">
      <w:marLeft w:val="0"/>
      <w:marRight w:val="0"/>
      <w:marTop w:val="0"/>
      <w:marBottom w:val="120"/>
      <w:divBdr>
        <w:top w:val="none" w:sz="0" w:space="0" w:color="auto"/>
        <w:left w:val="none" w:sz="0" w:space="0" w:color="auto"/>
        <w:bottom w:val="single" w:sz="12" w:space="0" w:color="000000"/>
        <w:right w:val="none" w:sz="0" w:space="0" w:color="auto"/>
      </w:divBdr>
    </w:div>
    <w:div w:id="813105738">
      <w:marLeft w:val="0"/>
      <w:marRight w:val="0"/>
      <w:marTop w:val="120"/>
      <w:marBottom w:val="0"/>
      <w:divBdr>
        <w:top w:val="none" w:sz="0" w:space="0" w:color="auto"/>
        <w:left w:val="none" w:sz="0" w:space="0" w:color="auto"/>
        <w:bottom w:val="none" w:sz="0" w:space="0" w:color="auto"/>
        <w:right w:val="none" w:sz="0" w:space="0" w:color="auto"/>
      </w:divBdr>
    </w:div>
    <w:div w:id="855074673">
      <w:marLeft w:val="0"/>
      <w:marRight w:val="0"/>
      <w:marTop w:val="0"/>
      <w:marBottom w:val="120"/>
      <w:divBdr>
        <w:top w:val="none" w:sz="0" w:space="0" w:color="auto"/>
        <w:left w:val="none" w:sz="0" w:space="0" w:color="auto"/>
        <w:bottom w:val="single" w:sz="12" w:space="0" w:color="000000"/>
        <w:right w:val="none" w:sz="0" w:space="0" w:color="auto"/>
      </w:divBdr>
    </w:div>
    <w:div w:id="862745875">
      <w:marLeft w:val="0"/>
      <w:marRight w:val="0"/>
      <w:marTop w:val="120"/>
      <w:marBottom w:val="0"/>
      <w:divBdr>
        <w:top w:val="none" w:sz="0" w:space="0" w:color="auto"/>
        <w:left w:val="none" w:sz="0" w:space="0" w:color="auto"/>
        <w:bottom w:val="none" w:sz="0" w:space="0" w:color="auto"/>
        <w:right w:val="none" w:sz="0" w:space="0" w:color="auto"/>
      </w:divBdr>
    </w:div>
    <w:div w:id="886258905">
      <w:marLeft w:val="0"/>
      <w:marRight w:val="0"/>
      <w:marTop w:val="120"/>
      <w:marBottom w:val="0"/>
      <w:divBdr>
        <w:top w:val="none" w:sz="0" w:space="0" w:color="auto"/>
        <w:left w:val="none" w:sz="0" w:space="0" w:color="auto"/>
        <w:bottom w:val="none" w:sz="0" w:space="0" w:color="auto"/>
        <w:right w:val="none" w:sz="0" w:space="0" w:color="auto"/>
      </w:divBdr>
    </w:div>
    <w:div w:id="938487881">
      <w:marLeft w:val="0"/>
      <w:marRight w:val="0"/>
      <w:marTop w:val="0"/>
      <w:marBottom w:val="120"/>
      <w:divBdr>
        <w:top w:val="none" w:sz="0" w:space="0" w:color="auto"/>
        <w:left w:val="none" w:sz="0" w:space="0" w:color="auto"/>
        <w:bottom w:val="single" w:sz="12" w:space="0" w:color="000000"/>
        <w:right w:val="none" w:sz="0" w:space="0" w:color="auto"/>
      </w:divBdr>
    </w:div>
    <w:div w:id="970012903">
      <w:marLeft w:val="0"/>
      <w:marRight w:val="0"/>
      <w:marTop w:val="120"/>
      <w:marBottom w:val="0"/>
      <w:divBdr>
        <w:top w:val="none" w:sz="0" w:space="0" w:color="auto"/>
        <w:left w:val="none" w:sz="0" w:space="0" w:color="auto"/>
        <w:bottom w:val="none" w:sz="0" w:space="0" w:color="auto"/>
        <w:right w:val="none" w:sz="0" w:space="0" w:color="auto"/>
      </w:divBdr>
    </w:div>
    <w:div w:id="1027606667">
      <w:marLeft w:val="0"/>
      <w:marRight w:val="0"/>
      <w:marTop w:val="0"/>
      <w:marBottom w:val="120"/>
      <w:divBdr>
        <w:top w:val="none" w:sz="0" w:space="0" w:color="auto"/>
        <w:left w:val="none" w:sz="0" w:space="0" w:color="auto"/>
        <w:bottom w:val="single" w:sz="12" w:space="0" w:color="000000"/>
        <w:right w:val="none" w:sz="0" w:space="0" w:color="auto"/>
      </w:divBdr>
    </w:div>
    <w:div w:id="1165703085">
      <w:marLeft w:val="0"/>
      <w:marRight w:val="0"/>
      <w:marTop w:val="120"/>
      <w:marBottom w:val="0"/>
      <w:divBdr>
        <w:top w:val="none" w:sz="0" w:space="0" w:color="auto"/>
        <w:left w:val="none" w:sz="0" w:space="0" w:color="auto"/>
        <w:bottom w:val="none" w:sz="0" w:space="0" w:color="auto"/>
        <w:right w:val="none" w:sz="0" w:space="0" w:color="auto"/>
      </w:divBdr>
    </w:div>
    <w:div w:id="1176916128">
      <w:marLeft w:val="0"/>
      <w:marRight w:val="0"/>
      <w:marTop w:val="0"/>
      <w:marBottom w:val="120"/>
      <w:divBdr>
        <w:top w:val="none" w:sz="0" w:space="0" w:color="auto"/>
        <w:left w:val="none" w:sz="0" w:space="0" w:color="auto"/>
        <w:bottom w:val="single" w:sz="12" w:space="0" w:color="000000"/>
        <w:right w:val="none" w:sz="0" w:space="0" w:color="auto"/>
      </w:divBdr>
    </w:div>
    <w:div w:id="1226069490">
      <w:marLeft w:val="0"/>
      <w:marRight w:val="0"/>
      <w:marTop w:val="0"/>
      <w:marBottom w:val="120"/>
      <w:divBdr>
        <w:top w:val="none" w:sz="0" w:space="0" w:color="auto"/>
        <w:left w:val="none" w:sz="0" w:space="0" w:color="auto"/>
        <w:bottom w:val="single" w:sz="12" w:space="0" w:color="000000"/>
        <w:right w:val="none" w:sz="0" w:space="0" w:color="auto"/>
      </w:divBdr>
    </w:div>
    <w:div w:id="1237590679">
      <w:marLeft w:val="0"/>
      <w:marRight w:val="0"/>
      <w:marTop w:val="120"/>
      <w:marBottom w:val="0"/>
      <w:divBdr>
        <w:top w:val="none" w:sz="0" w:space="0" w:color="auto"/>
        <w:left w:val="none" w:sz="0" w:space="0" w:color="auto"/>
        <w:bottom w:val="none" w:sz="0" w:space="0" w:color="auto"/>
        <w:right w:val="none" w:sz="0" w:space="0" w:color="auto"/>
      </w:divBdr>
    </w:div>
    <w:div w:id="1270312553">
      <w:marLeft w:val="0"/>
      <w:marRight w:val="0"/>
      <w:marTop w:val="120"/>
      <w:marBottom w:val="0"/>
      <w:divBdr>
        <w:top w:val="none" w:sz="0" w:space="0" w:color="auto"/>
        <w:left w:val="none" w:sz="0" w:space="0" w:color="auto"/>
        <w:bottom w:val="none" w:sz="0" w:space="0" w:color="auto"/>
        <w:right w:val="none" w:sz="0" w:space="0" w:color="auto"/>
      </w:divBdr>
    </w:div>
    <w:div w:id="1289241561">
      <w:marLeft w:val="0"/>
      <w:marRight w:val="0"/>
      <w:marTop w:val="0"/>
      <w:marBottom w:val="120"/>
      <w:divBdr>
        <w:top w:val="none" w:sz="0" w:space="0" w:color="auto"/>
        <w:left w:val="none" w:sz="0" w:space="0" w:color="auto"/>
        <w:bottom w:val="single" w:sz="12" w:space="0" w:color="000000"/>
        <w:right w:val="none" w:sz="0" w:space="0" w:color="auto"/>
      </w:divBdr>
    </w:div>
    <w:div w:id="1297683167">
      <w:marLeft w:val="0"/>
      <w:marRight w:val="0"/>
      <w:marTop w:val="120"/>
      <w:marBottom w:val="0"/>
      <w:divBdr>
        <w:top w:val="none" w:sz="0" w:space="0" w:color="auto"/>
        <w:left w:val="none" w:sz="0" w:space="0" w:color="auto"/>
        <w:bottom w:val="none" w:sz="0" w:space="0" w:color="auto"/>
        <w:right w:val="none" w:sz="0" w:space="0" w:color="auto"/>
      </w:divBdr>
    </w:div>
    <w:div w:id="1333097271">
      <w:marLeft w:val="0"/>
      <w:marRight w:val="0"/>
      <w:marTop w:val="0"/>
      <w:marBottom w:val="0"/>
      <w:divBdr>
        <w:top w:val="none" w:sz="0" w:space="0" w:color="auto"/>
        <w:left w:val="none" w:sz="0" w:space="0" w:color="auto"/>
        <w:bottom w:val="none" w:sz="0" w:space="0" w:color="auto"/>
        <w:right w:val="none" w:sz="0" w:space="0" w:color="auto"/>
      </w:divBdr>
      <w:divsChild>
        <w:div w:id="458958279">
          <w:marLeft w:val="0"/>
          <w:marRight w:val="0"/>
          <w:marTop w:val="0"/>
          <w:marBottom w:val="0"/>
          <w:divBdr>
            <w:top w:val="single" w:sz="12" w:space="0" w:color="000000"/>
            <w:left w:val="none" w:sz="0" w:space="0" w:color="auto"/>
            <w:bottom w:val="none" w:sz="0" w:space="0" w:color="auto"/>
            <w:right w:val="none" w:sz="0" w:space="0" w:color="auto"/>
          </w:divBdr>
        </w:div>
      </w:divsChild>
    </w:div>
    <w:div w:id="1358848645">
      <w:marLeft w:val="0"/>
      <w:marRight w:val="0"/>
      <w:marTop w:val="0"/>
      <w:marBottom w:val="120"/>
      <w:divBdr>
        <w:top w:val="none" w:sz="0" w:space="0" w:color="auto"/>
        <w:left w:val="none" w:sz="0" w:space="0" w:color="auto"/>
        <w:bottom w:val="single" w:sz="12" w:space="0" w:color="000000"/>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single" w:sz="36" w:space="0" w:color="000000"/>
            <w:left w:val="none" w:sz="0" w:space="0" w:color="auto"/>
            <w:bottom w:val="single" w:sz="12" w:space="0" w:color="000000"/>
            <w:right w:val="none" w:sz="0" w:space="0" w:color="auto"/>
          </w:divBdr>
        </w:div>
      </w:divsChild>
    </w:div>
    <w:div w:id="1446391262">
      <w:marLeft w:val="0"/>
      <w:marRight w:val="0"/>
      <w:marTop w:val="120"/>
      <w:marBottom w:val="0"/>
      <w:divBdr>
        <w:top w:val="none" w:sz="0" w:space="0" w:color="auto"/>
        <w:left w:val="none" w:sz="0" w:space="0" w:color="auto"/>
        <w:bottom w:val="none" w:sz="0" w:space="0" w:color="auto"/>
        <w:right w:val="none" w:sz="0" w:space="0" w:color="auto"/>
      </w:divBdr>
    </w:div>
    <w:div w:id="1493714014">
      <w:marLeft w:val="0"/>
      <w:marRight w:val="0"/>
      <w:marTop w:val="120"/>
      <w:marBottom w:val="0"/>
      <w:divBdr>
        <w:top w:val="none" w:sz="0" w:space="0" w:color="auto"/>
        <w:left w:val="none" w:sz="0" w:space="0" w:color="auto"/>
        <w:bottom w:val="none" w:sz="0" w:space="0" w:color="auto"/>
        <w:right w:val="none" w:sz="0" w:space="0" w:color="auto"/>
      </w:divBdr>
    </w:div>
    <w:div w:id="1627542225">
      <w:marLeft w:val="0"/>
      <w:marRight w:val="0"/>
      <w:marTop w:val="0"/>
      <w:marBottom w:val="120"/>
      <w:divBdr>
        <w:top w:val="none" w:sz="0" w:space="0" w:color="auto"/>
        <w:left w:val="none" w:sz="0" w:space="0" w:color="auto"/>
        <w:bottom w:val="single" w:sz="12" w:space="0" w:color="000000"/>
        <w:right w:val="none" w:sz="0" w:space="0" w:color="auto"/>
      </w:divBdr>
    </w:div>
    <w:div w:id="1629316493">
      <w:marLeft w:val="0"/>
      <w:marRight w:val="0"/>
      <w:marTop w:val="0"/>
      <w:marBottom w:val="0"/>
      <w:divBdr>
        <w:top w:val="none" w:sz="0" w:space="0" w:color="auto"/>
        <w:left w:val="none" w:sz="0" w:space="0" w:color="auto"/>
        <w:bottom w:val="none" w:sz="0" w:space="0" w:color="auto"/>
        <w:right w:val="none" w:sz="0" w:space="0" w:color="auto"/>
      </w:divBdr>
      <w:divsChild>
        <w:div w:id="953635181">
          <w:marLeft w:val="0"/>
          <w:marRight w:val="0"/>
          <w:marTop w:val="0"/>
          <w:marBottom w:val="0"/>
          <w:divBdr>
            <w:top w:val="single" w:sz="12" w:space="0" w:color="000000"/>
            <w:left w:val="none" w:sz="0" w:space="0" w:color="auto"/>
            <w:bottom w:val="none" w:sz="0" w:space="0" w:color="auto"/>
            <w:right w:val="none" w:sz="0" w:space="0" w:color="auto"/>
          </w:divBdr>
        </w:div>
      </w:divsChild>
    </w:div>
    <w:div w:id="1671786324">
      <w:marLeft w:val="0"/>
      <w:marRight w:val="0"/>
      <w:marTop w:val="0"/>
      <w:marBottom w:val="120"/>
      <w:divBdr>
        <w:top w:val="none" w:sz="0" w:space="0" w:color="auto"/>
        <w:left w:val="none" w:sz="0" w:space="0" w:color="auto"/>
        <w:bottom w:val="single" w:sz="12" w:space="0" w:color="000000"/>
        <w:right w:val="none" w:sz="0" w:space="0" w:color="auto"/>
      </w:divBdr>
    </w:div>
    <w:div w:id="1685669750">
      <w:marLeft w:val="0"/>
      <w:marRight w:val="0"/>
      <w:marTop w:val="0"/>
      <w:marBottom w:val="0"/>
      <w:divBdr>
        <w:top w:val="none" w:sz="0" w:space="0" w:color="auto"/>
        <w:left w:val="none" w:sz="0" w:space="0" w:color="auto"/>
        <w:bottom w:val="none" w:sz="0" w:space="0" w:color="auto"/>
        <w:right w:val="none" w:sz="0" w:space="0" w:color="auto"/>
      </w:divBdr>
      <w:divsChild>
        <w:div w:id="757143242">
          <w:marLeft w:val="0"/>
          <w:marRight w:val="0"/>
          <w:marTop w:val="0"/>
          <w:marBottom w:val="0"/>
          <w:divBdr>
            <w:top w:val="single" w:sz="12" w:space="0" w:color="000000"/>
            <w:left w:val="none" w:sz="0" w:space="0" w:color="auto"/>
            <w:bottom w:val="none" w:sz="0" w:space="0" w:color="auto"/>
            <w:right w:val="none" w:sz="0" w:space="0" w:color="auto"/>
          </w:divBdr>
        </w:div>
      </w:divsChild>
    </w:div>
    <w:div w:id="1734236327">
      <w:marLeft w:val="0"/>
      <w:marRight w:val="0"/>
      <w:marTop w:val="120"/>
      <w:marBottom w:val="0"/>
      <w:divBdr>
        <w:top w:val="none" w:sz="0" w:space="0" w:color="auto"/>
        <w:left w:val="none" w:sz="0" w:space="0" w:color="auto"/>
        <w:bottom w:val="none" w:sz="0" w:space="0" w:color="auto"/>
        <w:right w:val="none" w:sz="0" w:space="0" w:color="auto"/>
      </w:divBdr>
    </w:div>
    <w:div w:id="1752116976">
      <w:marLeft w:val="0"/>
      <w:marRight w:val="0"/>
      <w:marTop w:val="120"/>
      <w:marBottom w:val="0"/>
      <w:divBdr>
        <w:top w:val="none" w:sz="0" w:space="0" w:color="auto"/>
        <w:left w:val="none" w:sz="0" w:space="0" w:color="auto"/>
        <w:bottom w:val="none" w:sz="0" w:space="0" w:color="auto"/>
        <w:right w:val="none" w:sz="0" w:space="0" w:color="auto"/>
      </w:divBdr>
    </w:div>
    <w:div w:id="1957826440">
      <w:marLeft w:val="0"/>
      <w:marRight w:val="0"/>
      <w:marTop w:val="0"/>
      <w:marBottom w:val="120"/>
      <w:divBdr>
        <w:top w:val="none" w:sz="0" w:space="0" w:color="auto"/>
        <w:left w:val="none" w:sz="0" w:space="0" w:color="auto"/>
        <w:bottom w:val="single" w:sz="12" w:space="0" w:color="000000"/>
        <w:right w:val="none" w:sz="0" w:space="0" w:color="auto"/>
      </w:divBdr>
    </w:div>
    <w:div w:id="2024747287">
      <w:marLeft w:val="0"/>
      <w:marRight w:val="0"/>
      <w:marTop w:val="0"/>
      <w:marBottom w:val="120"/>
      <w:divBdr>
        <w:top w:val="none" w:sz="0" w:space="0" w:color="auto"/>
        <w:left w:val="none" w:sz="0" w:space="0" w:color="auto"/>
        <w:bottom w:val="single" w:sz="12" w:space="0" w:color="000000"/>
        <w:right w:val="none" w:sz="0" w:space="0" w:color="auto"/>
      </w:divBdr>
    </w:div>
    <w:div w:id="2062051168">
      <w:marLeft w:val="0"/>
      <w:marRight w:val="0"/>
      <w:marTop w:val="0"/>
      <w:marBottom w:val="120"/>
      <w:divBdr>
        <w:top w:val="none" w:sz="0" w:space="0" w:color="auto"/>
        <w:left w:val="none" w:sz="0" w:space="0" w:color="auto"/>
        <w:bottom w:val="single" w:sz="12" w:space="0" w:color="000000"/>
        <w:right w:val="none" w:sz="0" w:space="0" w:color="auto"/>
      </w:divBdr>
    </w:div>
    <w:div w:id="2109152499">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Broad%20Capital%20Acquisition%20Corp\form10-q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11446</Words>
  <Characters>65247</Characters>
  <Application>Microsoft Office Word</Application>
  <DocSecurity>0</DocSecurity>
  <Lines>543</Lines>
  <Paragraphs>153</Paragraphs>
  <ScaleCrop>false</ScaleCrop>
  <Company/>
  <LinksUpToDate>false</LinksUpToDate>
  <CharactersWithSpaces>76540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