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DF92" w14:textId="77777777" w:rsidR="00000000" w:rsidRDefault="007F5353">
      <w:pPr>
        <w:divId w:val="790437767"/>
        <w:rPr>
          <w:rFonts w:eastAsia="Times New Roman"/>
          <w:vanish/>
          <w:sz w:val="20"/>
          <w:szCs w:val="20"/>
        </w:rPr>
      </w:pPr>
      <w:r>
        <w:rPr>
          <w:rFonts w:eastAsia="Times New Roman"/>
          <w:vanish/>
          <w:sz w:val="20"/>
          <w:szCs w:val="20"/>
        </w:rPr>
        <w:t xml:space="preserve">0001865120 false --12-31 Q2 0001865120 2022-01-01 2022-06-30 0001865120 </w:t>
      </w:r>
      <w:r>
        <w:rPr>
          <w:rFonts w:eastAsia="Times New Roman"/>
          <w:vanish/>
          <w:sz w:val="20"/>
          <w:szCs w:val="20"/>
        </w:rPr>
        <w:t>BRAC:UnitsEachConsistingOfOneShareOfCommonStockParValue0.000001PerShareAndOneRightToAcquire110OfOneShareOfCommonStockMember 2022-01-01 2022-06-30 0001865120 BRAC:CommonStockIncludedAsPartOfUnitsMember 2022-01-01 2022-06-30 0001865120 BRAC:RightsIncludedAsP</w:t>
      </w:r>
      <w:r>
        <w:rPr>
          <w:rFonts w:eastAsia="Times New Roman"/>
          <w:vanish/>
          <w:sz w:val="20"/>
          <w:szCs w:val="20"/>
        </w:rPr>
        <w:t>artOfUnitsMember 2022-01-01 2022-06-30 0001865120 2022-08-08 0001865120 2022-06-30 0001865120 2021-12-31 0001865120 2022-04-01 2022-06-30 0001865120 2021-04-16 2021-06-30 0001865120 us-gaap:CommonStockMember 2021-12-31 0001865120 us-gaap:AdditionalPaidInCa</w:t>
      </w:r>
      <w:r>
        <w:rPr>
          <w:rFonts w:eastAsia="Times New Roman"/>
          <w:vanish/>
          <w:sz w:val="20"/>
          <w:szCs w:val="20"/>
        </w:rPr>
        <w:t>pitalMember 2021-12-31 0001865120 us-gaap:RetainedEarningsMember 2021-12-31 0001865120 us-gaap:CommonStockMember 2022-03-31 0001865120 us-gaap:AdditionalPaidInCapitalMember 2022-03-31 0001865120 us-gaap:RetainedEarningsMember 2022-03-31 0001865120 2022-03-</w:t>
      </w:r>
      <w:r>
        <w:rPr>
          <w:rFonts w:eastAsia="Times New Roman"/>
          <w:vanish/>
          <w:sz w:val="20"/>
          <w:szCs w:val="20"/>
        </w:rPr>
        <w:t xml:space="preserve">31 0001865120 us-gaap:CommonStockMember 2021-04-15 0001865120 us-gaap:AdditionalPaidInCapitalMember 2021-04-15 0001865120 us-gaap:RetainedEarningsMember 2021-04-15 0001865120 2021-04-15 0001865120 us-gaap:CommonStockMember 2022-01-01 2022-03-31 0001865120 </w:t>
      </w:r>
      <w:r>
        <w:rPr>
          <w:rFonts w:eastAsia="Times New Roman"/>
          <w:vanish/>
          <w:sz w:val="20"/>
          <w:szCs w:val="20"/>
        </w:rPr>
        <w:t>us-gaap:AdditionalPaidInCapitalMember 2022-01-01 2022-03-31 0001865120 us-gaap:RetainedEarningsMember 2022-01-01 2022-03-31 0001865120 2022-01-01 2022-03-31 0001865120 us-gaap:CommonStockMember 2022-04-01 2022-06-30 0001865120 us-gaap:AdditionalPaidInCapit</w:t>
      </w:r>
      <w:r>
        <w:rPr>
          <w:rFonts w:eastAsia="Times New Roman"/>
          <w:vanish/>
          <w:sz w:val="20"/>
          <w:szCs w:val="20"/>
        </w:rPr>
        <w:t>alMember 2022-04-01 2022-06-30 0001865120 us-gaap:RetainedEarningsMember 2022-04-01 2022-06-30 0001865120 us-gaap:CommonStockMember 2021-04-16 2021-06-30 0001865120 us-gaap:AdditionalPaidInCapitalMember 2021-04-16 2021-06-30 0001865120 us-gaap:RetainedEarn</w:t>
      </w:r>
      <w:r>
        <w:rPr>
          <w:rFonts w:eastAsia="Times New Roman"/>
          <w:vanish/>
          <w:sz w:val="20"/>
          <w:szCs w:val="20"/>
        </w:rPr>
        <w:t>ingsMember 2021-04-16 2021-06-30 0001865120 us-gaap:CommonStockMember 2022-06-30 0001865120 us-gaap:AdditionalPaidInCapitalMember 2022-06-30 0001865120 us-gaap:RetainedEarningsMember 2022-06-30 0001865120 us-gaap:CommonStockMember 2021-06-30 0001865120 us-</w:t>
      </w:r>
      <w:r>
        <w:rPr>
          <w:rFonts w:eastAsia="Times New Roman"/>
          <w:vanish/>
          <w:sz w:val="20"/>
          <w:szCs w:val="20"/>
        </w:rPr>
        <w:t>gaap:AdditionalPaidInCapitalMember 2021-06-30 0001865120 us-gaap:RetainedEarningsMember 2021-06-30 0001865120 2021-06-30 0001865120 us-gaap:IPOMember 2022-01-12 2022-01-13 0001865120 us-gaap:IPOMember 2022-01-13 0001865120 us-gaap:OverAllotmentOptionMember</w:t>
      </w:r>
      <w:r>
        <w:rPr>
          <w:rFonts w:eastAsia="Times New Roman"/>
          <w:vanish/>
          <w:sz w:val="20"/>
          <w:szCs w:val="20"/>
        </w:rPr>
        <w:t xml:space="preserve"> 2022-01-12 2022-01-13 0001865120 us-gaap:OverAllotmentOptionMember 2022-02-06 2022-02-10 0001865120 us-gaap:PrivatePlacementMember 2022-02-06 2022-02-10 0001865120 us-gaap:PrivatePlacementMember 2022-02-10 0001865120 BRAC:BroadCapitalLLCMember us-gaap:Ove</w:t>
      </w:r>
      <w:r>
        <w:rPr>
          <w:rFonts w:eastAsia="Times New Roman"/>
          <w:vanish/>
          <w:sz w:val="20"/>
          <w:szCs w:val="20"/>
        </w:rPr>
        <w:t>rAllotmentOptionMember 2022-02-06 2022-02-10 0001865120 2022-02-06 2022-02-10 0001865120 2022-01-12 2022-01-13 0001865120 2022-01-13 0001865120 BRAC:PostBusinessCombinationMember 2022-01-12 2022-01-13 0001865120 BRAC:TrustAccountMember 2022-01-13 000186512</w:t>
      </w:r>
      <w:r>
        <w:rPr>
          <w:rFonts w:eastAsia="Times New Roman"/>
          <w:vanish/>
          <w:sz w:val="20"/>
          <w:szCs w:val="20"/>
        </w:rPr>
        <w:t>0 BRAC:TrustAccountMember 2022-01-12 2022-01-13 0001865120 2022-01-18 2022-01-19 0001865120 us-gaap:PrivatePlacementMember 2022-01-12 2022-01-13 0001865120 us-gaap:PrivatePlacementMember 2022-01-13 0001865120 BRAC:BroadCapitalLLCMember us-gaap:OverAllotmen</w:t>
      </w:r>
      <w:r>
        <w:rPr>
          <w:rFonts w:eastAsia="Times New Roman"/>
          <w:vanish/>
          <w:sz w:val="20"/>
          <w:szCs w:val="20"/>
        </w:rPr>
        <w:t>tOptionMember 2022-02-10 0001865120 BRAC:SponsorMember 2021-05-06 2021-05-07 0001865120 BRAC:SponsorMember 2021-05-07 0001865120 BRAC:SponsorMember 2021-05-24 2021-05-25 0001865120 BRAC:FourIndependentDirectorsMember 2021-05-24 2021-05-25 0001865120 2022-0</w:t>
      </w:r>
      <w:r>
        <w:rPr>
          <w:rFonts w:eastAsia="Times New Roman"/>
          <w:vanish/>
          <w:sz w:val="20"/>
          <w:szCs w:val="20"/>
        </w:rPr>
        <w:t>2-07 2022-02-10 0001865120 BRAC:InsiderSharesMember 2022-06-30 0001865120 BRAC:SponsorMember 2021-04-16 0001865120 BRAC:SponsorMember 2022-06-30 0001865120 BRAC:SponsorMember 2022-01-18 2022-01-19 0001865120 BRAC:SponsorMember 2022-01-01 2022-06-30 0001865</w:t>
      </w:r>
      <w:r>
        <w:rPr>
          <w:rFonts w:eastAsia="Times New Roman"/>
          <w:vanish/>
          <w:sz w:val="20"/>
          <w:szCs w:val="20"/>
        </w:rPr>
        <w:t>120 BRAC:AdministrativeSupportAgreementMember 2022-01-01 2022-06-30 0001865120 BRAC:AdministrativeSupportAgreementMember 2021-04-16 2022-06-30 0001865120 BRAC:UnderwritingAgreementMember 2022-02-09 0001865120 BRAC:UnderwritingAgreementMember 2022-02-07 202</w:t>
      </w:r>
      <w:r>
        <w:rPr>
          <w:rFonts w:eastAsia="Times New Roman"/>
          <w:vanish/>
          <w:sz w:val="20"/>
          <w:szCs w:val="20"/>
        </w:rPr>
        <w:t xml:space="preserve">2-02-09 0001865120 us-gaap:OverAllotmentOptionMember 2022-02-10 iso4217:USD xbrli:shares iso4217:USD xbrli:shares xbrli:pure </w:t>
      </w:r>
    </w:p>
    <w:p w14:paraId="4C9FE6A3" w14:textId="77777777" w:rsidR="00000000" w:rsidRDefault="007F5353">
      <w:pPr>
        <w:pStyle w:val="a3"/>
        <w:spacing w:before="0" w:beforeAutospacing="0" w:after="0" w:afterAutospacing="0"/>
        <w:jc w:val="center"/>
        <w:rPr>
          <w:sz w:val="20"/>
          <w:szCs w:val="20"/>
        </w:rPr>
      </w:pPr>
      <w:r>
        <w:rPr>
          <w:sz w:val="20"/>
          <w:szCs w:val="20"/>
        </w:rPr>
        <w:t> </w:t>
      </w:r>
    </w:p>
    <w:p w14:paraId="2D5FEC22" w14:textId="77777777" w:rsidR="00000000" w:rsidRDefault="007F5353">
      <w:pPr>
        <w:divId w:val="426538749"/>
        <w:rPr>
          <w:rFonts w:eastAsia="Times New Roman"/>
          <w:sz w:val="2"/>
          <w:szCs w:val="2"/>
        </w:rPr>
      </w:pPr>
      <w:r>
        <w:rPr>
          <w:rFonts w:eastAsia="Times New Roman"/>
          <w:sz w:val="2"/>
          <w:szCs w:val="2"/>
        </w:rPr>
        <w:t> </w:t>
      </w:r>
    </w:p>
    <w:p w14:paraId="53F2A3ED" w14:textId="77777777" w:rsidR="00000000" w:rsidRDefault="007F5353">
      <w:pPr>
        <w:pStyle w:val="a3"/>
        <w:spacing w:before="0" w:beforeAutospacing="0" w:after="0" w:afterAutospacing="0"/>
        <w:jc w:val="center"/>
        <w:rPr>
          <w:sz w:val="20"/>
          <w:szCs w:val="20"/>
        </w:rPr>
      </w:pPr>
      <w:r>
        <w:rPr>
          <w:sz w:val="20"/>
          <w:szCs w:val="20"/>
        </w:rPr>
        <w:t> </w:t>
      </w:r>
    </w:p>
    <w:p w14:paraId="1E879131" w14:textId="77777777" w:rsidR="00000000" w:rsidRDefault="007F5353">
      <w:pPr>
        <w:pStyle w:val="a3"/>
        <w:spacing w:before="0" w:beforeAutospacing="0" w:after="0" w:afterAutospacing="0"/>
        <w:jc w:val="center"/>
        <w:rPr>
          <w:sz w:val="20"/>
          <w:szCs w:val="20"/>
        </w:rPr>
      </w:pPr>
      <w:r>
        <w:rPr>
          <w:b/>
          <w:bCs/>
          <w:sz w:val="36"/>
          <w:szCs w:val="36"/>
        </w:rPr>
        <w:t>UNITED STATES</w:t>
      </w:r>
    </w:p>
    <w:p w14:paraId="51D9D353" w14:textId="77777777" w:rsidR="00000000" w:rsidRDefault="007F5353">
      <w:pPr>
        <w:pStyle w:val="a3"/>
        <w:spacing w:before="0" w:beforeAutospacing="0" w:after="0" w:afterAutospacing="0"/>
        <w:jc w:val="center"/>
        <w:rPr>
          <w:sz w:val="20"/>
          <w:szCs w:val="20"/>
        </w:rPr>
      </w:pPr>
      <w:r>
        <w:rPr>
          <w:b/>
          <w:bCs/>
          <w:sz w:val="36"/>
          <w:szCs w:val="36"/>
        </w:rPr>
        <w:t>SECURITIES AND EXCHANGE COMMISSION</w:t>
      </w:r>
    </w:p>
    <w:p w14:paraId="2C8CFEC8" w14:textId="77777777" w:rsidR="00000000" w:rsidRDefault="007F5353">
      <w:pPr>
        <w:pStyle w:val="a3"/>
        <w:spacing w:before="0" w:beforeAutospacing="0" w:after="0" w:afterAutospacing="0"/>
        <w:jc w:val="center"/>
        <w:rPr>
          <w:sz w:val="20"/>
          <w:szCs w:val="20"/>
        </w:rPr>
      </w:pPr>
      <w:r>
        <w:rPr>
          <w:b/>
          <w:bCs/>
        </w:rPr>
        <w:t>Washington, D.C. 20549</w:t>
      </w:r>
    </w:p>
    <w:p w14:paraId="3816FA26" w14:textId="77777777" w:rsidR="00000000" w:rsidRDefault="007F5353">
      <w:pPr>
        <w:pStyle w:val="a3"/>
        <w:spacing w:before="0" w:beforeAutospacing="0" w:after="0" w:afterAutospacing="0"/>
        <w:jc w:val="center"/>
        <w:rPr>
          <w:sz w:val="20"/>
          <w:szCs w:val="20"/>
        </w:rPr>
      </w:pPr>
      <w:r>
        <w:rPr>
          <w:sz w:val="20"/>
          <w:szCs w:val="20"/>
        </w:rPr>
        <w:t> </w:t>
      </w:r>
    </w:p>
    <w:p w14:paraId="6487662F" w14:textId="77777777" w:rsidR="00000000" w:rsidRDefault="007F5353">
      <w:pPr>
        <w:divId w:val="653485237"/>
        <w:rPr>
          <w:rFonts w:eastAsia="Times New Roman"/>
          <w:sz w:val="2"/>
          <w:szCs w:val="2"/>
        </w:rPr>
      </w:pPr>
      <w:r>
        <w:rPr>
          <w:rFonts w:eastAsia="Times New Roman"/>
          <w:sz w:val="2"/>
          <w:szCs w:val="2"/>
        </w:rPr>
        <w:t> </w:t>
      </w:r>
    </w:p>
    <w:p w14:paraId="396805DF" w14:textId="77777777" w:rsidR="00000000" w:rsidRDefault="007F5353">
      <w:pPr>
        <w:pStyle w:val="a3"/>
        <w:spacing w:before="0" w:beforeAutospacing="0" w:after="0" w:afterAutospacing="0"/>
        <w:jc w:val="center"/>
        <w:rPr>
          <w:sz w:val="20"/>
          <w:szCs w:val="20"/>
        </w:rPr>
      </w:pPr>
      <w:r>
        <w:rPr>
          <w:sz w:val="20"/>
          <w:szCs w:val="20"/>
        </w:rPr>
        <w:t> </w:t>
      </w:r>
    </w:p>
    <w:p w14:paraId="66B60BF5" w14:textId="77777777" w:rsidR="00000000" w:rsidRDefault="007F5353">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14:paraId="70F5AEEF" w14:textId="77777777" w:rsidR="00000000" w:rsidRDefault="007F5353">
      <w:pPr>
        <w:pStyle w:val="a3"/>
        <w:spacing w:before="0" w:beforeAutospacing="0" w:after="0" w:afterAutospacing="0"/>
        <w:jc w:val="center"/>
        <w:rPr>
          <w:sz w:val="20"/>
          <w:szCs w:val="20"/>
        </w:rPr>
      </w:pPr>
      <w:r>
        <w:rPr>
          <w:sz w:val="20"/>
          <w:szCs w:val="20"/>
        </w:rPr>
        <w:t> </w:t>
      </w:r>
    </w:p>
    <w:p w14:paraId="1C450D79" w14:textId="77777777" w:rsidR="00000000" w:rsidRDefault="007F5353">
      <w:pPr>
        <w:divId w:val="287317553"/>
        <w:rPr>
          <w:rFonts w:eastAsia="Times New Roman"/>
          <w:sz w:val="2"/>
          <w:szCs w:val="2"/>
        </w:rPr>
      </w:pPr>
      <w:r>
        <w:rPr>
          <w:rFonts w:eastAsia="Times New Roman"/>
          <w:sz w:val="2"/>
          <w:szCs w:val="2"/>
        </w:rPr>
        <w:t> </w:t>
      </w:r>
    </w:p>
    <w:p w14:paraId="20229E2C"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5814"/>
        <w:gridCol w:w="1246"/>
      </w:tblGrid>
      <w:tr w:rsidR="00000000" w14:paraId="212CCBC1" w14:textId="77777777">
        <w:tc>
          <w:tcPr>
            <w:tcW w:w="750" w:type="pct"/>
            <w:vAlign w:val="bottom"/>
            <w:hideMark/>
          </w:tcPr>
          <w:p w14:paraId="6B1AAED6" w14:textId="77777777" w:rsidR="00000000" w:rsidRDefault="007F5353">
            <w:pPr>
              <w:jc w:val="center"/>
              <w:rPr>
                <w:rFonts w:eastAsia="Times New Roman"/>
                <w:sz w:val="20"/>
                <w:szCs w:val="20"/>
              </w:rPr>
            </w:pPr>
            <w:r>
              <w:rPr>
                <w:rFonts w:eastAsia="Times New Roman"/>
                <w:sz w:val="20"/>
                <w:szCs w:val="20"/>
              </w:rPr>
              <w:t>(Mark One)</w:t>
            </w:r>
          </w:p>
        </w:tc>
        <w:tc>
          <w:tcPr>
            <w:tcW w:w="3500" w:type="pct"/>
            <w:vAlign w:val="bottom"/>
            <w:hideMark/>
          </w:tcPr>
          <w:p w14:paraId="79B23210" w14:textId="77777777" w:rsidR="00000000" w:rsidRDefault="007F5353">
            <w:pPr>
              <w:jc w:val="center"/>
              <w:rPr>
                <w:rFonts w:eastAsia="Times New Roman"/>
                <w:sz w:val="20"/>
                <w:szCs w:val="20"/>
              </w:rPr>
            </w:pPr>
            <w:r>
              <w:rPr>
                <w:rFonts w:eastAsia="Times New Roman"/>
                <w:sz w:val="20"/>
                <w:szCs w:val="20"/>
              </w:rPr>
              <w:t> </w:t>
            </w:r>
          </w:p>
        </w:tc>
        <w:tc>
          <w:tcPr>
            <w:tcW w:w="750" w:type="pct"/>
            <w:vAlign w:val="bottom"/>
            <w:hideMark/>
          </w:tcPr>
          <w:p w14:paraId="4437866D" w14:textId="77777777" w:rsidR="00000000" w:rsidRDefault="007F5353">
            <w:pPr>
              <w:jc w:val="center"/>
              <w:rPr>
                <w:rFonts w:eastAsia="Times New Roman"/>
                <w:sz w:val="20"/>
                <w:szCs w:val="20"/>
              </w:rPr>
            </w:pPr>
            <w:r>
              <w:rPr>
                <w:rFonts w:eastAsia="Times New Roman"/>
                <w:sz w:val="20"/>
                <w:szCs w:val="20"/>
              </w:rPr>
              <w:t> </w:t>
            </w:r>
          </w:p>
        </w:tc>
      </w:tr>
      <w:tr w:rsidR="00000000" w14:paraId="3A5D87C6" w14:textId="77777777">
        <w:tc>
          <w:tcPr>
            <w:tcW w:w="0" w:type="auto"/>
            <w:hideMark/>
          </w:tcPr>
          <w:p w14:paraId="4E9181E1" w14:textId="77777777" w:rsidR="00000000" w:rsidRDefault="007F5353">
            <w:pPr>
              <w:jc w:val="center"/>
              <w:rPr>
                <w:rFonts w:eastAsia="Times New Roman"/>
                <w:sz w:val="20"/>
                <w:szCs w:val="20"/>
              </w:rPr>
            </w:pPr>
            <w:r>
              <w:rPr>
                <w:rFonts w:ascii="Segoe UI Symbol" w:eastAsia="Times New Roman" w:hAnsi="Segoe UI Symbol" w:cs="Segoe UI Symbol"/>
                <w:b/>
                <w:bCs/>
                <w:sz w:val="20"/>
                <w:szCs w:val="20"/>
              </w:rPr>
              <w:t>☒</w:t>
            </w:r>
          </w:p>
        </w:tc>
        <w:tc>
          <w:tcPr>
            <w:tcW w:w="0" w:type="auto"/>
            <w:hideMark/>
          </w:tcPr>
          <w:p w14:paraId="3F307B9D" w14:textId="77777777" w:rsidR="00000000" w:rsidRDefault="007F5353">
            <w:pPr>
              <w:pStyle w:val="a3"/>
              <w:spacing w:before="0" w:beforeAutospacing="0" w:after="0" w:afterAutospacing="0"/>
              <w:jc w:val="center"/>
              <w:rPr>
                <w:sz w:val="20"/>
                <w:szCs w:val="20"/>
              </w:rPr>
            </w:pPr>
            <w:r>
              <w:rPr>
                <w:b/>
                <w:bCs/>
                <w:sz w:val="20"/>
                <w:szCs w:val="20"/>
              </w:rPr>
              <w:t>QUARTERLY RE</w:t>
            </w:r>
            <w:r>
              <w:rPr>
                <w:b/>
                <w:bCs/>
                <w:sz w:val="20"/>
                <w:szCs w:val="20"/>
              </w:rPr>
              <w:t>PORT PURSUANT TO SECTION 13 OR 15(d)</w:t>
            </w:r>
            <w:r>
              <w:rPr>
                <w:b/>
                <w:bCs/>
                <w:sz w:val="20"/>
                <w:szCs w:val="20"/>
              </w:rPr>
              <w:br/>
              <w:t>OF THE SECURITIES EXCHANGE ACT OF 1934</w:t>
            </w:r>
          </w:p>
          <w:p w14:paraId="42031EEF" w14:textId="77777777" w:rsidR="00000000" w:rsidRDefault="007F5353">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 30,</w:t>
            </w:r>
            <w:r>
              <w:rPr>
                <w:b/>
                <w:bCs/>
                <w:sz w:val="20"/>
                <w:szCs w:val="20"/>
              </w:rPr>
              <w:t xml:space="preserve"> </w:t>
            </w:r>
            <w:r>
              <w:rPr>
                <w:b/>
                <w:bCs/>
                <w:sz w:val="20"/>
                <w:szCs w:val="20"/>
              </w:rPr>
              <w:t>202</w:t>
            </w:r>
            <w:r>
              <w:rPr>
                <w:b/>
                <w:bCs/>
                <w:sz w:val="20"/>
                <w:szCs w:val="20"/>
              </w:rPr>
              <w:t>2</w:t>
            </w:r>
            <w:r>
              <w:rPr>
                <w:b/>
                <w:bCs/>
                <w:sz w:val="20"/>
                <w:szCs w:val="20"/>
              </w:rPr>
              <w:t xml:space="preserve"> </w:t>
            </w:r>
          </w:p>
        </w:tc>
        <w:tc>
          <w:tcPr>
            <w:tcW w:w="0" w:type="auto"/>
            <w:hideMark/>
          </w:tcPr>
          <w:p w14:paraId="0CC69C0E" w14:textId="77777777" w:rsidR="00000000" w:rsidRDefault="007F5353">
            <w:pPr>
              <w:jc w:val="center"/>
              <w:rPr>
                <w:rFonts w:eastAsia="Times New Roman"/>
                <w:sz w:val="20"/>
                <w:szCs w:val="20"/>
              </w:rPr>
            </w:pPr>
            <w:r>
              <w:rPr>
                <w:rFonts w:eastAsia="Times New Roman"/>
                <w:sz w:val="20"/>
                <w:szCs w:val="20"/>
              </w:rPr>
              <w:t> </w:t>
            </w:r>
          </w:p>
        </w:tc>
      </w:tr>
    </w:tbl>
    <w:p w14:paraId="312E83BB" w14:textId="77777777" w:rsidR="00000000" w:rsidRDefault="007F5353">
      <w:pPr>
        <w:pStyle w:val="a3"/>
        <w:spacing w:before="0" w:beforeAutospacing="0" w:after="0" w:afterAutospacing="0"/>
        <w:jc w:val="center"/>
        <w:rPr>
          <w:sz w:val="20"/>
          <w:szCs w:val="20"/>
        </w:rPr>
      </w:pPr>
      <w:r>
        <w:rPr>
          <w:b/>
          <w:bCs/>
          <w:sz w:val="20"/>
          <w:szCs w:val="20"/>
        </w:rPr>
        <w:t> </w:t>
      </w:r>
    </w:p>
    <w:p w14:paraId="60807DBD" w14:textId="77777777" w:rsidR="00000000" w:rsidRDefault="007F5353">
      <w:pPr>
        <w:pStyle w:val="a3"/>
        <w:spacing w:before="0" w:beforeAutospacing="0" w:after="0" w:afterAutospacing="0"/>
        <w:jc w:val="center"/>
        <w:rPr>
          <w:sz w:val="20"/>
          <w:szCs w:val="20"/>
        </w:rPr>
      </w:pPr>
      <w:r>
        <w:rPr>
          <w:b/>
          <w:bCs/>
          <w:sz w:val="20"/>
          <w:szCs w:val="20"/>
        </w:rPr>
        <w:t>or</w:t>
      </w:r>
    </w:p>
    <w:p w14:paraId="3C64AF93"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5814"/>
        <w:gridCol w:w="1246"/>
      </w:tblGrid>
      <w:tr w:rsidR="00000000" w14:paraId="1A9099B6" w14:textId="77777777">
        <w:tc>
          <w:tcPr>
            <w:tcW w:w="750" w:type="pct"/>
            <w:hideMark/>
          </w:tcPr>
          <w:p w14:paraId="7DB0742A" w14:textId="77777777" w:rsidR="00000000" w:rsidRDefault="007F5353">
            <w:pPr>
              <w:jc w:val="center"/>
              <w:rPr>
                <w:rFonts w:eastAsia="Times New Roman"/>
                <w:sz w:val="20"/>
                <w:szCs w:val="20"/>
              </w:rPr>
            </w:pPr>
            <w:r>
              <w:rPr>
                <w:rFonts w:ascii="Segoe UI Symbol" w:eastAsia="Times New Roman" w:hAnsi="Segoe UI Symbol" w:cs="Segoe UI Symbol"/>
                <w:b/>
                <w:bCs/>
                <w:sz w:val="20"/>
                <w:szCs w:val="20"/>
              </w:rPr>
              <w:t>☐</w:t>
            </w:r>
          </w:p>
        </w:tc>
        <w:tc>
          <w:tcPr>
            <w:tcW w:w="3500" w:type="pct"/>
            <w:hideMark/>
          </w:tcPr>
          <w:p w14:paraId="75656052" w14:textId="77777777" w:rsidR="00000000" w:rsidRDefault="007F5353">
            <w:pPr>
              <w:pStyle w:val="a3"/>
              <w:spacing w:before="0" w:beforeAutospacing="0" w:after="0" w:afterAutospacing="0"/>
              <w:jc w:val="center"/>
              <w:rPr>
                <w:sz w:val="20"/>
                <w:szCs w:val="20"/>
              </w:rPr>
            </w:pPr>
            <w:r>
              <w:rPr>
                <w:b/>
                <w:bCs/>
                <w:sz w:val="20"/>
                <w:szCs w:val="20"/>
              </w:rPr>
              <w:t>TRANSITION REPORT PURSUANT TO SECTION 13 OR 15(d)</w:t>
            </w:r>
            <w:r>
              <w:rPr>
                <w:b/>
                <w:bCs/>
                <w:sz w:val="20"/>
                <w:szCs w:val="20"/>
              </w:rPr>
              <w:br/>
            </w:r>
            <w:r>
              <w:rPr>
                <w:b/>
                <w:bCs/>
                <w:sz w:val="20"/>
                <w:szCs w:val="20"/>
              </w:rPr>
              <w:t>OF THE SECURITIES EXCHANGE ACT OF 1934</w:t>
            </w:r>
          </w:p>
          <w:p w14:paraId="4D2D2DBD" w14:textId="77777777" w:rsidR="00000000" w:rsidRDefault="007F5353">
            <w:pPr>
              <w:pStyle w:val="a3"/>
              <w:spacing w:before="0" w:beforeAutospacing="0" w:after="0" w:afterAutospacing="0"/>
              <w:jc w:val="center"/>
              <w:rPr>
                <w:sz w:val="20"/>
                <w:szCs w:val="20"/>
              </w:rPr>
            </w:pPr>
            <w:r>
              <w:rPr>
                <w:b/>
                <w:bCs/>
                <w:sz w:val="20"/>
                <w:szCs w:val="20"/>
              </w:rPr>
              <w:t xml:space="preserve">For the transition period from to </w:t>
            </w:r>
          </w:p>
        </w:tc>
        <w:tc>
          <w:tcPr>
            <w:tcW w:w="750" w:type="pct"/>
            <w:hideMark/>
          </w:tcPr>
          <w:p w14:paraId="5940808D" w14:textId="77777777" w:rsidR="00000000" w:rsidRDefault="007F5353">
            <w:pPr>
              <w:jc w:val="center"/>
              <w:rPr>
                <w:rFonts w:eastAsia="Times New Roman"/>
                <w:sz w:val="20"/>
                <w:szCs w:val="20"/>
              </w:rPr>
            </w:pPr>
            <w:r>
              <w:rPr>
                <w:rFonts w:eastAsia="Times New Roman"/>
                <w:sz w:val="20"/>
                <w:szCs w:val="20"/>
              </w:rPr>
              <w:t> </w:t>
            </w:r>
          </w:p>
        </w:tc>
      </w:tr>
    </w:tbl>
    <w:p w14:paraId="38659197" w14:textId="77777777" w:rsidR="00000000" w:rsidRDefault="007F5353">
      <w:pPr>
        <w:pStyle w:val="a3"/>
        <w:spacing w:before="0" w:beforeAutospacing="0" w:after="0" w:afterAutospacing="0"/>
        <w:jc w:val="center"/>
        <w:rPr>
          <w:sz w:val="20"/>
          <w:szCs w:val="20"/>
        </w:rPr>
      </w:pPr>
      <w:r>
        <w:rPr>
          <w:b/>
          <w:bCs/>
          <w:sz w:val="20"/>
          <w:szCs w:val="20"/>
        </w:rPr>
        <w:t> </w:t>
      </w:r>
    </w:p>
    <w:p w14:paraId="2B8F29B8" w14:textId="77777777" w:rsidR="00000000" w:rsidRDefault="007F5353">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shd w:val="clear" w:color="auto" w:fill="FFFFFF"/>
        </w:rPr>
        <w:t>001-4121</w:t>
      </w:r>
      <w:r>
        <w:rPr>
          <w:b/>
          <w:bCs/>
          <w:sz w:val="20"/>
          <w:szCs w:val="20"/>
          <w:shd w:val="clear" w:color="auto" w:fill="FFFFFF"/>
        </w:rPr>
        <w:t>2</w:t>
      </w:r>
    </w:p>
    <w:p w14:paraId="2E4045D8" w14:textId="77777777" w:rsidR="00000000" w:rsidRDefault="007F5353">
      <w:pPr>
        <w:pStyle w:val="a3"/>
        <w:spacing w:before="0" w:beforeAutospacing="0" w:after="0" w:afterAutospacing="0"/>
        <w:jc w:val="center"/>
        <w:rPr>
          <w:sz w:val="20"/>
          <w:szCs w:val="20"/>
        </w:rPr>
      </w:pPr>
      <w:r>
        <w:rPr>
          <w:sz w:val="20"/>
          <w:szCs w:val="20"/>
        </w:rPr>
        <w:t> </w:t>
      </w:r>
    </w:p>
    <w:p w14:paraId="72C44CAD" w14:textId="77777777" w:rsidR="00000000" w:rsidRDefault="007F5353">
      <w:pPr>
        <w:divId w:val="402261054"/>
        <w:rPr>
          <w:rFonts w:eastAsia="Times New Roman"/>
          <w:sz w:val="2"/>
          <w:szCs w:val="2"/>
        </w:rPr>
      </w:pPr>
      <w:r>
        <w:rPr>
          <w:rFonts w:eastAsia="Times New Roman"/>
          <w:sz w:val="2"/>
          <w:szCs w:val="2"/>
        </w:rPr>
        <w:t> </w:t>
      </w:r>
    </w:p>
    <w:p w14:paraId="6FBE878C" w14:textId="77777777" w:rsidR="00000000" w:rsidRDefault="007F5353">
      <w:pPr>
        <w:pStyle w:val="a3"/>
        <w:spacing w:before="0" w:beforeAutospacing="0" w:after="0" w:afterAutospacing="0"/>
        <w:jc w:val="center"/>
        <w:rPr>
          <w:sz w:val="20"/>
          <w:szCs w:val="20"/>
        </w:rPr>
      </w:pPr>
      <w:r>
        <w:rPr>
          <w:sz w:val="20"/>
          <w:szCs w:val="20"/>
        </w:rPr>
        <w:t> </w:t>
      </w:r>
    </w:p>
    <w:p w14:paraId="7B630C0D" w14:textId="77777777" w:rsidR="00000000" w:rsidRDefault="007F5353">
      <w:pPr>
        <w:pStyle w:val="a3"/>
        <w:spacing w:before="0" w:beforeAutospacing="0" w:after="0" w:afterAutospacing="0"/>
        <w:jc w:val="center"/>
        <w:rPr>
          <w:sz w:val="20"/>
          <w:szCs w:val="20"/>
        </w:rPr>
      </w:pPr>
      <w:r>
        <w:rPr>
          <w:noProof/>
          <w:sz w:val="20"/>
          <w:szCs w:val="20"/>
        </w:rPr>
        <w:drawing>
          <wp:inline distT="0" distB="0" distL="0" distR="0" wp14:anchorId="5BF8D7E5" wp14:editId="747F4CC5">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D25B37" w14:textId="77777777" w:rsidR="00000000" w:rsidRDefault="007F5353">
      <w:pPr>
        <w:pStyle w:val="a3"/>
        <w:spacing w:before="0" w:beforeAutospacing="0" w:after="0" w:afterAutospacing="0"/>
        <w:jc w:val="center"/>
        <w:rPr>
          <w:sz w:val="20"/>
          <w:szCs w:val="20"/>
        </w:rPr>
      </w:pPr>
      <w:r>
        <w:rPr>
          <w:sz w:val="20"/>
          <w:szCs w:val="20"/>
        </w:rPr>
        <w:t> </w:t>
      </w:r>
    </w:p>
    <w:p w14:paraId="1E0216A3" w14:textId="77777777" w:rsidR="00000000" w:rsidRDefault="007F5353">
      <w:pPr>
        <w:pStyle w:val="a3"/>
        <w:spacing w:before="0" w:beforeAutospacing="0" w:after="0" w:afterAutospacing="0"/>
        <w:jc w:val="center"/>
        <w:rPr>
          <w:sz w:val="20"/>
          <w:szCs w:val="20"/>
        </w:rPr>
      </w:pPr>
      <w:r>
        <w:rPr>
          <w:b/>
          <w:bCs/>
          <w:sz w:val="36"/>
          <w:szCs w:val="36"/>
          <w:shd w:val="clear" w:color="auto" w:fill="FFFFFF"/>
        </w:rPr>
        <w:t>BROAD CAPITAL ACQUISITION COR</w:t>
      </w:r>
      <w:r>
        <w:rPr>
          <w:b/>
          <w:bCs/>
          <w:sz w:val="36"/>
          <w:szCs w:val="36"/>
          <w:shd w:val="clear" w:color="auto" w:fill="FFFFFF"/>
        </w:rPr>
        <w:t>P</w:t>
      </w:r>
    </w:p>
    <w:p w14:paraId="512B33E5" w14:textId="77777777" w:rsidR="00000000" w:rsidRDefault="007F5353">
      <w:pPr>
        <w:pStyle w:val="a3"/>
        <w:spacing w:before="0" w:beforeAutospacing="0" w:after="0" w:afterAutospacing="0"/>
        <w:jc w:val="center"/>
        <w:rPr>
          <w:sz w:val="20"/>
          <w:szCs w:val="20"/>
        </w:rPr>
      </w:pPr>
      <w:r>
        <w:rPr>
          <w:sz w:val="20"/>
          <w:szCs w:val="20"/>
        </w:rPr>
        <w:t xml:space="preserve">(Exact </w:t>
      </w:r>
      <w:r>
        <w:rPr>
          <w:sz w:val="20"/>
          <w:szCs w:val="20"/>
        </w:rPr>
        <w:t>name of registrant as specified in its charter)</w:t>
      </w:r>
    </w:p>
    <w:p w14:paraId="0172B961" w14:textId="77777777" w:rsidR="00000000" w:rsidRDefault="007F5353">
      <w:pPr>
        <w:pStyle w:val="a3"/>
        <w:spacing w:before="0" w:beforeAutospacing="0" w:after="0" w:afterAutospacing="0"/>
        <w:jc w:val="center"/>
        <w:rPr>
          <w:sz w:val="20"/>
          <w:szCs w:val="20"/>
        </w:rPr>
      </w:pPr>
      <w:r>
        <w:rPr>
          <w:sz w:val="20"/>
          <w:szCs w:val="20"/>
        </w:rPr>
        <w:t> </w:t>
      </w:r>
    </w:p>
    <w:p w14:paraId="293E61E8" w14:textId="77777777" w:rsidR="00000000" w:rsidRDefault="007F5353">
      <w:pPr>
        <w:divId w:val="834421034"/>
        <w:rPr>
          <w:rFonts w:eastAsia="Times New Roman"/>
          <w:sz w:val="2"/>
          <w:szCs w:val="2"/>
        </w:rPr>
      </w:pPr>
      <w:r>
        <w:rPr>
          <w:rFonts w:eastAsia="Times New Roman"/>
          <w:sz w:val="2"/>
          <w:szCs w:val="2"/>
        </w:rPr>
        <w:t> </w:t>
      </w:r>
    </w:p>
    <w:p w14:paraId="593EC671"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7FE55C57" w14:textId="77777777">
        <w:tc>
          <w:tcPr>
            <w:tcW w:w="2450" w:type="pct"/>
            <w:hideMark/>
          </w:tcPr>
          <w:p w14:paraId="584FB521" w14:textId="77777777" w:rsidR="00000000" w:rsidRDefault="007F5353">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vAlign w:val="bottom"/>
            <w:hideMark/>
          </w:tcPr>
          <w:p w14:paraId="04E48D81" w14:textId="77777777" w:rsidR="00000000" w:rsidRDefault="007F5353">
            <w:pPr>
              <w:rPr>
                <w:rFonts w:eastAsia="Times New Roman"/>
                <w:sz w:val="20"/>
                <w:szCs w:val="20"/>
              </w:rPr>
            </w:pPr>
            <w:r>
              <w:rPr>
                <w:rFonts w:eastAsia="Times New Roman"/>
                <w:sz w:val="20"/>
                <w:szCs w:val="20"/>
              </w:rPr>
              <w:t> </w:t>
            </w:r>
          </w:p>
        </w:tc>
        <w:tc>
          <w:tcPr>
            <w:tcW w:w="2450" w:type="pct"/>
            <w:hideMark/>
          </w:tcPr>
          <w:p w14:paraId="4F155186" w14:textId="77777777" w:rsidR="00000000" w:rsidRDefault="007F5353">
            <w:pPr>
              <w:jc w:val="center"/>
              <w:rPr>
                <w:rFonts w:eastAsia="Times New Roman"/>
                <w:sz w:val="20"/>
                <w:szCs w:val="20"/>
              </w:rPr>
            </w:pPr>
            <w:r>
              <w:rPr>
                <w:rFonts w:eastAsia="Times New Roman"/>
                <w:b/>
                <w:bCs/>
                <w:sz w:val="20"/>
                <w:szCs w:val="20"/>
                <w:shd w:val="clear" w:color="auto" w:fill="FFFFFF"/>
              </w:rPr>
              <w:t>86-338296</w:t>
            </w:r>
            <w:r>
              <w:rPr>
                <w:rFonts w:eastAsia="Times New Roman"/>
                <w:b/>
                <w:bCs/>
                <w:sz w:val="20"/>
                <w:szCs w:val="20"/>
                <w:shd w:val="clear" w:color="auto" w:fill="FFFFFF"/>
              </w:rPr>
              <w:t>7</w:t>
            </w:r>
          </w:p>
        </w:tc>
      </w:tr>
      <w:tr w:rsidR="00000000" w14:paraId="5C33214D" w14:textId="77777777">
        <w:tc>
          <w:tcPr>
            <w:tcW w:w="0" w:type="auto"/>
            <w:hideMark/>
          </w:tcPr>
          <w:p w14:paraId="1D146D91" w14:textId="77777777" w:rsidR="00000000" w:rsidRDefault="007F5353">
            <w:pPr>
              <w:pStyle w:val="a3"/>
              <w:spacing w:before="0" w:beforeAutospacing="0" w:after="0" w:afterAutospacing="0"/>
              <w:jc w:val="center"/>
              <w:rPr>
                <w:sz w:val="20"/>
                <w:szCs w:val="20"/>
              </w:rPr>
            </w:pPr>
            <w:r>
              <w:rPr>
                <w:sz w:val="20"/>
                <w:szCs w:val="20"/>
              </w:rPr>
              <w:t>(State or other jurisdiction of</w:t>
            </w:r>
          </w:p>
          <w:p w14:paraId="33BC262C" w14:textId="77777777" w:rsidR="00000000" w:rsidRDefault="007F5353">
            <w:pPr>
              <w:pStyle w:val="a3"/>
              <w:spacing w:before="0" w:beforeAutospacing="0" w:after="0" w:afterAutospacing="0"/>
              <w:jc w:val="center"/>
              <w:rPr>
                <w:sz w:val="20"/>
                <w:szCs w:val="20"/>
              </w:rPr>
            </w:pPr>
            <w:r>
              <w:rPr>
                <w:sz w:val="20"/>
                <w:szCs w:val="20"/>
              </w:rPr>
              <w:t>incorporation or organization)</w:t>
            </w:r>
          </w:p>
        </w:tc>
        <w:tc>
          <w:tcPr>
            <w:tcW w:w="0" w:type="auto"/>
            <w:vAlign w:val="bottom"/>
            <w:hideMark/>
          </w:tcPr>
          <w:p w14:paraId="54113F4C" w14:textId="77777777" w:rsidR="00000000" w:rsidRDefault="007F5353">
            <w:pPr>
              <w:rPr>
                <w:rFonts w:eastAsia="Times New Roman"/>
                <w:sz w:val="20"/>
                <w:szCs w:val="20"/>
              </w:rPr>
            </w:pPr>
            <w:r>
              <w:rPr>
                <w:rFonts w:eastAsia="Times New Roman"/>
                <w:b/>
                <w:bCs/>
                <w:sz w:val="20"/>
                <w:szCs w:val="20"/>
              </w:rPr>
              <w:t> </w:t>
            </w:r>
          </w:p>
        </w:tc>
        <w:tc>
          <w:tcPr>
            <w:tcW w:w="0" w:type="auto"/>
            <w:hideMark/>
          </w:tcPr>
          <w:p w14:paraId="34B6343B" w14:textId="77777777" w:rsidR="00000000" w:rsidRDefault="007F5353">
            <w:pPr>
              <w:pStyle w:val="a3"/>
              <w:spacing w:before="0" w:beforeAutospacing="0" w:after="0" w:afterAutospacing="0"/>
              <w:jc w:val="center"/>
              <w:rPr>
                <w:sz w:val="20"/>
                <w:szCs w:val="20"/>
              </w:rPr>
            </w:pPr>
            <w:r>
              <w:rPr>
                <w:sz w:val="20"/>
                <w:szCs w:val="20"/>
              </w:rPr>
              <w:t>(I.R.S. Employer</w:t>
            </w:r>
          </w:p>
          <w:p w14:paraId="4CFE8B4F" w14:textId="77777777" w:rsidR="00000000" w:rsidRDefault="007F5353">
            <w:pPr>
              <w:pStyle w:val="a3"/>
              <w:spacing w:before="0" w:beforeAutospacing="0" w:after="0" w:afterAutospacing="0"/>
              <w:jc w:val="center"/>
              <w:rPr>
                <w:sz w:val="20"/>
                <w:szCs w:val="20"/>
              </w:rPr>
            </w:pPr>
            <w:r>
              <w:rPr>
                <w:sz w:val="20"/>
                <w:szCs w:val="20"/>
              </w:rPr>
              <w:t>Identification No.)</w:t>
            </w:r>
          </w:p>
        </w:tc>
      </w:tr>
      <w:tr w:rsidR="00000000" w14:paraId="391ECC41" w14:textId="77777777">
        <w:tc>
          <w:tcPr>
            <w:tcW w:w="0" w:type="auto"/>
            <w:vAlign w:val="center"/>
            <w:hideMark/>
          </w:tcPr>
          <w:p w14:paraId="30916B61" w14:textId="77777777" w:rsidR="00000000" w:rsidRDefault="007F5353">
            <w:pPr>
              <w:rPr>
                <w:rFonts w:eastAsia="Times New Roman"/>
                <w:sz w:val="20"/>
                <w:szCs w:val="20"/>
              </w:rPr>
            </w:pPr>
            <w:r>
              <w:rPr>
                <w:rFonts w:eastAsia="Times New Roman"/>
                <w:sz w:val="20"/>
                <w:szCs w:val="20"/>
              </w:rPr>
              <w:t> </w:t>
            </w:r>
          </w:p>
        </w:tc>
        <w:tc>
          <w:tcPr>
            <w:tcW w:w="0" w:type="auto"/>
            <w:vAlign w:val="center"/>
            <w:hideMark/>
          </w:tcPr>
          <w:p w14:paraId="55D12B00" w14:textId="77777777" w:rsidR="00000000" w:rsidRDefault="007F5353">
            <w:pPr>
              <w:rPr>
                <w:rFonts w:eastAsia="Times New Roman"/>
                <w:sz w:val="20"/>
                <w:szCs w:val="20"/>
              </w:rPr>
            </w:pPr>
            <w:r>
              <w:rPr>
                <w:rFonts w:eastAsia="Times New Roman"/>
                <w:sz w:val="20"/>
                <w:szCs w:val="20"/>
              </w:rPr>
              <w:t> </w:t>
            </w:r>
          </w:p>
        </w:tc>
        <w:tc>
          <w:tcPr>
            <w:tcW w:w="0" w:type="auto"/>
            <w:vAlign w:val="center"/>
            <w:hideMark/>
          </w:tcPr>
          <w:p w14:paraId="546B72C5" w14:textId="77777777" w:rsidR="00000000" w:rsidRDefault="007F5353">
            <w:pPr>
              <w:rPr>
                <w:rFonts w:eastAsia="Times New Roman"/>
                <w:sz w:val="20"/>
                <w:szCs w:val="20"/>
              </w:rPr>
            </w:pPr>
            <w:r>
              <w:rPr>
                <w:rFonts w:eastAsia="Times New Roman"/>
                <w:sz w:val="20"/>
                <w:szCs w:val="20"/>
              </w:rPr>
              <w:t> </w:t>
            </w:r>
          </w:p>
        </w:tc>
      </w:tr>
      <w:tr w:rsidR="00000000" w14:paraId="42626C7F" w14:textId="77777777">
        <w:tc>
          <w:tcPr>
            <w:tcW w:w="0" w:type="auto"/>
            <w:hideMark/>
          </w:tcPr>
          <w:p w14:paraId="6D8EA789" w14:textId="77777777" w:rsidR="00000000" w:rsidRDefault="007F5353">
            <w:pPr>
              <w:jc w:val="center"/>
              <w:rPr>
                <w:rFonts w:eastAsia="Times New Roman"/>
                <w:sz w:val="20"/>
                <w:szCs w:val="20"/>
              </w:rPr>
            </w:pPr>
            <w:r>
              <w:rPr>
                <w:rFonts w:eastAsia="Times New Roman"/>
                <w:b/>
                <w:bCs/>
                <w:sz w:val="20"/>
                <w:szCs w:val="20"/>
                <w:shd w:val="clear" w:color="auto" w:fill="FFFFFF"/>
              </w:rPr>
              <w:t>5345 Annabel Lan</w:t>
            </w:r>
            <w:r>
              <w:rPr>
                <w:rFonts w:eastAsia="Times New Roman"/>
                <w:b/>
                <w:bCs/>
                <w:sz w:val="20"/>
                <w:szCs w:val="20"/>
                <w:shd w:val="clear" w:color="auto" w:fill="FFFFFF"/>
              </w:rPr>
              <w:t>e</w:t>
            </w:r>
            <w:r>
              <w:rPr>
                <w:rFonts w:eastAsia="Times New Roman"/>
                <w:b/>
                <w:bCs/>
                <w:sz w:val="20"/>
                <w:szCs w:val="20"/>
                <w:shd w:val="clear" w:color="auto" w:fill="FFFFFF"/>
              </w:rPr>
              <w:t>,</w:t>
            </w:r>
            <w:r>
              <w:rPr>
                <w:rFonts w:eastAsia="Times New Roman"/>
                <w:b/>
                <w:bCs/>
                <w:sz w:val="20"/>
                <w:szCs w:val="20"/>
                <w:shd w:val="clear" w:color="auto" w:fill="FFFFFF"/>
              </w:rPr>
              <w:t xml:space="preserve"> </w:t>
            </w:r>
            <w:r>
              <w:rPr>
                <w:rFonts w:eastAsia="Times New Roman"/>
                <w:b/>
                <w:bCs/>
                <w:sz w:val="20"/>
                <w:szCs w:val="20"/>
                <w:shd w:val="clear" w:color="auto" w:fill="FFFFFF"/>
              </w:rPr>
              <w:t>Plan</w:t>
            </w:r>
            <w:r>
              <w:rPr>
                <w:rFonts w:eastAsia="Times New Roman"/>
                <w:b/>
                <w:bCs/>
                <w:sz w:val="20"/>
                <w:szCs w:val="20"/>
                <w:shd w:val="clear" w:color="auto" w:fill="FFFFFF"/>
              </w:rPr>
              <w:t>o</w:t>
            </w:r>
            <w:r>
              <w:rPr>
                <w:rFonts w:eastAsia="Times New Roman"/>
                <w:b/>
                <w:bCs/>
                <w:sz w:val="20"/>
                <w:szCs w:val="20"/>
                <w:shd w:val="clear" w:color="auto" w:fill="FFFFFF"/>
              </w:rPr>
              <w:t>,</w:t>
            </w:r>
            <w:r>
              <w:rPr>
                <w:rFonts w:eastAsia="Times New Roman"/>
                <w:b/>
                <w:bCs/>
                <w:sz w:val="20"/>
                <w:szCs w:val="20"/>
                <w:shd w:val="clear" w:color="auto" w:fill="FFFFFF"/>
              </w:rPr>
              <w:t xml:space="preserve"> </w:t>
            </w:r>
            <w:r>
              <w:rPr>
                <w:rFonts w:eastAsia="Times New Roman"/>
                <w:b/>
                <w:bCs/>
                <w:sz w:val="20"/>
                <w:szCs w:val="20"/>
                <w:shd w:val="clear" w:color="auto" w:fill="FFFFFF"/>
              </w:rPr>
              <w:t>Texa</w:t>
            </w:r>
            <w:r>
              <w:rPr>
                <w:rFonts w:eastAsia="Times New Roman"/>
                <w:b/>
                <w:bCs/>
                <w:sz w:val="20"/>
                <w:szCs w:val="20"/>
                <w:shd w:val="clear" w:color="auto" w:fill="FFFFFF"/>
              </w:rPr>
              <w:t>s</w:t>
            </w:r>
          </w:p>
        </w:tc>
        <w:tc>
          <w:tcPr>
            <w:tcW w:w="0" w:type="auto"/>
            <w:vAlign w:val="bottom"/>
            <w:hideMark/>
          </w:tcPr>
          <w:p w14:paraId="14BE2F61"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5F2C5269" w14:textId="77777777" w:rsidR="00000000" w:rsidRDefault="007F5353">
            <w:pPr>
              <w:jc w:val="center"/>
              <w:rPr>
                <w:rFonts w:eastAsia="Times New Roman"/>
                <w:sz w:val="20"/>
                <w:szCs w:val="20"/>
              </w:rPr>
            </w:pPr>
            <w:r>
              <w:rPr>
                <w:rFonts w:eastAsia="Times New Roman"/>
                <w:b/>
                <w:bCs/>
                <w:sz w:val="20"/>
                <w:szCs w:val="20"/>
              </w:rPr>
              <w:t>7509</w:t>
            </w:r>
            <w:r>
              <w:rPr>
                <w:rFonts w:eastAsia="Times New Roman"/>
                <w:b/>
                <w:bCs/>
                <w:sz w:val="20"/>
                <w:szCs w:val="20"/>
              </w:rPr>
              <w:t>3</w:t>
            </w:r>
          </w:p>
        </w:tc>
      </w:tr>
      <w:tr w:rsidR="00000000" w14:paraId="57AF8E0E" w14:textId="77777777">
        <w:tc>
          <w:tcPr>
            <w:tcW w:w="0" w:type="auto"/>
            <w:hideMark/>
          </w:tcPr>
          <w:p w14:paraId="54E9229F" w14:textId="77777777" w:rsidR="00000000" w:rsidRDefault="007F5353">
            <w:pPr>
              <w:jc w:val="center"/>
              <w:rPr>
                <w:rFonts w:eastAsia="Times New Roman"/>
                <w:sz w:val="20"/>
                <w:szCs w:val="20"/>
              </w:rPr>
            </w:pPr>
            <w:r>
              <w:rPr>
                <w:rFonts w:eastAsia="Times New Roman"/>
                <w:sz w:val="20"/>
                <w:szCs w:val="20"/>
              </w:rPr>
              <w:t xml:space="preserve">(Address </w:t>
            </w:r>
            <w:r>
              <w:rPr>
                <w:rFonts w:eastAsia="Times New Roman"/>
                <w:sz w:val="20"/>
                <w:szCs w:val="20"/>
              </w:rPr>
              <w:t>of principal executive offices)</w:t>
            </w:r>
          </w:p>
        </w:tc>
        <w:tc>
          <w:tcPr>
            <w:tcW w:w="0" w:type="auto"/>
            <w:vAlign w:val="bottom"/>
            <w:hideMark/>
          </w:tcPr>
          <w:p w14:paraId="0EE2097A" w14:textId="77777777" w:rsidR="00000000" w:rsidRDefault="007F5353">
            <w:pPr>
              <w:rPr>
                <w:rFonts w:eastAsia="Times New Roman"/>
                <w:sz w:val="20"/>
                <w:szCs w:val="20"/>
              </w:rPr>
            </w:pPr>
            <w:r>
              <w:rPr>
                <w:rFonts w:eastAsia="Times New Roman"/>
                <w:sz w:val="20"/>
                <w:szCs w:val="20"/>
              </w:rPr>
              <w:t> </w:t>
            </w:r>
          </w:p>
        </w:tc>
        <w:tc>
          <w:tcPr>
            <w:tcW w:w="0" w:type="auto"/>
            <w:hideMark/>
          </w:tcPr>
          <w:p w14:paraId="10924D63" w14:textId="77777777" w:rsidR="00000000" w:rsidRDefault="007F5353">
            <w:pPr>
              <w:jc w:val="center"/>
              <w:rPr>
                <w:rFonts w:eastAsia="Times New Roman"/>
                <w:sz w:val="20"/>
                <w:szCs w:val="20"/>
              </w:rPr>
            </w:pPr>
            <w:r>
              <w:rPr>
                <w:rFonts w:eastAsia="Times New Roman"/>
                <w:sz w:val="20"/>
                <w:szCs w:val="20"/>
              </w:rPr>
              <w:t>(Zip Code)</w:t>
            </w:r>
          </w:p>
        </w:tc>
      </w:tr>
    </w:tbl>
    <w:p w14:paraId="04E986AE" w14:textId="77777777" w:rsidR="00000000" w:rsidRDefault="007F5353">
      <w:pPr>
        <w:pStyle w:val="a3"/>
        <w:spacing w:before="0" w:beforeAutospacing="0" w:after="0" w:afterAutospacing="0"/>
        <w:jc w:val="center"/>
        <w:rPr>
          <w:sz w:val="20"/>
          <w:szCs w:val="20"/>
        </w:rPr>
      </w:pPr>
      <w:r>
        <w:rPr>
          <w:b/>
          <w:bCs/>
          <w:sz w:val="20"/>
          <w:szCs w:val="20"/>
        </w:rPr>
        <w:t> </w:t>
      </w:r>
    </w:p>
    <w:p w14:paraId="0DE081A7" w14:textId="77777777" w:rsidR="00000000" w:rsidRDefault="007F5353">
      <w:pPr>
        <w:pStyle w:val="a3"/>
        <w:spacing w:before="0" w:beforeAutospacing="0" w:after="0" w:afterAutospacing="0"/>
        <w:jc w:val="center"/>
        <w:rPr>
          <w:sz w:val="20"/>
          <w:szCs w:val="20"/>
        </w:rPr>
      </w:pPr>
      <w:r>
        <w:rPr>
          <w:b/>
          <w:bCs/>
          <w:sz w:val="20"/>
          <w:szCs w:val="20"/>
          <w:shd w:val="clear" w:color="auto" w:fill="FFFFFF"/>
        </w:rPr>
        <w:t>(469</w:t>
      </w:r>
      <w:r>
        <w:rPr>
          <w:b/>
          <w:bCs/>
          <w:sz w:val="20"/>
          <w:szCs w:val="20"/>
          <w:shd w:val="clear" w:color="auto" w:fill="FFFFFF"/>
        </w:rPr>
        <w:t>)</w:t>
      </w:r>
      <w:r>
        <w:rPr>
          <w:b/>
          <w:bCs/>
          <w:sz w:val="20"/>
          <w:szCs w:val="20"/>
          <w:shd w:val="clear" w:color="auto" w:fill="FFFFFF"/>
        </w:rPr>
        <w:t xml:space="preserve"> </w:t>
      </w:r>
      <w:r>
        <w:rPr>
          <w:b/>
          <w:bCs/>
          <w:sz w:val="20"/>
          <w:szCs w:val="20"/>
          <w:shd w:val="clear" w:color="auto" w:fill="FFFFFF"/>
        </w:rPr>
        <w:t>951-308</w:t>
      </w:r>
      <w:r>
        <w:rPr>
          <w:b/>
          <w:bCs/>
          <w:sz w:val="20"/>
          <w:szCs w:val="20"/>
          <w:shd w:val="clear" w:color="auto" w:fill="FFFFFF"/>
        </w:rPr>
        <w:t>8</w:t>
      </w:r>
    </w:p>
    <w:p w14:paraId="78DA9F3C" w14:textId="77777777" w:rsidR="00000000" w:rsidRDefault="007F5353">
      <w:pPr>
        <w:pStyle w:val="a3"/>
        <w:spacing w:before="0" w:beforeAutospacing="0" w:after="0" w:afterAutospacing="0"/>
        <w:jc w:val="center"/>
        <w:rPr>
          <w:sz w:val="20"/>
          <w:szCs w:val="20"/>
        </w:rPr>
      </w:pPr>
      <w:r>
        <w:rPr>
          <w:sz w:val="20"/>
          <w:szCs w:val="20"/>
        </w:rPr>
        <w:t>(Registrant’s telephone number, including area code)</w:t>
      </w:r>
    </w:p>
    <w:p w14:paraId="761BAA25" w14:textId="77777777" w:rsidR="00000000" w:rsidRDefault="007F5353">
      <w:pPr>
        <w:pStyle w:val="a3"/>
        <w:spacing w:before="0" w:beforeAutospacing="0" w:after="0" w:afterAutospacing="0"/>
        <w:jc w:val="center"/>
        <w:rPr>
          <w:sz w:val="20"/>
          <w:szCs w:val="20"/>
        </w:rPr>
      </w:pPr>
      <w:r>
        <w:rPr>
          <w:sz w:val="20"/>
          <w:szCs w:val="20"/>
        </w:rPr>
        <w:t> </w:t>
      </w:r>
    </w:p>
    <w:p w14:paraId="1E5B3645" w14:textId="77777777" w:rsidR="00000000" w:rsidRDefault="007F5353">
      <w:pPr>
        <w:pStyle w:val="a3"/>
        <w:shd w:val="clear" w:color="auto" w:fill="FFFFFF"/>
        <w:spacing w:before="0" w:beforeAutospacing="0" w:after="0" w:afterAutospacing="0"/>
        <w:jc w:val="center"/>
        <w:rPr>
          <w:sz w:val="20"/>
          <w:szCs w:val="20"/>
        </w:rPr>
      </w:pPr>
      <w:r>
        <w:rPr>
          <w:b/>
          <w:bCs/>
          <w:sz w:val="20"/>
          <w:szCs w:val="20"/>
        </w:rPr>
        <w:t>Securities registered pursuant to Section 12(b) of the Act:</w:t>
      </w:r>
    </w:p>
    <w:p w14:paraId="2C3DAD0A" w14:textId="77777777" w:rsidR="00000000" w:rsidRDefault="007F5353">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0"/>
        <w:gridCol w:w="166"/>
        <w:gridCol w:w="1495"/>
        <w:gridCol w:w="166"/>
        <w:gridCol w:w="3489"/>
      </w:tblGrid>
      <w:tr w:rsidR="00000000" w14:paraId="43DD773D" w14:textId="77777777">
        <w:tc>
          <w:tcPr>
            <w:tcW w:w="1800" w:type="pct"/>
            <w:tcBorders>
              <w:bottom w:val="single" w:sz="12" w:space="0" w:color="000000"/>
            </w:tcBorders>
            <w:vAlign w:val="bottom"/>
            <w:hideMark/>
          </w:tcPr>
          <w:p w14:paraId="55242668" w14:textId="77777777" w:rsidR="00000000" w:rsidRDefault="007F5353">
            <w:pPr>
              <w:jc w:val="center"/>
              <w:rPr>
                <w:rFonts w:eastAsia="Times New Roman"/>
                <w:sz w:val="20"/>
                <w:szCs w:val="20"/>
              </w:rPr>
            </w:pPr>
            <w:r>
              <w:rPr>
                <w:rFonts w:eastAsia="Times New Roman"/>
                <w:b/>
                <w:bCs/>
                <w:sz w:val="20"/>
                <w:szCs w:val="20"/>
              </w:rPr>
              <w:t>Title of each class</w:t>
            </w:r>
          </w:p>
        </w:tc>
        <w:tc>
          <w:tcPr>
            <w:tcW w:w="100" w:type="pct"/>
            <w:vAlign w:val="bottom"/>
            <w:hideMark/>
          </w:tcPr>
          <w:p w14:paraId="66E25273" w14:textId="77777777" w:rsidR="00000000" w:rsidRDefault="007F5353">
            <w:pPr>
              <w:jc w:val="cente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14:paraId="1381EA7C" w14:textId="77777777" w:rsidR="00000000" w:rsidRDefault="007F5353">
            <w:pPr>
              <w:jc w:val="center"/>
              <w:rPr>
                <w:rFonts w:eastAsia="Times New Roman"/>
                <w:sz w:val="20"/>
                <w:szCs w:val="20"/>
              </w:rPr>
            </w:pPr>
            <w:r>
              <w:rPr>
                <w:rFonts w:eastAsia="Times New Roman"/>
                <w:b/>
                <w:bCs/>
                <w:sz w:val="20"/>
                <w:szCs w:val="20"/>
              </w:rPr>
              <w:t>Trading Symbol</w:t>
            </w:r>
          </w:p>
        </w:tc>
        <w:tc>
          <w:tcPr>
            <w:tcW w:w="100" w:type="pct"/>
            <w:vAlign w:val="bottom"/>
            <w:hideMark/>
          </w:tcPr>
          <w:p w14:paraId="7A0D4F51" w14:textId="77777777" w:rsidR="00000000" w:rsidRDefault="007F5353">
            <w:pPr>
              <w:jc w:val="center"/>
              <w:rPr>
                <w:rFonts w:eastAsia="Times New Roman"/>
                <w:sz w:val="20"/>
                <w:szCs w:val="20"/>
              </w:rPr>
            </w:pPr>
            <w:r>
              <w:rPr>
                <w:rFonts w:eastAsia="Times New Roman"/>
                <w:sz w:val="20"/>
                <w:szCs w:val="20"/>
              </w:rPr>
              <w:t> </w:t>
            </w:r>
          </w:p>
        </w:tc>
        <w:tc>
          <w:tcPr>
            <w:tcW w:w="2100" w:type="pct"/>
            <w:tcBorders>
              <w:bottom w:val="single" w:sz="12" w:space="0" w:color="000000"/>
            </w:tcBorders>
            <w:vAlign w:val="bottom"/>
            <w:hideMark/>
          </w:tcPr>
          <w:p w14:paraId="6BA8C013" w14:textId="77777777" w:rsidR="00000000" w:rsidRDefault="007F5353">
            <w:pPr>
              <w:jc w:val="center"/>
              <w:rPr>
                <w:rFonts w:eastAsia="Times New Roman"/>
                <w:sz w:val="20"/>
                <w:szCs w:val="20"/>
              </w:rPr>
            </w:pPr>
            <w:r>
              <w:rPr>
                <w:rFonts w:eastAsia="Times New Roman"/>
                <w:b/>
                <w:bCs/>
                <w:sz w:val="20"/>
                <w:szCs w:val="20"/>
              </w:rPr>
              <w:t>Name of each exchange on which regist</w:t>
            </w:r>
            <w:r>
              <w:rPr>
                <w:rFonts w:eastAsia="Times New Roman"/>
                <w:b/>
                <w:bCs/>
                <w:sz w:val="20"/>
                <w:szCs w:val="20"/>
              </w:rPr>
              <w:t>ered</w:t>
            </w:r>
          </w:p>
        </w:tc>
      </w:tr>
      <w:tr w:rsidR="00000000" w14:paraId="5FA6E8F9" w14:textId="77777777">
        <w:tc>
          <w:tcPr>
            <w:tcW w:w="0" w:type="auto"/>
            <w:vAlign w:val="bottom"/>
            <w:hideMark/>
          </w:tcPr>
          <w:p w14:paraId="22342D03" w14:textId="77777777" w:rsidR="00000000" w:rsidRDefault="007F5353">
            <w:pPr>
              <w:jc w:val="both"/>
              <w:rPr>
                <w:rFonts w:eastAsia="Times New Roman"/>
                <w:sz w:val="20"/>
                <w:szCs w:val="20"/>
              </w:rPr>
            </w:pPr>
            <w:r>
              <w:rPr>
                <w:rFonts w:eastAsia="Times New Roman"/>
                <w:sz w:val="20"/>
                <w:szCs w:val="20"/>
              </w:rPr>
              <w:t xml:space="preserve">Units, </w:t>
            </w:r>
            <w:r>
              <w:rPr>
                <w:rFonts w:eastAsia="Times New Roman"/>
                <w:sz w:val="20"/>
                <w:szCs w:val="20"/>
              </w:rPr>
              <w:t>each consisting of one share of common stock, par value $0.000001 per share, and one Right to acquire 1/10 of one share of common stoc</w:t>
            </w:r>
            <w:r>
              <w:rPr>
                <w:rFonts w:eastAsia="Times New Roman"/>
                <w:sz w:val="20"/>
                <w:szCs w:val="20"/>
              </w:rPr>
              <w:t>k</w:t>
            </w:r>
          </w:p>
        </w:tc>
        <w:tc>
          <w:tcPr>
            <w:tcW w:w="0" w:type="auto"/>
            <w:vAlign w:val="bottom"/>
            <w:hideMark/>
          </w:tcPr>
          <w:p w14:paraId="46AF9B5D"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59E81F5E" w14:textId="77777777" w:rsidR="00000000" w:rsidRDefault="007F5353">
            <w:pPr>
              <w:jc w:val="center"/>
              <w:rPr>
                <w:rFonts w:eastAsia="Times New Roman"/>
                <w:sz w:val="20"/>
                <w:szCs w:val="20"/>
              </w:rPr>
            </w:pPr>
            <w:r>
              <w:rPr>
                <w:rFonts w:eastAsia="Times New Roman"/>
                <w:sz w:val="20"/>
                <w:szCs w:val="20"/>
              </w:rPr>
              <w:t>BRAC</w:t>
            </w:r>
            <w:r>
              <w:rPr>
                <w:rFonts w:eastAsia="Times New Roman"/>
                <w:sz w:val="20"/>
                <w:szCs w:val="20"/>
              </w:rPr>
              <w:t>U</w:t>
            </w:r>
          </w:p>
        </w:tc>
        <w:tc>
          <w:tcPr>
            <w:tcW w:w="0" w:type="auto"/>
            <w:vAlign w:val="bottom"/>
            <w:hideMark/>
          </w:tcPr>
          <w:p w14:paraId="39083829"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0B5F3CA9" w14:textId="77777777" w:rsidR="00000000" w:rsidRDefault="007F5353">
            <w:pPr>
              <w:jc w:val="center"/>
              <w:rPr>
                <w:rFonts w:eastAsia="Times New Roman"/>
                <w:sz w:val="20"/>
                <w:szCs w:val="20"/>
              </w:rPr>
            </w:pPr>
            <w:r>
              <w:rPr>
                <w:rFonts w:eastAsia="Times New Roman"/>
                <w:sz w:val="20"/>
                <w:szCs w:val="20"/>
              </w:rPr>
              <w:t>The Nasdaq Stock Market LL</w:t>
            </w:r>
            <w:r>
              <w:rPr>
                <w:rFonts w:eastAsia="Times New Roman"/>
                <w:sz w:val="20"/>
                <w:szCs w:val="20"/>
              </w:rPr>
              <w:t>C</w:t>
            </w:r>
          </w:p>
        </w:tc>
      </w:tr>
      <w:tr w:rsidR="00000000" w14:paraId="25373D97" w14:textId="77777777">
        <w:tc>
          <w:tcPr>
            <w:tcW w:w="0" w:type="auto"/>
            <w:vAlign w:val="bottom"/>
            <w:hideMark/>
          </w:tcPr>
          <w:p w14:paraId="21448089" w14:textId="77777777" w:rsidR="00000000" w:rsidRDefault="007F5353">
            <w:pPr>
              <w:jc w:val="both"/>
              <w:rPr>
                <w:rFonts w:eastAsia="Times New Roman"/>
                <w:sz w:val="20"/>
                <w:szCs w:val="20"/>
              </w:rPr>
            </w:pPr>
            <w:r>
              <w:rPr>
                <w:rFonts w:eastAsia="Times New Roman"/>
                <w:sz w:val="20"/>
                <w:szCs w:val="20"/>
              </w:rPr>
              <w:t>common stock included as part of the Unit</w:t>
            </w:r>
            <w:r>
              <w:rPr>
                <w:rFonts w:eastAsia="Times New Roman"/>
                <w:sz w:val="20"/>
                <w:szCs w:val="20"/>
              </w:rPr>
              <w:t>s</w:t>
            </w:r>
          </w:p>
        </w:tc>
        <w:tc>
          <w:tcPr>
            <w:tcW w:w="0" w:type="auto"/>
            <w:vAlign w:val="bottom"/>
            <w:hideMark/>
          </w:tcPr>
          <w:p w14:paraId="5C03C6B5"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17EAFDC6" w14:textId="77777777" w:rsidR="00000000" w:rsidRDefault="007F5353">
            <w:pPr>
              <w:jc w:val="center"/>
              <w:rPr>
                <w:rFonts w:eastAsia="Times New Roman"/>
                <w:sz w:val="20"/>
                <w:szCs w:val="20"/>
              </w:rPr>
            </w:pPr>
            <w:r>
              <w:rPr>
                <w:rFonts w:eastAsia="Times New Roman"/>
                <w:sz w:val="20"/>
                <w:szCs w:val="20"/>
              </w:rPr>
              <w:t>BRA</w:t>
            </w:r>
            <w:r>
              <w:rPr>
                <w:rFonts w:eastAsia="Times New Roman"/>
                <w:sz w:val="20"/>
                <w:szCs w:val="20"/>
              </w:rPr>
              <w:t>C</w:t>
            </w:r>
          </w:p>
        </w:tc>
        <w:tc>
          <w:tcPr>
            <w:tcW w:w="0" w:type="auto"/>
            <w:vAlign w:val="bottom"/>
            <w:hideMark/>
          </w:tcPr>
          <w:p w14:paraId="2D165D9D"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4E120ADA" w14:textId="77777777" w:rsidR="00000000" w:rsidRDefault="007F5353">
            <w:pPr>
              <w:jc w:val="center"/>
              <w:rPr>
                <w:rFonts w:eastAsia="Times New Roman"/>
                <w:sz w:val="20"/>
                <w:szCs w:val="20"/>
              </w:rPr>
            </w:pPr>
            <w:r>
              <w:rPr>
                <w:rFonts w:eastAsia="Times New Roman"/>
                <w:sz w:val="20"/>
                <w:szCs w:val="20"/>
              </w:rPr>
              <w:t>The Nasdaq Stock Market LL</w:t>
            </w:r>
            <w:r>
              <w:rPr>
                <w:rFonts w:eastAsia="Times New Roman"/>
                <w:sz w:val="20"/>
                <w:szCs w:val="20"/>
              </w:rPr>
              <w:t>C</w:t>
            </w:r>
          </w:p>
        </w:tc>
      </w:tr>
      <w:tr w:rsidR="00000000" w14:paraId="4900169E" w14:textId="77777777">
        <w:tc>
          <w:tcPr>
            <w:tcW w:w="0" w:type="auto"/>
            <w:vAlign w:val="bottom"/>
            <w:hideMark/>
          </w:tcPr>
          <w:p w14:paraId="53428F03" w14:textId="77777777" w:rsidR="00000000" w:rsidRDefault="007F5353">
            <w:pPr>
              <w:jc w:val="both"/>
              <w:rPr>
                <w:rFonts w:eastAsia="Times New Roman"/>
                <w:sz w:val="20"/>
                <w:szCs w:val="20"/>
              </w:rPr>
            </w:pPr>
            <w:r>
              <w:rPr>
                <w:rFonts w:eastAsia="Times New Roman"/>
                <w:sz w:val="20"/>
                <w:szCs w:val="20"/>
              </w:rPr>
              <w:t>Rights included as part of the Unit</w:t>
            </w:r>
            <w:r>
              <w:rPr>
                <w:rFonts w:eastAsia="Times New Roman"/>
                <w:sz w:val="20"/>
                <w:szCs w:val="20"/>
              </w:rPr>
              <w:t>s</w:t>
            </w:r>
          </w:p>
        </w:tc>
        <w:tc>
          <w:tcPr>
            <w:tcW w:w="0" w:type="auto"/>
            <w:vAlign w:val="bottom"/>
            <w:hideMark/>
          </w:tcPr>
          <w:p w14:paraId="3B755908"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1FE553D0" w14:textId="77777777" w:rsidR="00000000" w:rsidRDefault="007F5353">
            <w:pPr>
              <w:jc w:val="center"/>
              <w:rPr>
                <w:rFonts w:eastAsia="Times New Roman"/>
                <w:sz w:val="20"/>
                <w:szCs w:val="20"/>
              </w:rPr>
            </w:pPr>
            <w:r>
              <w:rPr>
                <w:rFonts w:eastAsia="Times New Roman"/>
                <w:sz w:val="20"/>
                <w:szCs w:val="20"/>
              </w:rPr>
              <w:t>BRAC</w:t>
            </w:r>
            <w:r>
              <w:rPr>
                <w:rFonts w:eastAsia="Times New Roman"/>
                <w:sz w:val="20"/>
                <w:szCs w:val="20"/>
              </w:rPr>
              <w:t>R</w:t>
            </w:r>
          </w:p>
        </w:tc>
        <w:tc>
          <w:tcPr>
            <w:tcW w:w="0" w:type="auto"/>
            <w:vAlign w:val="bottom"/>
            <w:hideMark/>
          </w:tcPr>
          <w:p w14:paraId="3BCD061D"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43705F2D" w14:textId="77777777" w:rsidR="00000000" w:rsidRDefault="007F5353">
            <w:pPr>
              <w:jc w:val="center"/>
              <w:rPr>
                <w:rFonts w:eastAsia="Times New Roman"/>
                <w:sz w:val="20"/>
                <w:szCs w:val="20"/>
              </w:rPr>
            </w:pPr>
            <w:r>
              <w:rPr>
                <w:rFonts w:eastAsia="Times New Roman"/>
                <w:sz w:val="20"/>
                <w:szCs w:val="20"/>
              </w:rPr>
              <w:t>The Nasdaq Stock Market LL</w:t>
            </w:r>
            <w:r>
              <w:rPr>
                <w:rFonts w:eastAsia="Times New Roman"/>
                <w:sz w:val="20"/>
                <w:szCs w:val="20"/>
              </w:rPr>
              <w:t>C</w:t>
            </w:r>
          </w:p>
        </w:tc>
      </w:tr>
    </w:tbl>
    <w:p w14:paraId="23707A00" w14:textId="77777777" w:rsidR="00000000" w:rsidRDefault="007F5353">
      <w:pPr>
        <w:pStyle w:val="a3"/>
        <w:shd w:val="clear" w:color="auto" w:fill="FFFFFF"/>
        <w:spacing w:before="0" w:beforeAutospacing="0" w:after="0" w:afterAutospacing="0"/>
        <w:jc w:val="center"/>
        <w:rPr>
          <w:sz w:val="20"/>
          <w:szCs w:val="20"/>
        </w:rPr>
      </w:pPr>
      <w:r>
        <w:rPr>
          <w:sz w:val="20"/>
          <w:szCs w:val="20"/>
        </w:rPr>
        <w:t> </w:t>
      </w:r>
    </w:p>
    <w:p w14:paraId="2D051A3B" w14:textId="77777777" w:rsidR="00000000" w:rsidRDefault="007F5353">
      <w:pPr>
        <w:pStyle w:val="a3"/>
        <w:shd w:val="clear" w:color="auto" w:fill="FFFFFF"/>
        <w:spacing w:before="0" w:beforeAutospacing="0" w:after="0" w:afterAutospacing="0"/>
        <w:jc w:val="center"/>
        <w:rPr>
          <w:sz w:val="20"/>
          <w:szCs w:val="20"/>
        </w:rPr>
      </w:pPr>
      <w:r>
        <w:rPr>
          <w:sz w:val="20"/>
          <w:szCs w:val="20"/>
        </w:rPr>
        <w:t>Securities registered pursuant to Section 12(g) of the Act: None</w:t>
      </w:r>
    </w:p>
    <w:p w14:paraId="37CC272B" w14:textId="77777777" w:rsidR="00000000" w:rsidRDefault="007F5353">
      <w:pPr>
        <w:pStyle w:val="a3"/>
        <w:shd w:val="clear" w:color="auto" w:fill="FFFFFF"/>
        <w:spacing w:before="0" w:beforeAutospacing="0" w:after="0" w:afterAutospacing="0"/>
        <w:jc w:val="center"/>
        <w:rPr>
          <w:sz w:val="20"/>
          <w:szCs w:val="20"/>
        </w:rPr>
      </w:pPr>
      <w:r>
        <w:rPr>
          <w:sz w:val="20"/>
          <w:szCs w:val="20"/>
        </w:rPr>
        <w:t> </w:t>
      </w:r>
    </w:p>
    <w:p w14:paraId="2E077F61" w14:textId="77777777" w:rsidR="00000000" w:rsidRDefault="007F5353">
      <w:pPr>
        <w:divId w:val="557126890"/>
        <w:rPr>
          <w:rFonts w:eastAsia="Times New Roman"/>
          <w:sz w:val="2"/>
          <w:szCs w:val="2"/>
        </w:rPr>
      </w:pPr>
      <w:r>
        <w:rPr>
          <w:rFonts w:eastAsia="Times New Roman"/>
          <w:sz w:val="2"/>
          <w:szCs w:val="2"/>
        </w:rPr>
        <w:t> </w:t>
      </w:r>
    </w:p>
    <w:p w14:paraId="70AE6F26" w14:textId="77777777" w:rsidR="00000000" w:rsidRDefault="007F5353">
      <w:pPr>
        <w:pStyle w:val="a3"/>
        <w:shd w:val="clear" w:color="auto" w:fill="FFFFFF"/>
        <w:spacing w:before="0" w:beforeAutospacing="0" w:after="0" w:afterAutospacing="0"/>
        <w:jc w:val="center"/>
        <w:rPr>
          <w:sz w:val="20"/>
          <w:szCs w:val="20"/>
        </w:rPr>
      </w:pPr>
      <w:r>
        <w:rPr>
          <w:sz w:val="20"/>
          <w:szCs w:val="20"/>
        </w:rPr>
        <w:lastRenderedPageBreak/>
        <w:t> </w:t>
      </w:r>
    </w:p>
    <w:p w14:paraId="6EEAE682" w14:textId="77777777" w:rsidR="00000000" w:rsidRDefault="007F5353">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49A0409" w14:textId="77777777" w:rsidR="00000000" w:rsidRDefault="007F5353">
      <w:pPr>
        <w:pStyle w:val="a3"/>
        <w:spacing w:before="0" w:beforeAutospacing="0" w:after="0" w:afterAutospacing="0"/>
        <w:jc w:val="both"/>
        <w:rPr>
          <w:sz w:val="20"/>
          <w:szCs w:val="20"/>
        </w:rPr>
      </w:pPr>
      <w:r>
        <w:rPr>
          <w:sz w:val="20"/>
          <w:szCs w:val="20"/>
        </w:rPr>
        <w:t> </w:t>
      </w:r>
    </w:p>
    <w:p w14:paraId="63999C04" w14:textId="77777777" w:rsidR="00000000" w:rsidRDefault="007F5353">
      <w:pPr>
        <w:pStyle w:val="a3"/>
        <w:spacing w:before="0" w:beforeAutospacing="0" w:after="0" w:afterAutospacing="0"/>
        <w:jc w:val="both"/>
        <w:rPr>
          <w:sz w:val="20"/>
          <w:szCs w:val="20"/>
        </w:rPr>
      </w:pPr>
      <w:r>
        <w:rPr>
          <w:sz w:val="20"/>
          <w:szCs w:val="20"/>
        </w:rPr>
        <w:t>Indicate by check mark whether the registrant has submitted electronically and posted on its corporate Web site, if any, every Interactive Data File required to be</w:t>
      </w:r>
      <w:r>
        <w:rPr>
          <w:sz w:val="20"/>
          <w:szCs w:val="20"/>
        </w:rPr>
        <w:t xml:space="preserve"> submitted and posted pursuant to Rule 405 of Regulation S-T (§232.405 of this chapter) during the preceding 12 months (or for such shorter period that the registrant was required to submit and post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70341FD" w14:textId="77777777" w:rsidR="00000000" w:rsidRDefault="007F5353">
      <w:pPr>
        <w:pStyle w:val="a3"/>
        <w:spacing w:before="0" w:beforeAutospacing="0" w:after="0" w:afterAutospacing="0"/>
        <w:jc w:val="both"/>
        <w:rPr>
          <w:sz w:val="20"/>
          <w:szCs w:val="20"/>
        </w:rPr>
      </w:pPr>
      <w:r>
        <w:rPr>
          <w:sz w:val="20"/>
          <w:szCs w:val="20"/>
        </w:rPr>
        <w:t> </w:t>
      </w:r>
    </w:p>
    <w:p w14:paraId="7307360A" w14:textId="77777777" w:rsidR="00000000" w:rsidRDefault="007F5353">
      <w:pPr>
        <w:pStyle w:val="a3"/>
        <w:spacing w:before="0" w:beforeAutospacing="0" w:after="0" w:afterAutospacing="0"/>
        <w:jc w:val="both"/>
        <w:rPr>
          <w:sz w:val="20"/>
          <w:szCs w:val="20"/>
        </w:rPr>
      </w:pPr>
      <w:r>
        <w:rPr>
          <w:sz w:val="20"/>
          <w:szCs w:val="20"/>
        </w:rPr>
        <w:t xml:space="preserve">Indicate by check mark whether </w:t>
      </w:r>
      <w:r>
        <w:rPr>
          <w:sz w:val="20"/>
          <w:szCs w:val="20"/>
        </w:rPr>
        <w:t>the registrant is a large accelerated filer, an accelerated filer, a non-accelerated filer, or a smaller reporting company. See the definitions of “large accelerated filer,” “accelerated filer,” “non-accelerated filer” and “smaller reporting company” in Ru</w:t>
      </w:r>
      <w:r>
        <w:rPr>
          <w:sz w:val="20"/>
          <w:szCs w:val="20"/>
        </w:rPr>
        <w:t>le 12b-2 of the Exchange Act.</w:t>
      </w:r>
    </w:p>
    <w:p w14:paraId="76B10122"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4706"/>
        <w:gridCol w:w="2880"/>
      </w:tblGrid>
      <w:tr w:rsidR="00000000" w14:paraId="0355D7D9" w14:textId="77777777">
        <w:tc>
          <w:tcPr>
            <w:tcW w:w="0" w:type="auto"/>
            <w:vAlign w:val="bottom"/>
            <w:hideMark/>
          </w:tcPr>
          <w:p w14:paraId="7F857DF1"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3F3D8BD9" w14:textId="77777777" w:rsidR="00000000" w:rsidRDefault="007F5353">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0" w:type="auto"/>
            <w:vAlign w:val="bottom"/>
            <w:hideMark/>
          </w:tcPr>
          <w:p w14:paraId="372AE311" w14:textId="77777777" w:rsidR="00000000" w:rsidRDefault="007F5353">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14:paraId="1E804E81" w14:textId="77777777">
        <w:tc>
          <w:tcPr>
            <w:tcW w:w="720" w:type="dxa"/>
            <w:vAlign w:val="center"/>
            <w:hideMark/>
          </w:tcPr>
          <w:p w14:paraId="0F465D0D" w14:textId="77777777" w:rsidR="00000000" w:rsidRDefault="007F5353">
            <w:pPr>
              <w:rPr>
                <w:rFonts w:eastAsia="Times New Roman"/>
                <w:sz w:val="20"/>
                <w:szCs w:val="20"/>
              </w:rPr>
            </w:pPr>
            <w:r>
              <w:rPr>
                <w:rFonts w:eastAsia="Times New Roman"/>
                <w:sz w:val="20"/>
                <w:szCs w:val="20"/>
              </w:rPr>
              <w:t> </w:t>
            </w:r>
          </w:p>
        </w:tc>
        <w:tc>
          <w:tcPr>
            <w:tcW w:w="0" w:type="auto"/>
            <w:vAlign w:val="center"/>
            <w:hideMark/>
          </w:tcPr>
          <w:p w14:paraId="196C7E90" w14:textId="77777777" w:rsidR="00000000" w:rsidRDefault="007F5353">
            <w:pPr>
              <w:rPr>
                <w:rFonts w:eastAsia="Times New Roman"/>
                <w:sz w:val="20"/>
                <w:szCs w:val="20"/>
              </w:rPr>
            </w:pPr>
            <w:r>
              <w:rPr>
                <w:rFonts w:eastAsia="Times New Roman"/>
                <w:sz w:val="20"/>
                <w:szCs w:val="20"/>
              </w:rPr>
              <w:t> </w:t>
            </w:r>
          </w:p>
        </w:tc>
        <w:tc>
          <w:tcPr>
            <w:tcW w:w="2880" w:type="dxa"/>
            <w:vAlign w:val="center"/>
            <w:hideMark/>
          </w:tcPr>
          <w:p w14:paraId="72400EAF" w14:textId="77777777" w:rsidR="00000000" w:rsidRDefault="007F5353">
            <w:pPr>
              <w:rPr>
                <w:rFonts w:eastAsia="Times New Roman"/>
                <w:sz w:val="20"/>
                <w:szCs w:val="20"/>
              </w:rPr>
            </w:pPr>
            <w:r>
              <w:rPr>
                <w:rFonts w:eastAsia="Times New Roman"/>
                <w:sz w:val="20"/>
                <w:szCs w:val="20"/>
              </w:rPr>
              <w:t> </w:t>
            </w:r>
          </w:p>
        </w:tc>
      </w:tr>
      <w:tr w:rsidR="00000000" w14:paraId="4178D44C" w14:textId="77777777">
        <w:tc>
          <w:tcPr>
            <w:tcW w:w="0" w:type="auto"/>
            <w:vAlign w:val="bottom"/>
            <w:hideMark/>
          </w:tcPr>
          <w:p w14:paraId="3B507950"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194AD2B9" w14:textId="77777777" w:rsidR="00000000" w:rsidRDefault="007F5353">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r>
              <w:rPr>
                <w:rFonts w:eastAsia="Times New Roman"/>
                <w:sz w:val="20"/>
                <w:szCs w:val="20"/>
              </w:rPr>
              <w:t xml:space="preserve"> (Do not check if a smaller reporting company)</w:t>
            </w:r>
          </w:p>
        </w:tc>
        <w:tc>
          <w:tcPr>
            <w:tcW w:w="0" w:type="auto"/>
            <w:vAlign w:val="bottom"/>
            <w:hideMark/>
          </w:tcPr>
          <w:p w14:paraId="6682C2D2" w14:textId="77777777" w:rsidR="00000000" w:rsidRDefault="007F5353">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14:paraId="2D2FEFDC" w14:textId="77777777">
        <w:tc>
          <w:tcPr>
            <w:tcW w:w="0" w:type="auto"/>
            <w:vAlign w:val="bottom"/>
            <w:hideMark/>
          </w:tcPr>
          <w:p w14:paraId="53753190"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51FB45DE"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2FB42659" w14:textId="77777777" w:rsidR="00000000" w:rsidRDefault="007F5353">
            <w:pPr>
              <w:rPr>
                <w:rFonts w:eastAsia="Times New Roman"/>
                <w:sz w:val="20"/>
                <w:szCs w:val="20"/>
              </w:rPr>
            </w:pPr>
            <w:r>
              <w:rPr>
                <w:rFonts w:eastAsia="Times New Roman"/>
                <w:sz w:val="20"/>
                <w:szCs w:val="20"/>
              </w:rPr>
              <w:t> </w:t>
            </w:r>
          </w:p>
        </w:tc>
      </w:tr>
      <w:tr w:rsidR="00000000" w14:paraId="5D45D537" w14:textId="77777777">
        <w:tc>
          <w:tcPr>
            <w:tcW w:w="0" w:type="auto"/>
            <w:vAlign w:val="bottom"/>
            <w:hideMark/>
          </w:tcPr>
          <w:p w14:paraId="2311A85C"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7774984D" w14:textId="77777777" w:rsidR="00000000" w:rsidRDefault="007F5353">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vAlign w:val="bottom"/>
            <w:hideMark/>
          </w:tcPr>
          <w:p w14:paraId="4F03BBBB" w14:textId="77777777" w:rsidR="00000000" w:rsidRDefault="007F5353">
            <w:pPr>
              <w:rPr>
                <w:rFonts w:eastAsia="Times New Roman"/>
                <w:sz w:val="20"/>
                <w:szCs w:val="20"/>
              </w:rPr>
            </w:pPr>
            <w:r>
              <w:rPr>
                <w:rFonts w:eastAsia="Times New Roman"/>
                <w:sz w:val="20"/>
                <w:szCs w:val="20"/>
              </w:rPr>
              <w:t> </w:t>
            </w:r>
          </w:p>
        </w:tc>
      </w:tr>
    </w:tbl>
    <w:p w14:paraId="5B11887A" w14:textId="77777777" w:rsidR="00000000" w:rsidRDefault="007F5353">
      <w:pPr>
        <w:pStyle w:val="a3"/>
        <w:spacing w:before="0" w:beforeAutospacing="0" w:after="0" w:afterAutospacing="0"/>
        <w:jc w:val="both"/>
        <w:rPr>
          <w:sz w:val="20"/>
          <w:szCs w:val="20"/>
        </w:rPr>
      </w:pPr>
      <w:r>
        <w:rPr>
          <w:sz w:val="20"/>
          <w:szCs w:val="20"/>
        </w:rPr>
        <w:t> </w:t>
      </w:r>
    </w:p>
    <w:p w14:paraId="4AADA6EE" w14:textId="77777777" w:rsidR="00000000" w:rsidRDefault="007F5353">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cs="Segoe UI Symbol"/>
          <w:sz w:val="20"/>
          <w:szCs w:val="20"/>
        </w:rPr>
        <w:t>☐</w:t>
      </w:r>
    </w:p>
    <w:p w14:paraId="02E9E6E9" w14:textId="77777777" w:rsidR="00000000" w:rsidRDefault="007F5353">
      <w:pPr>
        <w:pStyle w:val="a3"/>
        <w:spacing w:before="0" w:beforeAutospacing="0" w:after="0" w:afterAutospacing="0"/>
        <w:jc w:val="both"/>
        <w:rPr>
          <w:sz w:val="20"/>
          <w:szCs w:val="20"/>
        </w:rPr>
      </w:pPr>
      <w:r>
        <w:rPr>
          <w:sz w:val="20"/>
          <w:szCs w:val="20"/>
        </w:rPr>
        <w:t> </w:t>
      </w:r>
    </w:p>
    <w:p w14:paraId="624C2214" w14:textId="77777777" w:rsidR="00000000" w:rsidRDefault="007F5353">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Act).</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DC44445" w14:textId="77777777" w:rsidR="00000000" w:rsidRDefault="007F5353">
      <w:pPr>
        <w:pStyle w:val="a3"/>
        <w:spacing w:before="0" w:beforeAutospacing="0" w:after="0" w:afterAutospacing="0"/>
        <w:jc w:val="both"/>
        <w:rPr>
          <w:sz w:val="20"/>
          <w:szCs w:val="20"/>
        </w:rPr>
      </w:pPr>
      <w:r>
        <w:rPr>
          <w:sz w:val="20"/>
          <w:szCs w:val="20"/>
        </w:rPr>
        <w:t> </w:t>
      </w:r>
    </w:p>
    <w:p w14:paraId="0D7BBDDF" w14:textId="77777777" w:rsidR="00000000" w:rsidRDefault="007F5353">
      <w:pPr>
        <w:pStyle w:val="a3"/>
        <w:spacing w:before="0" w:beforeAutospacing="0" w:after="0" w:afterAutospacing="0"/>
        <w:jc w:val="both"/>
        <w:rPr>
          <w:sz w:val="20"/>
          <w:szCs w:val="20"/>
        </w:rPr>
      </w:pPr>
      <w:r>
        <w:rPr>
          <w:sz w:val="20"/>
          <w:szCs w:val="20"/>
        </w:rPr>
        <w:t>As of August 8, 2022, there were</w:t>
      </w:r>
      <w:r>
        <w:rPr>
          <w:sz w:val="20"/>
          <w:szCs w:val="20"/>
        </w:rPr>
        <w:t xml:space="preserve"> </w:t>
      </w:r>
      <w:r>
        <w:rPr>
          <w:sz w:val="20"/>
          <w:szCs w:val="20"/>
        </w:rPr>
        <w:t>11,250,41</w:t>
      </w:r>
      <w:r>
        <w:rPr>
          <w:sz w:val="20"/>
          <w:szCs w:val="20"/>
        </w:rPr>
        <w:t>7</w:t>
      </w:r>
      <w:r>
        <w:rPr>
          <w:sz w:val="20"/>
          <w:szCs w:val="20"/>
        </w:rPr>
        <w:t xml:space="preserve"> shares of common stock, par value $0.000001 per share, of the registrant issued and outstanding.</w:t>
      </w:r>
    </w:p>
    <w:p w14:paraId="5F2FCD55" w14:textId="77777777" w:rsidR="00000000" w:rsidRDefault="007F5353">
      <w:pPr>
        <w:pStyle w:val="a3"/>
        <w:spacing w:before="0" w:beforeAutospacing="0" w:after="0" w:afterAutospacing="0"/>
        <w:jc w:val="center"/>
        <w:rPr>
          <w:sz w:val="20"/>
          <w:szCs w:val="20"/>
        </w:rPr>
      </w:pPr>
      <w:r>
        <w:rPr>
          <w:sz w:val="20"/>
          <w:szCs w:val="20"/>
        </w:rPr>
        <w:t> </w:t>
      </w:r>
    </w:p>
    <w:p w14:paraId="47E50DFF" w14:textId="77777777" w:rsidR="00000000" w:rsidRDefault="007F5353">
      <w:pPr>
        <w:divId w:val="1967007340"/>
        <w:rPr>
          <w:rFonts w:eastAsia="Times New Roman"/>
          <w:sz w:val="2"/>
          <w:szCs w:val="2"/>
        </w:rPr>
      </w:pPr>
      <w:r>
        <w:rPr>
          <w:rFonts w:eastAsia="Times New Roman"/>
          <w:sz w:val="2"/>
          <w:szCs w:val="2"/>
        </w:rPr>
        <w:t> </w:t>
      </w:r>
    </w:p>
    <w:p w14:paraId="3956BA7E"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ABB1587" w14:textId="77777777">
        <w:trPr>
          <w:divId w:val="1833524289"/>
        </w:trPr>
        <w:tc>
          <w:tcPr>
            <w:tcW w:w="5000" w:type="pct"/>
            <w:hideMark/>
          </w:tcPr>
          <w:p w14:paraId="4F3D38DB" w14:textId="77777777" w:rsidR="00000000" w:rsidRDefault="007F535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09D69F81" w14:textId="77777777">
        <w:tc>
          <w:tcPr>
            <w:tcW w:w="5000" w:type="pct"/>
            <w:hideMark/>
          </w:tcPr>
          <w:p w14:paraId="7635D26D" w14:textId="77777777" w:rsidR="00000000" w:rsidRDefault="007F5353">
            <w:pPr>
              <w:jc w:val="center"/>
              <w:rPr>
                <w:rFonts w:eastAsia="Times New Roman"/>
                <w:sz w:val="20"/>
                <w:szCs w:val="20"/>
              </w:rPr>
            </w:pPr>
            <w:r>
              <w:rPr>
                <w:rFonts w:eastAsia="Times New Roman"/>
                <w:sz w:val="20"/>
                <w:szCs w:val="20"/>
              </w:rPr>
              <w:t> </w:t>
            </w:r>
          </w:p>
        </w:tc>
      </w:tr>
    </w:tbl>
    <w:p w14:paraId="09B1CDBE" w14:textId="77777777" w:rsidR="00000000" w:rsidRDefault="007F5353">
      <w:pPr>
        <w:pStyle w:val="a3"/>
        <w:spacing w:before="0" w:beforeAutospacing="0" w:after="0" w:afterAutospacing="0"/>
        <w:jc w:val="center"/>
        <w:rPr>
          <w:sz w:val="20"/>
          <w:szCs w:val="20"/>
        </w:rPr>
      </w:pPr>
      <w:r>
        <w:rPr>
          <w:sz w:val="20"/>
          <w:szCs w:val="20"/>
        </w:rPr>
        <w:t> </w:t>
      </w:r>
    </w:p>
    <w:p w14:paraId="052E9625" w14:textId="77777777" w:rsidR="00000000" w:rsidRDefault="007F5353">
      <w:pPr>
        <w:pStyle w:val="a3"/>
        <w:spacing w:before="0" w:beforeAutospacing="0" w:after="0" w:afterAutospacing="0"/>
        <w:jc w:val="center"/>
        <w:rPr>
          <w:sz w:val="20"/>
          <w:szCs w:val="20"/>
        </w:rPr>
      </w:pPr>
      <w:r>
        <w:rPr>
          <w:b/>
          <w:bCs/>
          <w:sz w:val="20"/>
          <w:szCs w:val="20"/>
          <w:shd w:val="clear" w:color="auto" w:fill="FFFFFF"/>
        </w:rPr>
        <w:t>BROAD CAPITAL ACQUISITION CORP</w:t>
      </w:r>
    </w:p>
    <w:p w14:paraId="6742ABAE" w14:textId="77777777" w:rsidR="00000000" w:rsidRDefault="007F5353">
      <w:pPr>
        <w:pStyle w:val="a3"/>
        <w:spacing w:before="0" w:beforeAutospacing="0" w:after="0" w:afterAutospacing="0"/>
        <w:jc w:val="center"/>
        <w:rPr>
          <w:sz w:val="20"/>
          <w:szCs w:val="20"/>
        </w:rPr>
      </w:pPr>
      <w:r>
        <w:rPr>
          <w:sz w:val="20"/>
          <w:szCs w:val="20"/>
        </w:rPr>
        <w:t> </w:t>
      </w:r>
    </w:p>
    <w:p w14:paraId="03C132CB" w14:textId="77777777" w:rsidR="00000000" w:rsidRDefault="007F5353">
      <w:pPr>
        <w:pStyle w:val="a3"/>
        <w:spacing w:before="0" w:beforeAutospacing="0" w:after="0" w:afterAutospacing="0"/>
        <w:jc w:val="center"/>
        <w:rPr>
          <w:sz w:val="20"/>
          <w:szCs w:val="20"/>
        </w:rPr>
      </w:pPr>
      <w:r>
        <w:rPr>
          <w:b/>
          <w:bCs/>
          <w:sz w:val="20"/>
          <w:szCs w:val="20"/>
        </w:rPr>
        <w:t>FORM 10-Q FOR THE QUARTER ENDED JUNE 30, 2022</w:t>
      </w:r>
    </w:p>
    <w:p w14:paraId="25C63D89" w14:textId="77777777" w:rsidR="00000000" w:rsidRDefault="007F5353">
      <w:pPr>
        <w:pStyle w:val="a3"/>
        <w:spacing w:before="0" w:beforeAutospacing="0" w:after="0" w:afterAutospacing="0"/>
        <w:jc w:val="center"/>
        <w:rPr>
          <w:sz w:val="20"/>
          <w:szCs w:val="20"/>
        </w:rPr>
      </w:pPr>
      <w:r>
        <w:rPr>
          <w:sz w:val="20"/>
          <w:szCs w:val="20"/>
        </w:rPr>
        <w:t> </w:t>
      </w:r>
    </w:p>
    <w:p w14:paraId="4133758E" w14:textId="77777777" w:rsidR="00000000" w:rsidRDefault="007F5353">
      <w:pPr>
        <w:pStyle w:val="a3"/>
        <w:spacing w:before="0" w:beforeAutospacing="0" w:after="0" w:afterAutospacing="0"/>
        <w:jc w:val="center"/>
        <w:rPr>
          <w:sz w:val="20"/>
          <w:szCs w:val="20"/>
        </w:rPr>
      </w:pPr>
      <w:r>
        <w:rPr>
          <w:b/>
          <w:bCs/>
          <w:sz w:val="20"/>
          <w:szCs w:val="20"/>
        </w:rPr>
        <w:t>TABLE OF CONTENTS</w:t>
      </w:r>
    </w:p>
    <w:p w14:paraId="6E3198AF"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14:paraId="6DA94696" w14:textId="77777777">
        <w:tc>
          <w:tcPr>
            <w:tcW w:w="1080" w:type="dxa"/>
            <w:shd w:val="clear" w:color="auto" w:fill="CCEEFF"/>
            <w:vAlign w:val="bottom"/>
            <w:hideMark/>
          </w:tcPr>
          <w:p w14:paraId="7FBB521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8C7AB" w14:textId="77777777" w:rsidR="00000000" w:rsidRDefault="007F5353">
            <w:pPr>
              <w:jc w:val="center"/>
              <w:rPr>
                <w:rFonts w:eastAsia="Times New Roman"/>
                <w:sz w:val="20"/>
                <w:szCs w:val="20"/>
              </w:rPr>
            </w:pPr>
            <w:hyperlink w:anchor="Ha_001" w:history="1">
              <w:r>
                <w:rPr>
                  <w:rStyle w:val="a4"/>
                  <w:rFonts w:eastAsia="Times New Roman"/>
                  <w:sz w:val="20"/>
                  <w:szCs w:val="20"/>
                </w:rPr>
                <w:t>PART I. FINANCIAL INFORMATION</w:t>
              </w:r>
            </w:hyperlink>
          </w:p>
        </w:tc>
        <w:tc>
          <w:tcPr>
            <w:tcW w:w="720" w:type="dxa"/>
            <w:shd w:val="clear" w:color="auto" w:fill="CCEEFF"/>
            <w:vAlign w:val="bottom"/>
            <w:hideMark/>
          </w:tcPr>
          <w:p w14:paraId="1320D573" w14:textId="77777777" w:rsidR="00000000" w:rsidRDefault="007F5353">
            <w:pPr>
              <w:jc w:val="center"/>
              <w:rPr>
                <w:rFonts w:eastAsia="Times New Roman"/>
                <w:sz w:val="20"/>
                <w:szCs w:val="20"/>
              </w:rPr>
            </w:pPr>
            <w:r>
              <w:rPr>
                <w:rFonts w:eastAsia="Times New Roman"/>
                <w:sz w:val="20"/>
                <w:szCs w:val="20"/>
              </w:rPr>
              <w:t> </w:t>
            </w:r>
          </w:p>
        </w:tc>
      </w:tr>
      <w:tr w:rsidR="00000000" w14:paraId="1EB2DE0F" w14:textId="77777777">
        <w:tc>
          <w:tcPr>
            <w:tcW w:w="0" w:type="auto"/>
            <w:shd w:val="clear" w:color="auto" w:fill="FFFFFF"/>
            <w:vAlign w:val="bottom"/>
            <w:hideMark/>
          </w:tcPr>
          <w:p w14:paraId="1205CFF9" w14:textId="77777777" w:rsidR="00000000" w:rsidRDefault="007F5353">
            <w:pPr>
              <w:rPr>
                <w:rFonts w:eastAsia="Times New Roman"/>
                <w:sz w:val="20"/>
                <w:szCs w:val="20"/>
              </w:rPr>
            </w:pPr>
            <w:r>
              <w:rPr>
                <w:rFonts w:eastAsia="Times New Roman"/>
                <w:sz w:val="20"/>
                <w:szCs w:val="20"/>
              </w:rPr>
              <w:t>Item 1</w:t>
            </w:r>
          </w:p>
        </w:tc>
        <w:tc>
          <w:tcPr>
            <w:tcW w:w="0" w:type="auto"/>
            <w:shd w:val="clear" w:color="auto" w:fill="FFFFFF"/>
            <w:vAlign w:val="bottom"/>
            <w:hideMark/>
          </w:tcPr>
          <w:p w14:paraId="04083118" w14:textId="77777777" w:rsidR="00000000" w:rsidRDefault="007F5353">
            <w:pPr>
              <w:jc w:val="both"/>
              <w:rPr>
                <w:rFonts w:eastAsia="Times New Roman"/>
                <w:sz w:val="20"/>
                <w:szCs w:val="20"/>
              </w:rPr>
            </w:pPr>
            <w:hyperlink w:anchor="Ha_002" w:history="1">
              <w:r>
                <w:rPr>
                  <w:rStyle w:val="a4"/>
                  <w:rFonts w:eastAsia="Times New Roman"/>
                  <w:sz w:val="20"/>
                  <w:szCs w:val="20"/>
                </w:rPr>
                <w:t>Financial Statements</w:t>
              </w:r>
            </w:hyperlink>
          </w:p>
        </w:tc>
        <w:tc>
          <w:tcPr>
            <w:tcW w:w="0" w:type="auto"/>
            <w:shd w:val="clear" w:color="auto" w:fill="FFFFFF"/>
            <w:vAlign w:val="bottom"/>
            <w:hideMark/>
          </w:tcPr>
          <w:p w14:paraId="49500A95" w14:textId="77777777" w:rsidR="00000000" w:rsidRDefault="007F5353">
            <w:pPr>
              <w:jc w:val="center"/>
              <w:rPr>
                <w:rFonts w:eastAsia="Times New Roman"/>
                <w:sz w:val="20"/>
                <w:szCs w:val="20"/>
              </w:rPr>
            </w:pPr>
            <w:r>
              <w:rPr>
                <w:rFonts w:eastAsia="Times New Roman"/>
                <w:sz w:val="20"/>
                <w:szCs w:val="20"/>
              </w:rPr>
              <w:t>F-1</w:t>
            </w:r>
          </w:p>
        </w:tc>
      </w:tr>
      <w:tr w:rsidR="00000000" w14:paraId="3B1B098A" w14:textId="77777777">
        <w:tc>
          <w:tcPr>
            <w:tcW w:w="0" w:type="auto"/>
            <w:shd w:val="clear" w:color="auto" w:fill="CCEEFF"/>
            <w:hideMark/>
          </w:tcPr>
          <w:p w14:paraId="4EFD967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center"/>
            <w:hideMark/>
          </w:tcPr>
          <w:p w14:paraId="7181B209" w14:textId="77777777" w:rsidR="00000000" w:rsidRDefault="007F5353">
            <w:pPr>
              <w:jc w:val="both"/>
              <w:rPr>
                <w:rFonts w:eastAsia="Times New Roman"/>
                <w:sz w:val="20"/>
                <w:szCs w:val="20"/>
              </w:rPr>
            </w:pPr>
            <w:hyperlink w:anchor="Ha_003" w:history="1">
              <w:r>
                <w:rPr>
                  <w:rStyle w:val="a4"/>
                  <w:rFonts w:eastAsia="Times New Roman"/>
                  <w:sz w:val="20"/>
                  <w:szCs w:val="20"/>
                </w:rPr>
                <w:t>Balance Sheets June 30, 2022</w:t>
              </w:r>
            </w:hyperlink>
          </w:p>
        </w:tc>
        <w:tc>
          <w:tcPr>
            <w:tcW w:w="0" w:type="auto"/>
            <w:shd w:val="clear" w:color="auto" w:fill="CCEEFF"/>
            <w:vAlign w:val="bottom"/>
            <w:hideMark/>
          </w:tcPr>
          <w:p w14:paraId="1797F191" w14:textId="77777777" w:rsidR="00000000" w:rsidRDefault="007F5353">
            <w:pPr>
              <w:jc w:val="center"/>
              <w:rPr>
                <w:rFonts w:eastAsia="Times New Roman"/>
                <w:sz w:val="20"/>
                <w:szCs w:val="20"/>
              </w:rPr>
            </w:pPr>
            <w:r>
              <w:rPr>
                <w:rFonts w:eastAsia="Times New Roman"/>
                <w:sz w:val="20"/>
                <w:szCs w:val="20"/>
              </w:rPr>
              <w:t>F-1</w:t>
            </w:r>
          </w:p>
        </w:tc>
      </w:tr>
      <w:tr w:rsidR="00000000" w14:paraId="55699162" w14:textId="77777777">
        <w:tc>
          <w:tcPr>
            <w:tcW w:w="0" w:type="auto"/>
            <w:shd w:val="clear" w:color="auto" w:fill="FFFFFF"/>
            <w:hideMark/>
          </w:tcPr>
          <w:p w14:paraId="1749C00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center"/>
            <w:hideMark/>
          </w:tcPr>
          <w:p w14:paraId="0357F482" w14:textId="77777777" w:rsidR="00000000" w:rsidRDefault="007F5353">
            <w:pPr>
              <w:jc w:val="both"/>
              <w:rPr>
                <w:rFonts w:eastAsia="Times New Roman"/>
                <w:sz w:val="20"/>
                <w:szCs w:val="20"/>
              </w:rPr>
            </w:pPr>
            <w:hyperlink w:anchor="Ha_004" w:history="1">
              <w:r>
                <w:rPr>
                  <w:rStyle w:val="a4"/>
                  <w:rFonts w:eastAsia="Times New Roman"/>
                  <w:sz w:val="20"/>
                  <w:szCs w:val="20"/>
                </w:rPr>
                <w:t>Statements of Operations June 30, 2022 (UNAUDITED)</w:t>
              </w:r>
            </w:hyperlink>
          </w:p>
        </w:tc>
        <w:tc>
          <w:tcPr>
            <w:tcW w:w="0" w:type="auto"/>
            <w:shd w:val="clear" w:color="auto" w:fill="FFFFFF"/>
            <w:vAlign w:val="bottom"/>
            <w:hideMark/>
          </w:tcPr>
          <w:p w14:paraId="604BC24B" w14:textId="77777777" w:rsidR="00000000" w:rsidRDefault="007F5353">
            <w:pPr>
              <w:jc w:val="center"/>
              <w:rPr>
                <w:rFonts w:eastAsia="Times New Roman"/>
                <w:sz w:val="20"/>
                <w:szCs w:val="20"/>
              </w:rPr>
            </w:pPr>
            <w:r>
              <w:rPr>
                <w:rFonts w:eastAsia="Times New Roman"/>
                <w:sz w:val="20"/>
                <w:szCs w:val="20"/>
              </w:rPr>
              <w:t>F-2</w:t>
            </w:r>
          </w:p>
        </w:tc>
      </w:tr>
      <w:tr w:rsidR="00000000" w14:paraId="2D26F923" w14:textId="77777777">
        <w:tc>
          <w:tcPr>
            <w:tcW w:w="0" w:type="auto"/>
            <w:shd w:val="clear" w:color="auto" w:fill="CCEEFF"/>
            <w:hideMark/>
          </w:tcPr>
          <w:p w14:paraId="4DFB4A2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center"/>
            <w:hideMark/>
          </w:tcPr>
          <w:p w14:paraId="3C585CB6" w14:textId="77777777" w:rsidR="00000000" w:rsidRDefault="007F5353">
            <w:pPr>
              <w:jc w:val="both"/>
              <w:rPr>
                <w:rFonts w:eastAsia="Times New Roman"/>
                <w:sz w:val="20"/>
                <w:szCs w:val="20"/>
              </w:rPr>
            </w:pPr>
            <w:hyperlink w:anchor="Ha_005" w:history="1">
              <w:r>
                <w:rPr>
                  <w:rStyle w:val="a4"/>
                  <w:rFonts w:eastAsia="Times New Roman"/>
                  <w:sz w:val="20"/>
                  <w:szCs w:val="20"/>
                </w:rPr>
                <w:t>Statements of Changes in Stockholders’ Equity For The Three Months Ended Ju</w:t>
              </w:r>
              <w:r>
                <w:rPr>
                  <w:rStyle w:val="a4"/>
                  <w:rFonts w:eastAsia="Times New Roman"/>
                  <w:sz w:val="20"/>
                  <w:szCs w:val="20"/>
                </w:rPr>
                <w:t>ne 30, 2022 (UNAUDITED)</w:t>
              </w:r>
            </w:hyperlink>
          </w:p>
        </w:tc>
        <w:tc>
          <w:tcPr>
            <w:tcW w:w="0" w:type="auto"/>
            <w:shd w:val="clear" w:color="auto" w:fill="CCEEFF"/>
            <w:vAlign w:val="bottom"/>
            <w:hideMark/>
          </w:tcPr>
          <w:p w14:paraId="24E981D8" w14:textId="77777777" w:rsidR="00000000" w:rsidRDefault="007F5353">
            <w:pPr>
              <w:jc w:val="center"/>
              <w:rPr>
                <w:rFonts w:eastAsia="Times New Roman"/>
                <w:sz w:val="20"/>
                <w:szCs w:val="20"/>
              </w:rPr>
            </w:pPr>
            <w:r>
              <w:rPr>
                <w:rFonts w:eastAsia="Times New Roman"/>
                <w:sz w:val="20"/>
                <w:szCs w:val="20"/>
              </w:rPr>
              <w:t>F-3</w:t>
            </w:r>
          </w:p>
        </w:tc>
      </w:tr>
      <w:tr w:rsidR="00000000" w14:paraId="33F32A74" w14:textId="77777777">
        <w:tc>
          <w:tcPr>
            <w:tcW w:w="0" w:type="auto"/>
            <w:shd w:val="clear" w:color="auto" w:fill="FFFFFF"/>
            <w:hideMark/>
          </w:tcPr>
          <w:p w14:paraId="4B3079F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center"/>
            <w:hideMark/>
          </w:tcPr>
          <w:p w14:paraId="1DC51404" w14:textId="77777777" w:rsidR="00000000" w:rsidRDefault="007F5353">
            <w:pPr>
              <w:jc w:val="both"/>
              <w:rPr>
                <w:rFonts w:eastAsia="Times New Roman"/>
                <w:sz w:val="20"/>
                <w:szCs w:val="20"/>
              </w:rPr>
            </w:pPr>
            <w:hyperlink w:anchor="Ha_006" w:history="1">
              <w:r>
                <w:rPr>
                  <w:rStyle w:val="a4"/>
                  <w:rFonts w:eastAsia="Times New Roman"/>
                  <w:sz w:val="20"/>
                  <w:szCs w:val="20"/>
                </w:rPr>
                <w:t>Statements of Cash Flows For The Three Months Ended June 30, 2022 (UNAUDITED)</w:t>
              </w:r>
            </w:hyperlink>
          </w:p>
        </w:tc>
        <w:tc>
          <w:tcPr>
            <w:tcW w:w="0" w:type="auto"/>
            <w:shd w:val="clear" w:color="auto" w:fill="FFFFFF"/>
            <w:vAlign w:val="bottom"/>
            <w:hideMark/>
          </w:tcPr>
          <w:p w14:paraId="2C9D91E8" w14:textId="77777777" w:rsidR="00000000" w:rsidRDefault="007F5353">
            <w:pPr>
              <w:jc w:val="center"/>
              <w:rPr>
                <w:rFonts w:eastAsia="Times New Roman"/>
                <w:sz w:val="20"/>
                <w:szCs w:val="20"/>
              </w:rPr>
            </w:pPr>
            <w:r>
              <w:rPr>
                <w:rFonts w:eastAsia="Times New Roman"/>
                <w:sz w:val="20"/>
                <w:szCs w:val="20"/>
              </w:rPr>
              <w:t>F-4</w:t>
            </w:r>
          </w:p>
        </w:tc>
      </w:tr>
      <w:tr w:rsidR="00000000" w14:paraId="7E9F4F1F" w14:textId="77777777">
        <w:tc>
          <w:tcPr>
            <w:tcW w:w="0" w:type="auto"/>
            <w:shd w:val="clear" w:color="auto" w:fill="CCEEFF"/>
            <w:hideMark/>
          </w:tcPr>
          <w:p w14:paraId="12B06E5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center"/>
            <w:hideMark/>
          </w:tcPr>
          <w:p w14:paraId="158512E3" w14:textId="77777777" w:rsidR="00000000" w:rsidRDefault="007F5353">
            <w:pPr>
              <w:jc w:val="both"/>
              <w:rPr>
                <w:rFonts w:eastAsia="Times New Roman"/>
                <w:sz w:val="20"/>
                <w:szCs w:val="20"/>
              </w:rPr>
            </w:pPr>
            <w:hyperlink w:anchor="Ha_007" w:history="1">
              <w:r>
                <w:rPr>
                  <w:rStyle w:val="a4"/>
                  <w:rFonts w:eastAsia="Times New Roman"/>
                  <w:sz w:val="20"/>
                  <w:szCs w:val="20"/>
                </w:rPr>
                <w:t>Notes to Consolidated Financial Statements</w:t>
              </w:r>
            </w:hyperlink>
          </w:p>
        </w:tc>
        <w:tc>
          <w:tcPr>
            <w:tcW w:w="0" w:type="auto"/>
            <w:shd w:val="clear" w:color="auto" w:fill="CCEEFF"/>
            <w:vAlign w:val="bottom"/>
            <w:hideMark/>
          </w:tcPr>
          <w:p w14:paraId="2D3252CD" w14:textId="77777777" w:rsidR="00000000" w:rsidRDefault="007F5353">
            <w:pPr>
              <w:jc w:val="center"/>
              <w:rPr>
                <w:rFonts w:eastAsia="Times New Roman"/>
                <w:sz w:val="20"/>
                <w:szCs w:val="20"/>
              </w:rPr>
            </w:pPr>
            <w:r>
              <w:rPr>
                <w:rFonts w:eastAsia="Times New Roman"/>
                <w:sz w:val="20"/>
                <w:szCs w:val="20"/>
              </w:rPr>
              <w:t>F-5</w:t>
            </w:r>
          </w:p>
        </w:tc>
      </w:tr>
      <w:tr w:rsidR="00000000" w14:paraId="1E8B9EDA" w14:textId="77777777">
        <w:tc>
          <w:tcPr>
            <w:tcW w:w="0" w:type="auto"/>
            <w:shd w:val="clear" w:color="auto" w:fill="FFFFFF"/>
            <w:vAlign w:val="bottom"/>
            <w:hideMark/>
          </w:tcPr>
          <w:p w14:paraId="40AB517F" w14:textId="77777777" w:rsidR="00000000" w:rsidRDefault="007F5353">
            <w:pPr>
              <w:rPr>
                <w:rFonts w:eastAsia="Times New Roman"/>
                <w:sz w:val="20"/>
                <w:szCs w:val="20"/>
              </w:rPr>
            </w:pPr>
            <w:r>
              <w:rPr>
                <w:rFonts w:eastAsia="Times New Roman"/>
                <w:sz w:val="20"/>
                <w:szCs w:val="20"/>
              </w:rPr>
              <w:t>Item 2</w:t>
            </w:r>
          </w:p>
        </w:tc>
        <w:tc>
          <w:tcPr>
            <w:tcW w:w="0" w:type="auto"/>
            <w:shd w:val="clear" w:color="auto" w:fill="FFFFFF"/>
            <w:vAlign w:val="bottom"/>
            <w:hideMark/>
          </w:tcPr>
          <w:p w14:paraId="07624B15" w14:textId="77777777" w:rsidR="00000000" w:rsidRDefault="007F5353">
            <w:pPr>
              <w:jc w:val="both"/>
              <w:rPr>
                <w:rFonts w:eastAsia="Times New Roman"/>
                <w:sz w:val="20"/>
                <w:szCs w:val="20"/>
              </w:rPr>
            </w:pPr>
            <w:hyperlink w:anchor="Ha_008"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14:paraId="60E72537" w14:textId="77777777" w:rsidR="00000000" w:rsidRDefault="007F5353">
            <w:pPr>
              <w:jc w:val="center"/>
              <w:rPr>
                <w:rFonts w:eastAsia="Times New Roman"/>
                <w:sz w:val="20"/>
                <w:szCs w:val="20"/>
              </w:rPr>
            </w:pPr>
            <w:r>
              <w:rPr>
                <w:rFonts w:eastAsia="Times New Roman"/>
                <w:sz w:val="20"/>
                <w:szCs w:val="20"/>
              </w:rPr>
              <w:t>3</w:t>
            </w:r>
          </w:p>
        </w:tc>
      </w:tr>
      <w:tr w:rsidR="00000000" w14:paraId="0445B681" w14:textId="77777777">
        <w:tc>
          <w:tcPr>
            <w:tcW w:w="0" w:type="auto"/>
            <w:shd w:val="clear" w:color="auto" w:fill="CCEEFF"/>
            <w:vAlign w:val="bottom"/>
            <w:hideMark/>
          </w:tcPr>
          <w:p w14:paraId="6D59CBF0" w14:textId="77777777" w:rsidR="00000000" w:rsidRDefault="007F5353">
            <w:pPr>
              <w:rPr>
                <w:rFonts w:eastAsia="Times New Roman"/>
                <w:sz w:val="20"/>
                <w:szCs w:val="20"/>
              </w:rPr>
            </w:pPr>
            <w:r>
              <w:rPr>
                <w:rFonts w:eastAsia="Times New Roman"/>
                <w:sz w:val="20"/>
                <w:szCs w:val="20"/>
              </w:rPr>
              <w:t>Item 3</w:t>
            </w:r>
          </w:p>
        </w:tc>
        <w:tc>
          <w:tcPr>
            <w:tcW w:w="0" w:type="auto"/>
            <w:shd w:val="clear" w:color="auto" w:fill="CCEEFF"/>
            <w:vAlign w:val="bottom"/>
            <w:hideMark/>
          </w:tcPr>
          <w:p w14:paraId="28F19F9D" w14:textId="77777777" w:rsidR="00000000" w:rsidRDefault="007F5353">
            <w:pPr>
              <w:jc w:val="both"/>
              <w:rPr>
                <w:rFonts w:eastAsia="Times New Roman"/>
                <w:sz w:val="20"/>
                <w:szCs w:val="20"/>
              </w:rPr>
            </w:pPr>
            <w:hyperlink w:anchor="Ha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58851364" w14:textId="77777777" w:rsidR="00000000" w:rsidRDefault="007F5353">
            <w:pPr>
              <w:jc w:val="center"/>
              <w:rPr>
                <w:rFonts w:eastAsia="Times New Roman"/>
                <w:sz w:val="20"/>
                <w:szCs w:val="20"/>
              </w:rPr>
            </w:pPr>
            <w:r>
              <w:rPr>
                <w:rFonts w:eastAsia="Times New Roman"/>
                <w:sz w:val="20"/>
                <w:szCs w:val="20"/>
              </w:rPr>
              <w:t>6</w:t>
            </w:r>
          </w:p>
        </w:tc>
      </w:tr>
      <w:tr w:rsidR="00000000" w14:paraId="2155376E" w14:textId="77777777">
        <w:tc>
          <w:tcPr>
            <w:tcW w:w="0" w:type="auto"/>
            <w:shd w:val="clear" w:color="auto" w:fill="FFFFFF"/>
            <w:vAlign w:val="bottom"/>
            <w:hideMark/>
          </w:tcPr>
          <w:p w14:paraId="017717CF" w14:textId="77777777" w:rsidR="00000000" w:rsidRDefault="007F5353">
            <w:pPr>
              <w:rPr>
                <w:rFonts w:eastAsia="Times New Roman"/>
                <w:sz w:val="20"/>
                <w:szCs w:val="20"/>
              </w:rPr>
            </w:pPr>
            <w:r>
              <w:rPr>
                <w:rFonts w:eastAsia="Times New Roman"/>
                <w:sz w:val="20"/>
                <w:szCs w:val="20"/>
              </w:rPr>
              <w:t>Item 4</w:t>
            </w:r>
          </w:p>
        </w:tc>
        <w:tc>
          <w:tcPr>
            <w:tcW w:w="0" w:type="auto"/>
            <w:shd w:val="clear" w:color="auto" w:fill="FFFFFF"/>
            <w:vAlign w:val="bottom"/>
            <w:hideMark/>
          </w:tcPr>
          <w:p w14:paraId="50D9025E" w14:textId="77777777" w:rsidR="00000000" w:rsidRDefault="007F5353">
            <w:pPr>
              <w:jc w:val="both"/>
              <w:rPr>
                <w:rFonts w:eastAsia="Times New Roman"/>
                <w:sz w:val="20"/>
                <w:szCs w:val="20"/>
              </w:rPr>
            </w:pPr>
            <w:hyperlink w:anchor="Ha_010" w:history="1">
              <w:r>
                <w:rPr>
                  <w:rStyle w:val="a4"/>
                  <w:rFonts w:eastAsia="Times New Roman"/>
                  <w:sz w:val="20"/>
                  <w:szCs w:val="20"/>
                </w:rPr>
                <w:t>Controls and Procedures</w:t>
              </w:r>
            </w:hyperlink>
          </w:p>
        </w:tc>
        <w:tc>
          <w:tcPr>
            <w:tcW w:w="0" w:type="auto"/>
            <w:shd w:val="clear" w:color="auto" w:fill="FFFFFF"/>
            <w:vAlign w:val="bottom"/>
            <w:hideMark/>
          </w:tcPr>
          <w:p w14:paraId="303CA365" w14:textId="77777777" w:rsidR="00000000" w:rsidRDefault="007F5353">
            <w:pPr>
              <w:jc w:val="center"/>
              <w:rPr>
                <w:rFonts w:eastAsia="Times New Roman"/>
                <w:sz w:val="20"/>
                <w:szCs w:val="20"/>
              </w:rPr>
            </w:pPr>
            <w:r>
              <w:rPr>
                <w:rFonts w:eastAsia="Times New Roman"/>
                <w:sz w:val="20"/>
                <w:szCs w:val="20"/>
              </w:rPr>
              <w:t>6</w:t>
            </w:r>
          </w:p>
        </w:tc>
      </w:tr>
      <w:tr w:rsidR="00000000" w14:paraId="6C4AD7EA" w14:textId="77777777">
        <w:tc>
          <w:tcPr>
            <w:tcW w:w="0" w:type="auto"/>
            <w:shd w:val="clear" w:color="auto" w:fill="CCEEFF"/>
            <w:hideMark/>
          </w:tcPr>
          <w:p w14:paraId="5D3C335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8AECF8" w14:textId="77777777" w:rsidR="00000000" w:rsidRDefault="007F5353">
            <w:pPr>
              <w:jc w:val="center"/>
              <w:rPr>
                <w:rFonts w:eastAsia="Times New Roman"/>
                <w:sz w:val="20"/>
                <w:szCs w:val="20"/>
              </w:rPr>
            </w:pPr>
            <w:hyperlink w:anchor="Ha_011" w:history="1">
              <w:r>
                <w:rPr>
                  <w:rStyle w:val="a4"/>
                  <w:rFonts w:eastAsia="Times New Roman"/>
                  <w:sz w:val="20"/>
                  <w:szCs w:val="20"/>
                </w:rPr>
                <w:t>PART II. OTHER INFORMATION</w:t>
              </w:r>
            </w:hyperlink>
          </w:p>
        </w:tc>
        <w:tc>
          <w:tcPr>
            <w:tcW w:w="0" w:type="auto"/>
            <w:shd w:val="clear" w:color="auto" w:fill="CCEEFF"/>
            <w:vAlign w:val="bottom"/>
            <w:hideMark/>
          </w:tcPr>
          <w:p w14:paraId="11B1C7CE" w14:textId="77777777" w:rsidR="00000000" w:rsidRDefault="007F5353">
            <w:pPr>
              <w:jc w:val="center"/>
              <w:rPr>
                <w:rFonts w:eastAsia="Times New Roman"/>
                <w:sz w:val="20"/>
                <w:szCs w:val="20"/>
              </w:rPr>
            </w:pPr>
            <w:r>
              <w:rPr>
                <w:rFonts w:eastAsia="Times New Roman"/>
                <w:sz w:val="20"/>
                <w:szCs w:val="20"/>
              </w:rPr>
              <w:t> </w:t>
            </w:r>
          </w:p>
        </w:tc>
      </w:tr>
      <w:tr w:rsidR="00000000" w14:paraId="79CE6E39" w14:textId="77777777">
        <w:tc>
          <w:tcPr>
            <w:tcW w:w="0" w:type="auto"/>
            <w:shd w:val="clear" w:color="auto" w:fill="FFFFFF"/>
            <w:vAlign w:val="bottom"/>
            <w:hideMark/>
          </w:tcPr>
          <w:p w14:paraId="0E4A210D" w14:textId="77777777" w:rsidR="00000000" w:rsidRDefault="007F5353">
            <w:pPr>
              <w:rPr>
                <w:rFonts w:eastAsia="Times New Roman"/>
                <w:sz w:val="20"/>
                <w:szCs w:val="20"/>
              </w:rPr>
            </w:pPr>
            <w:r>
              <w:rPr>
                <w:rFonts w:eastAsia="Times New Roman"/>
                <w:sz w:val="20"/>
                <w:szCs w:val="20"/>
              </w:rPr>
              <w:t>Item 1</w:t>
            </w:r>
          </w:p>
        </w:tc>
        <w:tc>
          <w:tcPr>
            <w:tcW w:w="0" w:type="auto"/>
            <w:shd w:val="clear" w:color="auto" w:fill="FFFFFF"/>
            <w:vAlign w:val="bottom"/>
            <w:hideMark/>
          </w:tcPr>
          <w:p w14:paraId="4CE298B5" w14:textId="77777777" w:rsidR="00000000" w:rsidRDefault="007F5353">
            <w:pPr>
              <w:jc w:val="both"/>
              <w:rPr>
                <w:rFonts w:eastAsia="Times New Roman"/>
                <w:sz w:val="20"/>
                <w:szCs w:val="20"/>
              </w:rPr>
            </w:pPr>
            <w:hyperlink w:anchor="Ha_012" w:history="1">
              <w:r>
                <w:rPr>
                  <w:rStyle w:val="a4"/>
                  <w:rFonts w:eastAsia="Times New Roman"/>
                  <w:sz w:val="20"/>
                  <w:szCs w:val="20"/>
                </w:rPr>
                <w:t>Legal Proceedings</w:t>
              </w:r>
            </w:hyperlink>
          </w:p>
        </w:tc>
        <w:tc>
          <w:tcPr>
            <w:tcW w:w="0" w:type="auto"/>
            <w:shd w:val="clear" w:color="auto" w:fill="FFFFFF"/>
            <w:vAlign w:val="bottom"/>
            <w:hideMark/>
          </w:tcPr>
          <w:p w14:paraId="2C093F4E" w14:textId="77777777" w:rsidR="00000000" w:rsidRDefault="007F5353">
            <w:pPr>
              <w:jc w:val="center"/>
              <w:rPr>
                <w:rFonts w:eastAsia="Times New Roman"/>
                <w:sz w:val="20"/>
                <w:szCs w:val="20"/>
              </w:rPr>
            </w:pPr>
            <w:r>
              <w:rPr>
                <w:rFonts w:eastAsia="Times New Roman"/>
                <w:sz w:val="20"/>
                <w:szCs w:val="20"/>
              </w:rPr>
              <w:t>7</w:t>
            </w:r>
          </w:p>
        </w:tc>
      </w:tr>
      <w:tr w:rsidR="00000000" w14:paraId="70B73278" w14:textId="77777777">
        <w:tc>
          <w:tcPr>
            <w:tcW w:w="0" w:type="auto"/>
            <w:shd w:val="clear" w:color="auto" w:fill="CCEEFF"/>
            <w:vAlign w:val="bottom"/>
            <w:hideMark/>
          </w:tcPr>
          <w:p w14:paraId="7F676735" w14:textId="77777777" w:rsidR="00000000" w:rsidRDefault="007F5353">
            <w:pPr>
              <w:rPr>
                <w:rFonts w:eastAsia="Times New Roman"/>
                <w:sz w:val="20"/>
                <w:szCs w:val="20"/>
              </w:rPr>
            </w:pPr>
            <w:r>
              <w:rPr>
                <w:rFonts w:eastAsia="Times New Roman"/>
                <w:sz w:val="20"/>
                <w:szCs w:val="20"/>
              </w:rPr>
              <w:lastRenderedPageBreak/>
              <w:t>Item 1A</w:t>
            </w:r>
          </w:p>
        </w:tc>
        <w:tc>
          <w:tcPr>
            <w:tcW w:w="0" w:type="auto"/>
            <w:shd w:val="clear" w:color="auto" w:fill="CCEEFF"/>
            <w:vAlign w:val="bottom"/>
            <w:hideMark/>
          </w:tcPr>
          <w:p w14:paraId="3CEF48AD" w14:textId="77777777" w:rsidR="00000000" w:rsidRDefault="007F5353">
            <w:pPr>
              <w:jc w:val="both"/>
              <w:rPr>
                <w:rFonts w:eastAsia="Times New Roman"/>
                <w:sz w:val="20"/>
                <w:szCs w:val="20"/>
              </w:rPr>
            </w:pPr>
            <w:hyperlink w:anchor="Ha_013" w:history="1">
              <w:r>
                <w:rPr>
                  <w:rStyle w:val="a4"/>
                  <w:rFonts w:eastAsia="Times New Roman"/>
                  <w:sz w:val="20"/>
                  <w:szCs w:val="20"/>
                </w:rPr>
                <w:t>Risk Factors</w:t>
              </w:r>
            </w:hyperlink>
          </w:p>
        </w:tc>
        <w:tc>
          <w:tcPr>
            <w:tcW w:w="0" w:type="auto"/>
            <w:shd w:val="clear" w:color="auto" w:fill="CCEEFF"/>
            <w:vAlign w:val="bottom"/>
            <w:hideMark/>
          </w:tcPr>
          <w:p w14:paraId="42C3E865" w14:textId="77777777" w:rsidR="00000000" w:rsidRDefault="007F5353">
            <w:pPr>
              <w:jc w:val="center"/>
              <w:rPr>
                <w:rFonts w:eastAsia="Times New Roman"/>
                <w:sz w:val="20"/>
                <w:szCs w:val="20"/>
              </w:rPr>
            </w:pPr>
            <w:r>
              <w:rPr>
                <w:rFonts w:eastAsia="Times New Roman"/>
                <w:sz w:val="20"/>
                <w:szCs w:val="20"/>
              </w:rPr>
              <w:t>7</w:t>
            </w:r>
          </w:p>
        </w:tc>
      </w:tr>
      <w:tr w:rsidR="00000000" w14:paraId="2861A3B2" w14:textId="77777777">
        <w:tc>
          <w:tcPr>
            <w:tcW w:w="0" w:type="auto"/>
            <w:shd w:val="clear" w:color="auto" w:fill="FFFFFF"/>
            <w:vAlign w:val="bottom"/>
            <w:hideMark/>
          </w:tcPr>
          <w:p w14:paraId="3F18263F" w14:textId="77777777" w:rsidR="00000000" w:rsidRDefault="007F5353">
            <w:pPr>
              <w:rPr>
                <w:rFonts w:eastAsia="Times New Roman"/>
                <w:sz w:val="20"/>
                <w:szCs w:val="20"/>
              </w:rPr>
            </w:pPr>
            <w:r>
              <w:rPr>
                <w:rFonts w:eastAsia="Times New Roman"/>
                <w:sz w:val="20"/>
                <w:szCs w:val="20"/>
              </w:rPr>
              <w:t>Item 2</w:t>
            </w:r>
          </w:p>
        </w:tc>
        <w:tc>
          <w:tcPr>
            <w:tcW w:w="0" w:type="auto"/>
            <w:shd w:val="clear" w:color="auto" w:fill="FFFFFF"/>
            <w:vAlign w:val="bottom"/>
            <w:hideMark/>
          </w:tcPr>
          <w:p w14:paraId="1C801415" w14:textId="77777777" w:rsidR="00000000" w:rsidRDefault="007F5353">
            <w:pPr>
              <w:jc w:val="both"/>
              <w:rPr>
                <w:rFonts w:eastAsia="Times New Roman"/>
                <w:sz w:val="20"/>
                <w:szCs w:val="20"/>
              </w:rPr>
            </w:pPr>
            <w:hyperlink w:anchor="Ha_014" w:history="1">
              <w:r>
                <w:rPr>
                  <w:rStyle w:val="a4"/>
                  <w:rFonts w:eastAsia="Times New Roman"/>
                  <w:sz w:val="20"/>
                  <w:szCs w:val="20"/>
                </w:rPr>
                <w:t xml:space="preserve">Unregistered Sales of </w:t>
              </w:r>
              <w:r>
                <w:rPr>
                  <w:rStyle w:val="a4"/>
                  <w:rFonts w:eastAsia="Times New Roman"/>
                  <w:sz w:val="20"/>
                  <w:szCs w:val="20"/>
                </w:rPr>
                <w:t>Equity Securities and Use of Proceeds</w:t>
              </w:r>
            </w:hyperlink>
          </w:p>
        </w:tc>
        <w:tc>
          <w:tcPr>
            <w:tcW w:w="0" w:type="auto"/>
            <w:shd w:val="clear" w:color="auto" w:fill="FFFFFF"/>
            <w:vAlign w:val="bottom"/>
            <w:hideMark/>
          </w:tcPr>
          <w:p w14:paraId="788F3142" w14:textId="77777777" w:rsidR="00000000" w:rsidRDefault="007F5353">
            <w:pPr>
              <w:jc w:val="center"/>
              <w:rPr>
                <w:rFonts w:eastAsia="Times New Roman"/>
                <w:sz w:val="20"/>
                <w:szCs w:val="20"/>
              </w:rPr>
            </w:pPr>
            <w:r>
              <w:rPr>
                <w:rFonts w:eastAsia="Times New Roman"/>
                <w:sz w:val="20"/>
                <w:szCs w:val="20"/>
              </w:rPr>
              <w:t>7</w:t>
            </w:r>
          </w:p>
        </w:tc>
      </w:tr>
      <w:tr w:rsidR="00000000" w14:paraId="4D545909" w14:textId="77777777">
        <w:tc>
          <w:tcPr>
            <w:tcW w:w="0" w:type="auto"/>
            <w:shd w:val="clear" w:color="auto" w:fill="CCEEFF"/>
            <w:vAlign w:val="bottom"/>
            <w:hideMark/>
          </w:tcPr>
          <w:p w14:paraId="44D19ABD" w14:textId="77777777" w:rsidR="00000000" w:rsidRDefault="007F5353">
            <w:pPr>
              <w:rPr>
                <w:rFonts w:eastAsia="Times New Roman"/>
                <w:sz w:val="20"/>
                <w:szCs w:val="20"/>
              </w:rPr>
            </w:pPr>
            <w:r>
              <w:rPr>
                <w:rFonts w:eastAsia="Times New Roman"/>
                <w:sz w:val="20"/>
                <w:szCs w:val="20"/>
              </w:rPr>
              <w:t>Item 3</w:t>
            </w:r>
          </w:p>
        </w:tc>
        <w:tc>
          <w:tcPr>
            <w:tcW w:w="0" w:type="auto"/>
            <w:shd w:val="clear" w:color="auto" w:fill="CCEEFF"/>
            <w:vAlign w:val="bottom"/>
            <w:hideMark/>
          </w:tcPr>
          <w:p w14:paraId="382A0B8B" w14:textId="77777777" w:rsidR="00000000" w:rsidRDefault="007F5353">
            <w:pPr>
              <w:jc w:val="both"/>
              <w:rPr>
                <w:rFonts w:eastAsia="Times New Roman"/>
                <w:sz w:val="20"/>
                <w:szCs w:val="20"/>
              </w:rPr>
            </w:pPr>
            <w:hyperlink w:anchor="Ha_015" w:history="1">
              <w:r>
                <w:rPr>
                  <w:rStyle w:val="a4"/>
                  <w:rFonts w:eastAsia="Times New Roman"/>
                  <w:sz w:val="20"/>
                  <w:szCs w:val="20"/>
                </w:rPr>
                <w:t>Defaults Upon Senior Securities</w:t>
              </w:r>
            </w:hyperlink>
          </w:p>
        </w:tc>
        <w:tc>
          <w:tcPr>
            <w:tcW w:w="0" w:type="auto"/>
            <w:shd w:val="clear" w:color="auto" w:fill="CCEEFF"/>
            <w:vAlign w:val="bottom"/>
            <w:hideMark/>
          </w:tcPr>
          <w:p w14:paraId="4009A6E4" w14:textId="77777777" w:rsidR="00000000" w:rsidRDefault="007F5353">
            <w:pPr>
              <w:jc w:val="center"/>
              <w:rPr>
                <w:rFonts w:eastAsia="Times New Roman"/>
                <w:sz w:val="20"/>
                <w:szCs w:val="20"/>
              </w:rPr>
            </w:pPr>
            <w:r>
              <w:rPr>
                <w:rFonts w:eastAsia="Times New Roman"/>
                <w:sz w:val="20"/>
                <w:szCs w:val="20"/>
              </w:rPr>
              <w:t>8</w:t>
            </w:r>
          </w:p>
        </w:tc>
      </w:tr>
      <w:tr w:rsidR="00000000" w14:paraId="15B61BBF" w14:textId="77777777">
        <w:tc>
          <w:tcPr>
            <w:tcW w:w="0" w:type="auto"/>
            <w:shd w:val="clear" w:color="auto" w:fill="FFFFFF"/>
            <w:vAlign w:val="bottom"/>
            <w:hideMark/>
          </w:tcPr>
          <w:p w14:paraId="37E890CD" w14:textId="77777777" w:rsidR="00000000" w:rsidRDefault="007F5353">
            <w:pPr>
              <w:rPr>
                <w:rFonts w:eastAsia="Times New Roman"/>
                <w:sz w:val="20"/>
                <w:szCs w:val="20"/>
              </w:rPr>
            </w:pPr>
            <w:r>
              <w:rPr>
                <w:rFonts w:eastAsia="Times New Roman"/>
                <w:sz w:val="20"/>
                <w:szCs w:val="20"/>
              </w:rPr>
              <w:t>Item 4</w:t>
            </w:r>
          </w:p>
        </w:tc>
        <w:tc>
          <w:tcPr>
            <w:tcW w:w="0" w:type="auto"/>
            <w:shd w:val="clear" w:color="auto" w:fill="FFFFFF"/>
            <w:vAlign w:val="bottom"/>
            <w:hideMark/>
          </w:tcPr>
          <w:p w14:paraId="7007DCD7" w14:textId="77777777" w:rsidR="00000000" w:rsidRDefault="007F5353">
            <w:pPr>
              <w:jc w:val="both"/>
              <w:rPr>
                <w:rFonts w:eastAsia="Times New Roman"/>
                <w:sz w:val="20"/>
                <w:szCs w:val="20"/>
              </w:rPr>
            </w:pPr>
            <w:hyperlink w:anchor="Ha_016" w:history="1">
              <w:r>
                <w:rPr>
                  <w:rStyle w:val="a4"/>
                  <w:rFonts w:eastAsia="Times New Roman"/>
                  <w:sz w:val="20"/>
                  <w:szCs w:val="20"/>
                </w:rPr>
                <w:t>Mine Safety Disclosures</w:t>
              </w:r>
            </w:hyperlink>
          </w:p>
        </w:tc>
        <w:tc>
          <w:tcPr>
            <w:tcW w:w="0" w:type="auto"/>
            <w:shd w:val="clear" w:color="auto" w:fill="FFFFFF"/>
            <w:vAlign w:val="bottom"/>
            <w:hideMark/>
          </w:tcPr>
          <w:p w14:paraId="78B0122C" w14:textId="77777777" w:rsidR="00000000" w:rsidRDefault="007F5353">
            <w:pPr>
              <w:jc w:val="center"/>
              <w:rPr>
                <w:rFonts w:eastAsia="Times New Roman"/>
                <w:sz w:val="20"/>
                <w:szCs w:val="20"/>
              </w:rPr>
            </w:pPr>
            <w:r>
              <w:rPr>
                <w:rFonts w:eastAsia="Times New Roman"/>
                <w:sz w:val="20"/>
                <w:szCs w:val="20"/>
              </w:rPr>
              <w:t>8</w:t>
            </w:r>
          </w:p>
        </w:tc>
      </w:tr>
      <w:tr w:rsidR="00000000" w14:paraId="490B7E5B" w14:textId="77777777">
        <w:tc>
          <w:tcPr>
            <w:tcW w:w="0" w:type="auto"/>
            <w:shd w:val="clear" w:color="auto" w:fill="CCEEFF"/>
            <w:vAlign w:val="bottom"/>
            <w:hideMark/>
          </w:tcPr>
          <w:p w14:paraId="0653284F" w14:textId="77777777" w:rsidR="00000000" w:rsidRDefault="007F5353">
            <w:pPr>
              <w:rPr>
                <w:rFonts w:eastAsia="Times New Roman"/>
                <w:sz w:val="20"/>
                <w:szCs w:val="20"/>
              </w:rPr>
            </w:pPr>
            <w:r>
              <w:rPr>
                <w:rFonts w:eastAsia="Times New Roman"/>
                <w:sz w:val="20"/>
                <w:szCs w:val="20"/>
              </w:rPr>
              <w:t>Item 5</w:t>
            </w:r>
          </w:p>
        </w:tc>
        <w:tc>
          <w:tcPr>
            <w:tcW w:w="0" w:type="auto"/>
            <w:shd w:val="clear" w:color="auto" w:fill="CCEEFF"/>
            <w:vAlign w:val="bottom"/>
            <w:hideMark/>
          </w:tcPr>
          <w:p w14:paraId="3F3E21D6" w14:textId="77777777" w:rsidR="00000000" w:rsidRDefault="007F5353">
            <w:pPr>
              <w:jc w:val="both"/>
              <w:rPr>
                <w:rFonts w:eastAsia="Times New Roman"/>
                <w:sz w:val="20"/>
                <w:szCs w:val="20"/>
              </w:rPr>
            </w:pPr>
            <w:hyperlink w:anchor="Ha_017" w:history="1">
              <w:r>
                <w:rPr>
                  <w:rStyle w:val="a4"/>
                  <w:rFonts w:eastAsia="Times New Roman"/>
                  <w:sz w:val="20"/>
                  <w:szCs w:val="20"/>
                </w:rPr>
                <w:t>Other Information</w:t>
              </w:r>
            </w:hyperlink>
          </w:p>
        </w:tc>
        <w:tc>
          <w:tcPr>
            <w:tcW w:w="0" w:type="auto"/>
            <w:shd w:val="clear" w:color="auto" w:fill="CCEEFF"/>
            <w:vAlign w:val="bottom"/>
            <w:hideMark/>
          </w:tcPr>
          <w:p w14:paraId="4DA4DEFD" w14:textId="77777777" w:rsidR="00000000" w:rsidRDefault="007F5353">
            <w:pPr>
              <w:jc w:val="center"/>
              <w:rPr>
                <w:rFonts w:eastAsia="Times New Roman"/>
                <w:sz w:val="20"/>
                <w:szCs w:val="20"/>
              </w:rPr>
            </w:pPr>
            <w:r>
              <w:rPr>
                <w:rFonts w:eastAsia="Times New Roman"/>
                <w:sz w:val="20"/>
                <w:szCs w:val="20"/>
              </w:rPr>
              <w:t>8</w:t>
            </w:r>
          </w:p>
        </w:tc>
      </w:tr>
      <w:tr w:rsidR="00000000" w14:paraId="10F93EED" w14:textId="77777777">
        <w:tc>
          <w:tcPr>
            <w:tcW w:w="0" w:type="auto"/>
            <w:shd w:val="clear" w:color="auto" w:fill="FFFFFF"/>
            <w:vAlign w:val="bottom"/>
            <w:hideMark/>
          </w:tcPr>
          <w:p w14:paraId="58FB38DB" w14:textId="77777777" w:rsidR="00000000" w:rsidRDefault="007F5353">
            <w:pPr>
              <w:rPr>
                <w:rFonts w:eastAsia="Times New Roman"/>
                <w:sz w:val="20"/>
                <w:szCs w:val="20"/>
              </w:rPr>
            </w:pPr>
            <w:r>
              <w:rPr>
                <w:rFonts w:eastAsia="Times New Roman"/>
                <w:sz w:val="20"/>
                <w:szCs w:val="20"/>
              </w:rPr>
              <w:t>Item 6</w:t>
            </w:r>
          </w:p>
        </w:tc>
        <w:tc>
          <w:tcPr>
            <w:tcW w:w="0" w:type="auto"/>
            <w:shd w:val="clear" w:color="auto" w:fill="FFFFFF"/>
            <w:vAlign w:val="bottom"/>
            <w:hideMark/>
          </w:tcPr>
          <w:p w14:paraId="38C1148F" w14:textId="77777777" w:rsidR="00000000" w:rsidRDefault="007F5353">
            <w:pPr>
              <w:jc w:val="both"/>
              <w:rPr>
                <w:rFonts w:eastAsia="Times New Roman"/>
                <w:sz w:val="20"/>
                <w:szCs w:val="20"/>
              </w:rPr>
            </w:pPr>
            <w:hyperlink w:anchor="Ha_018" w:history="1">
              <w:r>
                <w:rPr>
                  <w:rStyle w:val="a4"/>
                  <w:rFonts w:eastAsia="Times New Roman"/>
                  <w:sz w:val="20"/>
                  <w:szCs w:val="20"/>
                </w:rPr>
                <w:t>Exhibits</w:t>
              </w:r>
            </w:hyperlink>
          </w:p>
        </w:tc>
        <w:tc>
          <w:tcPr>
            <w:tcW w:w="0" w:type="auto"/>
            <w:shd w:val="clear" w:color="auto" w:fill="FFFFFF"/>
            <w:vAlign w:val="bottom"/>
            <w:hideMark/>
          </w:tcPr>
          <w:p w14:paraId="623E741C" w14:textId="77777777" w:rsidR="00000000" w:rsidRDefault="007F5353">
            <w:pPr>
              <w:jc w:val="center"/>
              <w:rPr>
                <w:rFonts w:eastAsia="Times New Roman"/>
                <w:sz w:val="20"/>
                <w:szCs w:val="20"/>
              </w:rPr>
            </w:pPr>
            <w:r>
              <w:rPr>
                <w:rFonts w:eastAsia="Times New Roman"/>
                <w:sz w:val="20"/>
                <w:szCs w:val="20"/>
              </w:rPr>
              <w:t>8</w:t>
            </w:r>
          </w:p>
        </w:tc>
      </w:tr>
      <w:tr w:rsidR="00000000" w14:paraId="2EFD2094" w14:textId="77777777">
        <w:tc>
          <w:tcPr>
            <w:tcW w:w="0" w:type="auto"/>
            <w:shd w:val="clear" w:color="auto" w:fill="CCEEFF"/>
            <w:hideMark/>
          </w:tcPr>
          <w:p w14:paraId="44EFBB0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hideMark/>
          </w:tcPr>
          <w:p w14:paraId="3BE6C679" w14:textId="77777777" w:rsidR="00000000" w:rsidRDefault="007F535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1F58DC03" w14:textId="77777777" w:rsidR="00000000" w:rsidRDefault="007F5353">
            <w:pPr>
              <w:jc w:val="center"/>
              <w:rPr>
                <w:rFonts w:eastAsia="Times New Roman"/>
                <w:sz w:val="20"/>
                <w:szCs w:val="20"/>
              </w:rPr>
            </w:pPr>
            <w:r>
              <w:rPr>
                <w:rFonts w:eastAsia="Times New Roman"/>
                <w:sz w:val="20"/>
                <w:szCs w:val="20"/>
              </w:rPr>
              <w:t> </w:t>
            </w:r>
          </w:p>
        </w:tc>
      </w:tr>
      <w:tr w:rsidR="00000000" w14:paraId="59862014" w14:textId="77777777">
        <w:tc>
          <w:tcPr>
            <w:tcW w:w="0" w:type="auto"/>
            <w:shd w:val="clear" w:color="auto" w:fill="FFFFFF"/>
            <w:vAlign w:val="bottom"/>
            <w:hideMark/>
          </w:tcPr>
          <w:p w14:paraId="3FD79E2A" w14:textId="77777777" w:rsidR="00000000" w:rsidRDefault="007F5353">
            <w:pPr>
              <w:rPr>
                <w:rFonts w:eastAsia="Times New Roman"/>
                <w:sz w:val="20"/>
                <w:szCs w:val="20"/>
              </w:rPr>
            </w:pPr>
            <w:hyperlink w:anchor="Ha_019" w:history="1">
              <w:r>
                <w:rPr>
                  <w:rStyle w:val="a4"/>
                  <w:rFonts w:eastAsia="Times New Roman"/>
                  <w:sz w:val="20"/>
                  <w:szCs w:val="20"/>
                </w:rPr>
                <w:t>Signatures</w:t>
              </w:r>
            </w:hyperlink>
          </w:p>
        </w:tc>
        <w:tc>
          <w:tcPr>
            <w:tcW w:w="0" w:type="auto"/>
            <w:shd w:val="clear" w:color="auto" w:fill="FFFFFF"/>
            <w:hideMark/>
          </w:tcPr>
          <w:p w14:paraId="4DDB8746" w14:textId="77777777" w:rsidR="00000000" w:rsidRDefault="007F5353">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79E17659" w14:textId="77777777" w:rsidR="00000000" w:rsidRDefault="007F5353">
            <w:pPr>
              <w:jc w:val="center"/>
              <w:rPr>
                <w:rFonts w:eastAsia="Times New Roman"/>
                <w:sz w:val="20"/>
                <w:szCs w:val="20"/>
              </w:rPr>
            </w:pPr>
            <w:r>
              <w:rPr>
                <w:rFonts w:eastAsia="Times New Roman"/>
                <w:sz w:val="20"/>
                <w:szCs w:val="20"/>
              </w:rPr>
              <w:t>9</w:t>
            </w:r>
          </w:p>
        </w:tc>
      </w:tr>
    </w:tbl>
    <w:p w14:paraId="098980E7"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ED96B3" w14:textId="77777777">
        <w:trPr>
          <w:divId w:val="939676311"/>
        </w:trPr>
        <w:tc>
          <w:tcPr>
            <w:tcW w:w="5000" w:type="pct"/>
            <w:hideMark/>
          </w:tcPr>
          <w:p w14:paraId="7B22C507" w14:textId="77777777" w:rsidR="00000000" w:rsidRDefault="007F5353">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23846910" w14:textId="77777777">
        <w:tc>
          <w:tcPr>
            <w:tcW w:w="5000" w:type="pct"/>
            <w:hideMark/>
          </w:tcPr>
          <w:p w14:paraId="58BB464A" w14:textId="77777777" w:rsidR="00000000" w:rsidRDefault="007F5353">
            <w:pPr>
              <w:jc w:val="center"/>
              <w:rPr>
                <w:rFonts w:eastAsia="Times New Roman"/>
                <w:sz w:val="20"/>
                <w:szCs w:val="20"/>
              </w:rPr>
            </w:pPr>
            <w:r>
              <w:rPr>
                <w:rFonts w:eastAsia="Times New Roman"/>
                <w:sz w:val="20"/>
                <w:szCs w:val="20"/>
              </w:rPr>
              <w:t> </w:t>
            </w:r>
          </w:p>
        </w:tc>
      </w:tr>
    </w:tbl>
    <w:p w14:paraId="29BF5F09" w14:textId="77777777" w:rsidR="00000000" w:rsidRDefault="007F5353">
      <w:pPr>
        <w:pStyle w:val="a3"/>
        <w:spacing w:before="0" w:beforeAutospacing="0" w:after="0" w:afterAutospacing="0"/>
        <w:jc w:val="center"/>
        <w:rPr>
          <w:sz w:val="20"/>
          <w:szCs w:val="20"/>
        </w:rPr>
      </w:pPr>
      <w:r>
        <w:rPr>
          <w:sz w:val="20"/>
          <w:szCs w:val="20"/>
        </w:rPr>
        <w:t> </w:t>
      </w:r>
    </w:p>
    <w:p w14:paraId="2DAD960A" w14:textId="77777777" w:rsidR="00000000" w:rsidRDefault="007F5353">
      <w:pPr>
        <w:pStyle w:val="a3"/>
        <w:spacing w:before="0" w:beforeAutospacing="0" w:after="0" w:afterAutospacing="0"/>
        <w:jc w:val="center"/>
        <w:rPr>
          <w:sz w:val="20"/>
          <w:szCs w:val="20"/>
        </w:rPr>
      </w:pPr>
      <w:r>
        <w:rPr>
          <w:b/>
          <w:bCs/>
          <w:sz w:val="20"/>
          <w:szCs w:val="20"/>
        </w:rPr>
        <w:t>PART I — FINANCIAL INFORMATION</w:t>
      </w:r>
    </w:p>
    <w:p w14:paraId="7761D931" w14:textId="77777777" w:rsidR="00000000" w:rsidRDefault="007F5353">
      <w:pPr>
        <w:pStyle w:val="a3"/>
        <w:spacing w:before="0" w:beforeAutospacing="0" w:after="0" w:afterAutospacing="0"/>
        <w:jc w:val="center"/>
        <w:rPr>
          <w:sz w:val="20"/>
          <w:szCs w:val="20"/>
        </w:rPr>
      </w:pPr>
      <w:r>
        <w:rPr>
          <w:b/>
          <w:bCs/>
          <w:sz w:val="20"/>
          <w:szCs w:val="20"/>
        </w:rPr>
        <w:t> </w:t>
      </w:r>
    </w:p>
    <w:p w14:paraId="7FD62BA7" w14:textId="77777777" w:rsidR="00000000" w:rsidRDefault="007F5353">
      <w:pPr>
        <w:pStyle w:val="a3"/>
        <w:spacing w:before="0" w:beforeAutospacing="0" w:after="0" w:afterAutospacing="0"/>
        <w:rPr>
          <w:sz w:val="20"/>
          <w:szCs w:val="20"/>
        </w:rPr>
      </w:pPr>
      <w:r>
        <w:rPr>
          <w:sz w:val="20"/>
          <w:szCs w:val="20"/>
        </w:rPr>
        <w:t>Item 1. Financial Statements</w:t>
      </w:r>
    </w:p>
    <w:p w14:paraId="56559370" w14:textId="77777777" w:rsidR="00000000" w:rsidRDefault="007F5353">
      <w:pPr>
        <w:pStyle w:val="a3"/>
        <w:spacing w:before="0" w:beforeAutospacing="0" w:after="0" w:afterAutospacing="0"/>
        <w:jc w:val="center"/>
        <w:rPr>
          <w:sz w:val="20"/>
          <w:szCs w:val="20"/>
        </w:rPr>
      </w:pPr>
      <w:r>
        <w:rPr>
          <w:sz w:val="20"/>
          <w:szCs w:val="20"/>
        </w:rPr>
        <w:t> </w:t>
      </w:r>
    </w:p>
    <w:p w14:paraId="2C060D93" w14:textId="77777777" w:rsidR="00000000" w:rsidRDefault="007F5353">
      <w:pPr>
        <w:pStyle w:val="a3"/>
        <w:spacing w:before="0" w:beforeAutospacing="0" w:after="0" w:afterAutospacing="0"/>
        <w:jc w:val="center"/>
        <w:rPr>
          <w:sz w:val="20"/>
          <w:szCs w:val="20"/>
        </w:rPr>
      </w:pPr>
      <w:r>
        <w:rPr>
          <w:b/>
          <w:bCs/>
          <w:sz w:val="20"/>
          <w:szCs w:val="20"/>
        </w:rPr>
        <w:t>BROAD CAPITAL ACQUISITION CORP</w:t>
      </w:r>
    </w:p>
    <w:p w14:paraId="7F438ABA" w14:textId="77777777" w:rsidR="00000000" w:rsidRDefault="007F5353">
      <w:pPr>
        <w:pStyle w:val="a3"/>
        <w:spacing w:before="0" w:beforeAutospacing="0" w:after="0" w:afterAutospacing="0"/>
        <w:jc w:val="center"/>
        <w:rPr>
          <w:sz w:val="20"/>
          <w:szCs w:val="20"/>
        </w:rPr>
      </w:pPr>
      <w:r>
        <w:rPr>
          <w:b/>
          <w:bCs/>
          <w:sz w:val="20"/>
          <w:szCs w:val="20"/>
        </w:rPr>
        <w:t>BALANCE SHEETS</w:t>
      </w:r>
    </w:p>
    <w:p w14:paraId="5D2E08F7" w14:textId="77777777" w:rsidR="00000000" w:rsidRDefault="007F5353">
      <w:pPr>
        <w:pStyle w:val="a3"/>
        <w:spacing w:before="0" w:beforeAutospacing="0" w:after="0" w:afterAutospacing="0"/>
        <w:jc w:val="center"/>
        <w:rPr>
          <w:sz w:val="20"/>
          <w:szCs w:val="20"/>
        </w:rPr>
      </w:pPr>
      <w:r>
        <w:rPr>
          <w:b/>
          <w:bCs/>
          <w:sz w:val="20"/>
          <w:szCs w:val="20"/>
        </w:rPr>
        <w:t>June 30, 2022</w:t>
      </w:r>
    </w:p>
    <w:p w14:paraId="4A1ACE43"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Balance Sheets"/>
      </w:tblPr>
      <w:tblGrid>
        <w:gridCol w:w="4979"/>
        <w:gridCol w:w="161"/>
        <w:gridCol w:w="100"/>
        <w:gridCol w:w="1324"/>
        <w:gridCol w:w="78"/>
        <w:gridCol w:w="161"/>
        <w:gridCol w:w="100"/>
        <w:gridCol w:w="1324"/>
        <w:gridCol w:w="79"/>
      </w:tblGrid>
      <w:tr w:rsidR="00000000" w14:paraId="399E5B51" w14:textId="77777777">
        <w:trPr>
          <w:hidden/>
        </w:trPr>
        <w:tc>
          <w:tcPr>
            <w:tcW w:w="0" w:type="auto"/>
            <w:shd w:val="clear" w:color="auto" w:fill="CCEEFF"/>
            <w:vAlign w:val="bottom"/>
            <w:hideMark/>
          </w:tcPr>
          <w:p w14:paraId="0167B4B7"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28C71D4"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0F77EF9"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1CEFB33"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C878B80"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6FF7B48"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2291B1A"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E0172C9"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9D67A8" w14:textId="77777777" w:rsidR="00000000" w:rsidRDefault="007F5353">
            <w:pPr>
              <w:rPr>
                <w:rFonts w:eastAsia="Times New Roman"/>
                <w:vanish/>
                <w:sz w:val="20"/>
                <w:szCs w:val="20"/>
              </w:rPr>
            </w:pPr>
            <w:r>
              <w:rPr>
                <w:rFonts w:eastAsia="Times New Roman"/>
                <w:vanish/>
                <w:sz w:val="20"/>
                <w:szCs w:val="20"/>
              </w:rPr>
              <w:t> </w:t>
            </w:r>
          </w:p>
        </w:tc>
      </w:tr>
      <w:tr w:rsidR="00000000" w14:paraId="52BF0574" w14:textId="77777777">
        <w:tc>
          <w:tcPr>
            <w:tcW w:w="0" w:type="auto"/>
            <w:vAlign w:val="bottom"/>
            <w:hideMark/>
          </w:tcPr>
          <w:p w14:paraId="0B22109D"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34E416E0" w14:textId="77777777" w:rsidR="00000000" w:rsidRDefault="007F535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D4E5FED" w14:textId="77777777" w:rsidR="00000000" w:rsidRDefault="007F5353">
            <w:pPr>
              <w:pStyle w:val="a3"/>
              <w:spacing w:before="0" w:beforeAutospacing="0" w:after="0" w:afterAutospacing="0"/>
              <w:jc w:val="center"/>
              <w:rPr>
                <w:sz w:val="20"/>
                <w:szCs w:val="20"/>
              </w:rPr>
            </w:pPr>
            <w:r>
              <w:rPr>
                <w:b/>
                <w:bCs/>
                <w:sz w:val="20"/>
                <w:szCs w:val="20"/>
              </w:rPr>
              <w:t>June 30, 2022</w:t>
            </w:r>
          </w:p>
          <w:p w14:paraId="32C2C4B1" w14:textId="77777777" w:rsidR="00000000" w:rsidRDefault="007F5353">
            <w:pPr>
              <w:pStyle w:val="a3"/>
              <w:spacing w:before="0" w:beforeAutospacing="0" w:after="0" w:afterAutospacing="0"/>
              <w:jc w:val="center"/>
              <w:rPr>
                <w:sz w:val="20"/>
                <w:szCs w:val="20"/>
              </w:rPr>
            </w:pPr>
            <w:r>
              <w:rPr>
                <w:b/>
                <w:bCs/>
                <w:sz w:val="20"/>
                <w:szCs w:val="20"/>
              </w:rPr>
              <w:t>(unaudited)</w:t>
            </w:r>
          </w:p>
        </w:tc>
        <w:tc>
          <w:tcPr>
            <w:tcW w:w="0" w:type="auto"/>
            <w:vAlign w:val="bottom"/>
            <w:hideMark/>
          </w:tcPr>
          <w:p w14:paraId="7500799D"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2E466888" w14:textId="77777777" w:rsidR="00000000" w:rsidRDefault="007F535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E2503D8" w14:textId="77777777" w:rsidR="00000000" w:rsidRDefault="007F5353">
            <w:pPr>
              <w:pStyle w:val="a3"/>
              <w:spacing w:before="0" w:beforeAutospacing="0" w:after="0" w:afterAutospacing="0"/>
              <w:jc w:val="center"/>
              <w:rPr>
                <w:sz w:val="20"/>
                <w:szCs w:val="20"/>
              </w:rPr>
            </w:pPr>
            <w:r>
              <w:rPr>
                <w:b/>
                <w:bCs/>
                <w:sz w:val="20"/>
                <w:szCs w:val="20"/>
              </w:rPr>
              <w:t>December 31, 2021</w:t>
            </w:r>
          </w:p>
          <w:p w14:paraId="4D115886" w14:textId="77777777" w:rsidR="00000000" w:rsidRDefault="007F5353">
            <w:pPr>
              <w:pStyle w:val="a3"/>
              <w:spacing w:before="0" w:beforeAutospacing="0" w:after="0" w:afterAutospacing="0"/>
              <w:jc w:val="center"/>
              <w:rPr>
                <w:sz w:val="20"/>
                <w:szCs w:val="20"/>
              </w:rPr>
            </w:pPr>
            <w:r>
              <w:rPr>
                <w:b/>
                <w:bCs/>
                <w:sz w:val="20"/>
                <w:szCs w:val="20"/>
              </w:rPr>
              <w:t>(audited)</w:t>
            </w:r>
          </w:p>
        </w:tc>
        <w:tc>
          <w:tcPr>
            <w:tcW w:w="0" w:type="auto"/>
            <w:vAlign w:val="bottom"/>
            <w:hideMark/>
          </w:tcPr>
          <w:p w14:paraId="2D7DEB77" w14:textId="77777777" w:rsidR="00000000" w:rsidRDefault="007F5353">
            <w:pPr>
              <w:rPr>
                <w:rFonts w:eastAsia="Times New Roman"/>
                <w:sz w:val="20"/>
                <w:szCs w:val="20"/>
              </w:rPr>
            </w:pPr>
            <w:r>
              <w:rPr>
                <w:rFonts w:eastAsia="Times New Roman"/>
                <w:sz w:val="20"/>
                <w:szCs w:val="20"/>
              </w:rPr>
              <w:t> </w:t>
            </w:r>
          </w:p>
        </w:tc>
      </w:tr>
      <w:tr w:rsidR="00000000" w14:paraId="43FA2A83" w14:textId="77777777">
        <w:tc>
          <w:tcPr>
            <w:tcW w:w="0" w:type="auto"/>
            <w:shd w:val="clear" w:color="auto" w:fill="CCEEFF"/>
            <w:vAlign w:val="bottom"/>
            <w:hideMark/>
          </w:tcPr>
          <w:p w14:paraId="05410916" w14:textId="77777777" w:rsidR="00000000" w:rsidRDefault="007F5353">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14:paraId="2B06519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748AA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F749F6"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DD256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F1B63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E934B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9892FE"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4C08CC" w14:textId="77777777" w:rsidR="00000000" w:rsidRDefault="007F5353">
            <w:pPr>
              <w:rPr>
                <w:rFonts w:eastAsia="Times New Roman"/>
                <w:sz w:val="20"/>
                <w:szCs w:val="20"/>
              </w:rPr>
            </w:pPr>
            <w:r>
              <w:rPr>
                <w:rFonts w:eastAsia="Times New Roman"/>
                <w:sz w:val="20"/>
                <w:szCs w:val="20"/>
              </w:rPr>
              <w:t> </w:t>
            </w:r>
          </w:p>
        </w:tc>
      </w:tr>
      <w:tr w:rsidR="00000000" w14:paraId="3B61DDDA" w14:textId="77777777">
        <w:tc>
          <w:tcPr>
            <w:tcW w:w="0" w:type="auto"/>
            <w:shd w:val="clear" w:color="auto" w:fill="FFFFFF"/>
            <w:vAlign w:val="bottom"/>
            <w:hideMark/>
          </w:tcPr>
          <w:p w14:paraId="6F3DCA77" w14:textId="77777777" w:rsidR="00000000" w:rsidRDefault="007F5353">
            <w:pPr>
              <w:rPr>
                <w:rFonts w:eastAsia="Times New Roman"/>
                <w:b/>
                <w:bCs/>
                <w:sz w:val="20"/>
                <w:szCs w:val="20"/>
              </w:rPr>
            </w:pPr>
            <w:r>
              <w:rPr>
                <w:rFonts w:eastAsia="Times New Roman"/>
                <w:b/>
                <w:bCs/>
                <w:sz w:val="20"/>
                <w:szCs w:val="20"/>
              </w:rPr>
              <w:t>Current Assets</w:t>
            </w:r>
          </w:p>
        </w:tc>
        <w:tc>
          <w:tcPr>
            <w:tcW w:w="0" w:type="auto"/>
            <w:shd w:val="clear" w:color="auto" w:fill="FFFFFF"/>
            <w:vAlign w:val="bottom"/>
            <w:hideMark/>
          </w:tcPr>
          <w:p w14:paraId="308D202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6773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86208"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0599B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E6959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0482D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1D320C"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815E794" w14:textId="77777777" w:rsidR="00000000" w:rsidRDefault="007F5353">
            <w:pPr>
              <w:rPr>
                <w:rFonts w:eastAsia="Times New Roman"/>
                <w:sz w:val="20"/>
                <w:szCs w:val="20"/>
              </w:rPr>
            </w:pPr>
            <w:r>
              <w:rPr>
                <w:rFonts w:eastAsia="Times New Roman"/>
                <w:sz w:val="20"/>
                <w:szCs w:val="20"/>
              </w:rPr>
              <w:t> </w:t>
            </w:r>
          </w:p>
        </w:tc>
      </w:tr>
      <w:tr w:rsidR="00000000" w14:paraId="1DC5410C" w14:textId="77777777">
        <w:tc>
          <w:tcPr>
            <w:tcW w:w="3000" w:type="pct"/>
            <w:shd w:val="clear" w:color="auto" w:fill="CCEEFF"/>
            <w:vAlign w:val="bottom"/>
            <w:hideMark/>
          </w:tcPr>
          <w:p w14:paraId="3488B9CE" w14:textId="77777777" w:rsidR="00000000" w:rsidRDefault="007F5353">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7C4CE3DB" w14:textId="77777777" w:rsidR="00000000" w:rsidRDefault="007F535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CE4876" w14:textId="77777777" w:rsidR="00000000" w:rsidRDefault="007F5353">
            <w:pPr>
              <w:rPr>
                <w:rFonts w:eastAsia="Times New Roman"/>
                <w:sz w:val="20"/>
                <w:szCs w:val="20"/>
              </w:rPr>
            </w:pPr>
            <w:r>
              <w:rPr>
                <w:rFonts w:eastAsia="Times New Roman"/>
                <w:sz w:val="20"/>
                <w:szCs w:val="20"/>
              </w:rPr>
              <w:t>$</w:t>
            </w:r>
          </w:p>
        </w:tc>
        <w:tc>
          <w:tcPr>
            <w:tcW w:w="800" w:type="pct"/>
            <w:shd w:val="clear" w:color="auto" w:fill="CCEEFF"/>
            <w:vAlign w:val="bottom"/>
            <w:hideMark/>
          </w:tcPr>
          <w:p w14:paraId="00BEB31C" w14:textId="77777777" w:rsidR="00000000" w:rsidRDefault="007F5353">
            <w:pPr>
              <w:jc w:val="right"/>
              <w:rPr>
                <w:rFonts w:eastAsia="Times New Roman"/>
                <w:sz w:val="20"/>
                <w:szCs w:val="20"/>
              </w:rPr>
            </w:pPr>
            <w:r>
              <w:rPr>
                <w:rFonts w:eastAsia="Times New Roman"/>
                <w:sz w:val="20"/>
                <w:szCs w:val="20"/>
              </w:rPr>
              <w:t>622,351</w:t>
            </w:r>
          </w:p>
        </w:tc>
        <w:tc>
          <w:tcPr>
            <w:tcW w:w="50" w:type="pct"/>
            <w:shd w:val="clear" w:color="auto" w:fill="CCEEFF"/>
            <w:vAlign w:val="bottom"/>
            <w:hideMark/>
          </w:tcPr>
          <w:p w14:paraId="2EE9DD4A" w14:textId="77777777" w:rsidR="00000000" w:rsidRDefault="007F535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CDB287D" w14:textId="77777777" w:rsidR="00000000" w:rsidRDefault="007F535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AD2920" w14:textId="77777777" w:rsidR="00000000" w:rsidRDefault="007F5353">
            <w:pPr>
              <w:rPr>
                <w:rFonts w:eastAsia="Times New Roman"/>
                <w:sz w:val="20"/>
                <w:szCs w:val="20"/>
              </w:rPr>
            </w:pPr>
            <w:r>
              <w:rPr>
                <w:rFonts w:eastAsia="Times New Roman"/>
                <w:sz w:val="20"/>
                <w:szCs w:val="20"/>
              </w:rPr>
              <w:t>$</w:t>
            </w:r>
          </w:p>
        </w:tc>
        <w:tc>
          <w:tcPr>
            <w:tcW w:w="800" w:type="pct"/>
            <w:shd w:val="clear" w:color="auto" w:fill="CCEEFF"/>
            <w:vAlign w:val="bottom"/>
            <w:hideMark/>
          </w:tcPr>
          <w:p w14:paraId="340F8D63" w14:textId="77777777" w:rsidR="00000000" w:rsidRDefault="007F5353">
            <w:pPr>
              <w:jc w:val="right"/>
              <w:rPr>
                <w:rFonts w:eastAsia="Times New Roman"/>
                <w:sz w:val="20"/>
                <w:szCs w:val="20"/>
              </w:rPr>
            </w:pPr>
            <w:r>
              <w:rPr>
                <w:rFonts w:eastAsia="Times New Roman"/>
                <w:sz w:val="20"/>
                <w:szCs w:val="20"/>
              </w:rPr>
              <w:t>2,164</w:t>
            </w:r>
          </w:p>
        </w:tc>
        <w:tc>
          <w:tcPr>
            <w:tcW w:w="50" w:type="pct"/>
            <w:shd w:val="clear" w:color="auto" w:fill="CCEEFF"/>
            <w:vAlign w:val="bottom"/>
            <w:hideMark/>
          </w:tcPr>
          <w:p w14:paraId="53AFE3DC" w14:textId="77777777" w:rsidR="00000000" w:rsidRDefault="007F5353">
            <w:pPr>
              <w:rPr>
                <w:rFonts w:eastAsia="Times New Roman"/>
                <w:sz w:val="20"/>
                <w:szCs w:val="20"/>
              </w:rPr>
            </w:pPr>
            <w:r>
              <w:rPr>
                <w:rFonts w:eastAsia="Times New Roman"/>
                <w:sz w:val="20"/>
                <w:szCs w:val="20"/>
              </w:rPr>
              <w:t> </w:t>
            </w:r>
          </w:p>
        </w:tc>
      </w:tr>
      <w:tr w:rsidR="00000000" w14:paraId="29BE6C30" w14:textId="77777777">
        <w:tc>
          <w:tcPr>
            <w:tcW w:w="0" w:type="auto"/>
            <w:shd w:val="clear" w:color="auto" w:fill="FFFFFF"/>
            <w:vAlign w:val="bottom"/>
            <w:hideMark/>
          </w:tcPr>
          <w:p w14:paraId="335D1FD5" w14:textId="77777777" w:rsidR="00000000" w:rsidRDefault="007F5353">
            <w:pPr>
              <w:rPr>
                <w:rFonts w:eastAsia="Times New Roman"/>
                <w:sz w:val="20"/>
                <w:szCs w:val="20"/>
              </w:rPr>
            </w:pPr>
            <w:r>
              <w:rPr>
                <w:rFonts w:eastAsia="Times New Roman"/>
                <w:sz w:val="20"/>
                <w:szCs w:val="20"/>
              </w:rPr>
              <w:t>Deferred offering costs</w:t>
            </w:r>
          </w:p>
        </w:tc>
        <w:tc>
          <w:tcPr>
            <w:tcW w:w="0" w:type="auto"/>
            <w:shd w:val="clear" w:color="auto" w:fill="FFFFFF"/>
            <w:vAlign w:val="bottom"/>
            <w:hideMark/>
          </w:tcPr>
          <w:p w14:paraId="169B0A3E"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4E4BA86"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5D483E3"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24D49A2C"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B2B436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4BF5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EC99E3" w14:textId="77777777" w:rsidR="00000000" w:rsidRDefault="007F5353">
            <w:pPr>
              <w:jc w:val="right"/>
              <w:rPr>
                <w:rFonts w:eastAsia="Times New Roman"/>
                <w:sz w:val="20"/>
                <w:szCs w:val="20"/>
              </w:rPr>
            </w:pPr>
            <w:r>
              <w:rPr>
                <w:rFonts w:eastAsia="Times New Roman"/>
                <w:sz w:val="20"/>
                <w:szCs w:val="20"/>
              </w:rPr>
              <w:t>287,601</w:t>
            </w:r>
          </w:p>
        </w:tc>
        <w:tc>
          <w:tcPr>
            <w:tcW w:w="0" w:type="auto"/>
            <w:shd w:val="clear" w:color="auto" w:fill="FFFFFF"/>
            <w:vAlign w:val="bottom"/>
            <w:hideMark/>
          </w:tcPr>
          <w:p w14:paraId="0AD85EED" w14:textId="77777777" w:rsidR="00000000" w:rsidRDefault="007F5353">
            <w:pPr>
              <w:rPr>
                <w:rFonts w:eastAsia="Times New Roman"/>
                <w:sz w:val="20"/>
                <w:szCs w:val="20"/>
              </w:rPr>
            </w:pPr>
            <w:r>
              <w:rPr>
                <w:rFonts w:eastAsia="Times New Roman"/>
                <w:sz w:val="20"/>
                <w:szCs w:val="20"/>
              </w:rPr>
              <w:t> </w:t>
            </w:r>
          </w:p>
        </w:tc>
      </w:tr>
      <w:tr w:rsidR="00000000" w14:paraId="1D356B38" w14:textId="77777777">
        <w:tc>
          <w:tcPr>
            <w:tcW w:w="0" w:type="auto"/>
            <w:shd w:val="clear" w:color="auto" w:fill="CCEEFF"/>
            <w:vAlign w:val="bottom"/>
            <w:hideMark/>
          </w:tcPr>
          <w:p w14:paraId="094928DC" w14:textId="77777777" w:rsidR="00000000" w:rsidRDefault="007F5353">
            <w:pPr>
              <w:rPr>
                <w:rFonts w:eastAsia="Times New Roman"/>
                <w:b/>
                <w:bCs/>
                <w:sz w:val="20"/>
                <w:szCs w:val="20"/>
              </w:rPr>
            </w:pPr>
            <w:r>
              <w:rPr>
                <w:rFonts w:eastAsia="Times New Roman"/>
                <w:b/>
                <w:bCs/>
                <w:sz w:val="20"/>
                <w:szCs w:val="20"/>
              </w:rPr>
              <w:t>Total Current Assets</w:t>
            </w:r>
          </w:p>
        </w:tc>
        <w:tc>
          <w:tcPr>
            <w:tcW w:w="0" w:type="auto"/>
            <w:shd w:val="clear" w:color="auto" w:fill="CCEEFF"/>
            <w:vAlign w:val="bottom"/>
            <w:hideMark/>
          </w:tcPr>
          <w:p w14:paraId="56B134F8"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749FF02"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CC8E5AB" w14:textId="77777777" w:rsidR="00000000" w:rsidRDefault="007F5353">
            <w:pPr>
              <w:jc w:val="right"/>
              <w:rPr>
                <w:rFonts w:eastAsia="Times New Roman"/>
                <w:b/>
                <w:bCs/>
                <w:sz w:val="20"/>
                <w:szCs w:val="20"/>
              </w:rPr>
            </w:pPr>
            <w:r>
              <w:rPr>
                <w:rFonts w:eastAsia="Times New Roman"/>
                <w:b/>
                <w:bCs/>
                <w:sz w:val="20"/>
                <w:szCs w:val="20"/>
              </w:rPr>
              <w:t>622,351</w:t>
            </w:r>
          </w:p>
        </w:tc>
        <w:tc>
          <w:tcPr>
            <w:tcW w:w="0" w:type="auto"/>
            <w:shd w:val="clear" w:color="auto" w:fill="CCEEFF"/>
            <w:vAlign w:val="bottom"/>
            <w:hideMark/>
          </w:tcPr>
          <w:p w14:paraId="621F80D9"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D9EF9B8"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6DEEF7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3195B087" w14:textId="77777777" w:rsidR="00000000" w:rsidRDefault="007F5353">
            <w:pPr>
              <w:jc w:val="right"/>
              <w:rPr>
                <w:rFonts w:eastAsia="Times New Roman"/>
                <w:b/>
                <w:bCs/>
                <w:sz w:val="20"/>
                <w:szCs w:val="20"/>
              </w:rPr>
            </w:pPr>
            <w:r>
              <w:rPr>
                <w:rFonts w:eastAsia="Times New Roman"/>
                <w:b/>
                <w:bCs/>
                <w:sz w:val="20"/>
                <w:szCs w:val="20"/>
              </w:rPr>
              <w:t>289,765</w:t>
            </w:r>
          </w:p>
        </w:tc>
        <w:tc>
          <w:tcPr>
            <w:tcW w:w="0" w:type="auto"/>
            <w:shd w:val="clear" w:color="auto" w:fill="CCEEFF"/>
            <w:vAlign w:val="bottom"/>
            <w:hideMark/>
          </w:tcPr>
          <w:p w14:paraId="56A1EE07" w14:textId="77777777" w:rsidR="00000000" w:rsidRDefault="007F5353">
            <w:pPr>
              <w:rPr>
                <w:rFonts w:eastAsia="Times New Roman"/>
                <w:b/>
                <w:bCs/>
                <w:sz w:val="20"/>
                <w:szCs w:val="20"/>
              </w:rPr>
            </w:pPr>
            <w:r>
              <w:rPr>
                <w:rFonts w:eastAsia="Times New Roman"/>
                <w:b/>
                <w:bCs/>
                <w:sz w:val="20"/>
                <w:szCs w:val="20"/>
              </w:rPr>
              <w:t> </w:t>
            </w:r>
          </w:p>
        </w:tc>
      </w:tr>
      <w:tr w:rsidR="00000000" w14:paraId="381E0C40" w14:textId="77777777">
        <w:tc>
          <w:tcPr>
            <w:tcW w:w="0" w:type="auto"/>
            <w:shd w:val="clear" w:color="auto" w:fill="FFFFFF"/>
            <w:vAlign w:val="bottom"/>
            <w:hideMark/>
          </w:tcPr>
          <w:p w14:paraId="255F13A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82562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30A1A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6BBC3"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4E333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0F4C6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F2BE3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784A07"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BCC6A8" w14:textId="77777777" w:rsidR="00000000" w:rsidRDefault="007F5353">
            <w:pPr>
              <w:rPr>
                <w:rFonts w:eastAsia="Times New Roman"/>
                <w:sz w:val="20"/>
                <w:szCs w:val="20"/>
              </w:rPr>
            </w:pPr>
            <w:r>
              <w:rPr>
                <w:rFonts w:eastAsia="Times New Roman"/>
                <w:sz w:val="20"/>
                <w:szCs w:val="20"/>
              </w:rPr>
              <w:t> </w:t>
            </w:r>
          </w:p>
        </w:tc>
      </w:tr>
      <w:tr w:rsidR="00000000" w14:paraId="1CB517E6" w14:textId="77777777">
        <w:tc>
          <w:tcPr>
            <w:tcW w:w="0" w:type="auto"/>
            <w:shd w:val="clear" w:color="auto" w:fill="CCEEFF"/>
            <w:vAlign w:val="bottom"/>
            <w:hideMark/>
          </w:tcPr>
          <w:p w14:paraId="73C8B868" w14:textId="77777777" w:rsidR="00000000" w:rsidRDefault="007F5353">
            <w:pPr>
              <w:rPr>
                <w:rFonts w:eastAsia="Times New Roman"/>
                <w:sz w:val="20"/>
                <w:szCs w:val="20"/>
              </w:rPr>
            </w:pPr>
            <w:r>
              <w:rPr>
                <w:rFonts w:eastAsia="Times New Roman"/>
                <w:sz w:val="20"/>
                <w:szCs w:val="20"/>
              </w:rPr>
              <w:t>Cash and Marketable Securities held in trust account</w:t>
            </w:r>
          </w:p>
        </w:tc>
        <w:tc>
          <w:tcPr>
            <w:tcW w:w="0" w:type="auto"/>
            <w:shd w:val="clear" w:color="auto" w:fill="CCEEFF"/>
            <w:vAlign w:val="bottom"/>
            <w:hideMark/>
          </w:tcPr>
          <w:p w14:paraId="765760B8"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26654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077CE8" w14:textId="77777777" w:rsidR="00000000" w:rsidRDefault="007F5353">
            <w:pPr>
              <w:jc w:val="right"/>
              <w:rPr>
                <w:rFonts w:eastAsia="Times New Roman"/>
                <w:sz w:val="20"/>
                <w:szCs w:val="20"/>
              </w:rPr>
            </w:pPr>
            <w:r>
              <w:rPr>
                <w:rFonts w:eastAsia="Times New Roman"/>
                <w:sz w:val="20"/>
                <w:szCs w:val="20"/>
              </w:rPr>
              <w:t>102,755,004</w:t>
            </w:r>
          </w:p>
        </w:tc>
        <w:tc>
          <w:tcPr>
            <w:tcW w:w="0" w:type="auto"/>
            <w:shd w:val="clear" w:color="auto" w:fill="CCEEFF"/>
            <w:vAlign w:val="bottom"/>
            <w:hideMark/>
          </w:tcPr>
          <w:p w14:paraId="7F4F814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1F9F6B"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3393E0"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BCE792"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B0C94CC" w14:textId="77777777" w:rsidR="00000000" w:rsidRDefault="007F5353">
            <w:pPr>
              <w:rPr>
                <w:rFonts w:eastAsia="Times New Roman"/>
                <w:sz w:val="20"/>
                <w:szCs w:val="20"/>
              </w:rPr>
            </w:pPr>
            <w:r>
              <w:rPr>
                <w:rFonts w:eastAsia="Times New Roman"/>
                <w:sz w:val="20"/>
                <w:szCs w:val="20"/>
              </w:rPr>
              <w:t> </w:t>
            </w:r>
          </w:p>
        </w:tc>
      </w:tr>
      <w:tr w:rsidR="00000000" w14:paraId="63CDFFF7" w14:textId="77777777">
        <w:tc>
          <w:tcPr>
            <w:tcW w:w="0" w:type="auto"/>
            <w:shd w:val="clear" w:color="auto" w:fill="FFFFFF"/>
            <w:vAlign w:val="bottom"/>
            <w:hideMark/>
          </w:tcPr>
          <w:p w14:paraId="6A62987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FD2C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C5724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D2BA3"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3FE80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4356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71450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1E625"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971A04" w14:textId="77777777" w:rsidR="00000000" w:rsidRDefault="007F5353">
            <w:pPr>
              <w:rPr>
                <w:rFonts w:eastAsia="Times New Roman"/>
                <w:sz w:val="20"/>
                <w:szCs w:val="20"/>
              </w:rPr>
            </w:pPr>
            <w:r>
              <w:rPr>
                <w:rFonts w:eastAsia="Times New Roman"/>
                <w:sz w:val="20"/>
                <w:szCs w:val="20"/>
              </w:rPr>
              <w:t> </w:t>
            </w:r>
          </w:p>
        </w:tc>
      </w:tr>
      <w:tr w:rsidR="00000000" w14:paraId="3BA7742F" w14:textId="77777777">
        <w:tc>
          <w:tcPr>
            <w:tcW w:w="0" w:type="auto"/>
            <w:shd w:val="clear" w:color="auto" w:fill="CCEEFF"/>
            <w:vAlign w:val="bottom"/>
            <w:hideMark/>
          </w:tcPr>
          <w:p w14:paraId="70E191F3" w14:textId="77777777" w:rsidR="00000000" w:rsidRDefault="007F5353">
            <w:pPr>
              <w:rPr>
                <w:rFonts w:eastAsia="Times New Roman"/>
                <w:b/>
                <w:bCs/>
                <w:sz w:val="20"/>
                <w:szCs w:val="20"/>
              </w:rPr>
            </w:pPr>
            <w:r>
              <w:rPr>
                <w:rFonts w:eastAsia="Times New Roman"/>
                <w:b/>
                <w:bCs/>
                <w:sz w:val="20"/>
                <w:szCs w:val="20"/>
              </w:rPr>
              <w:t>Total Assets</w:t>
            </w:r>
          </w:p>
        </w:tc>
        <w:tc>
          <w:tcPr>
            <w:tcW w:w="0" w:type="auto"/>
            <w:shd w:val="clear" w:color="auto" w:fill="CCEEFF"/>
            <w:vAlign w:val="bottom"/>
            <w:hideMark/>
          </w:tcPr>
          <w:p w14:paraId="18A914B6"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98C404B"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48B3D3D" w14:textId="77777777" w:rsidR="00000000" w:rsidRDefault="007F5353">
            <w:pPr>
              <w:jc w:val="right"/>
              <w:rPr>
                <w:rFonts w:eastAsia="Times New Roman"/>
                <w:b/>
                <w:bCs/>
                <w:sz w:val="20"/>
                <w:szCs w:val="20"/>
              </w:rPr>
            </w:pPr>
            <w:r>
              <w:rPr>
                <w:rFonts w:eastAsia="Times New Roman"/>
                <w:b/>
                <w:bCs/>
                <w:sz w:val="20"/>
                <w:szCs w:val="20"/>
              </w:rPr>
              <w:t>103,377,355</w:t>
            </w:r>
          </w:p>
        </w:tc>
        <w:tc>
          <w:tcPr>
            <w:tcW w:w="0" w:type="auto"/>
            <w:shd w:val="clear" w:color="auto" w:fill="CCEEFF"/>
            <w:vAlign w:val="bottom"/>
            <w:hideMark/>
          </w:tcPr>
          <w:p w14:paraId="6CB90547"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10C76DF"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6390914"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751E035A" w14:textId="77777777" w:rsidR="00000000" w:rsidRDefault="007F5353">
            <w:pPr>
              <w:jc w:val="right"/>
              <w:rPr>
                <w:rFonts w:eastAsia="Times New Roman"/>
                <w:b/>
                <w:bCs/>
                <w:sz w:val="20"/>
                <w:szCs w:val="20"/>
              </w:rPr>
            </w:pPr>
            <w:r>
              <w:rPr>
                <w:rFonts w:eastAsia="Times New Roman"/>
                <w:b/>
                <w:bCs/>
                <w:sz w:val="20"/>
                <w:szCs w:val="20"/>
              </w:rPr>
              <w:t>289,765</w:t>
            </w:r>
          </w:p>
        </w:tc>
        <w:tc>
          <w:tcPr>
            <w:tcW w:w="0" w:type="auto"/>
            <w:shd w:val="clear" w:color="auto" w:fill="CCEEFF"/>
            <w:vAlign w:val="bottom"/>
            <w:hideMark/>
          </w:tcPr>
          <w:p w14:paraId="1B7391A7" w14:textId="77777777" w:rsidR="00000000" w:rsidRDefault="007F5353">
            <w:pPr>
              <w:rPr>
                <w:rFonts w:eastAsia="Times New Roman"/>
                <w:b/>
                <w:bCs/>
                <w:sz w:val="20"/>
                <w:szCs w:val="20"/>
              </w:rPr>
            </w:pPr>
            <w:r>
              <w:rPr>
                <w:rFonts w:eastAsia="Times New Roman"/>
                <w:b/>
                <w:bCs/>
                <w:sz w:val="20"/>
                <w:szCs w:val="20"/>
              </w:rPr>
              <w:t> </w:t>
            </w:r>
          </w:p>
        </w:tc>
      </w:tr>
      <w:tr w:rsidR="00000000" w14:paraId="111616F4" w14:textId="77777777">
        <w:tc>
          <w:tcPr>
            <w:tcW w:w="0" w:type="auto"/>
            <w:shd w:val="clear" w:color="auto" w:fill="FFFFFF"/>
            <w:vAlign w:val="bottom"/>
            <w:hideMark/>
          </w:tcPr>
          <w:p w14:paraId="2220F19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E1D2E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64AA9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F1C91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BD17F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DC5B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7970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5B0B85"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D5A48B" w14:textId="77777777" w:rsidR="00000000" w:rsidRDefault="007F5353">
            <w:pPr>
              <w:rPr>
                <w:rFonts w:eastAsia="Times New Roman"/>
                <w:sz w:val="20"/>
                <w:szCs w:val="20"/>
              </w:rPr>
            </w:pPr>
            <w:r>
              <w:rPr>
                <w:rFonts w:eastAsia="Times New Roman"/>
                <w:sz w:val="20"/>
                <w:szCs w:val="20"/>
              </w:rPr>
              <w:t> </w:t>
            </w:r>
          </w:p>
        </w:tc>
      </w:tr>
      <w:tr w:rsidR="00000000" w14:paraId="0B4B677E" w14:textId="77777777">
        <w:tc>
          <w:tcPr>
            <w:tcW w:w="0" w:type="auto"/>
            <w:shd w:val="clear" w:color="auto" w:fill="CCEEFF"/>
            <w:vAlign w:val="bottom"/>
            <w:hideMark/>
          </w:tcPr>
          <w:p w14:paraId="177B59CC" w14:textId="77777777" w:rsidR="00000000" w:rsidRDefault="007F5353">
            <w:pPr>
              <w:rPr>
                <w:rFonts w:eastAsia="Times New Roman"/>
                <w:b/>
                <w:bCs/>
                <w:sz w:val="20"/>
                <w:szCs w:val="20"/>
              </w:rPr>
            </w:pPr>
            <w:r>
              <w:rPr>
                <w:rFonts w:eastAsia="Times New Roman"/>
                <w:b/>
                <w:bCs/>
                <w:sz w:val="20"/>
                <w:szCs w:val="20"/>
              </w:rPr>
              <w:t>LIABILITIES AND SHAREHOLDERS’ EQUITY (DEFICIT)</w:t>
            </w:r>
          </w:p>
        </w:tc>
        <w:tc>
          <w:tcPr>
            <w:tcW w:w="0" w:type="auto"/>
            <w:shd w:val="clear" w:color="auto" w:fill="CCEEFF"/>
            <w:vAlign w:val="bottom"/>
            <w:hideMark/>
          </w:tcPr>
          <w:p w14:paraId="7230A1B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851E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9F657"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DC13A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B331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145E3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6E2716"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BDE540E" w14:textId="77777777" w:rsidR="00000000" w:rsidRDefault="007F5353">
            <w:pPr>
              <w:rPr>
                <w:rFonts w:eastAsia="Times New Roman"/>
                <w:sz w:val="20"/>
                <w:szCs w:val="20"/>
              </w:rPr>
            </w:pPr>
            <w:r>
              <w:rPr>
                <w:rFonts w:eastAsia="Times New Roman"/>
                <w:sz w:val="20"/>
                <w:szCs w:val="20"/>
              </w:rPr>
              <w:t> </w:t>
            </w:r>
          </w:p>
        </w:tc>
      </w:tr>
      <w:tr w:rsidR="00000000" w14:paraId="6F33D441" w14:textId="77777777">
        <w:tc>
          <w:tcPr>
            <w:tcW w:w="0" w:type="auto"/>
            <w:shd w:val="clear" w:color="auto" w:fill="FFFFFF"/>
            <w:vAlign w:val="bottom"/>
            <w:hideMark/>
          </w:tcPr>
          <w:p w14:paraId="66CE0E69" w14:textId="77777777" w:rsidR="00000000" w:rsidRDefault="007F5353">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0A0BB07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E2C7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7C732C"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5B43C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43758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00358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123717"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D825ED" w14:textId="77777777" w:rsidR="00000000" w:rsidRDefault="007F5353">
            <w:pPr>
              <w:rPr>
                <w:rFonts w:eastAsia="Times New Roman"/>
                <w:sz w:val="20"/>
                <w:szCs w:val="20"/>
              </w:rPr>
            </w:pPr>
            <w:r>
              <w:rPr>
                <w:rFonts w:eastAsia="Times New Roman"/>
                <w:sz w:val="20"/>
                <w:szCs w:val="20"/>
              </w:rPr>
              <w:t> </w:t>
            </w:r>
          </w:p>
        </w:tc>
      </w:tr>
      <w:tr w:rsidR="00000000" w14:paraId="0C6E7062" w14:textId="77777777">
        <w:tc>
          <w:tcPr>
            <w:tcW w:w="0" w:type="auto"/>
            <w:shd w:val="clear" w:color="auto" w:fill="CCEEFF"/>
            <w:vAlign w:val="bottom"/>
            <w:hideMark/>
          </w:tcPr>
          <w:p w14:paraId="3262B5AE" w14:textId="77777777" w:rsidR="00000000" w:rsidRDefault="007F5353">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14:paraId="0FE095A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8E48E" w14:textId="77777777" w:rsidR="00000000" w:rsidRDefault="007F5353">
            <w:pPr>
              <w:rPr>
                <w:rFonts w:eastAsia="Times New Roman"/>
                <w:sz w:val="20"/>
                <w:szCs w:val="20"/>
              </w:rPr>
            </w:pPr>
            <w:r>
              <w:rPr>
                <w:rFonts w:eastAsia="Times New Roman"/>
                <w:sz w:val="20"/>
                <w:szCs w:val="20"/>
              </w:rPr>
              <w:t>$</w:t>
            </w:r>
          </w:p>
        </w:tc>
        <w:tc>
          <w:tcPr>
            <w:tcW w:w="0" w:type="auto"/>
            <w:shd w:val="clear" w:color="auto" w:fill="CCEEFF"/>
            <w:vAlign w:val="bottom"/>
            <w:hideMark/>
          </w:tcPr>
          <w:p w14:paraId="5CC4F5B9" w14:textId="77777777" w:rsidR="00000000" w:rsidRDefault="007F5353">
            <w:pPr>
              <w:jc w:val="right"/>
              <w:rPr>
                <w:rFonts w:eastAsia="Times New Roman"/>
                <w:sz w:val="20"/>
                <w:szCs w:val="20"/>
              </w:rPr>
            </w:pPr>
            <w:r>
              <w:rPr>
                <w:rFonts w:eastAsia="Times New Roman"/>
                <w:sz w:val="20"/>
                <w:szCs w:val="20"/>
              </w:rPr>
              <w:t>140,315</w:t>
            </w:r>
          </w:p>
        </w:tc>
        <w:tc>
          <w:tcPr>
            <w:tcW w:w="0" w:type="auto"/>
            <w:shd w:val="clear" w:color="auto" w:fill="CCEEFF"/>
            <w:vAlign w:val="bottom"/>
            <w:hideMark/>
          </w:tcPr>
          <w:p w14:paraId="0B13A7C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7600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CB6F89" w14:textId="77777777" w:rsidR="00000000" w:rsidRDefault="007F5353">
            <w:pPr>
              <w:rPr>
                <w:rFonts w:eastAsia="Times New Roman"/>
                <w:sz w:val="20"/>
                <w:szCs w:val="20"/>
              </w:rPr>
            </w:pPr>
            <w:r>
              <w:rPr>
                <w:rFonts w:eastAsia="Times New Roman"/>
                <w:sz w:val="20"/>
                <w:szCs w:val="20"/>
              </w:rPr>
              <w:t>$</w:t>
            </w:r>
          </w:p>
        </w:tc>
        <w:tc>
          <w:tcPr>
            <w:tcW w:w="0" w:type="auto"/>
            <w:shd w:val="clear" w:color="auto" w:fill="CCEEFF"/>
            <w:vAlign w:val="bottom"/>
            <w:hideMark/>
          </w:tcPr>
          <w:p w14:paraId="5282E529" w14:textId="77777777" w:rsidR="00000000" w:rsidRDefault="007F5353">
            <w:pPr>
              <w:jc w:val="right"/>
              <w:rPr>
                <w:rFonts w:eastAsia="Times New Roman"/>
                <w:sz w:val="20"/>
                <w:szCs w:val="20"/>
              </w:rPr>
            </w:pPr>
            <w:r>
              <w:rPr>
                <w:rFonts w:eastAsia="Times New Roman"/>
                <w:sz w:val="20"/>
                <w:szCs w:val="20"/>
              </w:rPr>
              <w:t>151,503</w:t>
            </w:r>
          </w:p>
        </w:tc>
        <w:tc>
          <w:tcPr>
            <w:tcW w:w="0" w:type="auto"/>
            <w:shd w:val="clear" w:color="auto" w:fill="CCEEFF"/>
            <w:vAlign w:val="bottom"/>
            <w:hideMark/>
          </w:tcPr>
          <w:p w14:paraId="029E429F" w14:textId="77777777" w:rsidR="00000000" w:rsidRDefault="007F5353">
            <w:pPr>
              <w:rPr>
                <w:rFonts w:eastAsia="Times New Roman"/>
                <w:sz w:val="20"/>
                <w:szCs w:val="20"/>
              </w:rPr>
            </w:pPr>
            <w:r>
              <w:rPr>
                <w:rFonts w:eastAsia="Times New Roman"/>
                <w:sz w:val="20"/>
                <w:szCs w:val="20"/>
              </w:rPr>
              <w:t> </w:t>
            </w:r>
          </w:p>
        </w:tc>
      </w:tr>
      <w:tr w:rsidR="00000000" w14:paraId="217888B4" w14:textId="77777777">
        <w:tc>
          <w:tcPr>
            <w:tcW w:w="0" w:type="auto"/>
            <w:shd w:val="clear" w:color="auto" w:fill="FFFFFF"/>
            <w:vAlign w:val="bottom"/>
            <w:hideMark/>
          </w:tcPr>
          <w:p w14:paraId="03DA0FF0" w14:textId="77777777" w:rsidR="00000000" w:rsidRDefault="007F5353">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14:paraId="5FA2145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F4087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F641AF" w14:textId="77777777" w:rsidR="00000000" w:rsidRDefault="007F5353">
            <w:pPr>
              <w:jc w:val="right"/>
              <w:rPr>
                <w:rFonts w:eastAsia="Times New Roman"/>
                <w:sz w:val="20"/>
                <w:szCs w:val="20"/>
              </w:rPr>
            </w:pPr>
            <w:r>
              <w:rPr>
                <w:rFonts w:eastAsia="Times New Roman"/>
                <w:sz w:val="20"/>
                <w:szCs w:val="20"/>
              </w:rPr>
              <w:t>7,500</w:t>
            </w:r>
          </w:p>
        </w:tc>
        <w:tc>
          <w:tcPr>
            <w:tcW w:w="0" w:type="auto"/>
            <w:shd w:val="clear" w:color="auto" w:fill="FFFFFF"/>
            <w:vAlign w:val="bottom"/>
            <w:hideMark/>
          </w:tcPr>
          <w:p w14:paraId="5D4298B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A4D0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A9CA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787D99"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C7722A3" w14:textId="77777777" w:rsidR="00000000" w:rsidRDefault="007F5353">
            <w:pPr>
              <w:rPr>
                <w:rFonts w:eastAsia="Times New Roman"/>
                <w:sz w:val="20"/>
                <w:szCs w:val="20"/>
              </w:rPr>
            </w:pPr>
            <w:r>
              <w:rPr>
                <w:rFonts w:eastAsia="Times New Roman"/>
                <w:sz w:val="20"/>
                <w:szCs w:val="20"/>
              </w:rPr>
              <w:t> </w:t>
            </w:r>
          </w:p>
        </w:tc>
      </w:tr>
      <w:tr w:rsidR="00000000" w14:paraId="06EA2A66" w14:textId="77777777">
        <w:tc>
          <w:tcPr>
            <w:tcW w:w="0" w:type="auto"/>
            <w:shd w:val="clear" w:color="auto" w:fill="CCEEFF"/>
            <w:vAlign w:val="bottom"/>
            <w:hideMark/>
          </w:tcPr>
          <w:p w14:paraId="282131CA" w14:textId="77777777" w:rsidR="00000000" w:rsidRDefault="007F5353">
            <w:pPr>
              <w:rPr>
                <w:rFonts w:eastAsia="Times New Roman"/>
                <w:sz w:val="20"/>
                <w:szCs w:val="20"/>
              </w:rPr>
            </w:pPr>
            <w:r>
              <w:rPr>
                <w:rFonts w:eastAsia="Times New Roman"/>
                <w:sz w:val="20"/>
                <w:szCs w:val="20"/>
              </w:rPr>
              <w:t>Promissory note – related party</w:t>
            </w:r>
          </w:p>
        </w:tc>
        <w:tc>
          <w:tcPr>
            <w:tcW w:w="0" w:type="auto"/>
            <w:shd w:val="clear" w:color="auto" w:fill="CCEEFF"/>
            <w:vAlign w:val="bottom"/>
            <w:hideMark/>
          </w:tcPr>
          <w:p w14:paraId="1C7FE867"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037EF9"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2B0235"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C00668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69F029"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2F0154"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52C258" w14:textId="77777777" w:rsidR="00000000" w:rsidRDefault="007F5353">
            <w:pPr>
              <w:jc w:val="right"/>
              <w:rPr>
                <w:rFonts w:eastAsia="Times New Roman"/>
                <w:sz w:val="20"/>
                <w:szCs w:val="20"/>
              </w:rPr>
            </w:pPr>
            <w:r>
              <w:rPr>
                <w:rFonts w:eastAsia="Times New Roman"/>
                <w:sz w:val="20"/>
                <w:szCs w:val="20"/>
              </w:rPr>
              <w:t>133,357</w:t>
            </w:r>
          </w:p>
        </w:tc>
        <w:tc>
          <w:tcPr>
            <w:tcW w:w="0" w:type="auto"/>
            <w:shd w:val="clear" w:color="auto" w:fill="CCEEFF"/>
            <w:vAlign w:val="bottom"/>
            <w:hideMark/>
          </w:tcPr>
          <w:p w14:paraId="00F660BF" w14:textId="77777777" w:rsidR="00000000" w:rsidRDefault="007F5353">
            <w:pPr>
              <w:rPr>
                <w:rFonts w:eastAsia="Times New Roman"/>
                <w:sz w:val="20"/>
                <w:szCs w:val="20"/>
              </w:rPr>
            </w:pPr>
            <w:r>
              <w:rPr>
                <w:rFonts w:eastAsia="Times New Roman"/>
                <w:sz w:val="20"/>
                <w:szCs w:val="20"/>
              </w:rPr>
              <w:t> </w:t>
            </w:r>
          </w:p>
        </w:tc>
      </w:tr>
      <w:tr w:rsidR="00000000" w14:paraId="1AFFE87F" w14:textId="77777777">
        <w:tc>
          <w:tcPr>
            <w:tcW w:w="0" w:type="auto"/>
            <w:shd w:val="clear" w:color="auto" w:fill="FFFFFF"/>
            <w:vAlign w:val="bottom"/>
            <w:hideMark/>
          </w:tcPr>
          <w:p w14:paraId="60694892" w14:textId="77777777" w:rsidR="00000000" w:rsidRDefault="007F5353">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14:paraId="4211F340"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5ADB71D"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456BDB6" w14:textId="77777777" w:rsidR="00000000" w:rsidRDefault="007F5353">
            <w:pPr>
              <w:jc w:val="right"/>
              <w:rPr>
                <w:rFonts w:eastAsia="Times New Roman"/>
                <w:b/>
                <w:bCs/>
                <w:sz w:val="20"/>
                <w:szCs w:val="20"/>
              </w:rPr>
            </w:pPr>
            <w:r>
              <w:rPr>
                <w:rFonts w:eastAsia="Times New Roman"/>
                <w:b/>
                <w:bCs/>
                <w:sz w:val="20"/>
                <w:szCs w:val="20"/>
              </w:rPr>
              <w:t>147,815</w:t>
            </w:r>
          </w:p>
        </w:tc>
        <w:tc>
          <w:tcPr>
            <w:tcW w:w="0" w:type="auto"/>
            <w:shd w:val="clear" w:color="auto" w:fill="FFFFFF"/>
            <w:vAlign w:val="bottom"/>
            <w:hideMark/>
          </w:tcPr>
          <w:p w14:paraId="7EB8B15A"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E78B96B"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86DEAC1"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BD3C063" w14:textId="77777777" w:rsidR="00000000" w:rsidRDefault="007F5353">
            <w:pPr>
              <w:jc w:val="right"/>
              <w:rPr>
                <w:rFonts w:eastAsia="Times New Roman"/>
                <w:b/>
                <w:bCs/>
                <w:sz w:val="20"/>
                <w:szCs w:val="20"/>
              </w:rPr>
            </w:pPr>
            <w:r>
              <w:rPr>
                <w:rFonts w:eastAsia="Times New Roman"/>
                <w:b/>
                <w:bCs/>
                <w:sz w:val="20"/>
                <w:szCs w:val="20"/>
              </w:rPr>
              <w:t>284,860</w:t>
            </w:r>
          </w:p>
        </w:tc>
        <w:tc>
          <w:tcPr>
            <w:tcW w:w="0" w:type="auto"/>
            <w:shd w:val="clear" w:color="auto" w:fill="FFFFFF"/>
            <w:vAlign w:val="bottom"/>
            <w:hideMark/>
          </w:tcPr>
          <w:p w14:paraId="45885A60" w14:textId="77777777" w:rsidR="00000000" w:rsidRDefault="007F5353">
            <w:pPr>
              <w:rPr>
                <w:rFonts w:eastAsia="Times New Roman"/>
                <w:b/>
                <w:bCs/>
                <w:sz w:val="20"/>
                <w:szCs w:val="20"/>
              </w:rPr>
            </w:pPr>
            <w:r>
              <w:rPr>
                <w:rFonts w:eastAsia="Times New Roman"/>
                <w:b/>
                <w:bCs/>
                <w:sz w:val="20"/>
                <w:szCs w:val="20"/>
              </w:rPr>
              <w:t> </w:t>
            </w:r>
          </w:p>
        </w:tc>
      </w:tr>
      <w:tr w:rsidR="00000000" w14:paraId="37360D63" w14:textId="77777777">
        <w:tc>
          <w:tcPr>
            <w:tcW w:w="0" w:type="auto"/>
            <w:shd w:val="clear" w:color="auto" w:fill="CCEEFF"/>
            <w:vAlign w:val="bottom"/>
            <w:hideMark/>
          </w:tcPr>
          <w:p w14:paraId="66871EE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B8C0A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C2DC5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BFF7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D4A73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1EBB4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042AC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EACC4C"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AC4093" w14:textId="77777777" w:rsidR="00000000" w:rsidRDefault="007F5353">
            <w:pPr>
              <w:rPr>
                <w:rFonts w:eastAsia="Times New Roman"/>
                <w:sz w:val="20"/>
                <w:szCs w:val="20"/>
              </w:rPr>
            </w:pPr>
            <w:r>
              <w:rPr>
                <w:rFonts w:eastAsia="Times New Roman"/>
                <w:sz w:val="20"/>
                <w:szCs w:val="20"/>
              </w:rPr>
              <w:t> </w:t>
            </w:r>
          </w:p>
        </w:tc>
      </w:tr>
      <w:tr w:rsidR="00000000" w14:paraId="30AFE0EB" w14:textId="77777777">
        <w:tc>
          <w:tcPr>
            <w:tcW w:w="0" w:type="auto"/>
            <w:shd w:val="clear" w:color="auto" w:fill="FFFFFF"/>
            <w:vAlign w:val="bottom"/>
            <w:hideMark/>
          </w:tcPr>
          <w:p w14:paraId="2FAC5B78" w14:textId="77777777" w:rsidR="00000000" w:rsidRDefault="007F5353">
            <w:pPr>
              <w:rPr>
                <w:rFonts w:eastAsia="Times New Roman"/>
                <w:sz w:val="20"/>
                <w:szCs w:val="20"/>
              </w:rPr>
            </w:pPr>
            <w:r>
              <w:rPr>
                <w:rFonts w:eastAsia="Times New Roman"/>
                <w:sz w:val="20"/>
                <w:szCs w:val="20"/>
              </w:rPr>
              <w:t>Deferred underwriter commission</w:t>
            </w:r>
          </w:p>
        </w:tc>
        <w:tc>
          <w:tcPr>
            <w:tcW w:w="0" w:type="auto"/>
            <w:shd w:val="clear" w:color="auto" w:fill="FFFFFF"/>
            <w:vAlign w:val="bottom"/>
            <w:hideMark/>
          </w:tcPr>
          <w:p w14:paraId="023DCF8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F4C1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267389" w14:textId="77777777" w:rsidR="00000000" w:rsidRDefault="007F5353">
            <w:pPr>
              <w:jc w:val="right"/>
              <w:rPr>
                <w:rFonts w:eastAsia="Times New Roman"/>
                <w:sz w:val="20"/>
                <w:szCs w:val="20"/>
              </w:rPr>
            </w:pPr>
            <w:r>
              <w:rPr>
                <w:rFonts w:eastAsia="Times New Roman"/>
                <w:sz w:val="20"/>
                <w:szCs w:val="20"/>
              </w:rPr>
              <w:t>3,555,674</w:t>
            </w:r>
          </w:p>
        </w:tc>
        <w:tc>
          <w:tcPr>
            <w:tcW w:w="0" w:type="auto"/>
            <w:shd w:val="clear" w:color="auto" w:fill="FFFFFF"/>
            <w:vAlign w:val="bottom"/>
            <w:hideMark/>
          </w:tcPr>
          <w:p w14:paraId="1F2B183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4C36A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DA054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0A4A3E"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5CEFC3F" w14:textId="77777777" w:rsidR="00000000" w:rsidRDefault="007F5353">
            <w:pPr>
              <w:rPr>
                <w:rFonts w:eastAsia="Times New Roman"/>
                <w:sz w:val="20"/>
                <w:szCs w:val="20"/>
              </w:rPr>
            </w:pPr>
            <w:r>
              <w:rPr>
                <w:rFonts w:eastAsia="Times New Roman"/>
                <w:sz w:val="20"/>
                <w:szCs w:val="20"/>
              </w:rPr>
              <w:t> </w:t>
            </w:r>
          </w:p>
        </w:tc>
      </w:tr>
      <w:tr w:rsidR="00000000" w14:paraId="054C33F7" w14:textId="77777777">
        <w:tc>
          <w:tcPr>
            <w:tcW w:w="0" w:type="auto"/>
            <w:shd w:val="clear" w:color="auto" w:fill="CCEEFF"/>
            <w:vAlign w:val="bottom"/>
            <w:hideMark/>
          </w:tcPr>
          <w:p w14:paraId="66545DA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9B80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3658D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F9DCBC"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95E27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1E356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40E3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1D3E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7BB3E28" w14:textId="77777777" w:rsidR="00000000" w:rsidRDefault="007F5353">
            <w:pPr>
              <w:rPr>
                <w:rFonts w:eastAsia="Times New Roman"/>
                <w:sz w:val="20"/>
                <w:szCs w:val="20"/>
              </w:rPr>
            </w:pPr>
            <w:r>
              <w:rPr>
                <w:rFonts w:eastAsia="Times New Roman"/>
                <w:sz w:val="20"/>
                <w:szCs w:val="20"/>
              </w:rPr>
              <w:t> </w:t>
            </w:r>
          </w:p>
        </w:tc>
      </w:tr>
      <w:tr w:rsidR="00000000" w14:paraId="4C6B6353" w14:textId="77777777">
        <w:tc>
          <w:tcPr>
            <w:tcW w:w="0" w:type="auto"/>
            <w:shd w:val="clear" w:color="auto" w:fill="FFFFFF"/>
            <w:vAlign w:val="bottom"/>
            <w:hideMark/>
          </w:tcPr>
          <w:p w14:paraId="57723D62" w14:textId="77777777" w:rsidR="00000000" w:rsidRDefault="007F5353">
            <w:pPr>
              <w:rPr>
                <w:rFonts w:eastAsia="Times New Roman"/>
                <w:b/>
                <w:bCs/>
                <w:sz w:val="20"/>
                <w:szCs w:val="20"/>
              </w:rPr>
            </w:pPr>
            <w:r>
              <w:rPr>
                <w:rFonts w:eastAsia="Times New Roman"/>
                <w:b/>
                <w:bCs/>
                <w:sz w:val="20"/>
                <w:szCs w:val="20"/>
              </w:rPr>
              <w:t>Total Liabilities</w:t>
            </w:r>
          </w:p>
        </w:tc>
        <w:tc>
          <w:tcPr>
            <w:tcW w:w="0" w:type="auto"/>
            <w:shd w:val="clear" w:color="auto" w:fill="FFFFFF"/>
            <w:vAlign w:val="bottom"/>
            <w:hideMark/>
          </w:tcPr>
          <w:p w14:paraId="54A9AA5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0BF8F8B1"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69696867" w14:textId="77777777" w:rsidR="00000000" w:rsidRDefault="007F5353">
            <w:pPr>
              <w:jc w:val="right"/>
              <w:rPr>
                <w:rFonts w:eastAsia="Times New Roman"/>
                <w:b/>
                <w:bCs/>
                <w:sz w:val="20"/>
                <w:szCs w:val="20"/>
              </w:rPr>
            </w:pPr>
            <w:r>
              <w:rPr>
                <w:rFonts w:eastAsia="Times New Roman"/>
                <w:b/>
                <w:bCs/>
                <w:sz w:val="20"/>
                <w:szCs w:val="20"/>
              </w:rPr>
              <w:t>3,703,489</w:t>
            </w:r>
          </w:p>
        </w:tc>
        <w:tc>
          <w:tcPr>
            <w:tcW w:w="0" w:type="auto"/>
            <w:shd w:val="clear" w:color="auto" w:fill="FFFFFF"/>
            <w:vAlign w:val="bottom"/>
            <w:hideMark/>
          </w:tcPr>
          <w:p w14:paraId="0BD729E9"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86F981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4C2AE9B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2555349A" w14:textId="77777777" w:rsidR="00000000" w:rsidRDefault="007F5353">
            <w:pPr>
              <w:jc w:val="right"/>
              <w:rPr>
                <w:rFonts w:eastAsia="Times New Roman"/>
                <w:b/>
                <w:bCs/>
                <w:sz w:val="20"/>
                <w:szCs w:val="20"/>
              </w:rPr>
            </w:pPr>
            <w:r>
              <w:rPr>
                <w:rFonts w:eastAsia="Times New Roman"/>
                <w:b/>
                <w:bCs/>
                <w:sz w:val="20"/>
                <w:szCs w:val="20"/>
              </w:rPr>
              <w:t>284,860</w:t>
            </w:r>
          </w:p>
        </w:tc>
        <w:tc>
          <w:tcPr>
            <w:tcW w:w="0" w:type="auto"/>
            <w:shd w:val="clear" w:color="auto" w:fill="FFFFFF"/>
            <w:vAlign w:val="bottom"/>
            <w:hideMark/>
          </w:tcPr>
          <w:p w14:paraId="50CFBBFB" w14:textId="77777777" w:rsidR="00000000" w:rsidRDefault="007F5353">
            <w:pPr>
              <w:rPr>
                <w:rFonts w:eastAsia="Times New Roman"/>
                <w:b/>
                <w:bCs/>
                <w:sz w:val="20"/>
                <w:szCs w:val="20"/>
              </w:rPr>
            </w:pPr>
            <w:r>
              <w:rPr>
                <w:rFonts w:eastAsia="Times New Roman"/>
                <w:b/>
                <w:bCs/>
                <w:sz w:val="20"/>
                <w:szCs w:val="20"/>
              </w:rPr>
              <w:t> </w:t>
            </w:r>
          </w:p>
        </w:tc>
      </w:tr>
      <w:tr w:rsidR="00000000" w14:paraId="00DF5115" w14:textId="77777777">
        <w:tc>
          <w:tcPr>
            <w:tcW w:w="0" w:type="auto"/>
            <w:shd w:val="clear" w:color="auto" w:fill="CCEEFF"/>
            <w:vAlign w:val="bottom"/>
            <w:hideMark/>
          </w:tcPr>
          <w:p w14:paraId="4ECE4A8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D318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31A26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0BA51"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B6867E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67D94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0714A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B0AD7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FBF47D" w14:textId="77777777" w:rsidR="00000000" w:rsidRDefault="007F5353">
            <w:pPr>
              <w:rPr>
                <w:rFonts w:eastAsia="Times New Roman"/>
                <w:sz w:val="20"/>
                <w:szCs w:val="20"/>
              </w:rPr>
            </w:pPr>
            <w:r>
              <w:rPr>
                <w:rFonts w:eastAsia="Times New Roman"/>
                <w:sz w:val="20"/>
                <w:szCs w:val="20"/>
              </w:rPr>
              <w:t> </w:t>
            </w:r>
          </w:p>
        </w:tc>
      </w:tr>
      <w:tr w:rsidR="00000000" w14:paraId="2DB441F0" w14:textId="77777777">
        <w:tc>
          <w:tcPr>
            <w:tcW w:w="0" w:type="auto"/>
            <w:shd w:val="clear" w:color="auto" w:fill="FFFFFF"/>
            <w:vAlign w:val="bottom"/>
            <w:hideMark/>
          </w:tcPr>
          <w:p w14:paraId="123634E0" w14:textId="77777777" w:rsidR="00000000" w:rsidRDefault="007F5353">
            <w:pPr>
              <w:rPr>
                <w:rFonts w:eastAsia="Times New Roman"/>
                <w:b/>
                <w:bCs/>
                <w:sz w:val="20"/>
                <w:szCs w:val="20"/>
              </w:rPr>
            </w:pPr>
            <w:r>
              <w:rPr>
                <w:rFonts w:eastAsia="Times New Roman"/>
                <w:b/>
                <w:bCs/>
                <w:sz w:val="20"/>
                <w:szCs w:val="20"/>
              </w:rPr>
              <w:t>Commitments and Contingencies</w:t>
            </w:r>
          </w:p>
        </w:tc>
        <w:tc>
          <w:tcPr>
            <w:tcW w:w="0" w:type="auto"/>
            <w:shd w:val="clear" w:color="auto" w:fill="FFFFFF"/>
            <w:vAlign w:val="bottom"/>
            <w:hideMark/>
          </w:tcPr>
          <w:p w14:paraId="4497293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156FB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6BDFAE" w14:textId="77777777" w:rsidR="00000000" w:rsidRDefault="007F5353">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14:paraId="5870D72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B9F5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C4C6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AB109B"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A915BF" w14:textId="77777777" w:rsidR="00000000" w:rsidRDefault="007F5353">
            <w:pPr>
              <w:rPr>
                <w:rFonts w:eastAsia="Times New Roman"/>
                <w:sz w:val="20"/>
                <w:szCs w:val="20"/>
              </w:rPr>
            </w:pPr>
            <w:r>
              <w:rPr>
                <w:rFonts w:eastAsia="Times New Roman"/>
                <w:sz w:val="20"/>
                <w:szCs w:val="20"/>
              </w:rPr>
              <w:t> </w:t>
            </w:r>
          </w:p>
        </w:tc>
      </w:tr>
      <w:tr w:rsidR="00000000" w14:paraId="6BA4E3AB" w14:textId="77777777">
        <w:tc>
          <w:tcPr>
            <w:tcW w:w="0" w:type="auto"/>
            <w:shd w:val="clear" w:color="auto" w:fill="CCEEFF"/>
            <w:vAlign w:val="bottom"/>
            <w:hideMark/>
          </w:tcPr>
          <w:p w14:paraId="7752704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AA105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41841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753FD1"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1E307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36CCC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59DB6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440A90"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561D09" w14:textId="77777777" w:rsidR="00000000" w:rsidRDefault="007F5353">
            <w:pPr>
              <w:rPr>
                <w:rFonts w:eastAsia="Times New Roman"/>
                <w:sz w:val="20"/>
                <w:szCs w:val="20"/>
              </w:rPr>
            </w:pPr>
            <w:r>
              <w:rPr>
                <w:rFonts w:eastAsia="Times New Roman"/>
                <w:sz w:val="20"/>
                <w:szCs w:val="20"/>
              </w:rPr>
              <w:t> </w:t>
            </w:r>
          </w:p>
        </w:tc>
      </w:tr>
      <w:tr w:rsidR="00000000" w14:paraId="2C834BD7" w14:textId="77777777">
        <w:tc>
          <w:tcPr>
            <w:tcW w:w="0" w:type="auto"/>
            <w:shd w:val="clear" w:color="auto" w:fill="FFFFFF"/>
            <w:vAlign w:val="bottom"/>
            <w:hideMark/>
          </w:tcPr>
          <w:p w14:paraId="2FBF0BA3" w14:textId="77777777" w:rsidR="00000000" w:rsidRDefault="007F5353">
            <w:pPr>
              <w:rPr>
                <w:rFonts w:eastAsia="Times New Roman"/>
                <w:sz w:val="20"/>
                <w:szCs w:val="20"/>
              </w:rPr>
            </w:pPr>
            <w:r>
              <w:rPr>
                <w:rFonts w:eastAsia="Times New Roman"/>
                <w:sz w:val="20"/>
                <w:szCs w:val="20"/>
              </w:rPr>
              <w:t>Common Stock subject to possible redemption;</w:t>
            </w:r>
            <w:r>
              <w:rPr>
                <w:rFonts w:eastAsia="Times New Roman"/>
                <w:sz w:val="20"/>
                <w:szCs w:val="20"/>
              </w:rPr>
              <w:t xml:space="preserve"> </w:t>
            </w:r>
            <w:r>
              <w:rPr>
                <w:rFonts w:eastAsia="Times New Roman"/>
                <w:sz w:val="20"/>
                <w:szCs w:val="20"/>
              </w:rPr>
              <w:t>10,159,06</w:t>
            </w:r>
            <w:r>
              <w:rPr>
                <w:rFonts w:eastAsia="Times New Roman"/>
                <w:sz w:val="20"/>
                <w:szCs w:val="20"/>
              </w:rPr>
              <w:t>9</w:t>
            </w:r>
            <w:r>
              <w:rPr>
                <w:rFonts w:eastAsia="Times New Roman"/>
                <w:sz w:val="20"/>
                <w:szCs w:val="20"/>
              </w:rPr>
              <w:t xml:space="preserve"> shares (at </w:t>
            </w:r>
            <w:r>
              <w:rPr>
                <w:rFonts w:eastAsia="Times New Roman"/>
                <w:sz w:val="20"/>
                <w:szCs w:val="20"/>
              </w:rPr>
              <w:t>$</w:t>
            </w:r>
            <w:r>
              <w:rPr>
                <w:rFonts w:eastAsia="Times New Roman"/>
                <w:sz w:val="20"/>
                <w:szCs w:val="20"/>
              </w:rPr>
              <w:t>10.1</w:t>
            </w:r>
            <w:r>
              <w:rPr>
                <w:rFonts w:eastAsia="Times New Roman"/>
                <w:sz w:val="20"/>
                <w:szCs w:val="20"/>
              </w:rPr>
              <w:t>0</w:t>
            </w:r>
            <w:r>
              <w:rPr>
                <w:rFonts w:eastAsia="Times New Roman"/>
                <w:sz w:val="20"/>
                <w:szCs w:val="20"/>
              </w:rPr>
              <w:t xml:space="preserve"> per share)</w:t>
            </w:r>
          </w:p>
        </w:tc>
        <w:tc>
          <w:tcPr>
            <w:tcW w:w="0" w:type="auto"/>
            <w:shd w:val="clear" w:color="auto" w:fill="FFFFFF"/>
            <w:vAlign w:val="bottom"/>
            <w:hideMark/>
          </w:tcPr>
          <w:p w14:paraId="4F2E311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1D7CF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0127C" w14:textId="77777777" w:rsidR="00000000" w:rsidRDefault="007F5353">
            <w:pPr>
              <w:jc w:val="right"/>
              <w:rPr>
                <w:rFonts w:eastAsia="Times New Roman"/>
                <w:sz w:val="20"/>
                <w:szCs w:val="20"/>
              </w:rPr>
            </w:pPr>
            <w:r>
              <w:rPr>
                <w:rFonts w:eastAsia="Times New Roman"/>
                <w:sz w:val="20"/>
                <w:szCs w:val="20"/>
              </w:rPr>
              <w:t>102,606,597</w:t>
            </w:r>
          </w:p>
        </w:tc>
        <w:tc>
          <w:tcPr>
            <w:tcW w:w="0" w:type="auto"/>
            <w:shd w:val="clear" w:color="auto" w:fill="FFFFFF"/>
            <w:vAlign w:val="bottom"/>
            <w:hideMark/>
          </w:tcPr>
          <w:p w14:paraId="52E1D11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1F92C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4FEA2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D7145D"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C351C16" w14:textId="77777777" w:rsidR="00000000" w:rsidRDefault="007F5353">
            <w:pPr>
              <w:rPr>
                <w:rFonts w:eastAsia="Times New Roman"/>
                <w:sz w:val="20"/>
                <w:szCs w:val="20"/>
              </w:rPr>
            </w:pPr>
            <w:r>
              <w:rPr>
                <w:rFonts w:eastAsia="Times New Roman"/>
                <w:sz w:val="20"/>
                <w:szCs w:val="20"/>
              </w:rPr>
              <w:t> </w:t>
            </w:r>
          </w:p>
        </w:tc>
      </w:tr>
      <w:tr w:rsidR="00000000" w14:paraId="60C068ED" w14:textId="77777777">
        <w:tc>
          <w:tcPr>
            <w:tcW w:w="0" w:type="auto"/>
            <w:shd w:val="clear" w:color="auto" w:fill="CCEEFF"/>
            <w:vAlign w:val="bottom"/>
            <w:hideMark/>
          </w:tcPr>
          <w:p w14:paraId="4401346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43F6D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622C8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38312"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D83AA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5009B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0950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B2238E"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0AEA03" w14:textId="77777777" w:rsidR="00000000" w:rsidRDefault="007F5353">
            <w:pPr>
              <w:rPr>
                <w:rFonts w:eastAsia="Times New Roman"/>
                <w:sz w:val="20"/>
                <w:szCs w:val="20"/>
              </w:rPr>
            </w:pPr>
            <w:r>
              <w:rPr>
                <w:rFonts w:eastAsia="Times New Roman"/>
                <w:sz w:val="20"/>
                <w:szCs w:val="20"/>
              </w:rPr>
              <w:t> </w:t>
            </w:r>
          </w:p>
        </w:tc>
      </w:tr>
      <w:tr w:rsidR="00000000" w14:paraId="6488B2C8" w14:textId="77777777">
        <w:tc>
          <w:tcPr>
            <w:tcW w:w="0" w:type="auto"/>
            <w:shd w:val="clear" w:color="auto" w:fill="FFFFFF"/>
            <w:vAlign w:val="bottom"/>
            <w:hideMark/>
          </w:tcPr>
          <w:p w14:paraId="50864568" w14:textId="77777777" w:rsidR="00000000" w:rsidRDefault="007F5353">
            <w:pPr>
              <w:rPr>
                <w:rFonts w:eastAsia="Times New Roman"/>
                <w:b/>
                <w:bCs/>
                <w:sz w:val="20"/>
                <w:szCs w:val="20"/>
              </w:rPr>
            </w:pPr>
            <w:r>
              <w:rPr>
                <w:rFonts w:eastAsia="Times New Roman"/>
                <w:b/>
                <w:bCs/>
                <w:sz w:val="20"/>
                <w:szCs w:val="20"/>
              </w:rPr>
              <w:t>Shareholders’ Equity (Deficit)</w:t>
            </w:r>
          </w:p>
        </w:tc>
        <w:tc>
          <w:tcPr>
            <w:tcW w:w="0" w:type="auto"/>
            <w:shd w:val="clear" w:color="auto" w:fill="FFFFFF"/>
            <w:vAlign w:val="bottom"/>
            <w:hideMark/>
          </w:tcPr>
          <w:p w14:paraId="4A21838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C0406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730E74"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FE2E9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F2FE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ED75E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D1EA2E"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119B89" w14:textId="77777777" w:rsidR="00000000" w:rsidRDefault="007F5353">
            <w:pPr>
              <w:rPr>
                <w:rFonts w:eastAsia="Times New Roman"/>
                <w:sz w:val="20"/>
                <w:szCs w:val="20"/>
              </w:rPr>
            </w:pPr>
            <w:r>
              <w:rPr>
                <w:rFonts w:eastAsia="Times New Roman"/>
                <w:sz w:val="20"/>
                <w:szCs w:val="20"/>
              </w:rPr>
              <w:t> </w:t>
            </w:r>
          </w:p>
        </w:tc>
      </w:tr>
      <w:tr w:rsidR="00000000" w14:paraId="483EACBD" w14:textId="77777777">
        <w:tc>
          <w:tcPr>
            <w:tcW w:w="0" w:type="auto"/>
            <w:shd w:val="clear" w:color="auto" w:fill="CCEEFF"/>
            <w:vAlign w:val="bottom"/>
            <w:hideMark/>
          </w:tcPr>
          <w:p w14:paraId="6B3F7E97" w14:textId="77777777" w:rsidR="00000000" w:rsidRDefault="007F5353">
            <w:pPr>
              <w:rPr>
                <w:rFonts w:eastAsia="Times New Roman"/>
                <w:sz w:val="20"/>
                <w:szCs w:val="20"/>
              </w:rPr>
            </w:pPr>
            <w:r>
              <w:rPr>
                <w:rFonts w:eastAsia="Times New Roman"/>
                <w:sz w:val="20"/>
                <w:szCs w:val="20"/>
              </w:rPr>
              <w:t xml:space="preserve">Preference Shares,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w:t>
            </w:r>
            <w:r>
              <w:rPr>
                <w:rFonts w:eastAsia="Times New Roman"/>
                <w:sz w:val="20"/>
                <w:szCs w:val="20"/>
              </w:rPr>
              <w:t>0</w:t>
            </w:r>
            <w:r>
              <w:rPr>
                <w:rFonts w:eastAsia="Times New Roman"/>
                <w:sz w:val="20"/>
                <w:szCs w:val="20"/>
              </w:rPr>
              <w:t xml:space="preserve"> </w:t>
            </w:r>
            <w:r>
              <w:rPr>
                <w:rFonts w:eastAsia="Times New Roman"/>
                <w:sz w:val="20"/>
                <w:szCs w:val="20"/>
              </w:rPr>
              <w:t>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and outstanding</w:t>
            </w:r>
          </w:p>
        </w:tc>
        <w:tc>
          <w:tcPr>
            <w:tcW w:w="0" w:type="auto"/>
            <w:shd w:val="clear" w:color="auto" w:fill="CCEEFF"/>
            <w:vAlign w:val="bottom"/>
            <w:hideMark/>
          </w:tcPr>
          <w:p w14:paraId="7DE8622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BA4A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B96792"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C74D5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EFD66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123A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C1AFA1"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A7BBE42" w14:textId="77777777" w:rsidR="00000000" w:rsidRDefault="007F5353">
            <w:pPr>
              <w:rPr>
                <w:rFonts w:eastAsia="Times New Roman"/>
                <w:sz w:val="20"/>
                <w:szCs w:val="20"/>
              </w:rPr>
            </w:pPr>
            <w:r>
              <w:rPr>
                <w:rFonts w:eastAsia="Times New Roman"/>
                <w:sz w:val="20"/>
                <w:szCs w:val="20"/>
              </w:rPr>
              <w:t> </w:t>
            </w:r>
          </w:p>
        </w:tc>
      </w:tr>
      <w:tr w:rsidR="00000000" w14:paraId="74BA98D6" w14:textId="77777777">
        <w:tc>
          <w:tcPr>
            <w:tcW w:w="0" w:type="auto"/>
            <w:shd w:val="clear" w:color="auto" w:fill="FFFFFF"/>
            <w:vAlign w:val="bottom"/>
            <w:hideMark/>
          </w:tcPr>
          <w:p w14:paraId="2775A26F" w14:textId="77777777" w:rsidR="00000000" w:rsidRDefault="007F5353">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2,990,89</w:t>
            </w:r>
            <w:r>
              <w:rPr>
                <w:rFonts w:eastAsia="Times New Roman"/>
                <w:sz w:val="20"/>
                <w:szCs w:val="20"/>
              </w:rPr>
              <w:t>7</w:t>
            </w:r>
            <w:r>
              <w:rPr>
                <w:rFonts w:eastAsia="Times New Roman"/>
                <w:sz w:val="20"/>
                <w:szCs w:val="20"/>
              </w:rPr>
              <w:t xml:space="preserve"> issued and outstanding (excluding</w:t>
            </w:r>
            <w:r>
              <w:rPr>
                <w:rFonts w:eastAsia="Times New Roman"/>
                <w:sz w:val="20"/>
                <w:szCs w:val="20"/>
              </w:rPr>
              <w:t xml:space="preserve"> </w:t>
            </w:r>
            <w:r>
              <w:rPr>
                <w:rFonts w:eastAsia="Times New Roman"/>
                <w:sz w:val="20"/>
                <w:szCs w:val="20"/>
              </w:rPr>
              <w:t>10,159,06</w:t>
            </w:r>
            <w:r>
              <w:rPr>
                <w:rFonts w:eastAsia="Times New Roman"/>
                <w:sz w:val="20"/>
                <w:szCs w:val="20"/>
              </w:rPr>
              <w:t>9</w:t>
            </w:r>
            <w:r>
              <w:rPr>
                <w:rFonts w:eastAsia="Times New Roman"/>
                <w:sz w:val="20"/>
                <w:szCs w:val="20"/>
              </w:rPr>
              <w:t xml:space="preserve"> shares subject to possible redemption)</w:t>
            </w:r>
          </w:p>
        </w:tc>
        <w:tc>
          <w:tcPr>
            <w:tcW w:w="0" w:type="auto"/>
            <w:shd w:val="clear" w:color="auto" w:fill="FFFFFF"/>
            <w:vAlign w:val="bottom"/>
            <w:hideMark/>
          </w:tcPr>
          <w:p w14:paraId="66E532A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D4D83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825AD" w14:textId="77777777" w:rsidR="00000000" w:rsidRDefault="007F5353">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14:paraId="654A3A4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BDF1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A288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1C5A5" w14:textId="77777777" w:rsidR="00000000" w:rsidRDefault="007F5353">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14:paraId="58D8156B" w14:textId="77777777" w:rsidR="00000000" w:rsidRDefault="007F5353">
            <w:pPr>
              <w:rPr>
                <w:rFonts w:eastAsia="Times New Roman"/>
                <w:sz w:val="20"/>
                <w:szCs w:val="20"/>
              </w:rPr>
            </w:pPr>
            <w:r>
              <w:rPr>
                <w:rFonts w:eastAsia="Times New Roman"/>
                <w:sz w:val="20"/>
                <w:szCs w:val="20"/>
              </w:rPr>
              <w:t> </w:t>
            </w:r>
          </w:p>
        </w:tc>
      </w:tr>
      <w:tr w:rsidR="00000000" w14:paraId="3AF29EAD" w14:textId="77777777">
        <w:tc>
          <w:tcPr>
            <w:tcW w:w="0" w:type="auto"/>
            <w:shd w:val="clear" w:color="auto" w:fill="CCEEFF"/>
            <w:vAlign w:val="bottom"/>
            <w:hideMark/>
          </w:tcPr>
          <w:p w14:paraId="35864A52" w14:textId="77777777" w:rsidR="00000000" w:rsidRDefault="007F5353">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7BDDF9F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CA575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854E7E"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320FFD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04445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BF420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55FB9C" w14:textId="77777777" w:rsidR="00000000" w:rsidRDefault="007F5353">
            <w:pPr>
              <w:jc w:val="right"/>
              <w:rPr>
                <w:rFonts w:eastAsia="Times New Roman"/>
                <w:sz w:val="20"/>
                <w:szCs w:val="20"/>
              </w:rPr>
            </w:pPr>
            <w:r>
              <w:rPr>
                <w:rFonts w:eastAsia="Times New Roman"/>
                <w:sz w:val="20"/>
                <w:szCs w:val="20"/>
              </w:rPr>
              <w:t>24,997</w:t>
            </w:r>
          </w:p>
        </w:tc>
        <w:tc>
          <w:tcPr>
            <w:tcW w:w="0" w:type="auto"/>
            <w:shd w:val="clear" w:color="auto" w:fill="CCEEFF"/>
            <w:vAlign w:val="bottom"/>
            <w:hideMark/>
          </w:tcPr>
          <w:p w14:paraId="73A2786B" w14:textId="77777777" w:rsidR="00000000" w:rsidRDefault="007F5353">
            <w:pPr>
              <w:rPr>
                <w:rFonts w:eastAsia="Times New Roman"/>
                <w:sz w:val="20"/>
                <w:szCs w:val="20"/>
              </w:rPr>
            </w:pPr>
            <w:r>
              <w:rPr>
                <w:rFonts w:eastAsia="Times New Roman"/>
                <w:sz w:val="20"/>
                <w:szCs w:val="20"/>
              </w:rPr>
              <w:t> </w:t>
            </w:r>
          </w:p>
        </w:tc>
      </w:tr>
      <w:tr w:rsidR="00000000" w14:paraId="15F13B2E" w14:textId="77777777">
        <w:tc>
          <w:tcPr>
            <w:tcW w:w="0" w:type="auto"/>
            <w:shd w:val="clear" w:color="auto" w:fill="FFFFFF"/>
            <w:vAlign w:val="bottom"/>
            <w:hideMark/>
          </w:tcPr>
          <w:p w14:paraId="08BE2BCB" w14:textId="77777777" w:rsidR="00000000" w:rsidRDefault="007F5353">
            <w:pPr>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14:paraId="02A2AF2A"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269C60"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49D89C" w14:textId="77777777" w:rsidR="00000000" w:rsidRDefault="007F5353">
            <w:pPr>
              <w:jc w:val="right"/>
              <w:rPr>
                <w:rFonts w:eastAsia="Times New Roman"/>
                <w:sz w:val="20"/>
                <w:szCs w:val="20"/>
              </w:rPr>
            </w:pPr>
            <w:r>
              <w:rPr>
                <w:rFonts w:eastAsia="Times New Roman"/>
                <w:sz w:val="20"/>
                <w:szCs w:val="20"/>
              </w:rPr>
              <w:t>(2,932,734</w:t>
            </w:r>
          </w:p>
        </w:tc>
        <w:tc>
          <w:tcPr>
            <w:tcW w:w="0" w:type="auto"/>
            <w:shd w:val="clear" w:color="auto" w:fill="FFFFFF"/>
            <w:vAlign w:val="bottom"/>
            <w:hideMark/>
          </w:tcPr>
          <w:p w14:paraId="660798F5"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4C83E95D"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9C770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8EB350" w14:textId="77777777" w:rsidR="00000000" w:rsidRDefault="007F5353">
            <w:pPr>
              <w:jc w:val="right"/>
              <w:rPr>
                <w:rFonts w:eastAsia="Times New Roman"/>
                <w:sz w:val="20"/>
                <w:szCs w:val="20"/>
              </w:rPr>
            </w:pPr>
            <w:r>
              <w:rPr>
                <w:rFonts w:eastAsia="Times New Roman"/>
                <w:sz w:val="20"/>
                <w:szCs w:val="20"/>
              </w:rPr>
              <w:t>(20,095</w:t>
            </w:r>
          </w:p>
        </w:tc>
        <w:tc>
          <w:tcPr>
            <w:tcW w:w="0" w:type="auto"/>
            <w:shd w:val="clear" w:color="auto" w:fill="FFFFFF"/>
            <w:vAlign w:val="bottom"/>
            <w:hideMark/>
          </w:tcPr>
          <w:p w14:paraId="4981DC67" w14:textId="77777777" w:rsidR="00000000" w:rsidRDefault="007F5353">
            <w:pPr>
              <w:rPr>
                <w:rFonts w:eastAsia="Times New Roman"/>
                <w:sz w:val="20"/>
                <w:szCs w:val="20"/>
              </w:rPr>
            </w:pPr>
            <w:r>
              <w:rPr>
                <w:rFonts w:eastAsia="Times New Roman"/>
                <w:sz w:val="20"/>
                <w:szCs w:val="20"/>
              </w:rPr>
              <w:t>)</w:t>
            </w:r>
          </w:p>
        </w:tc>
      </w:tr>
      <w:tr w:rsidR="00000000" w14:paraId="382E0022" w14:textId="77777777">
        <w:tc>
          <w:tcPr>
            <w:tcW w:w="0" w:type="auto"/>
            <w:shd w:val="clear" w:color="auto" w:fill="CCEEFF"/>
            <w:vAlign w:val="bottom"/>
            <w:hideMark/>
          </w:tcPr>
          <w:p w14:paraId="62780C6E" w14:textId="77777777" w:rsidR="00000000" w:rsidRDefault="007F5353">
            <w:pPr>
              <w:rPr>
                <w:rFonts w:eastAsia="Times New Roman"/>
                <w:b/>
                <w:bCs/>
                <w:sz w:val="20"/>
                <w:szCs w:val="20"/>
              </w:rPr>
            </w:pPr>
            <w:r>
              <w:rPr>
                <w:rFonts w:eastAsia="Times New Roman"/>
                <w:b/>
                <w:bCs/>
                <w:sz w:val="20"/>
                <w:szCs w:val="20"/>
              </w:rPr>
              <w:lastRenderedPageBreak/>
              <w:t>Total Shareholders’ Equity (Deficit)</w:t>
            </w:r>
          </w:p>
        </w:tc>
        <w:tc>
          <w:tcPr>
            <w:tcW w:w="0" w:type="auto"/>
            <w:shd w:val="clear" w:color="auto" w:fill="CCEEFF"/>
            <w:vAlign w:val="bottom"/>
            <w:hideMark/>
          </w:tcPr>
          <w:p w14:paraId="3281C50F"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377195E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B90CDBC" w14:textId="77777777" w:rsidR="00000000" w:rsidRDefault="007F5353">
            <w:pPr>
              <w:jc w:val="right"/>
              <w:rPr>
                <w:rFonts w:eastAsia="Times New Roman"/>
                <w:b/>
                <w:bCs/>
                <w:sz w:val="20"/>
                <w:szCs w:val="20"/>
              </w:rPr>
            </w:pPr>
            <w:r>
              <w:rPr>
                <w:rFonts w:eastAsia="Times New Roman"/>
                <w:b/>
                <w:bCs/>
                <w:sz w:val="20"/>
                <w:szCs w:val="20"/>
              </w:rPr>
              <w:t>(2,932,731</w:t>
            </w:r>
          </w:p>
        </w:tc>
        <w:tc>
          <w:tcPr>
            <w:tcW w:w="0" w:type="auto"/>
            <w:shd w:val="clear" w:color="auto" w:fill="CCEEFF"/>
            <w:vAlign w:val="bottom"/>
            <w:hideMark/>
          </w:tcPr>
          <w:p w14:paraId="1D3160B8"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A5827E6"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72FF46BE"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649DCF6" w14:textId="77777777" w:rsidR="00000000" w:rsidRDefault="007F5353">
            <w:pPr>
              <w:jc w:val="right"/>
              <w:rPr>
                <w:rFonts w:eastAsia="Times New Roman"/>
                <w:b/>
                <w:bCs/>
                <w:sz w:val="20"/>
                <w:szCs w:val="20"/>
              </w:rPr>
            </w:pPr>
            <w:r>
              <w:rPr>
                <w:rFonts w:eastAsia="Times New Roman"/>
                <w:b/>
                <w:bCs/>
                <w:sz w:val="20"/>
                <w:szCs w:val="20"/>
              </w:rPr>
              <w:t>4,905</w:t>
            </w:r>
          </w:p>
        </w:tc>
        <w:tc>
          <w:tcPr>
            <w:tcW w:w="0" w:type="auto"/>
            <w:shd w:val="clear" w:color="auto" w:fill="CCEEFF"/>
            <w:vAlign w:val="bottom"/>
            <w:hideMark/>
          </w:tcPr>
          <w:p w14:paraId="1AAE9F9D" w14:textId="77777777" w:rsidR="00000000" w:rsidRDefault="007F5353">
            <w:pPr>
              <w:rPr>
                <w:rFonts w:eastAsia="Times New Roman"/>
                <w:b/>
                <w:bCs/>
                <w:sz w:val="20"/>
                <w:szCs w:val="20"/>
              </w:rPr>
            </w:pPr>
            <w:r>
              <w:rPr>
                <w:rFonts w:eastAsia="Times New Roman"/>
                <w:b/>
                <w:bCs/>
                <w:sz w:val="20"/>
                <w:szCs w:val="20"/>
              </w:rPr>
              <w:t> </w:t>
            </w:r>
          </w:p>
        </w:tc>
      </w:tr>
      <w:tr w:rsidR="00000000" w14:paraId="043733AD" w14:textId="77777777">
        <w:tc>
          <w:tcPr>
            <w:tcW w:w="0" w:type="auto"/>
            <w:shd w:val="clear" w:color="auto" w:fill="FFFFFF"/>
            <w:vAlign w:val="bottom"/>
            <w:hideMark/>
          </w:tcPr>
          <w:p w14:paraId="57C7F7BC" w14:textId="77777777" w:rsidR="00000000" w:rsidRDefault="007F5353">
            <w:pPr>
              <w:rPr>
                <w:rFonts w:eastAsia="Times New Roman"/>
                <w:b/>
                <w:bCs/>
                <w:sz w:val="20"/>
                <w:szCs w:val="20"/>
              </w:rPr>
            </w:pPr>
            <w:r>
              <w:rPr>
                <w:rFonts w:eastAsia="Times New Roman"/>
                <w:b/>
                <w:bCs/>
                <w:sz w:val="20"/>
                <w:szCs w:val="20"/>
              </w:rPr>
              <w:t>Total Liabilities and Shareholders’ Equity (Deficit)</w:t>
            </w:r>
          </w:p>
        </w:tc>
        <w:tc>
          <w:tcPr>
            <w:tcW w:w="0" w:type="auto"/>
            <w:shd w:val="clear" w:color="auto" w:fill="FFFFFF"/>
            <w:vAlign w:val="bottom"/>
            <w:hideMark/>
          </w:tcPr>
          <w:p w14:paraId="2D77C9E7"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7897E41"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20BD6D90" w14:textId="77777777" w:rsidR="00000000" w:rsidRDefault="007F5353">
            <w:pPr>
              <w:jc w:val="right"/>
              <w:rPr>
                <w:rFonts w:eastAsia="Times New Roman"/>
                <w:b/>
                <w:bCs/>
                <w:sz w:val="20"/>
                <w:szCs w:val="20"/>
              </w:rPr>
            </w:pPr>
            <w:r>
              <w:rPr>
                <w:rFonts w:eastAsia="Times New Roman"/>
                <w:b/>
                <w:bCs/>
                <w:sz w:val="20"/>
                <w:szCs w:val="20"/>
              </w:rPr>
              <w:t>103,377,355</w:t>
            </w:r>
          </w:p>
        </w:tc>
        <w:tc>
          <w:tcPr>
            <w:tcW w:w="0" w:type="auto"/>
            <w:shd w:val="clear" w:color="auto" w:fill="FFFFFF"/>
            <w:vAlign w:val="bottom"/>
            <w:hideMark/>
          </w:tcPr>
          <w:p w14:paraId="1E210103"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3307F71"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6960A76"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51C26CF" w14:textId="77777777" w:rsidR="00000000" w:rsidRDefault="007F5353">
            <w:pPr>
              <w:jc w:val="right"/>
              <w:rPr>
                <w:rFonts w:eastAsia="Times New Roman"/>
                <w:b/>
                <w:bCs/>
                <w:sz w:val="20"/>
                <w:szCs w:val="20"/>
              </w:rPr>
            </w:pPr>
            <w:r>
              <w:rPr>
                <w:rFonts w:eastAsia="Times New Roman"/>
                <w:b/>
                <w:bCs/>
                <w:sz w:val="20"/>
                <w:szCs w:val="20"/>
              </w:rPr>
              <w:t>289,765</w:t>
            </w:r>
          </w:p>
        </w:tc>
        <w:tc>
          <w:tcPr>
            <w:tcW w:w="0" w:type="auto"/>
            <w:shd w:val="clear" w:color="auto" w:fill="FFFFFF"/>
            <w:vAlign w:val="bottom"/>
            <w:hideMark/>
          </w:tcPr>
          <w:p w14:paraId="0409BA28" w14:textId="77777777" w:rsidR="00000000" w:rsidRDefault="007F5353">
            <w:pPr>
              <w:rPr>
                <w:rFonts w:eastAsia="Times New Roman"/>
                <w:b/>
                <w:bCs/>
                <w:sz w:val="20"/>
                <w:szCs w:val="20"/>
              </w:rPr>
            </w:pPr>
            <w:r>
              <w:rPr>
                <w:rFonts w:eastAsia="Times New Roman"/>
                <w:b/>
                <w:bCs/>
                <w:sz w:val="20"/>
                <w:szCs w:val="20"/>
              </w:rPr>
              <w:t> </w:t>
            </w:r>
          </w:p>
        </w:tc>
      </w:tr>
    </w:tbl>
    <w:p w14:paraId="54C62E97" w14:textId="77777777" w:rsidR="00000000" w:rsidRDefault="007F5353">
      <w:pPr>
        <w:pStyle w:val="a3"/>
        <w:spacing w:before="0" w:beforeAutospacing="0" w:after="0" w:afterAutospacing="0"/>
        <w:jc w:val="center"/>
        <w:rPr>
          <w:sz w:val="20"/>
          <w:szCs w:val="20"/>
        </w:rPr>
      </w:pPr>
      <w:r>
        <w:rPr>
          <w:sz w:val="20"/>
          <w:szCs w:val="20"/>
        </w:rPr>
        <w:t> </w:t>
      </w:r>
    </w:p>
    <w:p w14:paraId="51F64047" w14:textId="77777777" w:rsidR="00000000" w:rsidRDefault="007F5353">
      <w:pPr>
        <w:pStyle w:val="a3"/>
        <w:spacing w:before="0" w:beforeAutospacing="0" w:after="0" w:afterAutospacing="0"/>
        <w:jc w:val="center"/>
        <w:rPr>
          <w:sz w:val="20"/>
          <w:szCs w:val="20"/>
        </w:rPr>
      </w:pPr>
      <w:r>
        <w:rPr>
          <w:b/>
          <w:bCs/>
          <w:sz w:val="20"/>
          <w:szCs w:val="20"/>
        </w:rPr>
        <w:t>The accompanying notes are an integral part of these unaudited financial statements.</w:t>
      </w:r>
    </w:p>
    <w:p w14:paraId="6F0CD36F"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EBE6953" w14:textId="77777777">
        <w:trPr>
          <w:divId w:val="1565066501"/>
        </w:trPr>
        <w:tc>
          <w:tcPr>
            <w:tcW w:w="5000" w:type="pct"/>
            <w:hideMark/>
          </w:tcPr>
          <w:p w14:paraId="5A183BE3"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1662883A" w14:textId="77777777">
        <w:tc>
          <w:tcPr>
            <w:tcW w:w="5000" w:type="pct"/>
            <w:hideMark/>
          </w:tcPr>
          <w:p w14:paraId="19DB8AA4" w14:textId="77777777" w:rsidR="00000000" w:rsidRDefault="007F5353">
            <w:pPr>
              <w:jc w:val="center"/>
              <w:rPr>
                <w:rFonts w:eastAsia="Times New Roman"/>
                <w:sz w:val="20"/>
                <w:szCs w:val="20"/>
              </w:rPr>
            </w:pPr>
            <w:r>
              <w:rPr>
                <w:rFonts w:eastAsia="Times New Roman"/>
                <w:sz w:val="20"/>
                <w:szCs w:val="20"/>
              </w:rPr>
              <w:t> </w:t>
            </w:r>
          </w:p>
        </w:tc>
      </w:tr>
    </w:tbl>
    <w:p w14:paraId="5D10D9F5" w14:textId="77777777" w:rsidR="00000000" w:rsidRDefault="007F5353">
      <w:pPr>
        <w:pStyle w:val="a3"/>
        <w:spacing w:before="0" w:beforeAutospacing="0" w:after="0" w:afterAutospacing="0"/>
        <w:jc w:val="center"/>
        <w:rPr>
          <w:sz w:val="20"/>
          <w:szCs w:val="20"/>
        </w:rPr>
      </w:pPr>
      <w:r>
        <w:rPr>
          <w:sz w:val="20"/>
          <w:szCs w:val="20"/>
        </w:rPr>
        <w:t> </w:t>
      </w:r>
    </w:p>
    <w:p w14:paraId="6A867161" w14:textId="77777777" w:rsidR="00000000" w:rsidRDefault="007F5353">
      <w:pPr>
        <w:pStyle w:val="a3"/>
        <w:spacing w:before="0" w:beforeAutospacing="0" w:after="0" w:afterAutospacing="0"/>
        <w:jc w:val="center"/>
        <w:rPr>
          <w:sz w:val="20"/>
          <w:szCs w:val="20"/>
        </w:rPr>
      </w:pPr>
      <w:r>
        <w:rPr>
          <w:b/>
          <w:bCs/>
          <w:sz w:val="20"/>
          <w:szCs w:val="20"/>
        </w:rPr>
        <w:t>BROAD CAPITAL ACQUISITION CORP</w:t>
      </w:r>
    </w:p>
    <w:p w14:paraId="42B88D39" w14:textId="77777777" w:rsidR="00000000" w:rsidRDefault="007F5353">
      <w:pPr>
        <w:pStyle w:val="a3"/>
        <w:spacing w:before="0" w:beforeAutospacing="0" w:after="0" w:afterAutospacing="0"/>
        <w:jc w:val="center"/>
        <w:rPr>
          <w:sz w:val="20"/>
          <w:szCs w:val="20"/>
        </w:rPr>
      </w:pPr>
      <w:r>
        <w:rPr>
          <w:b/>
          <w:bCs/>
          <w:sz w:val="20"/>
          <w:szCs w:val="20"/>
        </w:rPr>
        <w:t>STATEMENTS OF OPERATIONS</w:t>
      </w:r>
    </w:p>
    <w:p w14:paraId="3D0EAEA1" w14:textId="77777777" w:rsidR="00000000" w:rsidRDefault="007F5353">
      <w:pPr>
        <w:pStyle w:val="a3"/>
        <w:spacing w:before="0" w:beforeAutospacing="0" w:after="0" w:afterAutospacing="0"/>
        <w:jc w:val="center"/>
        <w:rPr>
          <w:sz w:val="20"/>
          <w:szCs w:val="20"/>
        </w:rPr>
      </w:pPr>
      <w:r>
        <w:rPr>
          <w:b/>
          <w:bCs/>
          <w:sz w:val="20"/>
          <w:szCs w:val="20"/>
        </w:rPr>
        <w:t>(UNAUDITED)</w:t>
      </w:r>
    </w:p>
    <w:p w14:paraId="774E380B"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Operations (Unaudited)"/>
      </w:tblPr>
      <w:tblGrid>
        <w:gridCol w:w="3316"/>
        <w:gridCol w:w="161"/>
        <w:gridCol w:w="100"/>
        <w:gridCol w:w="1324"/>
        <w:gridCol w:w="78"/>
        <w:gridCol w:w="161"/>
        <w:gridCol w:w="100"/>
        <w:gridCol w:w="1324"/>
        <w:gridCol w:w="78"/>
        <w:gridCol w:w="161"/>
        <w:gridCol w:w="101"/>
        <w:gridCol w:w="1324"/>
        <w:gridCol w:w="78"/>
      </w:tblGrid>
      <w:tr w:rsidR="00000000" w14:paraId="37DF3419" w14:textId="77777777">
        <w:trPr>
          <w:hidden/>
        </w:trPr>
        <w:tc>
          <w:tcPr>
            <w:tcW w:w="0" w:type="auto"/>
            <w:shd w:val="clear" w:color="auto" w:fill="CCEEFF"/>
            <w:vAlign w:val="bottom"/>
            <w:hideMark/>
          </w:tcPr>
          <w:p w14:paraId="0EC8EADF"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CE71DA4" w14:textId="77777777" w:rsidR="00000000" w:rsidRDefault="007F535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14:paraId="5968F1FF" w14:textId="77777777" w:rsidR="00000000" w:rsidRDefault="007F535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14:paraId="2A18A02D"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DC59E57"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15827B9" w14:textId="77777777" w:rsidR="00000000" w:rsidRDefault="007F535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14:paraId="5DF8E648" w14:textId="77777777" w:rsidR="00000000" w:rsidRDefault="007F535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14:paraId="30A73E96"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B18BF96"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F7A8EB9" w14:textId="77777777" w:rsidR="00000000" w:rsidRDefault="007F535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14:paraId="3BC20FA5" w14:textId="77777777" w:rsidR="00000000" w:rsidRDefault="007F535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14:paraId="1EDF0EE0"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E4A6A5C" w14:textId="77777777" w:rsidR="00000000" w:rsidRDefault="007F5353">
            <w:pPr>
              <w:rPr>
                <w:rFonts w:eastAsia="Times New Roman"/>
                <w:vanish/>
                <w:sz w:val="20"/>
                <w:szCs w:val="20"/>
              </w:rPr>
            </w:pPr>
            <w:r>
              <w:rPr>
                <w:rFonts w:eastAsia="Times New Roman"/>
                <w:vanish/>
                <w:sz w:val="20"/>
                <w:szCs w:val="20"/>
              </w:rPr>
              <w:t> </w:t>
            </w:r>
          </w:p>
        </w:tc>
      </w:tr>
      <w:tr w:rsidR="00000000" w14:paraId="4552BCDC" w14:textId="77777777">
        <w:tc>
          <w:tcPr>
            <w:tcW w:w="0" w:type="auto"/>
            <w:vAlign w:val="bottom"/>
            <w:hideMark/>
          </w:tcPr>
          <w:p w14:paraId="08DE737C"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59010BB3"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82ABFF3" w14:textId="77777777" w:rsidR="00000000" w:rsidRDefault="007F5353">
            <w:pPr>
              <w:jc w:val="center"/>
              <w:rPr>
                <w:rFonts w:eastAsia="Times New Roman"/>
                <w:b/>
                <w:bCs/>
                <w:sz w:val="20"/>
                <w:szCs w:val="20"/>
              </w:rPr>
            </w:pPr>
            <w:r>
              <w:rPr>
                <w:rFonts w:eastAsia="Times New Roman"/>
                <w:b/>
                <w:bCs/>
                <w:sz w:val="20"/>
                <w:szCs w:val="20"/>
              </w:rPr>
              <w:t>For the Three Months Ended</w:t>
            </w:r>
            <w:r>
              <w:rPr>
                <w:rFonts w:eastAsia="Times New Roman"/>
                <w:b/>
                <w:bCs/>
                <w:sz w:val="20"/>
                <w:szCs w:val="20"/>
              </w:rPr>
              <w:br/>
              <w:t>June 30, 2022</w:t>
            </w:r>
          </w:p>
        </w:tc>
        <w:tc>
          <w:tcPr>
            <w:tcW w:w="0" w:type="auto"/>
            <w:vAlign w:val="bottom"/>
            <w:hideMark/>
          </w:tcPr>
          <w:p w14:paraId="3B1292A9"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52913EE0"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925FD47" w14:textId="77777777" w:rsidR="00000000" w:rsidRDefault="007F5353">
            <w:pPr>
              <w:jc w:val="center"/>
              <w:rPr>
                <w:rFonts w:eastAsia="Times New Roman"/>
                <w:b/>
                <w:bCs/>
                <w:sz w:val="20"/>
                <w:szCs w:val="20"/>
              </w:rPr>
            </w:pPr>
            <w:r>
              <w:rPr>
                <w:rFonts w:eastAsia="Times New Roman"/>
                <w:b/>
                <w:bCs/>
                <w:sz w:val="20"/>
                <w:szCs w:val="20"/>
              </w:rPr>
              <w:t>For the Six Months Ended June 30, 2022</w:t>
            </w:r>
          </w:p>
        </w:tc>
        <w:tc>
          <w:tcPr>
            <w:tcW w:w="0" w:type="auto"/>
            <w:vAlign w:val="bottom"/>
            <w:hideMark/>
          </w:tcPr>
          <w:p w14:paraId="317267D5"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0D062475"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FB15A52" w14:textId="77777777" w:rsidR="00000000" w:rsidRDefault="007F5353">
            <w:pPr>
              <w:jc w:val="center"/>
              <w:rPr>
                <w:rFonts w:eastAsia="Times New Roman"/>
                <w:b/>
                <w:bCs/>
                <w:sz w:val="20"/>
                <w:szCs w:val="20"/>
              </w:rPr>
            </w:pPr>
            <w:r>
              <w:rPr>
                <w:rFonts w:eastAsia="Times New Roman"/>
                <w:b/>
                <w:bCs/>
                <w:sz w:val="20"/>
                <w:szCs w:val="20"/>
              </w:rPr>
              <w:t>For the Period from April 16, 2021 (Inception) Through June 30, 2021</w:t>
            </w:r>
          </w:p>
        </w:tc>
        <w:tc>
          <w:tcPr>
            <w:tcW w:w="0" w:type="auto"/>
            <w:vAlign w:val="bottom"/>
            <w:hideMark/>
          </w:tcPr>
          <w:p w14:paraId="11E2D003" w14:textId="77777777" w:rsidR="00000000" w:rsidRDefault="007F5353">
            <w:pPr>
              <w:rPr>
                <w:rFonts w:eastAsia="Times New Roman"/>
                <w:b/>
                <w:bCs/>
                <w:sz w:val="20"/>
                <w:szCs w:val="20"/>
              </w:rPr>
            </w:pPr>
            <w:r>
              <w:rPr>
                <w:rFonts w:eastAsia="Times New Roman"/>
                <w:b/>
                <w:bCs/>
                <w:sz w:val="20"/>
                <w:szCs w:val="20"/>
              </w:rPr>
              <w:t> </w:t>
            </w:r>
          </w:p>
        </w:tc>
      </w:tr>
      <w:tr w:rsidR="00000000" w14:paraId="3605BF88" w14:textId="77777777">
        <w:tc>
          <w:tcPr>
            <w:tcW w:w="0" w:type="auto"/>
            <w:vAlign w:val="bottom"/>
            <w:hideMark/>
          </w:tcPr>
          <w:p w14:paraId="12241F7D"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0ED8B08A"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29F96577"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5FB65D12"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721D6962"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6D60B961"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32B4A3EB"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57013494"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644AF32C"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2A5FBDEC" w14:textId="77777777" w:rsidR="00000000" w:rsidRDefault="007F5353">
            <w:pPr>
              <w:rPr>
                <w:rFonts w:eastAsia="Times New Roman"/>
                <w:sz w:val="20"/>
                <w:szCs w:val="20"/>
              </w:rPr>
            </w:pPr>
            <w:r>
              <w:rPr>
                <w:rFonts w:eastAsia="Times New Roman"/>
                <w:sz w:val="20"/>
                <w:szCs w:val="20"/>
              </w:rPr>
              <w:t> </w:t>
            </w:r>
          </w:p>
        </w:tc>
      </w:tr>
      <w:tr w:rsidR="00000000" w14:paraId="61B38EC0" w14:textId="77777777">
        <w:tc>
          <w:tcPr>
            <w:tcW w:w="2000" w:type="pct"/>
            <w:shd w:val="clear" w:color="auto" w:fill="CCEEFF"/>
            <w:vAlign w:val="bottom"/>
            <w:hideMark/>
          </w:tcPr>
          <w:p w14:paraId="1591921C" w14:textId="77777777" w:rsidR="00000000" w:rsidRDefault="007F5353">
            <w:pPr>
              <w:rPr>
                <w:rFonts w:eastAsia="Times New Roman"/>
                <w:sz w:val="20"/>
                <w:szCs w:val="20"/>
              </w:rPr>
            </w:pPr>
            <w:r>
              <w:rPr>
                <w:rFonts w:eastAsia="Times New Roman"/>
                <w:sz w:val="20"/>
                <w:szCs w:val="20"/>
              </w:rPr>
              <w:t>Formation and operating costs</w:t>
            </w:r>
          </w:p>
        </w:tc>
        <w:tc>
          <w:tcPr>
            <w:tcW w:w="100" w:type="pct"/>
            <w:shd w:val="clear" w:color="auto" w:fill="CCEEFF"/>
            <w:vAlign w:val="bottom"/>
            <w:hideMark/>
          </w:tcPr>
          <w:p w14:paraId="0C9EFD83" w14:textId="77777777" w:rsidR="00000000" w:rsidRDefault="007F535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A704D0D" w14:textId="77777777" w:rsidR="00000000" w:rsidRDefault="007F5353">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5148C9FB" w14:textId="77777777" w:rsidR="00000000" w:rsidRDefault="007F5353">
            <w:pPr>
              <w:jc w:val="right"/>
              <w:rPr>
                <w:rFonts w:eastAsia="Times New Roman"/>
                <w:sz w:val="20"/>
                <w:szCs w:val="20"/>
              </w:rPr>
            </w:pPr>
            <w:r>
              <w:rPr>
                <w:rFonts w:eastAsia="Times New Roman"/>
                <w:sz w:val="20"/>
                <w:szCs w:val="20"/>
              </w:rPr>
              <w:t>(117,309</w:t>
            </w:r>
          </w:p>
        </w:tc>
        <w:tc>
          <w:tcPr>
            <w:tcW w:w="50" w:type="pct"/>
            <w:shd w:val="clear" w:color="auto" w:fill="CCEEFF"/>
            <w:vAlign w:val="bottom"/>
            <w:hideMark/>
          </w:tcPr>
          <w:p w14:paraId="70798F5A" w14:textId="77777777" w:rsidR="00000000" w:rsidRDefault="007F5353">
            <w:pPr>
              <w:rPr>
                <w:rFonts w:eastAsia="Times New Roman"/>
                <w:sz w:val="20"/>
                <w:szCs w:val="20"/>
              </w:rPr>
            </w:pPr>
            <w:r>
              <w:rPr>
                <w:rFonts w:eastAsia="Times New Roman"/>
                <w:sz w:val="20"/>
                <w:szCs w:val="20"/>
              </w:rPr>
              <w:t>)</w:t>
            </w:r>
          </w:p>
        </w:tc>
        <w:tc>
          <w:tcPr>
            <w:tcW w:w="100" w:type="pct"/>
            <w:shd w:val="clear" w:color="auto" w:fill="CCEEFF"/>
            <w:vAlign w:val="bottom"/>
            <w:hideMark/>
          </w:tcPr>
          <w:p w14:paraId="027D627D" w14:textId="77777777" w:rsidR="00000000" w:rsidRDefault="007F535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F381361" w14:textId="77777777" w:rsidR="00000000" w:rsidRDefault="007F5353">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454C2C09" w14:textId="77777777" w:rsidR="00000000" w:rsidRDefault="007F5353">
            <w:pPr>
              <w:jc w:val="right"/>
              <w:rPr>
                <w:rFonts w:eastAsia="Times New Roman"/>
                <w:sz w:val="20"/>
                <w:szCs w:val="20"/>
              </w:rPr>
            </w:pPr>
            <w:r>
              <w:rPr>
                <w:rFonts w:eastAsia="Times New Roman"/>
                <w:sz w:val="20"/>
                <w:szCs w:val="20"/>
              </w:rPr>
              <w:t>(576,722</w:t>
            </w:r>
          </w:p>
        </w:tc>
        <w:tc>
          <w:tcPr>
            <w:tcW w:w="50" w:type="pct"/>
            <w:shd w:val="clear" w:color="auto" w:fill="CCEEFF"/>
            <w:vAlign w:val="bottom"/>
            <w:hideMark/>
          </w:tcPr>
          <w:p w14:paraId="16421DCE" w14:textId="77777777" w:rsidR="00000000" w:rsidRDefault="007F5353">
            <w:pPr>
              <w:rPr>
                <w:rFonts w:eastAsia="Times New Roman"/>
                <w:sz w:val="20"/>
                <w:szCs w:val="20"/>
              </w:rPr>
            </w:pPr>
            <w:r>
              <w:rPr>
                <w:rFonts w:eastAsia="Times New Roman"/>
                <w:sz w:val="20"/>
                <w:szCs w:val="20"/>
              </w:rPr>
              <w:t>)</w:t>
            </w:r>
          </w:p>
        </w:tc>
        <w:tc>
          <w:tcPr>
            <w:tcW w:w="100" w:type="pct"/>
            <w:shd w:val="clear" w:color="auto" w:fill="CCEEFF"/>
            <w:vAlign w:val="bottom"/>
            <w:hideMark/>
          </w:tcPr>
          <w:p w14:paraId="017E14B9" w14:textId="77777777" w:rsidR="00000000" w:rsidRDefault="007F535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CEDA91D" w14:textId="77777777" w:rsidR="00000000" w:rsidRDefault="007F5353">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247DA850" w14:textId="77777777" w:rsidR="00000000" w:rsidRDefault="007F535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3AEBDCA" w14:textId="77777777" w:rsidR="00000000" w:rsidRDefault="007F5353">
            <w:pPr>
              <w:rPr>
                <w:rFonts w:eastAsia="Times New Roman"/>
                <w:sz w:val="20"/>
                <w:szCs w:val="20"/>
              </w:rPr>
            </w:pPr>
            <w:r>
              <w:rPr>
                <w:rFonts w:eastAsia="Times New Roman"/>
                <w:sz w:val="20"/>
                <w:szCs w:val="20"/>
              </w:rPr>
              <w:t> </w:t>
            </w:r>
          </w:p>
        </w:tc>
      </w:tr>
      <w:tr w:rsidR="00000000" w14:paraId="11A79F1B" w14:textId="77777777">
        <w:tc>
          <w:tcPr>
            <w:tcW w:w="0" w:type="auto"/>
            <w:shd w:val="clear" w:color="auto" w:fill="FFFFFF"/>
            <w:vAlign w:val="bottom"/>
            <w:hideMark/>
          </w:tcPr>
          <w:p w14:paraId="40784792" w14:textId="77777777" w:rsidR="00000000" w:rsidRDefault="007F5353">
            <w:pPr>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14:paraId="615E947D"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4736132"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9647036" w14:textId="77777777" w:rsidR="00000000" w:rsidRDefault="007F5353">
            <w:pPr>
              <w:jc w:val="right"/>
              <w:rPr>
                <w:rFonts w:eastAsia="Times New Roman"/>
                <w:b/>
                <w:bCs/>
                <w:sz w:val="20"/>
                <w:szCs w:val="20"/>
              </w:rPr>
            </w:pPr>
            <w:r>
              <w:rPr>
                <w:rFonts w:eastAsia="Times New Roman"/>
                <w:b/>
                <w:bCs/>
                <w:sz w:val="20"/>
                <w:szCs w:val="20"/>
              </w:rPr>
              <w:t>(117,309</w:t>
            </w:r>
          </w:p>
        </w:tc>
        <w:tc>
          <w:tcPr>
            <w:tcW w:w="0" w:type="auto"/>
            <w:shd w:val="clear" w:color="auto" w:fill="FFFFFF"/>
            <w:vAlign w:val="bottom"/>
            <w:hideMark/>
          </w:tcPr>
          <w:p w14:paraId="7D31B888"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77812F57"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2021936"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58E0928" w14:textId="77777777" w:rsidR="00000000" w:rsidRDefault="007F5353">
            <w:pPr>
              <w:jc w:val="right"/>
              <w:rPr>
                <w:rFonts w:eastAsia="Times New Roman"/>
                <w:b/>
                <w:bCs/>
                <w:sz w:val="20"/>
                <w:szCs w:val="20"/>
              </w:rPr>
            </w:pPr>
            <w:r>
              <w:rPr>
                <w:rFonts w:eastAsia="Times New Roman"/>
                <w:b/>
                <w:bCs/>
                <w:sz w:val="20"/>
                <w:szCs w:val="20"/>
              </w:rPr>
              <w:t>(576,722</w:t>
            </w:r>
          </w:p>
        </w:tc>
        <w:tc>
          <w:tcPr>
            <w:tcW w:w="0" w:type="auto"/>
            <w:shd w:val="clear" w:color="auto" w:fill="FFFFFF"/>
            <w:vAlign w:val="bottom"/>
            <w:hideMark/>
          </w:tcPr>
          <w:p w14:paraId="05020386"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94DE3CD"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C290B2E"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D9EF080"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657D4407" w14:textId="77777777" w:rsidR="00000000" w:rsidRDefault="007F5353">
            <w:pPr>
              <w:rPr>
                <w:rFonts w:eastAsia="Times New Roman"/>
                <w:b/>
                <w:bCs/>
                <w:sz w:val="20"/>
                <w:szCs w:val="20"/>
              </w:rPr>
            </w:pPr>
            <w:r>
              <w:rPr>
                <w:rFonts w:eastAsia="Times New Roman"/>
                <w:b/>
                <w:bCs/>
                <w:sz w:val="20"/>
                <w:szCs w:val="20"/>
              </w:rPr>
              <w:t> </w:t>
            </w:r>
          </w:p>
        </w:tc>
      </w:tr>
      <w:tr w:rsidR="00000000" w14:paraId="5C64EF9C" w14:textId="77777777">
        <w:tc>
          <w:tcPr>
            <w:tcW w:w="0" w:type="auto"/>
            <w:shd w:val="clear" w:color="auto" w:fill="CCEEFF"/>
            <w:vAlign w:val="bottom"/>
            <w:hideMark/>
          </w:tcPr>
          <w:p w14:paraId="668F8B2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D92CE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D8C4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1BC6F4"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AC50D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A6058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FA39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41951"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6C387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BF8A7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0EC6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8E83A"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21F29B" w14:textId="77777777" w:rsidR="00000000" w:rsidRDefault="007F5353">
            <w:pPr>
              <w:rPr>
                <w:rFonts w:eastAsia="Times New Roman"/>
                <w:sz w:val="20"/>
                <w:szCs w:val="20"/>
              </w:rPr>
            </w:pPr>
            <w:r>
              <w:rPr>
                <w:rFonts w:eastAsia="Times New Roman"/>
                <w:sz w:val="20"/>
                <w:szCs w:val="20"/>
              </w:rPr>
              <w:t> </w:t>
            </w:r>
          </w:p>
        </w:tc>
      </w:tr>
      <w:tr w:rsidR="00000000" w14:paraId="6B550A55" w14:textId="77777777">
        <w:tc>
          <w:tcPr>
            <w:tcW w:w="0" w:type="auto"/>
            <w:shd w:val="clear" w:color="auto" w:fill="FFFFFF"/>
            <w:vAlign w:val="bottom"/>
            <w:hideMark/>
          </w:tcPr>
          <w:p w14:paraId="27492291" w14:textId="77777777" w:rsidR="00000000" w:rsidRDefault="007F5353">
            <w:pPr>
              <w:rPr>
                <w:rFonts w:eastAsia="Times New Roman"/>
                <w:b/>
                <w:bCs/>
                <w:sz w:val="20"/>
                <w:szCs w:val="20"/>
              </w:rPr>
            </w:pPr>
            <w:r>
              <w:rPr>
                <w:rFonts w:eastAsia="Times New Roman"/>
                <w:b/>
                <w:bCs/>
                <w:sz w:val="20"/>
                <w:szCs w:val="20"/>
              </w:rPr>
              <w:t>Other Income</w:t>
            </w:r>
          </w:p>
        </w:tc>
        <w:tc>
          <w:tcPr>
            <w:tcW w:w="0" w:type="auto"/>
            <w:shd w:val="clear" w:color="auto" w:fill="FFFFFF"/>
            <w:vAlign w:val="bottom"/>
            <w:hideMark/>
          </w:tcPr>
          <w:p w14:paraId="3BBFE7E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311B0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E5E024"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D4725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331BF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5B57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CE858B"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E6090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F4273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1E14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7CD297"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A7A440" w14:textId="77777777" w:rsidR="00000000" w:rsidRDefault="007F5353">
            <w:pPr>
              <w:rPr>
                <w:rFonts w:eastAsia="Times New Roman"/>
                <w:sz w:val="20"/>
                <w:szCs w:val="20"/>
              </w:rPr>
            </w:pPr>
            <w:r>
              <w:rPr>
                <w:rFonts w:eastAsia="Times New Roman"/>
                <w:sz w:val="20"/>
                <w:szCs w:val="20"/>
              </w:rPr>
              <w:t> </w:t>
            </w:r>
          </w:p>
        </w:tc>
      </w:tr>
      <w:tr w:rsidR="00000000" w14:paraId="54FFDDA2" w14:textId="77777777">
        <w:tc>
          <w:tcPr>
            <w:tcW w:w="0" w:type="auto"/>
            <w:shd w:val="clear" w:color="auto" w:fill="CCEEFF"/>
            <w:vAlign w:val="bottom"/>
            <w:hideMark/>
          </w:tcPr>
          <w:p w14:paraId="387A4BFA" w14:textId="77777777" w:rsidR="00000000" w:rsidRDefault="007F5353">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14:paraId="46C17B47"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A33B3F"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249B4F" w14:textId="77777777" w:rsidR="00000000" w:rsidRDefault="007F5353">
            <w:pPr>
              <w:jc w:val="right"/>
              <w:rPr>
                <w:rFonts w:eastAsia="Times New Roman"/>
                <w:sz w:val="20"/>
                <w:szCs w:val="20"/>
              </w:rPr>
            </w:pPr>
            <w:r>
              <w:rPr>
                <w:rFonts w:eastAsia="Times New Roman"/>
                <w:sz w:val="20"/>
                <w:szCs w:val="20"/>
              </w:rPr>
              <w:t>108,459</w:t>
            </w:r>
          </w:p>
        </w:tc>
        <w:tc>
          <w:tcPr>
            <w:tcW w:w="0" w:type="auto"/>
            <w:shd w:val="clear" w:color="auto" w:fill="CCEEFF"/>
            <w:vAlign w:val="bottom"/>
            <w:hideMark/>
          </w:tcPr>
          <w:p w14:paraId="4366DAC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E2C24D"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44F9E9"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3435BC" w14:textId="77777777" w:rsidR="00000000" w:rsidRDefault="007F5353">
            <w:pPr>
              <w:jc w:val="right"/>
              <w:rPr>
                <w:rFonts w:eastAsia="Times New Roman"/>
                <w:sz w:val="20"/>
                <w:szCs w:val="20"/>
              </w:rPr>
            </w:pPr>
            <w:r>
              <w:rPr>
                <w:rFonts w:eastAsia="Times New Roman"/>
                <w:sz w:val="20"/>
                <w:szCs w:val="20"/>
              </w:rPr>
              <w:t>148,407</w:t>
            </w:r>
          </w:p>
        </w:tc>
        <w:tc>
          <w:tcPr>
            <w:tcW w:w="0" w:type="auto"/>
            <w:shd w:val="clear" w:color="auto" w:fill="CCEEFF"/>
            <w:vAlign w:val="bottom"/>
            <w:hideMark/>
          </w:tcPr>
          <w:p w14:paraId="07FE623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98CB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6790E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2E107C"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C3B2B7C" w14:textId="77777777" w:rsidR="00000000" w:rsidRDefault="007F5353">
            <w:pPr>
              <w:rPr>
                <w:rFonts w:eastAsia="Times New Roman"/>
                <w:sz w:val="20"/>
                <w:szCs w:val="20"/>
              </w:rPr>
            </w:pPr>
            <w:r>
              <w:rPr>
                <w:rFonts w:eastAsia="Times New Roman"/>
                <w:sz w:val="20"/>
                <w:szCs w:val="20"/>
              </w:rPr>
              <w:t> </w:t>
            </w:r>
          </w:p>
        </w:tc>
      </w:tr>
      <w:tr w:rsidR="00000000" w14:paraId="514D2A66" w14:textId="77777777">
        <w:tc>
          <w:tcPr>
            <w:tcW w:w="0" w:type="auto"/>
            <w:shd w:val="clear" w:color="auto" w:fill="FFFFFF"/>
            <w:tcMar>
              <w:top w:w="0" w:type="dxa"/>
              <w:left w:w="200" w:type="dxa"/>
              <w:bottom w:w="0" w:type="dxa"/>
              <w:right w:w="0" w:type="dxa"/>
            </w:tcMar>
            <w:vAlign w:val="bottom"/>
            <w:hideMark/>
          </w:tcPr>
          <w:p w14:paraId="76E6626B" w14:textId="77777777" w:rsidR="00000000" w:rsidRDefault="007F5353">
            <w:pPr>
              <w:rPr>
                <w:rFonts w:eastAsia="Times New Roman"/>
                <w:b/>
                <w:bCs/>
                <w:sz w:val="20"/>
                <w:szCs w:val="20"/>
              </w:rPr>
            </w:pPr>
            <w:r>
              <w:rPr>
                <w:rFonts w:eastAsia="Times New Roman"/>
                <w:b/>
                <w:bCs/>
                <w:sz w:val="20"/>
                <w:szCs w:val="20"/>
              </w:rPr>
              <w:t>Net Income (Loss)</w:t>
            </w:r>
          </w:p>
        </w:tc>
        <w:tc>
          <w:tcPr>
            <w:tcW w:w="0" w:type="auto"/>
            <w:shd w:val="clear" w:color="auto" w:fill="FFFFFF"/>
            <w:vAlign w:val="bottom"/>
            <w:hideMark/>
          </w:tcPr>
          <w:p w14:paraId="7F5AA984"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4261687"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543B1055" w14:textId="77777777" w:rsidR="00000000" w:rsidRDefault="007F5353">
            <w:pPr>
              <w:jc w:val="right"/>
              <w:rPr>
                <w:rFonts w:eastAsia="Times New Roman"/>
                <w:b/>
                <w:bCs/>
                <w:sz w:val="20"/>
                <w:szCs w:val="20"/>
              </w:rPr>
            </w:pPr>
            <w:r>
              <w:rPr>
                <w:rFonts w:eastAsia="Times New Roman"/>
                <w:b/>
                <w:bCs/>
                <w:sz w:val="20"/>
                <w:szCs w:val="20"/>
              </w:rPr>
              <w:t>(8,850</w:t>
            </w:r>
          </w:p>
        </w:tc>
        <w:tc>
          <w:tcPr>
            <w:tcW w:w="0" w:type="auto"/>
            <w:shd w:val="clear" w:color="auto" w:fill="FFFFFF"/>
            <w:vAlign w:val="bottom"/>
            <w:hideMark/>
          </w:tcPr>
          <w:p w14:paraId="78EE7E2B"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706B2A0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A388332"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50DEC9B" w14:textId="77777777" w:rsidR="00000000" w:rsidRDefault="007F5353">
            <w:pPr>
              <w:jc w:val="right"/>
              <w:rPr>
                <w:rFonts w:eastAsia="Times New Roman"/>
                <w:b/>
                <w:bCs/>
                <w:sz w:val="20"/>
                <w:szCs w:val="20"/>
              </w:rPr>
            </w:pPr>
            <w:r>
              <w:rPr>
                <w:rFonts w:eastAsia="Times New Roman"/>
                <w:b/>
                <w:bCs/>
                <w:sz w:val="20"/>
                <w:szCs w:val="20"/>
              </w:rPr>
              <w:t>(428,315</w:t>
            </w:r>
          </w:p>
        </w:tc>
        <w:tc>
          <w:tcPr>
            <w:tcW w:w="0" w:type="auto"/>
            <w:shd w:val="clear" w:color="auto" w:fill="FFFFFF"/>
            <w:vAlign w:val="bottom"/>
            <w:hideMark/>
          </w:tcPr>
          <w:p w14:paraId="423ACF2C"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652AB528"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274A822"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062E9B5"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2DAC97ED" w14:textId="77777777" w:rsidR="00000000" w:rsidRDefault="007F5353">
            <w:pPr>
              <w:rPr>
                <w:rFonts w:eastAsia="Times New Roman"/>
                <w:b/>
                <w:bCs/>
                <w:sz w:val="20"/>
                <w:szCs w:val="20"/>
              </w:rPr>
            </w:pPr>
            <w:r>
              <w:rPr>
                <w:rFonts w:eastAsia="Times New Roman"/>
                <w:b/>
                <w:bCs/>
                <w:sz w:val="20"/>
                <w:szCs w:val="20"/>
              </w:rPr>
              <w:t> </w:t>
            </w:r>
          </w:p>
        </w:tc>
      </w:tr>
      <w:tr w:rsidR="00000000" w14:paraId="7B7AAEC3" w14:textId="77777777">
        <w:tc>
          <w:tcPr>
            <w:tcW w:w="0" w:type="auto"/>
            <w:shd w:val="clear" w:color="auto" w:fill="CCEEFF"/>
            <w:vAlign w:val="bottom"/>
            <w:hideMark/>
          </w:tcPr>
          <w:p w14:paraId="186079F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33328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2610F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65250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4B376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99D99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D47E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FC3ECA"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B01850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5844F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5B7EA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6469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F9F4082" w14:textId="77777777" w:rsidR="00000000" w:rsidRDefault="007F5353">
            <w:pPr>
              <w:rPr>
                <w:rFonts w:eastAsia="Times New Roman"/>
                <w:sz w:val="20"/>
                <w:szCs w:val="20"/>
              </w:rPr>
            </w:pPr>
            <w:r>
              <w:rPr>
                <w:rFonts w:eastAsia="Times New Roman"/>
                <w:sz w:val="20"/>
                <w:szCs w:val="20"/>
              </w:rPr>
              <w:t> </w:t>
            </w:r>
          </w:p>
        </w:tc>
      </w:tr>
      <w:tr w:rsidR="00000000" w14:paraId="70B4150E" w14:textId="77777777">
        <w:tc>
          <w:tcPr>
            <w:tcW w:w="0" w:type="auto"/>
            <w:shd w:val="clear" w:color="auto" w:fill="FFFFFF"/>
            <w:vAlign w:val="bottom"/>
            <w:hideMark/>
          </w:tcPr>
          <w:p w14:paraId="2C8F727E" w14:textId="77777777" w:rsidR="00000000" w:rsidRDefault="007F5353">
            <w:pPr>
              <w:rPr>
                <w:rFonts w:eastAsia="Times New Roman"/>
                <w:sz w:val="20"/>
                <w:szCs w:val="20"/>
              </w:rPr>
            </w:pPr>
            <w:r>
              <w:rPr>
                <w:rFonts w:eastAsia="Times New Roman"/>
                <w:sz w:val="20"/>
                <w:szCs w:val="20"/>
              </w:rPr>
              <w:t>Weighted average shares outstanding of ordinary shares</w:t>
            </w:r>
          </w:p>
        </w:tc>
        <w:tc>
          <w:tcPr>
            <w:tcW w:w="0" w:type="auto"/>
            <w:shd w:val="clear" w:color="auto" w:fill="FFFFFF"/>
            <w:vAlign w:val="bottom"/>
            <w:hideMark/>
          </w:tcPr>
          <w:p w14:paraId="162804C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CC25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C8D208" w14:textId="77777777" w:rsidR="00000000" w:rsidRDefault="007F5353">
            <w:pPr>
              <w:jc w:val="right"/>
              <w:rPr>
                <w:rFonts w:eastAsia="Times New Roman"/>
                <w:sz w:val="20"/>
                <w:szCs w:val="20"/>
              </w:rPr>
            </w:pPr>
            <w:r>
              <w:rPr>
                <w:rFonts w:eastAsia="Times New Roman"/>
                <w:sz w:val="20"/>
                <w:szCs w:val="20"/>
              </w:rPr>
              <w:t>13,485,199</w:t>
            </w:r>
          </w:p>
        </w:tc>
        <w:tc>
          <w:tcPr>
            <w:tcW w:w="0" w:type="auto"/>
            <w:shd w:val="clear" w:color="auto" w:fill="FFFFFF"/>
            <w:vAlign w:val="bottom"/>
            <w:hideMark/>
          </w:tcPr>
          <w:p w14:paraId="5A2E66D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2CB34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E59A5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E80EE" w14:textId="77777777" w:rsidR="00000000" w:rsidRDefault="007F5353">
            <w:pPr>
              <w:jc w:val="right"/>
              <w:rPr>
                <w:rFonts w:eastAsia="Times New Roman"/>
                <w:sz w:val="20"/>
                <w:szCs w:val="20"/>
              </w:rPr>
            </w:pPr>
            <w:r>
              <w:rPr>
                <w:rFonts w:eastAsia="Times New Roman"/>
                <w:sz w:val="20"/>
                <w:szCs w:val="20"/>
              </w:rPr>
              <w:t>12,752,366</w:t>
            </w:r>
          </w:p>
        </w:tc>
        <w:tc>
          <w:tcPr>
            <w:tcW w:w="0" w:type="auto"/>
            <w:shd w:val="clear" w:color="auto" w:fill="FFFFFF"/>
            <w:vAlign w:val="bottom"/>
            <w:hideMark/>
          </w:tcPr>
          <w:p w14:paraId="1584DA0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D989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C37BF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78C6BF" w14:textId="77777777" w:rsidR="00000000" w:rsidRDefault="007F5353">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14:paraId="046D5074" w14:textId="77777777" w:rsidR="00000000" w:rsidRDefault="007F5353">
            <w:pPr>
              <w:rPr>
                <w:rFonts w:eastAsia="Times New Roman"/>
                <w:sz w:val="20"/>
                <w:szCs w:val="20"/>
              </w:rPr>
            </w:pPr>
            <w:r>
              <w:rPr>
                <w:rFonts w:eastAsia="Times New Roman"/>
                <w:sz w:val="20"/>
                <w:szCs w:val="20"/>
              </w:rPr>
              <w:t> </w:t>
            </w:r>
          </w:p>
        </w:tc>
      </w:tr>
      <w:tr w:rsidR="00000000" w14:paraId="139FB1A6" w14:textId="77777777">
        <w:tc>
          <w:tcPr>
            <w:tcW w:w="0" w:type="auto"/>
            <w:shd w:val="clear" w:color="auto" w:fill="CCEEFF"/>
            <w:vAlign w:val="bottom"/>
            <w:hideMark/>
          </w:tcPr>
          <w:p w14:paraId="4798ACA7" w14:textId="77777777" w:rsidR="00000000" w:rsidRDefault="007F5353">
            <w:pPr>
              <w:rPr>
                <w:rFonts w:eastAsia="Times New Roman"/>
                <w:b/>
                <w:bCs/>
                <w:sz w:val="20"/>
                <w:szCs w:val="20"/>
              </w:rPr>
            </w:pPr>
            <w:r>
              <w:rPr>
                <w:rFonts w:eastAsia="Times New Roman"/>
                <w:b/>
                <w:bCs/>
                <w:sz w:val="20"/>
                <w:szCs w:val="20"/>
              </w:rPr>
              <w:t>Basic and diluted net loss per ordinary share</w:t>
            </w:r>
          </w:p>
        </w:tc>
        <w:tc>
          <w:tcPr>
            <w:tcW w:w="0" w:type="auto"/>
            <w:shd w:val="clear" w:color="auto" w:fill="CCEEFF"/>
            <w:vAlign w:val="bottom"/>
            <w:hideMark/>
          </w:tcPr>
          <w:p w14:paraId="4724522B"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7710ABF"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6B61409" w14:textId="77777777" w:rsidR="00000000" w:rsidRDefault="007F5353">
            <w:pPr>
              <w:jc w:val="right"/>
              <w:rPr>
                <w:rFonts w:eastAsia="Times New Roman"/>
                <w:b/>
                <w:bCs/>
                <w:sz w:val="20"/>
                <w:szCs w:val="20"/>
              </w:rPr>
            </w:pPr>
            <w:r>
              <w:rPr>
                <w:rFonts w:eastAsia="Times New Roman"/>
                <w:b/>
                <w:bCs/>
                <w:sz w:val="20"/>
                <w:szCs w:val="20"/>
              </w:rPr>
              <w:t>(0.00</w:t>
            </w:r>
          </w:p>
        </w:tc>
        <w:tc>
          <w:tcPr>
            <w:tcW w:w="0" w:type="auto"/>
            <w:shd w:val="clear" w:color="auto" w:fill="CCEEFF"/>
            <w:vAlign w:val="bottom"/>
            <w:hideMark/>
          </w:tcPr>
          <w:p w14:paraId="322B5E29"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4C809E9"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9310044"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7E41B9F" w14:textId="77777777" w:rsidR="00000000" w:rsidRDefault="007F5353">
            <w:pPr>
              <w:jc w:val="right"/>
              <w:rPr>
                <w:rFonts w:eastAsia="Times New Roman"/>
                <w:b/>
                <w:bCs/>
                <w:sz w:val="20"/>
                <w:szCs w:val="20"/>
              </w:rPr>
            </w:pPr>
            <w:r>
              <w:rPr>
                <w:rFonts w:eastAsia="Times New Roman"/>
                <w:b/>
                <w:bCs/>
                <w:sz w:val="20"/>
                <w:szCs w:val="20"/>
              </w:rPr>
              <w:t>(0.03</w:t>
            </w:r>
          </w:p>
        </w:tc>
        <w:tc>
          <w:tcPr>
            <w:tcW w:w="0" w:type="auto"/>
            <w:shd w:val="clear" w:color="auto" w:fill="CCEEFF"/>
            <w:vAlign w:val="bottom"/>
            <w:hideMark/>
          </w:tcPr>
          <w:p w14:paraId="0504AAB0"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F14C23C"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A6C3649"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46B7B18" w14:textId="77777777" w:rsidR="00000000" w:rsidRDefault="007F5353">
            <w:pPr>
              <w:jc w:val="right"/>
              <w:rPr>
                <w:rFonts w:eastAsia="Times New Roman"/>
                <w:b/>
                <w:bCs/>
                <w:sz w:val="20"/>
                <w:szCs w:val="20"/>
              </w:rPr>
            </w:pPr>
            <w:r>
              <w:rPr>
                <w:rFonts w:eastAsia="Times New Roman"/>
                <w:b/>
                <w:bCs/>
                <w:sz w:val="20"/>
                <w:szCs w:val="20"/>
              </w:rPr>
              <w:t>(0.00</w:t>
            </w:r>
          </w:p>
        </w:tc>
        <w:tc>
          <w:tcPr>
            <w:tcW w:w="0" w:type="auto"/>
            <w:shd w:val="clear" w:color="auto" w:fill="CCEEFF"/>
            <w:vAlign w:val="bottom"/>
            <w:hideMark/>
          </w:tcPr>
          <w:p w14:paraId="4A5E02D6" w14:textId="77777777" w:rsidR="00000000" w:rsidRDefault="007F5353">
            <w:pPr>
              <w:rPr>
                <w:rFonts w:eastAsia="Times New Roman"/>
                <w:b/>
                <w:bCs/>
                <w:sz w:val="20"/>
                <w:szCs w:val="20"/>
              </w:rPr>
            </w:pPr>
            <w:r>
              <w:rPr>
                <w:rFonts w:eastAsia="Times New Roman"/>
                <w:b/>
                <w:bCs/>
                <w:sz w:val="20"/>
                <w:szCs w:val="20"/>
              </w:rPr>
              <w:t>)</w:t>
            </w:r>
          </w:p>
        </w:tc>
      </w:tr>
    </w:tbl>
    <w:p w14:paraId="706EE1FA" w14:textId="77777777" w:rsidR="00000000" w:rsidRDefault="007F5353">
      <w:pPr>
        <w:pStyle w:val="a3"/>
        <w:spacing w:before="0" w:beforeAutospacing="0" w:after="0" w:afterAutospacing="0"/>
        <w:jc w:val="center"/>
        <w:rPr>
          <w:sz w:val="20"/>
          <w:szCs w:val="20"/>
        </w:rPr>
      </w:pPr>
      <w:r>
        <w:rPr>
          <w:sz w:val="20"/>
          <w:szCs w:val="20"/>
        </w:rPr>
        <w:t> </w:t>
      </w:r>
    </w:p>
    <w:p w14:paraId="68E02842" w14:textId="77777777" w:rsidR="00000000" w:rsidRDefault="007F5353">
      <w:pPr>
        <w:pStyle w:val="a3"/>
        <w:spacing w:before="0" w:beforeAutospacing="0" w:after="0" w:afterAutospacing="0"/>
        <w:jc w:val="center"/>
        <w:rPr>
          <w:sz w:val="20"/>
          <w:szCs w:val="20"/>
        </w:rPr>
      </w:pPr>
      <w:r>
        <w:rPr>
          <w:b/>
          <w:bCs/>
          <w:sz w:val="20"/>
          <w:szCs w:val="20"/>
        </w:rPr>
        <w:t>The accompanying notes are an integral part of these unaudited financial statements.</w:t>
      </w:r>
    </w:p>
    <w:p w14:paraId="7A75504D"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AE493D1" w14:textId="77777777">
        <w:trPr>
          <w:divId w:val="908031598"/>
        </w:trPr>
        <w:tc>
          <w:tcPr>
            <w:tcW w:w="5000" w:type="pct"/>
            <w:hideMark/>
          </w:tcPr>
          <w:p w14:paraId="0196A27F"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004C0C46" w14:textId="77777777">
        <w:tc>
          <w:tcPr>
            <w:tcW w:w="5000" w:type="pct"/>
            <w:hideMark/>
          </w:tcPr>
          <w:p w14:paraId="7E077CCF" w14:textId="77777777" w:rsidR="00000000" w:rsidRDefault="007F5353">
            <w:pPr>
              <w:jc w:val="center"/>
              <w:rPr>
                <w:rFonts w:eastAsia="Times New Roman"/>
                <w:sz w:val="20"/>
                <w:szCs w:val="20"/>
              </w:rPr>
            </w:pPr>
            <w:r>
              <w:rPr>
                <w:rFonts w:eastAsia="Times New Roman"/>
                <w:sz w:val="20"/>
                <w:szCs w:val="20"/>
              </w:rPr>
              <w:t> </w:t>
            </w:r>
          </w:p>
        </w:tc>
      </w:tr>
    </w:tbl>
    <w:p w14:paraId="007F8711" w14:textId="77777777" w:rsidR="00000000" w:rsidRDefault="007F5353">
      <w:pPr>
        <w:pStyle w:val="a3"/>
        <w:spacing w:before="0" w:beforeAutospacing="0" w:after="0" w:afterAutospacing="0"/>
        <w:jc w:val="center"/>
        <w:rPr>
          <w:sz w:val="20"/>
          <w:szCs w:val="20"/>
        </w:rPr>
      </w:pPr>
      <w:r>
        <w:rPr>
          <w:sz w:val="20"/>
          <w:szCs w:val="20"/>
        </w:rPr>
        <w:t> </w:t>
      </w:r>
    </w:p>
    <w:p w14:paraId="376D3C0B" w14:textId="77777777" w:rsidR="00000000" w:rsidRDefault="007F5353">
      <w:pPr>
        <w:pStyle w:val="a3"/>
        <w:spacing w:before="0" w:beforeAutospacing="0" w:after="0" w:afterAutospacing="0"/>
        <w:jc w:val="center"/>
        <w:rPr>
          <w:sz w:val="20"/>
          <w:szCs w:val="20"/>
        </w:rPr>
      </w:pPr>
      <w:r>
        <w:rPr>
          <w:b/>
          <w:bCs/>
          <w:sz w:val="20"/>
          <w:szCs w:val="20"/>
        </w:rPr>
        <w:t>BROAD CAPITAL ACQUISITION CORP</w:t>
      </w:r>
    </w:p>
    <w:p w14:paraId="74A541EE" w14:textId="77777777" w:rsidR="00000000" w:rsidRDefault="007F5353">
      <w:pPr>
        <w:pStyle w:val="a3"/>
        <w:spacing w:before="0" w:beforeAutospacing="0" w:after="0" w:afterAutospacing="0"/>
        <w:jc w:val="center"/>
        <w:rPr>
          <w:sz w:val="20"/>
          <w:szCs w:val="20"/>
        </w:rPr>
      </w:pPr>
      <w:r>
        <w:rPr>
          <w:b/>
          <w:bCs/>
          <w:sz w:val="20"/>
          <w:szCs w:val="20"/>
        </w:rPr>
        <w:t xml:space="preserve">STATEMENTS </w:t>
      </w:r>
      <w:r>
        <w:rPr>
          <w:b/>
          <w:bCs/>
          <w:sz w:val="20"/>
          <w:szCs w:val="20"/>
        </w:rPr>
        <w:t>OF CHANGES IN STOCKHOLDERS’ EQUITY</w:t>
      </w:r>
    </w:p>
    <w:p w14:paraId="02DF3503" w14:textId="77777777" w:rsidR="00000000" w:rsidRDefault="007F5353">
      <w:pPr>
        <w:pStyle w:val="a3"/>
        <w:spacing w:before="0" w:beforeAutospacing="0" w:after="0" w:afterAutospacing="0"/>
        <w:jc w:val="center"/>
        <w:rPr>
          <w:sz w:val="20"/>
          <w:szCs w:val="20"/>
        </w:rPr>
      </w:pPr>
      <w:r>
        <w:rPr>
          <w:b/>
          <w:bCs/>
          <w:sz w:val="20"/>
          <w:szCs w:val="20"/>
        </w:rPr>
        <w:t>FOR THE PERIOD FROM INCEPTION THROUGH JUNE 30, 2021 AND</w:t>
      </w:r>
    </w:p>
    <w:p w14:paraId="480156C8" w14:textId="77777777" w:rsidR="00000000" w:rsidRDefault="007F5353">
      <w:pPr>
        <w:pStyle w:val="a3"/>
        <w:spacing w:before="0" w:beforeAutospacing="0" w:after="0" w:afterAutospacing="0"/>
        <w:jc w:val="center"/>
        <w:rPr>
          <w:sz w:val="20"/>
          <w:szCs w:val="20"/>
        </w:rPr>
      </w:pPr>
      <w:r>
        <w:rPr>
          <w:b/>
          <w:bCs/>
          <w:sz w:val="20"/>
          <w:szCs w:val="20"/>
        </w:rPr>
        <w:t>FOR THE SIX MONTHS ENDED JUNE 30, 2022</w:t>
      </w:r>
    </w:p>
    <w:p w14:paraId="766B1451" w14:textId="77777777" w:rsidR="00000000" w:rsidRDefault="007F5353">
      <w:pPr>
        <w:pStyle w:val="a3"/>
        <w:spacing w:before="0" w:beforeAutospacing="0" w:after="0" w:afterAutospacing="0"/>
        <w:jc w:val="center"/>
        <w:rPr>
          <w:sz w:val="20"/>
          <w:szCs w:val="20"/>
        </w:rPr>
      </w:pPr>
      <w:r>
        <w:rPr>
          <w:b/>
          <w:bCs/>
          <w:sz w:val="20"/>
          <w:szCs w:val="20"/>
        </w:rPr>
        <w:t>(UNAUDITED)</w:t>
      </w:r>
    </w:p>
    <w:p w14:paraId="04F75A38"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hanges in Stockholders&amp;apos; Equity (Unaudited)"/>
      </w:tblPr>
      <w:tblGrid>
        <w:gridCol w:w="2484"/>
        <w:gridCol w:w="50"/>
        <w:gridCol w:w="50"/>
        <w:gridCol w:w="967"/>
        <w:gridCol w:w="67"/>
        <w:gridCol w:w="50"/>
        <w:gridCol w:w="101"/>
        <w:gridCol w:w="630"/>
        <w:gridCol w:w="67"/>
        <w:gridCol w:w="50"/>
        <w:gridCol w:w="100"/>
        <w:gridCol w:w="1067"/>
        <w:gridCol w:w="67"/>
        <w:gridCol w:w="50"/>
        <w:gridCol w:w="114"/>
        <w:gridCol w:w="1020"/>
        <w:gridCol w:w="67"/>
        <w:gridCol w:w="50"/>
        <w:gridCol w:w="101"/>
        <w:gridCol w:w="1087"/>
        <w:gridCol w:w="67"/>
      </w:tblGrid>
      <w:tr w:rsidR="00000000" w14:paraId="4A7E483D" w14:textId="77777777">
        <w:trPr>
          <w:hidden/>
        </w:trPr>
        <w:tc>
          <w:tcPr>
            <w:tcW w:w="0" w:type="auto"/>
            <w:shd w:val="clear" w:color="auto" w:fill="CCEEFF"/>
            <w:vAlign w:val="bottom"/>
            <w:hideMark/>
          </w:tcPr>
          <w:p w14:paraId="204CD450"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E79BCDB"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F4EF573"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32B1916" w14:textId="77777777" w:rsidR="00000000" w:rsidRDefault="007F5353">
            <w:pPr>
              <w:jc w:val="right"/>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76E58CD"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F519B65"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8C35340"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85D84C2" w14:textId="77777777" w:rsidR="00000000" w:rsidRDefault="007F5353">
            <w:pPr>
              <w:jc w:val="right"/>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6BADD64"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9CC3A23"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2ADF57D0"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5388D38" w14:textId="77777777" w:rsidR="00000000" w:rsidRDefault="007F5353">
            <w:pPr>
              <w:jc w:val="right"/>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58E8232"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725A4BB"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A2DA1C6"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3A43545" w14:textId="77777777" w:rsidR="00000000" w:rsidRDefault="007F5353">
            <w:pPr>
              <w:jc w:val="right"/>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D9C7A27"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706D4BA"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6C1BC400"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03B2B71" w14:textId="77777777" w:rsidR="00000000" w:rsidRDefault="007F5353">
            <w:pPr>
              <w:jc w:val="right"/>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8FE2FD7" w14:textId="77777777" w:rsidR="00000000" w:rsidRDefault="007F5353">
            <w:pPr>
              <w:rPr>
                <w:rFonts w:eastAsia="Times New Roman"/>
                <w:b/>
                <w:bCs/>
                <w:vanish/>
                <w:sz w:val="20"/>
                <w:szCs w:val="20"/>
              </w:rPr>
            </w:pPr>
            <w:r>
              <w:rPr>
                <w:rFonts w:eastAsia="Times New Roman"/>
                <w:b/>
                <w:bCs/>
                <w:vanish/>
                <w:sz w:val="20"/>
                <w:szCs w:val="20"/>
              </w:rPr>
              <w:t> </w:t>
            </w:r>
          </w:p>
        </w:tc>
      </w:tr>
      <w:tr w:rsidR="00000000" w14:paraId="32483B2C" w14:textId="77777777">
        <w:tc>
          <w:tcPr>
            <w:tcW w:w="0" w:type="auto"/>
            <w:vAlign w:val="bottom"/>
            <w:hideMark/>
          </w:tcPr>
          <w:p w14:paraId="69A61B0F"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2468F28E"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92DFED6" w14:textId="77777777" w:rsidR="00000000" w:rsidRDefault="007F5353">
            <w:pPr>
              <w:jc w:val="center"/>
              <w:rPr>
                <w:rFonts w:eastAsia="Times New Roman"/>
                <w:b/>
                <w:bCs/>
                <w:sz w:val="20"/>
                <w:szCs w:val="20"/>
              </w:rPr>
            </w:pPr>
            <w:r>
              <w:rPr>
                <w:rFonts w:eastAsia="Times New Roman"/>
                <w:b/>
                <w:bCs/>
                <w:sz w:val="20"/>
                <w:szCs w:val="20"/>
              </w:rPr>
              <w:t>Common Stock</w:t>
            </w:r>
          </w:p>
        </w:tc>
        <w:tc>
          <w:tcPr>
            <w:tcW w:w="0" w:type="auto"/>
            <w:vAlign w:val="bottom"/>
            <w:hideMark/>
          </w:tcPr>
          <w:p w14:paraId="24963C00"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vAlign w:val="bottom"/>
            <w:hideMark/>
          </w:tcPr>
          <w:p w14:paraId="328880D3"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39C2FAAA" w14:textId="77777777" w:rsidR="00000000" w:rsidRDefault="007F5353">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vAlign w:val="bottom"/>
            <w:hideMark/>
          </w:tcPr>
          <w:p w14:paraId="081727B3"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vAlign w:val="bottom"/>
            <w:hideMark/>
          </w:tcPr>
          <w:p w14:paraId="7B5AACA1"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609D9BF1" w14:textId="77777777" w:rsidR="00000000" w:rsidRDefault="007F5353">
            <w:pPr>
              <w:jc w:val="center"/>
              <w:rPr>
                <w:rFonts w:eastAsia="Times New Roman"/>
                <w:b/>
                <w:bCs/>
                <w:sz w:val="20"/>
                <w:szCs w:val="20"/>
              </w:rPr>
            </w:pPr>
            <w:r>
              <w:rPr>
                <w:rFonts w:eastAsia="Times New Roman"/>
                <w:b/>
                <w:bCs/>
                <w:sz w:val="20"/>
                <w:szCs w:val="20"/>
              </w:rPr>
              <w:t>Accumulated</w:t>
            </w:r>
          </w:p>
        </w:tc>
        <w:tc>
          <w:tcPr>
            <w:tcW w:w="0" w:type="auto"/>
            <w:vAlign w:val="bottom"/>
            <w:hideMark/>
          </w:tcPr>
          <w:p w14:paraId="19744558"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vAlign w:val="bottom"/>
            <w:hideMark/>
          </w:tcPr>
          <w:p w14:paraId="1C94FDD0"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1AD9DAEC" w14:textId="77777777" w:rsidR="00000000" w:rsidRDefault="007F5353">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vAlign w:val="bottom"/>
            <w:hideMark/>
          </w:tcPr>
          <w:p w14:paraId="32B058B7" w14:textId="77777777" w:rsidR="00000000" w:rsidRDefault="007F5353">
            <w:pPr>
              <w:jc w:val="center"/>
              <w:rPr>
                <w:rFonts w:eastAsia="Times New Roman"/>
                <w:b/>
                <w:bCs/>
                <w:sz w:val="20"/>
                <w:szCs w:val="20"/>
              </w:rPr>
            </w:pPr>
            <w:r>
              <w:rPr>
                <w:rFonts w:eastAsia="Times New Roman"/>
                <w:b/>
                <w:bCs/>
                <w:sz w:val="20"/>
                <w:szCs w:val="20"/>
              </w:rPr>
              <w:t> </w:t>
            </w:r>
          </w:p>
        </w:tc>
      </w:tr>
      <w:tr w:rsidR="00000000" w14:paraId="10EA9CD4" w14:textId="77777777">
        <w:tc>
          <w:tcPr>
            <w:tcW w:w="0" w:type="auto"/>
            <w:vAlign w:val="bottom"/>
            <w:hideMark/>
          </w:tcPr>
          <w:p w14:paraId="1812E6E5"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2830A5DA"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575AAF" w14:textId="77777777" w:rsidR="00000000" w:rsidRDefault="007F5353">
            <w:pPr>
              <w:jc w:val="center"/>
              <w:rPr>
                <w:rFonts w:eastAsia="Times New Roman"/>
                <w:b/>
                <w:bCs/>
                <w:sz w:val="20"/>
                <w:szCs w:val="20"/>
              </w:rPr>
            </w:pPr>
            <w:r>
              <w:rPr>
                <w:rFonts w:eastAsia="Times New Roman"/>
                <w:b/>
                <w:bCs/>
                <w:sz w:val="20"/>
                <w:szCs w:val="20"/>
              </w:rPr>
              <w:t>Shares</w:t>
            </w:r>
          </w:p>
        </w:tc>
        <w:tc>
          <w:tcPr>
            <w:tcW w:w="0" w:type="auto"/>
            <w:vAlign w:val="bottom"/>
            <w:hideMark/>
          </w:tcPr>
          <w:p w14:paraId="4B3ED825"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vAlign w:val="bottom"/>
            <w:hideMark/>
          </w:tcPr>
          <w:p w14:paraId="44F6E4EC"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B917A3" w14:textId="77777777" w:rsidR="00000000" w:rsidRDefault="007F5353">
            <w:pPr>
              <w:jc w:val="center"/>
              <w:rPr>
                <w:rFonts w:eastAsia="Times New Roman"/>
                <w:b/>
                <w:bCs/>
                <w:sz w:val="20"/>
                <w:szCs w:val="20"/>
              </w:rPr>
            </w:pPr>
            <w:r>
              <w:rPr>
                <w:rFonts w:eastAsia="Times New Roman"/>
                <w:b/>
                <w:bCs/>
                <w:sz w:val="20"/>
                <w:szCs w:val="20"/>
              </w:rPr>
              <w:t>Amount</w:t>
            </w:r>
          </w:p>
        </w:tc>
        <w:tc>
          <w:tcPr>
            <w:tcW w:w="0" w:type="auto"/>
            <w:vAlign w:val="bottom"/>
            <w:hideMark/>
          </w:tcPr>
          <w:p w14:paraId="2DCCA341"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vAlign w:val="bottom"/>
            <w:hideMark/>
          </w:tcPr>
          <w:p w14:paraId="1E9FC2B1"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FCBE1D" w14:textId="77777777" w:rsidR="00000000" w:rsidRDefault="007F5353">
            <w:pPr>
              <w:jc w:val="center"/>
              <w:rPr>
                <w:rFonts w:eastAsia="Times New Roman"/>
                <w:b/>
                <w:bCs/>
                <w:sz w:val="20"/>
                <w:szCs w:val="20"/>
              </w:rPr>
            </w:pPr>
            <w:r>
              <w:rPr>
                <w:rFonts w:eastAsia="Times New Roman"/>
                <w:b/>
                <w:bCs/>
                <w:sz w:val="20"/>
                <w:szCs w:val="20"/>
              </w:rPr>
              <w:t>Capital</w:t>
            </w:r>
          </w:p>
        </w:tc>
        <w:tc>
          <w:tcPr>
            <w:tcW w:w="0" w:type="auto"/>
            <w:vAlign w:val="bottom"/>
            <w:hideMark/>
          </w:tcPr>
          <w:p w14:paraId="0816591F"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vAlign w:val="bottom"/>
            <w:hideMark/>
          </w:tcPr>
          <w:p w14:paraId="5C65B408"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B87278" w14:textId="77777777" w:rsidR="00000000" w:rsidRDefault="007F5353">
            <w:pPr>
              <w:jc w:val="center"/>
              <w:rPr>
                <w:rFonts w:eastAsia="Times New Roman"/>
                <w:b/>
                <w:bCs/>
                <w:sz w:val="20"/>
                <w:szCs w:val="20"/>
              </w:rPr>
            </w:pPr>
            <w:r>
              <w:rPr>
                <w:rFonts w:eastAsia="Times New Roman"/>
                <w:b/>
                <w:bCs/>
                <w:sz w:val="20"/>
                <w:szCs w:val="20"/>
              </w:rPr>
              <w:t>Deficit</w:t>
            </w:r>
          </w:p>
        </w:tc>
        <w:tc>
          <w:tcPr>
            <w:tcW w:w="0" w:type="auto"/>
            <w:vAlign w:val="bottom"/>
            <w:hideMark/>
          </w:tcPr>
          <w:p w14:paraId="730C3E15"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vAlign w:val="bottom"/>
            <w:hideMark/>
          </w:tcPr>
          <w:p w14:paraId="37B69953" w14:textId="77777777" w:rsidR="00000000" w:rsidRDefault="007F535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24DBFE" w14:textId="77777777" w:rsidR="00000000" w:rsidRDefault="007F5353">
            <w:pPr>
              <w:jc w:val="center"/>
              <w:rPr>
                <w:rFonts w:eastAsia="Times New Roman"/>
                <w:b/>
                <w:bCs/>
                <w:sz w:val="20"/>
                <w:szCs w:val="20"/>
              </w:rPr>
            </w:pPr>
            <w:r>
              <w:rPr>
                <w:rFonts w:eastAsia="Times New Roman"/>
                <w:b/>
                <w:bCs/>
                <w:sz w:val="20"/>
                <w:szCs w:val="20"/>
              </w:rPr>
              <w:t>Equity (Deficit)</w:t>
            </w:r>
          </w:p>
        </w:tc>
        <w:tc>
          <w:tcPr>
            <w:tcW w:w="0" w:type="auto"/>
            <w:vAlign w:val="bottom"/>
            <w:hideMark/>
          </w:tcPr>
          <w:p w14:paraId="68188D1E" w14:textId="77777777" w:rsidR="00000000" w:rsidRDefault="007F5353">
            <w:pPr>
              <w:jc w:val="center"/>
              <w:rPr>
                <w:rFonts w:eastAsia="Times New Roman"/>
                <w:b/>
                <w:bCs/>
                <w:sz w:val="20"/>
                <w:szCs w:val="20"/>
              </w:rPr>
            </w:pPr>
            <w:r>
              <w:rPr>
                <w:rFonts w:eastAsia="Times New Roman"/>
                <w:b/>
                <w:bCs/>
                <w:sz w:val="20"/>
                <w:szCs w:val="20"/>
              </w:rPr>
              <w:t> </w:t>
            </w:r>
          </w:p>
        </w:tc>
      </w:tr>
      <w:tr w:rsidR="00000000" w14:paraId="1A1D0306" w14:textId="77777777">
        <w:tc>
          <w:tcPr>
            <w:tcW w:w="1600" w:type="pct"/>
            <w:shd w:val="clear" w:color="auto" w:fill="CCEEFF"/>
            <w:vAlign w:val="bottom"/>
            <w:hideMark/>
          </w:tcPr>
          <w:p w14:paraId="138F3E32" w14:textId="77777777" w:rsidR="00000000" w:rsidRDefault="007F5353">
            <w:pPr>
              <w:rPr>
                <w:rFonts w:eastAsia="Times New Roman"/>
                <w:b/>
                <w:bCs/>
                <w:sz w:val="20"/>
                <w:szCs w:val="20"/>
              </w:rPr>
            </w:pPr>
            <w:r>
              <w:rPr>
                <w:rFonts w:eastAsia="Times New Roman"/>
                <w:b/>
                <w:bCs/>
                <w:sz w:val="20"/>
                <w:szCs w:val="20"/>
              </w:rPr>
              <w:t>Balance – December 31, 2021</w:t>
            </w:r>
          </w:p>
        </w:tc>
        <w:tc>
          <w:tcPr>
            <w:tcW w:w="100" w:type="pct"/>
            <w:shd w:val="clear" w:color="auto" w:fill="CCEEFF"/>
            <w:vAlign w:val="bottom"/>
            <w:hideMark/>
          </w:tcPr>
          <w:p w14:paraId="7951BB15" w14:textId="77777777" w:rsidR="00000000" w:rsidRDefault="007F535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F831A4D" w14:textId="77777777" w:rsidR="00000000" w:rsidRDefault="007F5353">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14:paraId="7394D79B" w14:textId="77777777" w:rsidR="00000000" w:rsidRDefault="007F5353">
            <w:pPr>
              <w:jc w:val="right"/>
              <w:rPr>
                <w:rFonts w:eastAsia="Times New Roman"/>
                <w:b/>
                <w:bCs/>
                <w:sz w:val="20"/>
                <w:szCs w:val="20"/>
              </w:rPr>
            </w:pPr>
            <w:r>
              <w:rPr>
                <w:rFonts w:eastAsia="Times New Roman"/>
                <w:b/>
                <w:bCs/>
                <w:sz w:val="20"/>
                <w:szCs w:val="20"/>
              </w:rPr>
              <w:t>2,875,000</w:t>
            </w:r>
          </w:p>
        </w:tc>
        <w:tc>
          <w:tcPr>
            <w:tcW w:w="50" w:type="pct"/>
            <w:shd w:val="clear" w:color="auto" w:fill="CCEEFF"/>
            <w:vAlign w:val="bottom"/>
            <w:hideMark/>
          </w:tcPr>
          <w:p w14:paraId="30205B22" w14:textId="77777777" w:rsidR="00000000" w:rsidRDefault="007F5353">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6454EAB6" w14:textId="77777777" w:rsidR="00000000" w:rsidRDefault="007F535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8BD2D46" w14:textId="77777777" w:rsidR="00000000" w:rsidRDefault="007F535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7C7E9225" w14:textId="77777777" w:rsidR="00000000" w:rsidRDefault="007F5353">
            <w:pPr>
              <w:jc w:val="right"/>
              <w:rPr>
                <w:rFonts w:eastAsia="Times New Roman"/>
                <w:b/>
                <w:bCs/>
                <w:sz w:val="20"/>
                <w:szCs w:val="20"/>
              </w:rPr>
            </w:pPr>
            <w:r>
              <w:rPr>
                <w:rFonts w:eastAsia="Times New Roman"/>
                <w:b/>
                <w:bCs/>
                <w:sz w:val="20"/>
                <w:szCs w:val="20"/>
              </w:rPr>
              <w:t>3</w:t>
            </w:r>
          </w:p>
        </w:tc>
        <w:tc>
          <w:tcPr>
            <w:tcW w:w="50" w:type="pct"/>
            <w:shd w:val="clear" w:color="auto" w:fill="CCEEFF"/>
            <w:vAlign w:val="bottom"/>
            <w:hideMark/>
          </w:tcPr>
          <w:p w14:paraId="1EB98CBB" w14:textId="77777777" w:rsidR="00000000" w:rsidRDefault="007F5353">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4F589C01" w14:textId="77777777" w:rsidR="00000000" w:rsidRDefault="007F535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565A370" w14:textId="77777777" w:rsidR="00000000" w:rsidRDefault="007F535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773BC7B1" w14:textId="77777777" w:rsidR="00000000" w:rsidRDefault="007F5353">
            <w:pPr>
              <w:jc w:val="right"/>
              <w:rPr>
                <w:rFonts w:eastAsia="Times New Roman"/>
                <w:b/>
                <w:bCs/>
                <w:sz w:val="20"/>
                <w:szCs w:val="20"/>
              </w:rPr>
            </w:pPr>
            <w:r>
              <w:rPr>
                <w:rFonts w:eastAsia="Times New Roman"/>
                <w:b/>
                <w:bCs/>
                <w:sz w:val="20"/>
                <w:szCs w:val="20"/>
              </w:rPr>
              <w:t>24,997</w:t>
            </w:r>
          </w:p>
        </w:tc>
        <w:tc>
          <w:tcPr>
            <w:tcW w:w="50" w:type="pct"/>
            <w:shd w:val="clear" w:color="auto" w:fill="CCEEFF"/>
            <w:vAlign w:val="bottom"/>
            <w:hideMark/>
          </w:tcPr>
          <w:p w14:paraId="4B68C07E" w14:textId="77777777" w:rsidR="00000000" w:rsidRDefault="007F5353">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0CAD90E5" w14:textId="77777777" w:rsidR="00000000" w:rsidRDefault="007F535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99C62FA" w14:textId="77777777" w:rsidR="00000000" w:rsidRDefault="007F535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7F8DFD17" w14:textId="77777777" w:rsidR="00000000" w:rsidRDefault="007F5353">
            <w:pPr>
              <w:jc w:val="right"/>
              <w:rPr>
                <w:rFonts w:eastAsia="Times New Roman"/>
                <w:b/>
                <w:bCs/>
                <w:sz w:val="20"/>
                <w:szCs w:val="20"/>
              </w:rPr>
            </w:pPr>
            <w:r>
              <w:rPr>
                <w:rFonts w:eastAsia="Times New Roman"/>
                <w:b/>
                <w:bCs/>
                <w:sz w:val="20"/>
                <w:szCs w:val="20"/>
              </w:rPr>
              <w:t>(20,095</w:t>
            </w:r>
          </w:p>
        </w:tc>
        <w:tc>
          <w:tcPr>
            <w:tcW w:w="50" w:type="pct"/>
            <w:shd w:val="clear" w:color="auto" w:fill="CCEEFF"/>
            <w:vAlign w:val="bottom"/>
            <w:hideMark/>
          </w:tcPr>
          <w:p w14:paraId="05334755" w14:textId="77777777" w:rsidR="00000000" w:rsidRDefault="007F5353">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14:paraId="1B44319E" w14:textId="77777777" w:rsidR="00000000" w:rsidRDefault="007F535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230348C" w14:textId="77777777" w:rsidR="00000000" w:rsidRDefault="007F5353">
            <w:pPr>
              <w:rPr>
                <w:rFonts w:eastAsia="Times New Roman"/>
                <w:b/>
                <w:bCs/>
                <w:sz w:val="20"/>
                <w:szCs w:val="20"/>
              </w:rPr>
            </w:pPr>
            <w:r>
              <w:rPr>
                <w:rFonts w:eastAsia="Times New Roman"/>
                <w:b/>
                <w:bCs/>
                <w:sz w:val="20"/>
                <w:szCs w:val="20"/>
              </w:rPr>
              <w:t>$</w:t>
            </w:r>
          </w:p>
        </w:tc>
        <w:tc>
          <w:tcPr>
            <w:tcW w:w="600" w:type="pct"/>
            <w:shd w:val="clear" w:color="auto" w:fill="CCEEFF"/>
            <w:vAlign w:val="bottom"/>
            <w:hideMark/>
          </w:tcPr>
          <w:p w14:paraId="2E5C908A" w14:textId="77777777" w:rsidR="00000000" w:rsidRDefault="007F5353">
            <w:pPr>
              <w:jc w:val="right"/>
              <w:rPr>
                <w:rFonts w:eastAsia="Times New Roman"/>
                <w:b/>
                <w:bCs/>
                <w:sz w:val="20"/>
                <w:szCs w:val="20"/>
              </w:rPr>
            </w:pPr>
            <w:r>
              <w:rPr>
                <w:rFonts w:eastAsia="Times New Roman"/>
                <w:b/>
                <w:bCs/>
                <w:sz w:val="20"/>
                <w:szCs w:val="20"/>
              </w:rPr>
              <w:t>4,905</w:t>
            </w:r>
          </w:p>
        </w:tc>
        <w:tc>
          <w:tcPr>
            <w:tcW w:w="50" w:type="pct"/>
            <w:shd w:val="clear" w:color="auto" w:fill="CCEEFF"/>
            <w:vAlign w:val="bottom"/>
            <w:hideMark/>
          </w:tcPr>
          <w:p w14:paraId="3021C205" w14:textId="77777777" w:rsidR="00000000" w:rsidRDefault="007F5353">
            <w:pPr>
              <w:rPr>
                <w:rFonts w:eastAsia="Times New Roman"/>
                <w:b/>
                <w:bCs/>
                <w:sz w:val="20"/>
                <w:szCs w:val="20"/>
              </w:rPr>
            </w:pPr>
            <w:r>
              <w:rPr>
                <w:rFonts w:eastAsia="Times New Roman"/>
                <w:b/>
                <w:bCs/>
                <w:sz w:val="20"/>
                <w:szCs w:val="20"/>
              </w:rPr>
              <w:t> </w:t>
            </w:r>
          </w:p>
        </w:tc>
      </w:tr>
      <w:tr w:rsidR="00000000" w14:paraId="7CD13EB3" w14:textId="77777777">
        <w:tc>
          <w:tcPr>
            <w:tcW w:w="0" w:type="auto"/>
            <w:shd w:val="clear" w:color="auto" w:fill="FFFFFF"/>
            <w:vAlign w:val="bottom"/>
            <w:hideMark/>
          </w:tcPr>
          <w:p w14:paraId="6609C26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74300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6450D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7F2EEF"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38824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BD15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BAD4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C299F6"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995C2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71A36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59E3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E2DBFA"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1DCA4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6ECE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C0AB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D4581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45228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49A42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A43B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752A2F"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E03154" w14:textId="77777777" w:rsidR="00000000" w:rsidRDefault="007F5353">
            <w:pPr>
              <w:rPr>
                <w:rFonts w:eastAsia="Times New Roman"/>
                <w:sz w:val="20"/>
                <w:szCs w:val="20"/>
              </w:rPr>
            </w:pPr>
            <w:r>
              <w:rPr>
                <w:rFonts w:eastAsia="Times New Roman"/>
                <w:sz w:val="20"/>
                <w:szCs w:val="20"/>
              </w:rPr>
              <w:t> </w:t>
            </w:r>
          </w:p>
        </w:tc>
      </w:tr>
      <w:tr w:rsidR="00000000" w14:paraId="26013D89" w14:textId="77777777">
        <w:tc>
          <w:tcPr>
            <w:tcW w:w="0" w:type="auto"/>
            <w:shd w:val="clear" w:color="auto" w:fill="CCEEFF"/>
            <w:vAlign w:val="bottom"/>
            <w:hideMark/>
          </w:tcPr>
          <w:p w14:paraId="025F5B68" w14:textId="77777777" w:rsidR="00000000" w:rsidRDefault="007F5353">
            <w:pPr>
              <w:rPr>
                <w:rFonts w:eastAsia="Times New Roman"/>
                <w:sz w:val="20"/>
                <w:szCs w:val="20"/>
              </w:rPr>
            </w:pPr>
            <w:r>
              <w:rPr>
                <w:rFonts w:eastAsia="Times New Roman"/>
                <w:sz w:val="20"/>
                <w:szCs w:val="20"/>
              </w:rPr>
              <w:t>Sale of Units in Initial Public Offering</w:t>
            </w:r>
          </w:p>
        </w:tc>
        <w:tc>
          <w:tcPr>
            <w:tcW w:w="0" w:type="auto"/>
            <w:shd w:val="clear" w:color="auto" w:fill="CCEEFF"/>
            <w:vAlign w:val="bottom"/>
            <w:hideMark/>
          </w:tcPr>
          <w:p w14:paraId="1F425A5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912A0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063EA4" w14:textId="77777777" w:rsidR="00000000" w:rsidRDefault="007F5353">
            <w:pPr>
              <w:jc w:val="right"/>
              <w:rPr>
                <w:rFonts w:eastAsia="Times New Roman"/>
                <w:sz w:val="20"/>
                <w:szCs w:val="20"/>
              </w:rPr>
            </w:pPr>
            <w:r>
              <w:rPr>
                <w:rFonts w:eastAsia="Times New Roman"/>
                <w:sz w:val="20"/>
                <w:szCs w:val="20"/>
              </w:rPr>
              <w:t>10,159,069</w:t>
            </w:r>
          </w:p>
        </w:tc>
        <w:tc>
          <w:tcPr>
            <w:tcW w:w="0" w:type="auto"/>
            <w:shd w:val="clear" w:color="auto" w:fill="CCEEFF"/>
            <w:vAlign w:val="bottom"/>
            <w:hideMark/>
          </w:tcPr>
          <w:p w14:paraId="7D9DC2D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9755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27A1E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A5109" w14:textId="77777777" w:rsidR="00000000" w:rsidRDefault="007F5353">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14:paraId="7B83C2B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2282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BE84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EB4396" w14:textId="77777777" w:rsidR="00000000" w:rsidRDefault="007F5353">
            <w:pPr>
              <w:jc w:val="right"/>
              <w:rPr>
                <w:rFonts w:eastAsia="Times New Roman"/>
                <w:sz w:val="20"/>
                <w:szCs w:val="20"/>
              </w:rPr>
            </w:pPr>
            <w:r>
              <w:rPr>
                <w:rFonts w:eastAsia="Times New Roman"/>
                <w:sz w:val="20"/>
                <w:szCs w:val="20"/>
              </w:rPr>
              <w:t>101,590,680</w:t>
            </w:r>
          </w:p>
        </w:tc>
        <w:tc>
          <w:tcPr>
            <w:tcW w:w="0" w:type="auto"/>
            <w:shd w:val="clear" w:color="auto" w:fill="CCEEFF"/>
            <w:vAlign w:val="bottom"/>
            <w:hideMark/>
          </w:tcPr>
          <w:p w14:paraId="058CB02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4DB0B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8218D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FF5283"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F0D343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9AC4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2E88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02B02" w14:textId="77777777" w:rsidR="00000000" w:rsidRDefault="007F5353">
            <w:pPr>
              <w:jc w:val="right"/>
              <w:rPr>
                <w:rFonts w:eastAsia="Times New Roman"/>
                <w:sz w:val="20"/>
                <w:szCs w:val="20"/>
              </w:rPr>
            </w:pPr>
            <w:r>
              <w:rPr>
                <w:rFonts w:eastAsia="Times New Roman"/>
                <w:sz w:val="20"/>
                <w:szCs w:val="20"/>
              </w:rPr>
              <w:t>101,590,690</w:t>
            </w:r>
          </w:p>
        </w:tc>
        <w:tc>
          <w:tcPr>
            <w:tcW w:w="0" w:type="auto"/>
            <w:shd w:val="clear" w:color="auto" w:fill="CCEEFF"/>
            <w:vAlign w:val="bottom"/>
            <w:hideMark/>
          </w:tcPr>
          <w:p w14:paraId="7F8ED7FF" w14:textId="77777777" w:rsidR="00000000" w:rsidRDefault="007F5353">
            <w:pPr>
              <w:rPr>
                <w:rFonts w:eastAsia="Times New Roman"/>
                <w:sz w:val="20"/>
                <w:szCs w:val="20"/>
              </w:rPr>
            </w:pPr>
            <w:r>
              <w:rPr>
                <w:rFonts w:eastAsia="Times New Roman"/>
                <w:sz w:val="20"/>
                <w:szCs w:val="20"/>
              </w:rPr>
              <w:t> </w:t>
            </w:r>
          </w:p>
        </w:tc>
      </w:tr>
      <w:tr w:rsidR="00000000" w14:paraId="1B40F606" w14:textId="77777777">
        <w:tc>
          <w:tcPr>
            <w:tcW w:w="0" w:type="auto"/>
            <w:shd w:val="clear" w:color="auto" w:fill="FFFFFF"/>
            <w:vAlign w:val="bottom"/>
            <w:hideMark/>
          </w:tcPr>
          <w:p w14:paraId="18A279D4" w14:textId="77777777" w:rsidR="00000000" w:rsidRDefault="007F5353">
            <w:pPr>
              <w:rPr>
                <w:rFonts w:eastAsia="Times New Roman"/>
                <w:sz w:val="20"/>
                <w:szCs w:val="20"/>
              </w:rPr>
            </w:pPr>
            <w:r>
              <w:rPr>
                <w:rFonts w:eastAsia="Times New Roman"/>
                <w:sz w:val="20"/>
                <w:szCs w:val="20"/>
              </w:rPr>
              <w:t>Common Stock subject to possible redemption</w:t>
            </w:r>
          </w:p>
        </w:tc>
        <w:tc>
          <w:tcPr>
            <w:tcW w:w="0" w:type="auto"/>
            <w:shd w:val="clear" w:color="auto" w:fill="FFFFFF"/>
            <w:vAlign w:val="bottom"/>
            <w:hideMark/>
          </w:tcPr>
          <w:p w14:paraId="2C28715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8FE5D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71A339" w14:textId="77777777" w:rsidR="00000000" w:rsidRDefault="007F5353">
            <w:pPr>
              <w:jc w:val="right"/>
              <w:rPr>
                <w:rFonts w:eastAsia="Times New Roman"/>
                <w:sz w:val="20"/>
                <w:szCs w:val="20"/>
              </w:rPr>
            </w:pPr>
            <w:r>
              <w:rPr>
                <w:rFonts w:eastAsia="Times New Roman"/>
                <w:sz w:val="20"/>
                <w:szCs w:val="20"/>
              </w:rPr>
              <w:t>(10,159,069</w:t>
            </w:r>
          </w:p>
        </w:tc>
        <w:tc>
          <w:tcPr>
            <w:tcW w:w="0" w:type="auto"/>
            <w:shd w:val="clear" w:color="auto" w:fill="FFFFFF"/>
            <w:vAlign w:val="bottom"/>
            <w:hideMark/>
          </w:tcPr>
          <w:p w14:paraId="178FC968"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022E4C7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80EC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ACB53" w14:textId="77777777" w:rsidR="00000000" w:rsidRDefault="007F5353">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14:paraId="5776E506"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073D080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6996C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CA773C" w14:textId="77777777" w:rsidR="00000000" w:rsidRDefault="007F5353">
            <w:pPr>
              <w:jc w:val="right"/>
              <w:rPr>
                <w:rFonts w:eastAsia="Times New Roman"/>
                <w:sz w:val="20"/>
                <w:szCs w:val="20"/>
              </w:rPr>
            </w:pPr>
            <w:r>
              <w:rPr>
                <w:rFonts w:eastAsia="Times New Roman"/>
                <w:sz w:val="20"/>
                <w:szCs w:val="20"/>
              </w:rPr>
              <w:t>(102,606,587</w:t>
            </w:r>
          </w:p>
        </w:tc>
        <w:tc>
          <w:tcPr>
            <w:tcW w:w="0" w:type="auto"/>
            <w:shd w:val="clear" w:color="auto" w:fill="FFFFFF"/>
            <w:vAlign w:val="bottom"/>
            <w:hideMark/>
          </w:tcPr>
          <w:p w14:paraId="6E4D06F2"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1C105D1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EFF1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1BD0E5"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29B0F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77C4E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C9E0C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22795" w14:textId="77777777" w:rsidR="00000000" w:rsidRDefault="007F5353">
            <w:pPr>
              <w:jc w:val="right"/>
              <w:rPr>
                <w:rFonts w:eastAsia="Times New Roman"/>
                <w:sz w:val="20"/>
                <w:szCs w:val="20"/>
              </w:rPr>
            </w:pPr>
            <w:r>
              <w:rPr>
                <w:rFonts w:eastAsia="Times New Roman"/>
                <w:sz w:val="20"/>
                <w:szCs w:val="20"/>
              </w:rPr>
              <w:t>(102,606,597</w:t>
            </w:r>
          </w:p>
        </w:tc>
        <w:tc>
          <w:tcPr>
            <w:tcW w:w="0" w:type="auto"/>
            <w:shd w:val="clear" w:color="auto" w:fill="FFFFFF"/>
            <w:vAlign w:val="bottom"/>
            <w:hideMark/>
          </w:tcPr>
          <w:p w14:paraId="29757CC9" w14:textId="77777777" w:rsidR="00000000" w:rsidRDefault="007F5353">
            <w:pPr>
              <w:rPr>
                <w:rFonts w:eastAsia="Times New Roman"/>
                <w:sz w:val="20"/>
                <w:szCs w:val="20"/>
              </w:rPr>
            </w:pPr>
            <w:r>
              <w:rPr>
                <w:rFonts w:eastAsia="Times New Roman"/>
                <w:sz w:val="20"/>
                <w:szCs w:val="20"/>
              </w:rPr>
              <w:t>)</w:t>
            </w:r>
          </w:p>
        </w:tc>
      </w:tr>
      <w:tr w:rsidR="00000000" w14:paraId="22D4557E" w14:textId="77777777">
        <w:tc>
          <w:tcPr>
            <w:tcW w:w="0" w:type="auto"/>
            <w:shd w:val="clear" w:color="auto" w:fill="CCEEFF"/>
            <w:vAlign w:val="bottom"/>
            <w:hideMark/>
          </w:tcPr>
          <w:p w14:paraId="262B1734" w14:textId="77777777" w:rsidR="00000000" w:rsidRDefault="007F5353">
            <w:pPr>
              <w:rPr>
                <w:rFonts w:eastAsia="Times New Roman"/>
                <w:sz w:val="20"/>
                <w:szCs w:val="20"/>
              </w:rPr>
            </w:pPr>
            <w:r>
              <w:rPr>
                <w:rFonts w:eastAsia="Times New Roman"/>
                <w:sz w:val="20"/>
                <w:szCs w:val="20"/>
              </w:rPr>
              <w:t>Sale of Placement Units</w:t>
            </w:r>
          </w:p>
        </w:tc>
        <w:tc>
          <w:tcPr>
            <w:tcW w:w="0" w:type="auto"/>
            <w:shd w:val="clear" w:color="auto" w:fill="CCEEFF"/>
            <w:vAlign w:val="bottom"/>
            <w:hideMark/>
          </w:tcPr>
          <w:p w14:paraId="5E25E34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8C2BB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773740" w14:textId="77777777" w:rsidR="00000000" w:rsidRDefault="007F5353">
            <w:pPr>
              <w:jc w:val="right"/>
              <w:rPr>
                <w:rFonts w:eastAsia="Times New Roman"/>
                <w:sz w:val="20"/>
                <w:szCs w:val="20"/>
              </w:rPr>
            </w:pPr>
            <w:r>
              <w:rPr>
                <w:rFonts w:eastAsia="Times New Roman"/>
                <w:sz w:val="20"/>
                <w:szCs w:val="20"/>
              </w:rPr>
              <w:t>451,130</w:t>
            </w:r>
          </w:p>
        </w:tc>
        <w:tc>
          <w:tcPr>
            <w:tcW w:w="0" w:type="auto"/>
            <w:shd w:val="clear" w:color="auto" w:fill="CCEEFF"/>
            <w:vAlign w:val="bottom"/>
            <w:hideMark/>
          </w:tcPr>
          <w:p w14:paraId="028F454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1830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C229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71E04"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C477DA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AB853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21A4B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B98469" w14:textId="77777777" w:rsidR="00000000" w:rsidRDefault="007F5353">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14:paraId="711967E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B3750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9EBB8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E2136"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09CDA4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6F92F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5E32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C80557" w14:textId="77777777" w:rsidR="00000000" w:rsidRDefault="007F5353">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14:paraId="0E81C0F6" w14:textId="77777777" w:rsidR="00000000" w:rsidRDefault="007F5353">
            <w:pPr>
              <w:rPr>
                <w:rFonts w:eastAsia="Times New Roman"/>
                <w:sz w:val="20"/>
                <w:szCs w:val="20"/>
              </w:rPr>
            </w:pPr>
            <w:r>
              <w:rPr>
                <w:rFonts w:eastAsia="Times New Roman"/>
                <w:sz w:val="20"/>
                <w:szCs w:val="20"/>
              </w:rPr>
              <w:t> </w:t>
            </w:r>
          </w:p>
        </w:tc>
      </w:tr>
      <w:tr w:rsidR="00000000" w14:paraId="5449CF47" w14:textId="77777777">
        <w:tc>
          <w:tcPr>
            <w:tcW w:w="0" w:type="auto"/>
            <w:shd w:val="clear" w:color="auto" w:fill="FFFFFF"/>
            <w:vAlign w:val="bottom"/>
            <w:hideMark/>
          </w:tcPr>
          <w:p w14:paraId="46E0781F" w14:textId="77777777" w:rsidR="00000000" w:rsidRDefault="007F5353">
            <w:pPr>
              <w:rPr>
                <w:rFonts w:eastAsia="Times New Roman"/>
                <w:sz w:val="20"/>
                <w:szCs w:val="20"/>
              </w:rPr>
            </w:pPr>
            <w:r>
              <w:rPr>
                <w:rFonts w:eastAsia="Times New Roman"/>
                <w:sz w:val="20"/>
                <w:szCs w:val="20"/>
              </w:rPr>
              <w:t>Offering and Underwriting costs</w:t>
            </w:r>
          </w:p>
        </w:tc>
        <w:tc>
          <w:tcPr>
            <w:tcW w:w="0" w:type="auto"/>
            <w:shd w:val="clear" w:color="auto" w:fill="FFFFFF"/>
            <w:vAlign w:val="bottom"/>
            <w:hideMark/>
          </w:tcPr>
          <w:p w14:paraId="2C6D23B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EFC6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55FEB"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DDA13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7FD6C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5FC23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ABD3F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8EE6AF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B4CB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0AFC6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818874" w14:textId="77777777" w:rsidR="00000000" w:rsidRDefault="007F5353">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14:paraId="285CBB36"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0886BDD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DB5E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9104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8E1483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BF4B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08EE8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43C50" w14:textId="77777777" w:rsidR="00000000" w:rsidRDefault="007F5353">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14:paraId="2D7A9F9B" w14:textId="77777777" w:rsidR="00000000" w:rsidRDefault="007F5353">
            <w:pPr>
              <w:rPr>
                <w:rFonts w:eastAsia="Times New Roman"/>
                <w:sz w:val="20"/>
                <w:szCs w:val="20"/>
              </w:rPr>
            </w:pPr>
            <w:r>
              <w:rPr>
                <w:rFonts w:eastAsia="Times New Roman"/>
                <w:sz w:val="20"/>
                <w:szCs w:val="20"/>
              </w:rPr>
              <w:t>)</w:t>
            </w:r>
          </w:p>
        </w:tc>
      </w:tr>
      <w:tr w:rsidR="00000000" w14:paraId="4D23F9B5" w14:textId="77777777">
        <w:tc>
          <w:tcPr>
            <w:tcW w:w="0" w:type="auto"/>
            <w:shd w:val="clear" w:color="auto" w:fill="CCEEFF"/>
            <w:vAlign w:val="bottom"/>
            <w:hideMark/>
          </w:tcPr>
          <w:p w14:paraId="2EA1CC0F" w14:textId="77777777" w:rsidR="00000000" w:rsidRDefault="007F5353">
            <w:pPr>
              <w:rPr>
                <w:rFonts w:eastAsia="Times New Roman"/>
                <w:sz w:val="20"/>
                <w:szCs w:val="20"/>
              </w:rPr>
            </w:pPr>
            <w:r>
              <w:rPr>
                <w:rFonts w:eastAsia="Times New Roman"/>
                <w:sz w:val="20"/>
                <w:szCs w:val="20"/>
              </w:rPr>
              <w:t>Deferred underwriting commission</w:t>
            </w:r>
          </w:p>
        </w:tc>
        <w:tc>
          <w:tcPr>
            <w:tcW w:w="0" w:type="auto"/>
            <w:shd w:val="clear" w:color="auto" w:fill="CCEEFF"/>
            <w:vAlign w:val="bottom"/>
            <w:hideMark/>
          </w:tcPr>
          <w:p w14:paraId="101E193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93A0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F4E8F9"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9A9A2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18DA8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5544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FDED0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A79D2F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A04AB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60272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CACB9F" w14:textId="77777777" w:rsidR="00000000" w:rsidRDefault="007F5353">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14:paraId="3BF2857A" w14:textId="77777777" w:rsidR="00000000" w:rsidRDefault="007F5353">
            <w:pPr>
              <w:rPr>
                <w:rFonts w:eastAsia="Times New Roman"/>
                <w:sz w:val="20"/>
                <w:szCs w:val="20"/>
              </w:rPr>
            </w:pPr>
            <w:r>
              <w:rPr>
                <w:rFonts w:eastAsia="Times New Roman"/>
                <w:sz w:val="20"/>
                <w:szCs w:val="20"/>
              </w:rPr>
              <w:t>)</w:t>
            </w:r>
          </w:p>
        </w:tc>
        <w:tc>
          <w:tcPr>
            <w:tcW w:w="0" w:type="auto"/>
            <w:shd w:val="clear" w:color="auto" w:fill="CCEEFF"/>
            <w:vAlign w:val="bottom"/>
            <w:hideMark/>
          </w:tcPr>
          <w:p w14:paraId="61F776A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90D77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A7ADED"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3C83CE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65C8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7F69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ADE82" w14:textId="77777777" w:rsidR="00000000" w:rsidRDefault="007F5353">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14:paraId="2D270628" w14:textId="77777777" w:rsidR="00000000" w:rsidRDefault="007F5353">
            <w:pPr>
              <w:rPr>
                <w:rFonts w:eastAsia="Times New Roman"/>
                <w:sz w:val="20"/>
                <w:szCs w:val="20"/>
              </w:rPr>
            </w:pPr>
            <w:r>
              <w:rPr>
                <w:rFonts w:eastAsia="Times New Roman"/>
                <w:sz w:val="20"/>
                <w:szCs w:val="20"/>
              </w:rPr>
              <w:t>)</w:t>
            </w:r>
          </w:p>
        </w:tc>
      </w:tr>
      <w:tr w:rsidR="00000000" w14:paraId="29FFC689" w14:textId="77777777">
        <w:tc>
          <w:tcPr>
            <w:tcW w:w="0" w:type="auto"/>
            <w:shd w:val="clear" w:color="auto" w:fill="FFFFFF"/>
            <w:vAlign w:val="bottom"/>
            <w:hideMark/>
          </w:tcPr>
          <w:p w14:paraId="782F7209" w14:textId="77777777" w:rsidR="00000000" w:rsidRDefault="007F5353">
            <w:pPr>
              <w:rPr>
                <w:rFonts w:eastAsia="Times New Roman"/>
                <w:sz w:val="20"/>
                <w:szCs w:val="20"/>
              </w:rPr>
            </w:pPr>
            <w:r>
              <w:rPr>
                <w:rFonts w:eastAsia="Times New Roman"/>
                <w:sz w:val="20"/>
                <w:szCs w:val="20"/>
              </w:rPr>
              <w:lastRenderedPageBreak/>
              <w:t>Forfeiture of Insider Shares</w:t>
            </w:r>
          </w:p>
        </w:tc>
        <w:tc>
          <w:tcPr>
            <w:tcW w:w="0" w:type="auto"/>
            <w:shd w:val="clear" w:color="auto" w:fill="FFFFFF"/>
            <w:vAlign w:val="bottom"/>
            <w:hideMark/>
          </w:tcPr>
          <w:p w14:paraId="4F36C8F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C7A13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F8DE6" w14:textId="77777777" w:rsidR="00000000" w:rsidRDefault="007F5353">
            <w:pPr>
              <w:jc w:val="right"/>
              <w:rPr>
                <w:rFonts w:eastAsia="Times New Roman"/>
                <w:sz w:val="20"/>
                <w:szCs w:val="20"/>
              </w:rPr>
            </w:pPr>
            <w:r>
              <w:rPr>
                <w:rFonts w:eastAsia="Times New Roman"/>
                <w:sz w:val="20"/>
                <w:szCs w:val="20"/>
              </w:rPr>
              <w:t>(335,233</w:t>
            </w:r>
          </w:p>
        </w:tc>
        <w:tc>
          <w:tcPr>
            <w:tcW w:w="0" w:type="auto"/>
            <w:shd w:val="clear" w:color="auto" w:fill="FFFFFF"/>
            <w:vAlign w:val="bottom"/>
            <w:hideMark/>
          </w:tcPr>
          <w:p w14:paraId="647373C3"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3C2CFD6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2DC3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63A56"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4B8DCB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F852D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8ECD5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81DD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54C563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939C1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D86DD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FBCCB1"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8E8837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08F62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D8024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DCE61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372E674" w14:textId="77777777" w:rsidR="00000000" w:rsidRDefault="007F5353">
            <w:pPr>
              <w:rPr>
                <w:rFonts w:eastAsia="Times New Roman"/>
                <w:sz w:val="20"/>
                <w:szCs w:val="20"/>
              </w:rPr>
            </w:pPr>
            <w:r>
              <w:rPr>
                <w:rFonts w:eastAsia="Times New Roman"/>
                <w:sz w:val="20"/>
                <w:szCs w:val="20"/>
              </w:rPr>
              <w:t> </w:t>
            </w:r>
          </w:p>
        </w:tc>
      </w:tr>
      <w:tr w:rsidR="00000000" w14:paraId="5EC47426" w14:textId="77777777">
        <w:tc>
          <w:tcPr>
            <w:tcW w:w="0" w:type="auto"/>
            <w:shd w:val="clear" w:color="auto" w:fill="CCEEFF"/>
            <w:vAlign w:val="bottom"/>
            <w:hideMark/>
          </w:tcPr>
          <w:p w14:paraId="547039CE" w14:textId="77777777" w:rsidR="00000000" w:rsidRDefault="007F5353">
            <w:pPr>
              <w:rPr>
                <w:rFonts w:eastAsia="Times New Roman"/>
                <w:sz w:val="20"/>
                <w:szCs w:val="20"/>
              </w:rPr>
            </w:pPr>
            <w:r>
              <w:rPr>
                <w:rFonts w:eastAsia="Times New Roman"/>
                <w:sz w:val="20"/>
                <w:szCs w:val="20"/>
              </w:rPr>
              <w:t>Re-classification</w:t>
            </w:r>
          </w:p>
        </w:tc>
        <w:tc>
          <w:tcPr>
            <w:tcW w:w="0" w:type="auto"/>
            <w:shd w:val="clear" w:color="auto" w:fill="CCEEFF"/>
            <w:vAlign w:val="bottom"/>
            <w:hideMark/>
          </w:tcPr>
          <w:p w14:paraId="70666AF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2DC2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57ECA"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8BE006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22FE6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87C1E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7F751"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C47C44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0C5C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EF7CA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D7F44" w14:textId="77777777" w:rsidR="00000000" w:rsidRDefault="007F5353">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14:paraId="6458057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D6245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3DA28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901AD5" w14:textId="77777777" w:rsidR="00000000" w:rsidRDefault="007F5353">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14:paraId="2B6253D8" w14:textId="77777777" w:rsidR="00000000" w:rsidRDefault="007F5353">
            <w:pPr>
              <w:rPr>
                <w:rFonts w:eastAsia="Times New Roman"/>
                <w:sz w:val="20"/>
                <w:szCs w:val="20"/>
              </w:rPr>
            </w:pPr>
            <w:r>
              <w:rPr>
                <w:rFonts w:eastAsia="Times New Roman"/>
                <w:sz w:val="20"/>
                <w:szCs w:val="20"/>
              </w:rPr>
              <w:t>)</w:t>
            </w:r>
          </w:p>
        </w:tc>
        <w:tc>
          <w:tcPr>
            <w:tcW w:w="0" w:type="auto"/>
            <w:shd w:val="clear" w:color="auto" w:fill="CCEEFF"/>
            <w:vAlign w:val="bottom"/>
            <w:hideMark/>
          </w:tcPr>
          <w:p w14:paraId="76373F9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90421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43BD39"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BF2A3F" w14:textId="77777777" w:rsidR="00000000" w:rsidRDefault="007F5353">
            <w:pPr>
              <w:rPr>
                <w:rFonts w:eastAsia="Times New Roman"/>
                <w:sz w:val="20"/>
                <w:szCs w:val="20"/>
              </w:rPr>
            </w:pPr>
            <w:r>
              <w:rPr>
                <w:rFonts w:eastAsia="Times New Roman"/>
                <w:sz w:val="20"/>
                <w:szCs w:val="20"/>
              </w:rPr>
              <w:t> </w:t>
            </w:r>
          </w:p>
        </w:tc>
      </w:tr>
      <w:tr w:rsidR="00000000" w14:paraId="171B56D0" w14:textId="77777777">
        <w:trPr>
          <w:hidden/>
        </w:trPr>
        <w:tc>
          <w:tcPr>
            <w:tcW w:w="0" w:type="auto"/>
            <w:shd w:val="clear" w:color="auto" w:fill="CCEEFF"/>
            <w:vAlign w:val="bottom"/>
            <w:hideMark/>
          </w:tcPr>
          <w:p w14:paraId="31A8B7AA" w14:textId="77777777" w:rsidR="00000000" w:rsidRDefault="007F5353">
            <w:pPr>
              <w:rPr>
                <w:rFonts w:eastAsia="Times New Roman"/>
                <w:vanish/>
                <w:sz w:val="20"/>
                <w:szCs w:val="20"/>
              </w:rPr>
            </w:pPr>
            <w:r>
              <w:rPr>
                <w:rFonts w:eastAsia="Times New Roman"/>
                <w:vanish/>
                <w:sz w:val="20"/>
                <w:szCs w:val="20"/>
              </w:rPr>
              <w:t>Issuance of common stock to Sponsor</w:t>
            </w:r>
          </w:p>
        </w:tc>
        <w:tc>
          <w:tcPr>
            <w:tcW w:w="0" w:type="auto"/>
            <w:shd w:val="clear" w:color="auto" w:fill="CCEEFF"/>
            <w:vAlign w:val="bottom"/>
            <w:hideMark/>
          </w:tcPr>
          <w:p w14:paraId="309AB0C7"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97C88BA"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9961784"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111BE4"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167B3E6"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26D4FA1"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6949B7E"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E1E1FF8"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4BD35DA"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9C7ADFC"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C6A6274"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4FE80A"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C8590B1"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B0C8D99"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BA1025F"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E4BD8C"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4485ED4"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76AC2FC"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5C6FA77"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D83748E" w14:textId="77777777" w:rsidR="00000000" w:rsidRDefault="007F5353">
            <w:pPr>
              <w:rPr>
                <w:rFonts w:eastAsia="Times New Roman"/>
                <w:vanish/>
                <w:sz w:val="20"/>
                <w:szCs w:val="20"/>
              </w:rPr>
            </w:pPr>
            <w:r>
              <w:rPr>
                <w:rFonts w:eastAsia="Times New Roman"/>
                <w:vanish/>
                <w:sz w:val="20"/>
                <w:szCs w:val="20"/>
              </w:rPr>
              <w:t> </w:t>
            </w:r>
          </w:p>
        </w:tc>
      </w:tr>
      <w:tr w:rsidR="00000000" w14:paraId="5E427C6C" w14:textId="77777777">
        <w:trPr>
          <w:hidden/>
        </w:trPr>
        <w:tc>
          <w:tcPr>
            <w:tcW w:w="0" w:type="auto"/>
            <w:shd w:val="clear" w:color="auto" w:fill="CCEEFF"/>
            <w:vAlign w:val="bottom"/>
            <w:hideMark/>
          </w:tcPr>
          <w:p w14:paraId="0EDE1A45" w14:textId="77777777" w:rsidR="00000000" w:rsidRDefault="007F5353">
            <w:pPr>
              <w:rPr>
                <w:rFonts w:eastAsia="Times New Roman"/>
                <w:vanish/>
                <w:sz w:val="20"/>
                <w:szCs w:val="20"/>
              </w:rPr>
            </w:pPr>
            <w:r>
              <w:rPr>
                <w:rFonts w:eastAsia="Times New Roman"/>
                <w:vanish/>
                <w:sz w:val="20"/>
                <w:szCs w:val="20"/>
              </w:rPr>
              <w:t>Issuance of common stock to Sponsor, shares</w:t>
            </w:r>
          </w:p>
        </w:tc>
        <w:tc>
          <w:tcPr>
            <w:tcW w:w="0" w:type="auto"/>
            <w:shd w:val="clear" w:color="auto" w:fill="CCEEFF"/>
            <w:vAlign w:val="bottom"/>
            <w:hideMark/>
          </w:tcPr>
          <w:p w14:paraId="79A27F16"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9F26DC5"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46A054C"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259E936"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5483BA"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B4E3882"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2DAA712"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9484131"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3F9E4F7"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4D1D4CA"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0DD02EF"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9C62B1E"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27102C2"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48377C9"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297336A"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D9C285F"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AC5AD90"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CA05131"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D57A395"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62B82B7" w14:textId="77777777" w:rsidR="00000000" w:rsidRDefault="007F5353">
            <w:pPr>
              <w:rPr>
                <w:rFonts w:eastAsia="Times New Roman"/>
                <w:vanish/>
                <w:sz w:val="20"/>
                <w:szCs w:val="20"/>
              </w:rPr>
            </w:pPr>
            <w:r>
              <w:rPr>
                <w:rFonts w:eastAsia="Times New Roman"/>
                <w:vanish/>
                <w:sz w:val="20"/>
                <w:szCs w:val="20"/>
              </w:rPr>
              <w:t> </w:t>
            </w:r>
          </w:p>
        </w:tc>
      </w:tr>
      <w:tr w:rsidR="00000000" w14:paraId="2F01F8A9" w14:textId="77777777">
        <w:tc>
          <w:tcPr>
            <w:tcW w:w="0" w:type="auto"/>
            <w:shd w:val="clear" w:color="auto" w:fill="FFFFFF"/>
            <w:vAlign w:val="bottom"/>
            <w:hideMark/>
          </w:tcPr>
          <w:p w14:paraId="37AC2230" w14:textId="77777777" w:rsidR="00000000" w:rsidRDefault="007F5353">
            <w:pPr>
              <w:rPr>
                <w:rFonts w:eastAsia="Times New Roman"/>
                <w:sz w:val="20"/>
                <w:szCs w:val="20"/>
              </w:rPr>
            </w:pPr>
            <w:r>
              <w:rPr>
                <w:rFonts w:eastAsia="Times New Roman"/>
                <w:sz w:val="20"/>
                <w:szCs w:val="20"/>
              </w:rPr>
              <w:t>Net loss</w:t>
            </w:r>
          </w:p>
        </w:tc>
        <w:tc>
          <w:tcPr>
            <w:tcW w:w="0" w:type="auto"/>
            <w:shd w:val="clear" w:color="auto" w:fill="FFFFFF"/>
            <w:vAlign w:val="bottom"/>
            <w:hideMark/>
          </w:tcPr>
          <w:p w14:paraId="61A854F1"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CF82A9"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D45074"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C1F61C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F72838"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CEE222"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C5FA81"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B2823F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F9AE26"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9AD0C7"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484E9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4FAD64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FB7E8B"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327409"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9A596F" w14:textId="77777777" w:rsidR="00000000" w:rsidRDefault="007F5353">
            <w:pPr>
              <w:jc w:val="right"/>
              <w:rPr>
                <w:rFonts w:eastAsia="Times New Roman"/>
                <w:sz w:val="20"/>
                <w:szCs w:val="20"/>
              </w:rPr>
            </w:pPr>
            <w:r>
              <w:rPr>
                <w:rFonts w:eastAsia="Times New Roman"/>
                <w:sz w:val="20"/>
                <w:szCs w:val="20"/>
              </w:rPr>
              <w:t>(419,465</w:t>
            </w:r>
          </w:p>
        </w:tc>
        <w:tc>
          <w:tcPr>
            <w:tcW w:w="0" w:type="auto"/>
            <w:shd w:val="clear" w:color="auto" w:fill="FFFFFF"/>
            <w:vAlign w:val="bottom"/>
            <w:hideMark/>
          </w:tcPr>
          <w:p w14:paraId="3A65BAD6"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6BBD7077"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90856E"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5BC513" w14:textId="77777777" w:rsidR="00000000" w:rsidRDefault="007F5353">
            <w:pPr>
              <w:jc w:val="right"/>
              <w:rPr>
                <w:rFonts w:eastAsia="Times New Roman"/>
                <w:sz w:val="20"/>
                <w:szCs w:val="20"/>
              </w:rPr>
            </w:pPr>
            <w:r>
              <w:rPr>
                <w:rFonts w:eastAsia="Times New Roman"/>
                <w:sz w:val="20"/>
                <w:szCs w:val="20"/>
              </w:rPr>
              <w:t>(419,465</w:t>
            </w:r>
          </w:p>
        </w:tc>
        <w:tc>
          <w:tcPr>
            <w:tcW w:w="0" w:type="auto"/>
            <w:shd w:val="clear" w:color="auto" w:fill="FFFFFF"/>
            <w:vAlign w:val="bottom"/>
            <w:hideMark/>
          </w:tcPr>
          <w:p w14:paraId="37A423E6" w14:textId="77777777" w:rsidR="00000000" w:rsidRDefault="007F5353">
            <w:pPr>
              <w:rPr>
                <w:rFonts w:eastAsia="Times New Roman"/>
                <w:sz w:val="20"/>
                <w:szCs w:val="20"/>
              </w:rPr>
            </w:pPr>
            <w:r>
              <w:rPr>
                <w:rFonts w:eastAsia="Times New Roman"/>
                <w:sz w:val="20"/>
                <w:szCs w:val="20"/>
              </w:rPr>
              <w:t>)</w:t>
            </w:r>
          </w:p>
        </w:tc>
      </w:tr>
      <w:tr w:rsidR="00000000" w14:paraId="2E5187A5" w14:textId="77777777">
        <w:tc>
          <w:tcPr>
            <w:tcW w:w="0" w:type="auto"/>
            <w:shd w:val="clear" w:color="auto" w:fill="CCEEFF"/>
            <w:vAlign w:val="bottom"/>
            <w:hideMark/>
          </w:tcPr>
          <w:p w14:paraId="79AD3785" w14:textId="77777777" w:rsidR="00000000" w:rsidRDefault="007F5353">
            <w:pPr>
              <w:rPr>
                <w:rFonts w:eastAsia="Times New Roman"/>
                <w:sz w:val="20"/>
                <w:szCs w:val="20"/>
              </w:rPr>
            </w:pPr>
            <w:r>
              <w:rPr>
                <w:rFonts w:eastAsia="Times New Roman"/>
                <w:sz w:val="20"/>
                <w:szCs w:val="20"/>
              </w:rPr>
              <w:t>Balance – March 31, 2022</w:t>
            </w:r>
          </w:p>
        </w:tc>
        <w:tc>
          <w:tcPr>
            <w:tcW w:w="0" w:type="auto"/>
            <w:shd w:val="clear" w:color="auto" w:fill="CCEEFF"/>
            <w:vAlign w:val="bottom"/>
            <w:hideMark/>
          </w:tcPr>
          <w:p w14:paraId="0537D824"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A6B8311"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990008A" w14:textId="77777777" w:rsidR="00000000" w:rsidRDefault="007F5353">
            <w:pPr>
              <w:jc w:val="right"/>
              <w:rPr>
                <w:rFonts w:eastAsia="Times New Roman"/>
                <w:b/>
                <w:bCs/>
                <w:sz w:val="20"/>
                <w:szCs w:val="20"/>
              </w:rPr>
            </w:pPr>
            <w:r>
              <w:rPr>
                <w:rFonts w:eastAsia="Times New Roman"/>
                <w:b/>
                <w:bCs/>
                <w:sz w:val="20"/>
                <w:szCs w:val="20"/>
              </w:rPr>
              <w:t>2,990,897</w:t>
            </w:r>
          </w:p>
        </w:tc>
        <w:tc>
          <w:tcPr>
            <w:tcW w:w="0" w:type="auto"/>
            <w:shd w:val="clear" w:color="auto" w:fill="CCEEFF"/>
            <w:vAlign w:val="bottom"/>
            <w:hideMark/>
          </w:tcPr>
          <w:p w14:paraId="44716E0C"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E9799E0"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8F70636"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7B6054F" w14:textId="77777777" w:rsidR="00000000" w:rsidRDefault="007F5353">
            <w:pPr>
              <w:jc w:val="right"/>
              <w:rPr>
                <w:rFonts w:eastAsia="Times New Roman"/>
                <w:b/>
                <w:bCs/>
                <w:sz w:val="20"/>
                <w:szCs w:val="20"/>
              </w:rPr>
            </w:pPr>
            <w:r>
              <w:rPr>
                <w:rFonts w:eastAsia="Times New Roman"/>
                <w:b/>
                <w:bCs/>
                <w:sz w:val="20"/>
                <w:szCs w:val="20"/>
              </w:rPr>
              <w:t>3</w:t>
            </w:r>
          </w:p>
        </w:tc>
        <w:tc>
          <w:tcPr>
            <w:tcW w:w="0" w:type="auto"/>
            <w:shd w:val="clear" w:color="auto" w:fill="CCEEFF"/>
            <w:vAlign w:val="bottom"/>
            <w:hideMark/>
          </w:tcPr>
          <w:p w14:paraId="0CF66A50"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45944E5"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FB4EA1F"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A867470"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32DC9F9"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EAA34C4"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2B71ED6"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626FD90" w14:textId="77777777" w:rsidR="00000000" w:rsidRDefault="007F5353">
            <w:pPr>
              <w:jc w:val="right"/>
              <w:rPr>
                <w:rFonts w:eastAsia="Times New Roman"/>
                <w:b/>
                <w:bCs/>
                <w:sz w:val="20"/>
                <w:szCs w:val="20"/>
              </w:rPr>
            </w:pPr>
            <w:r>
              <w:rPr>
                <w:rFonts w:eastAsia="Times New Roman"/>
                <w:b/>
                <w:bCs/>
                <w:sz w:val="20"/>
                <w:szCs w:val="20"/>
              </w:rPr>
              <w:t>(2,923,884</w:t>
            </w:r>
          </w:p>
        </w:tc>
        <w:tc>
          <w:tcPr>
            <w:tcW w:w="0" w:type="auto"/>
            <w:shd w:val="clear" w:color="auto" w:fill="CCEEFF"/>
            <w:vAlign w:val="bottom"/>
            <w:hideMark/>
          </w:tcPr>
          <w:p w14:paraId="50DA6709"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5AFA97F"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F065630"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1253C3D" w14:textId="77777777" w:rsidR="00000000" w:rsidRDefault="007F5353">
            <w:pPr>
              <w:jc w:val="right"/>
              <w:rPr>
                <w:rFonts w:eastAsia="Times New Roman"/>
                <w:b/>
                <w:bCs/>
                <w:sz w:val="20"/>
                <w:szCs w:val="20"/>
              </w:rPr>
            </w:pPr>
            <w:r>
              <w:rPr>
                <w:rFonts w:eastAsia="Times New Roman"/>
                <w:b/>
                <w:bCs/>
                <w:sz w:val="20"/>
                <w:szCs w:val="20"/>
              </w:rPr>
              <w:t>(2,923,881</w:t>
            </w:r>
          </w:p>
        </w:tc>
        <w:tc>
          <w:tcPr>
            <w:tcW w:w="0" w:type="auto"/>
            <w:shd w:val="clear" w:color="auto" w:fill="CCEEFF"/>
            <w:vAlign w:val="bottom"/>
            <w:hideMark/>
          </w:tcPr>
          <w:p w14:paraId="1C84D0F8" w14:textId="77777777" w:rsidR="00000000" w:rsidRDefault="007F5353">
            <w:pPr>
              <w:rPr>
                <w:rFonts w:eastAsia="Times New Roman"/>
                <w:b/>
                <w:bCs/>
                <w:sz w:val="20"/>
                <w:szCs w:val="20"/>
              </w:rPr>
            </w:pPr>
            <w:r>
              <w:rPr>
                <w:rFonts w:eastAsia="Times New Roman"/>
                <w:b/>
                <w:bCs/>
                <w:sz w:val="20"/>
                <w:szCs w:val="20"/>
              </w:rPr>
              <w:t>)</w:t>
            </w:r>
          </w:p>
        </w:tc>
      </w:tr>
      <w:tr w:rsidR="00000000" w14:paraId="03FE2710" w14:textId="77777777">
        <w:tc>
          <w:tcPr>
            <w:tcW w:w="0" w:type="auto"/>
            <w:shd w:val="clear" w:color="auto" w:fill="FFFFFF"/>
            <w:vAlign w:val="bottom"/>
            <w:hideMark/>
          </w:tcPr>
          <w:p w14:paraId="08CD9EB6" w14:textId="77777777" w:rsidR="00000000" w:rsidRDefault="007F5353">
            <w:pPr>
              <w:rPr>
                <w:rFonts w:eastAsia="Times New Roman"/>
                <w:sz w:val="20"/>
                <w:szCs w:val="20"/>
              </w:rPr>
            </w:pPr>
            <w:r>
              <w:rPr>
                <w:rFonts w:eastAsia="Times New Roman"/>
                <w:sz w:val="20"/>
                <w:szCs w:val="20"/>
              </w:rPr>
              <w:t>Net loss</w:t>
            </w:r>
          </w:p>
        </w:tc>
        <w:tc>
          <w:tcPr>
            <w:tcW w:w="0" w:type="auto"/>
            <w:shd w:val="clear" w:color="auto" w:fill="FFFFFF"/>
            <w:vAlign w:val="bottom"/>
            <w:hideMark/>
          </w:tcPr>
          <w:p w14:paraId="534E5075"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71760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C9454D"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17490B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DF711F"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03B38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0A9AB5"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0DDDDB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902FD0"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873972"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B3A00F"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4102A8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3C5709"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E3AD8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847219" w14:textId="77777777" w:rsidR="00000000" w:rsidRDefault="007F5353">
            <w:pPr>
              <w:jc w:val="right"/>
              <w:rPr>
                <w:rFonts w:eastAsia="Times New Roman"/>
                <w:sz w:val="20"/>
                <w:szCs w:val="20"/>
              </w:rPr>
            </w:pPr>
            <w:r>
              <w:rPr>
                <w:rFonts w:eastAsia="Times New Roman"/>
                <w:sz w:val="20"/>
                <w:szCs w:val="20"/>
              </w:rPr>
              <w:t>(8,850</w:t>
            </w:r>
          </w:p>
        </w:tc>
        <w:tc>
          <w:tcPr>
            <w:tcW w:w="0" w:type="auto"/>
            <w:shd w:val="clear" w:color="auto" w:fill="FFFFFF"/>
            <w:vAlign w:val="bottom"/>
            <w:hideMark/>
          </w:tcPr>
          <w:p w14:paraId="3D1A1E7F"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2E10B9D1"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B54BEF"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2EF4D5" w14:textId="77777777" w:rsidR="00000000" w:rsidRDefault="007F5353">
            <w:pPr>
              <w:jc w:val="right"/>
              <w:rPr>
                <w:rFonts w:eastAsia="Times New Roman"/>
                <w:sz w:val="20"/>
                <w:szCs w:val="20"/>
              </w:rPr>
            </w:pPr>
            <w:r>
              <w:rPr>
                <w:rFonts w:eastAsia="Times New Roman"/>
                <w:sz w:val="20"/>
                <w:szCs w:val="20"/>
              </w:rPr>
              <w:t>(8,850</w:t>
            </w:r>
          </w:p>
        </w:tc>
        <w:tc>
          <w:tcPr>
            <w:tcW w:w="0" w:type="auto"/>
            <w:shd w:val="clear" w:color="auto" w:fill="FFFFFF"/>
            <w:vAlign w:val="bottom"/>
            <w:hideMark/>
          </w:tcPr>
          <w:p w14:paraId="74733D28" w14:textId="77777777" w:rsidR="00000000" w:rsidRDefault="007F5353">
            <w:pPr>
              <w:rPr>
                <w:rFonts w:eastAsia="Times New Roman"/>
                <w:sz w:val="20"/>
                <w:szCs w:val="20"/>
              </w:rPr>
            </w:pPr>
            <w:r>
              <w:rPr>
                <w:rFonts w:eastAsia="Times New Roman"/>
                <w:sz w:val="20"/>
                <w:szCs w:val="20"/>
              </w:rPr>
              <w:t>)</w:t>
            </w:r>
          </w:p>
        </w:tc>
      </w:tr>
      <w:tr w:rsidR="00000000" w14:paraId="357CB5C8" w14:textId="77777777">
        <w:tc>
          <w:tcPr>
            <w:tcW w:w="0" w:type="auto"/>
            <w:shd w:val="clear" w:color="auto" w:fill="CCEEFF"/>
            <w:vAlign w:val="bottom"/>
            <w:hideMark/>
          </w:tcPr>
          <w:p w14:paraId="482D4A48" w14:textId="77777777" w:rsidR="00000000" w:rsidRDefault="007F5353">
            <w:pPr>
              <w:rPr>
                <w:rFonts w:eastAsia="Times New Roman"/>
                <w:sz w:val="20"/>
                <w:szCs w:val="20"/>
              </w:rPr>
            </w:pPr>
            <w:r>
              <w:rPr>
                <w:rFonts w:eastAsia="Times New Roman"/>
                <w:sz w:val="20"/>
                <w:szCs w:val="20"/>
              </w:rPr>
              <w:t>Balance – June 30, 2022</w:t>
            </w:r>
          </w:p>
        </w:tc>
        <w:tc>
          <w:tcPr>
            <w:tcW w:w="0" w:type="auto"/>
            <w:shd w:val="clear" w:color="auto" w:fill="CCEEFF"/>
            <w:vAlign w:val="bottom"/>
            <w:hideMark/>
          </w:tcPr>
          <w:p w14:paraId="0C879236"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800E43A"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5407144" w14:textId="77777777" w:rsidR="00000000" w:rsidRDefault="007F5353">
            <w:pPr>
              <w:jc w:val="right"/>
              <w:rPr>
                <w:rFonts w:eastAsia="Times New Roman"/>
                <w:b/>
                <w:bCs/>
                <w:sz w:val="20"/>
                <w:szCs w:val="20"/>
              </w:rPr>
            </w:pPr>
            <w:r>
              <w:rPr>
                <w:rFonts w:eastAsia="Times New Roman"/>
                <w:b/>
                <w:bCs/>
                <w:sz w:val="20"/>
                <w:szCs w:val="20"/>
              </w:rPr>
              <w:t>2,990,897</w:t>
            </w:r>
          </w:p>
        </w:tc>
        <w:tc>
          <w:tcPr>
            <w:tcW w:w="0" w:type="auto"/>
            <w:shd w:val="clear" w:color="auto" w:fill="CCEEFF"/>
            <w:vAlign w:val="bottom"/>
            <w:hideMark/>
          </w:tcPr>
          <w:p w14:paraId="744622A1"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1AB6E07"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8A8DFFA"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CCEEFF"/>
            <w:vAlign w:val="bottom"/>
            <w:hideMark/>
          </w:tcPr>
          <w:p w14:paraId="31A56711" w14:textId="77777777" w:rsidR="00000000" w:rsidRDefault="007F5353">
            <w:pPr>
              <w:jc w:val="right"/>
              <w:rPr>
                <w:rFonts w:eastAsia="Times New Roman"/>
                <w:b/>
                <w:bCs/>
                <w:sz w:val="20"/>
                <w:szCs w:val="20"/>
              </w:rPr>
            </w:pPr>
            <w:r>
              <w:rPr>
                <w:rFonts w:eastAsia="Times New Roman"/>
                <w:b/>
                <w:bCs/>
                <w:sz w:val="20"/>
                <w:szCs w:val="20"/>
              </w:rPr>
              <w:t>3</w:t>
            </w:r>
          </w:p>
        </w:tc>
        <w:tc>
          <w:tcPr>
            <w:tcW w:w="0" w:type="auto"/>
            <w:shd w:val="clear" w:color="auto" w:fill="CCEEFF"/>
            <w:vAlign w:val="bottom"/>
            <w:hideMark/>
          </w:tcPr>
          <w:p w14:paraId="316FCA92"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8BB2340"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E440A6B"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3507F3F"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22E353B"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1BCEBC3"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7AD3B5B"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CCEEFF"/>
            <w:vAlign w:val="bottom"/>
            <w:hideMark/>
          </w:tcPr>
          <w:p w14:paraId="5BCAEFA5" w14:textId="77777777" w:rsidR="00000000" w:rsidRDefault="007F5353">
            <w:pPr>
              <w:jc w:val="right"/>
              <w:rPr>
                <w:rFonts w:eastAsia="Times New Roman"/>
                <w:b/>
                <w:bCs/>
                <w:sz w:val="20"/>
                <w:szCs w:val="20"/>
              </w:rPr>
            </w:pPr>
            <w:r>
              <w:rPr>
                <w:rFonts w:eastAsia="Times New Roman"/>
                <w:b/>
                <w:bCs/>
                <w:sz w:val="20"/>
                <w:szCs w:val="20"/>
              </w:rPr>
              <w:t>(2,932,734</w:t>
            </w:r>
          </w:p>
        </w:tc>
        <w:tc>
          <w:tcPr>
            <w:tcW w:w="0" w:type="auto"/>
            <w:shd w:val="clear" w:color="auto" w:fill="CCEEFF"/>
            <w:vAlign w:val="bottom"/>
            <w:hideMark/>
          </w:tcPr>
          <w:p w14:paraId="135878C4"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41DB94A"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35A2DAA"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CCEEFF"/>
            <w:vAlign w:val="bottom"/>
            <w:hideMark/>
          </w:tcPr>
          <w:p w14:paraId="7596AE2B" w14:textId="77777777" w:rsidR="00000000" w:rsidRDefault="007F5353">
            <w:pPr>
              <w:jc w:val="right"/>
              <w:rPr>
                <w:rFonts w:eastAsia="Times New Roman"/>
                <w:b/>
                <w:bCs/>
                <w:sz w:val="20"/>
                <w:szCs w:val="20"/>
              </w:rPr>
            </w:pPr>
            <w:r>
              <w:rPr>
                <w:rFonts w:eastAsia="Times New Roman"/>
                <w:b/>
                <w:bCs/>
                <w:sz w:val="20"/>
                <w:szCs w:val="20"/>
              </w:rPr>
              <w:t>(2,932,731</w:t>
            </w:r>
          </w:p>
        </w:tc>
        <w:tc>
          <w:tcPr>
            <w:tcW w:w="0" w:type="auto"/>
            <w:shd w:val="clear" w:color="auto" w:fill="CCEEFF"/>
            <w:vAlign w:val="bottom"/>
            <w:hideMark/>
          </w:tcPr>
          <w:p w14:paraId="30A4988A" w14:textId="77777777" w:rsidR="00000000" w:rsidRDefault="007F5353">
            <w:pPr>
              <w:rPr>
                <w:rFonts w:eastAsia="Times New Roman"/>
                <w:b/>
                <w:bCs/>
                <w:sz w:val="20"/>
                <w:szCs w:val="20"/>
              </w:rPr>
            </w:pPr>
            <w:r>
              <w:rPr>
                <w:rFonts w:eastAsia="Times New Roman"/>
                <w:b/>
                <w:bCs/>
                <w:sz w:val="20"/>
                <w:szCs w:val="20"/>
              </w:rPr>
              <w:t>)</w:t>
            </w:r>
          </w:p>
        </w:tc>
      </w:tr>
    </w:tbl>
    <w:p w14:paraId="0C5696B8"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hanges in Stockholders&amp;apos; Equity (Unaudited)"/>
      </w:tblPr>
      <w:tblGrid>
        <w:gridCol w:w="2612"/>
        <w:gridCol w:w="120"/>
        <w:gridCol w:w="50"/>
        <w:gridCol w:w="800"/>
        <w:gridCol w:w="50"/>
        <w:gridCol w:w="98"/>
        <w:gridCol w:w="101"/>
        <w:gridCol w:w="702"/>
        <w:gridCol w:w="50"/>
        <w:gridCol w:w="110"/>
        <w:gridCol w:w="101"/>
        <w:gridCol w:w="820"/>
        <w:gridCol w:w="50"/>
        <w:gridCol w:w="110"/>
        <w:gridCol w:w="114"/>
        <w:gridCol w:w="1020"/>
        <w:gridCol w:w="50"/>
        <w:gridCol w:w="110"/>
        <w:gridCol w:w="101"/>
        <w:gridCol w:w="1087"/>
        <w:gridCol w:w="50"/>
      </w:tblGrid>
      <w:tr w:rsidR="00000000" w14:paraId="7AA86BEA" w14:textId="77777777">
        <w:tc>
          <w:tcPr>
            <w:tcW w:w="0" w:type="auto"/>
            <w:vAlign w:val="bottom"/>
            <w:hideMark/>
          </w:tcPr>
          <w:p w14:paraId="70E0DB3F"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7D47E7E2" w14:textId="77777777" w:rsidR="00000000" w:rsidRDefault="007F535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A97CDCD" w14:textId="77777777" w:rsidR="00000000" w:rsidRDefault="007F5353">
            <w:pPr>
              <w:jc w:val="center"/>
              <w:rPr>
                <w:rFonts w:eastAsia="Times New Roman"/>
                <w:b/>
                <w:bCs/>
                <w:sz w:val="20"/>
                <w:szCs w:val="20"/>
              </w:rPr>
            </w:pPr>
            <w:r>
              <w:rPr>
                <w:rFonts w:eastAsia="Times New Roman"/>
                <w:b/>
                <w:bCs/>
                <w:sz w:val="20"/>
                <w:szCs w:val="20"/>
              </w:rPr>
              <w:t>Common Stock</w:t>
            </w:r>
          </w:p>
        </w:tc>
        <w:tc>
          <w:tcPr>
            <w:tcW w:w="0" w:type="auto"/>
            <w:vAlign w:val="bottom"/>
            <w:hideMark/>
          </w:tcPr>
          <w:p w14:paraId="3CBEFF53"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0655E26E"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vAlign w:val="bottom"/>
            <w:hideMark/>
          </w:tcPr>
          <w:p w14:paraId="27DC502F" w14:textId="77777777" w:rsidR="00000000" w:rsidRDefault="007F5353">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 xml:space="preserve">Paid-In </w:t>
            </w:r>
          </w:p>
        </w:tc>
        <w:tc>
          <w:tcPr>
            <w:tcW w:w="0" w:type="auto"/>
            <w:vAlign w:val="bottom"/>
            <w:hideMark/>
          </w:tcPr>
          <w:p w14:paraId="49FCD3B8"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03531FFA"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vAlign w:val="bottom"/>
            <w:hideMark/>
          </w:tcPr>
          <w:p w14:paraId="26FE5D0A" w14:textId="77777777" w:rsidR="00000000" w:rsidRDefault="007F5353">
            <w:pPr>
              <w:jc w:val="center"/>
              <w:rPr>
                <w:rFonts w:eastAsia="Times New Roman"/>
                <w:b/>
                <w:bCs/>
                <w:sz w:val="20"/>
                <w:szCs w:val="20"/>
              </w:rPr>
            </w:pPr>
            <w:r>
              <w:rPr>
                <w:rFonts w:eastAsia="Times New Roman"/>
                <w:b/>
                <w:bCs/>
                <w:sz w:val="20"/>
                <w:szCs w:val="20"/>
              </w:rPr>
              <w:t>Accumulated</w:t>
            </w:r>
          </w:p>
        </w:tc>
        <w:tc>
          <w:tcPr>
            <w:tcW w:w="0" w:type="auto"/>
            <w:vAlign w:val="bottom"/>
            <w:hideMark/>
          </w:tcPr>
          <w:p w14:paraId="07440A5A"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584DCE46"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vAlign w:val="bottom"/>
            <w:hideMark/>
          </w:tcPr>
          <w:p w14:paraId="3BEF3A62" w14:textId="77777777" w:rsidR="00000000" w:rsidRDefault="007F5353">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vAlign w:val="bottom"/>
            <w:hideMark/>
          </w:tcPr>
          <w:p w14:paraId="639F8B1B" w14:textId="77777777" w:rsidR="00000000" w:rsidRDefault="007F5353">
            <w:pPr>
              <w:rPr>
                <w:rFonts w:eastAsia="Times New Roman"/>
                <w:b/>
                <w:bCs/>
                <w:sz w:val="20"/>
                <w:szCs w:val="20"/>
              </w:rPr>
            </w:pPr>
            <w:r>
              <w:rPr>
                <w:rFonts w:eastAsia="Times New Roman"/>
                <w:b/>
                <w:bCs/>
                <w:sz w:val="20"/>
                <w:szCs w:val="20"/>
              </w:rPr>
              <w:t> </w:t>
            </w:r>
          </w:p>
        </w:tc>
      </w:tr>
      <w:tr w:rsidR="00000000" w14:paraId="7622A664" w14:textId="77777777">
        <w:tc>
          <w:tcPr>
            <w:tcW w:w="0" w:type="auto"/>
            <w:vAlign w:val="bottom"/>
            <w:hideMark/>
          </w:tcPr>
          <w:p w14:paraId="2A40D96F" w14:textId="77777777" w:rsidR="00000000" w:rsidRDefault="007F5353">
            <w:pPr>
              <w:jc w:val="center"/>
              <w:rPr>
                <w:rFonts w:eastAsia="Times New Roman"/>
                <w:sz w:val="20"/>
                <w:szCs w:val="20"/>
              </w:rPr>
            </w:pPr>
            <w:r>
              <w:rPr>
                <w:rFonts w:eastAsia="Times New Roman"/>
                <w:sz w:val="20"/>
                <w:szCs w:val="20"/>
              </w:rPr>
              <w:t> </w:t>
            </w:r>
          </w:p>
        </w:tc>
        <w:tc>
          <w:tcPr>
            <w:tcW w:w="0" w:type="auto"/>
            <w:vAlign w:val="bottom"/>
            <w:hideMark/>
          </w:tcPr>
          <w:p w14:paraId="14E240AF"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6D82662" w14:textId="77777777" w:rsidR="00000000" w:rsidRDefault="007F5353">
            <w:pPr>
              <w:jc w:val="center"/>
              <w:rPr>
                <w:rFonts w:eastAsia="Times New Roman"/>
                <w:b/>
                <w:bCs/>
                <w:sz w:val="20"/>
                <w:szCs w:val="20"/>
              </w:rPr>
            </w:pPr>
            <w:r>
              <w:rPr>
                <w:rFonts w:eastAsia="Times New Roman"/>
                <w:b/>
                <w:bCs/>
                <w:sz w:val="20"/>
                <w:szCs w:val="20"/>
              </w:rPr>
              <w:t>Shares</w:t>
            </w:r>
          </w:p>
        </w:tc>
        <w:tc>
          <w:tcPr>
            <w:tcW w:w="0" w:type="auto"/>
            <w:vAlign w:val="bottom"/>
            <w:hideMark/>
          </w:tcPr>
          <w:p w14:paraId="6D4548E7"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160AB4D1"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C762CF" w14:textId="77777777" w:rsidR="00000000" w:rsidRDefault="007F5353">
            <w:pPr>
              <w:jc w:val="center"/>
              <w:rPr>
                <w:rFonts w:eastAsia="Times New Roman"/>
                <w:b/>
                <w:bCs/>
                <w:sz w:val="20"/>
                <w:szCs w:val="20"/>
              </w:rPr>
            </w:pPr>
            <w:r>
              <w:rPr>
                <w:rFonts w:eastAsia="Times New Roman"/>
                <w:b/>
                <w:bCs/>
                <w:sz w:val="20"/>
                <w:szCs w:val="20"/>
              </w:rPr>
              <w:t>Amount</w:t>
            </w:r>
          </w:p>
        </w:tc>
        <w:tc>
          <w:tcPr>
            <w:tcW w:w="0" w:type="auto"/>
            <w:vAlign w:val="bottom"/>
            <w:hideMark/>
          </w:tcPr>
          <w:p w14:paraId="03267179"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74DBF35D"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1430C6" w14:textId="77777777" w:rsidR="00000000" w:rsidRDefault="007F5353">
            <w:pPr>
              <w:jc w:val="center"/>
              <w:rPr>
                <w:rFonts w:eastAsia="Times New Roman"/>
                <w:b/>
                <w:bCs/>
                <w:sz w:val="20"/>
                <w:szCs w:val="20"/>
              </w:rPr>
            </w:pPr>
            <w:r>
              <w:rPr>
                <w:rFonts w:eastAsia="Times New Roman"/>
                <w:b/>
                <w:bCs/>
                <w:sz w:val="20"/>
                <w:szCs w:val="20"/>
              </w:rPr>
              <w:t>Capital</w:t>
            </w:r>
          </w:p>
        </w:tc>
        <w:tc>
          <w:tcPr>
            <w:tcW w:w="0" w:type="auto"/>
            <w:vAlign w:val="bottom"/>
            <w:hideMark/>
          </w:tcPr>
          <w:p w14:paraId="629FDB64"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29B085C3"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4085C09" w14:textId="77777777" w:rsidR="00000000" w:rsidRDefault="007F5353">
            <w:pPr>
              <w:jc w:val="center"/>
              <w:rPr>
                <w:rFonts w:eastAsia="Times New Roman"/>
                <w:b/>
                <w:bCs/>
                <w:sz w:val="20"/>
                <w:szCs w:val="20"/>
              </w:rPr>
            </w:pPr>
            <w:r>
              <w:rPr>
                <w:rFonts w:eastAsia="Times New Roman"/>
                <w:b/>
                <w:bCs/>
                <w:sz w:val="20"/>
                <w:szCs w:val="20"/>
              </w:rPr>
              <w:t>Deficit</w:t>
            </w:r>
          </w:p>
        </w:tc>
        <w:tc>
          <w:tcPr>
            <w:tcW w:w="0" w:type="auto"/>
            <w:vAlign w:val="bottom"/>
            <w:hideMark/>
          </w:tcPr>
          <w:p w14:paraId="7FBFA912"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76C615A4" w14:textId="77777777" w:rsidR="00000000" w:rsidRDefault="007F535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8392965" w14:textId="77777777" w:rsidR="00000000" w:rsidRDefault="007F5353">
            <w:pPr>
              <w:jc w:val="center"/>
              <w:rPr>
                <w:rFonts w:eastAsia="Times New Roman"/>
                <w:b/>
                <w:bCs/>
                <w:sz w:val="20"/>
                <w:szCs w:val="20"/>
              </w:rPr>
            </w:pPr>
            <w:r>
              <w:rPr>
                <w:rFonts w:eastAsia="Times New Roman"/>
                <w:b/>
                <w:bCs/>
                <w:sz w:val="20"/>
                <w:szCs w:val="20"/>
              </w:rPr>
              <w:t>Equity (Deficit)</w:t>
            </w:r>
          </w:p>
        </w:tc>
        <w:tc>
          <w:tcPr>
            <w:tcW w:w="0" w:type="auto"/>
            <w:vAlign w:val="bottom"/>
            <w:hideMark/>
          </w:tcPr>
          <w:p w14:paraId="33F5C210" w14:textId="77777777" w:rsidR="00000000" w:rsidRDefault="007F5353">
            <w:pPr>
              <w:rPr>
                <w:rFonts w:eastAsia="Times New Roman"/>
                <w:b/>
                <w:bCs/>
                <w:sz w:val="20"/>
                <w:szCs w:val="20"/>
              </w:rPr>
            </w:pPr>
            <w:r>
              <w:rPr>
                <w:rFonts w:eastAsia="Times New Roman"/>
                <w:b/>
                <w:bCs/>
                <w:sz w:val="20"/>
                <w:szCs w:val="20"/>
              </w:rPr>
              <w:t> </w:t>
            </w:r>
          </w:p>
        </w:tc>
      </w:tr>
      <w:tr w:rsidR="00000000" w14:paraId="11362EC9" w14:textId="77777777">
        <w:tc>
          <w:tcPr>
            <w:tcW w:w="0" w:type="auto"/>
            <w:shd w:val="clear" w:color="auto" w:fill="CCEEFF"/>
            <w:vAlign w:val="bottom"/>
            <w:hideMark/>
          </w:tcPr>
          <w:p w14:paraId="2A564E94" w14:textId="77777777" w:rsidR="00000000" w:rsidRDefault="007F5353">
            <w:pPr>
              <w:rPr>
                <w:rFonts w:eastAsia="Times New Roman"/>
                <w:b/>
                <w:bCs/>
                <w:sz w:val="20"/>
                <w:szCs w:val="20"/>
              </w:rPr>
            </w:pPr>
            <w:r>
              <w:rPr>
                <w:rFonts w:eastAsia="Times New Roman"/>
                <w:b/>
                <w:bCs/>
                <w:sz w:val="20"/>
                <w:szCs w:val="20"/>
              </w:rPr>
              <w:t>Balance – April 16, 2021 (Inception)</w:t>
            </w:r>
          </w:p>
        </w:tc>
        <w:tc>
          <w:tcPr>
            <w:tcW w:w="0" w:type="auto"/>
            <w:shd w:val="clear" w:color="auto" w:fill="CCEEFF"/>
            <w:vAlign w:val="bottom"/>
            <w:hideMark/>
          </w:tcPr>
          <w:p w14:paraId="4C114E2B"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EF0AF9F"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28E451A"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6FD9DDC"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A9DC93A"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23DB1C7"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3D9F4DC"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B938665"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597AECE"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719CDB4"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3F56D6D"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973ABF6"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598F382"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7C26E5C"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91098BC"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CC051EB"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913743F"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A5F607D"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8057FD0"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60537B1" w14:textId="77777777" w:rsidR="00000000" w:rsidRDefault="007F5353">
            <w:pPr>
              <w:rPr>
                <w:rFonts w:eastAsia="Times New Roman"/>
                <w:b/>
                <w:bCs/>
                <w:sz w:val="20"/>
                <w:szCs w:val="20"/>
              </w:rPr>
            </w:pPr>
            <w:r>
              <w:rPr>
                <w:rFonts w:eastAsia="Times New Roman"/>
                <w:b/>
                <w:bCs/>
                <w:sz w:val="20"/>
                <w:szCs w:val="20"/>
              </w:rPr>
              <w:t> </w:t>
            </w:r>
          </w:p>
        </w:tc>
      </w:tr>
      <w:tr w:rsidR="00000000" w14:paraId="49FAC359" w14:textId="77777777">
        <w:trPr>
          <w:hidden/>
        </w:trPr>
        <w:tc>
          <w:tcPr>
            <w:tcW w:w="0" w:type="auto"/>
            <w:shd w:val="clear" w:color="auto" w:fill="CCEEFF"/>
            <w:vAlign w:val="bottom"/>
            <w:hideMark/>
          </w:tcPr>
          <w:p w14:paraId="66AD924F" w14:textId="77777777" w:rsidR="00000000" w:rsidRDefault="007F5353">
            <w:pPr>
              <w:rPr>
                <w:rFonts w:eastAsia="Times New Roman"/>
                <w:b/>
                <w:bCs/>
                <w:vanish/>
                <w:sz w:val="20"/>
                <w:szCs w:val="20"/>
              </w:rPr>
            </w:pPr>
            <w:r>
              <w:rPr>
                <w:rFonts w:eastAsia="Times New Roman"/>
                <w:b/>
                <w:bCs/>
                <w:vanish/>
                <w:sz w:val="20"/>
                <w:szCs w:val="20"/>
              </w:rPr>
              <w:t>Balance</w:t>
            </w:r>
          </w:p>
        </w:tc>
        <w:tc>
          <w:tcPr>
            <w:tcW w:w="0" w:type="auto"/>
            <w:shd w:val="clear" w:color="auto" w:fill="CCEEFF"/>
            <w:vAlign w:val="bottom"/>
            <w:hideMark/>
          </w:tcPr>
          <w:p w14:paraId="2BD2D0DE"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1A3AB44"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EEE28A5" w14:textId="77777777" w:rsidR="00000000" w:rsidRDefault="007F5353">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619A0CB8"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6DE6D352"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B45E0E2" w14:textId="77777777" w:rsidR="00000000" w:rsidRDefault="007F5353">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52D10DC0" w14:textId="77777777" w:rsidR="00000000" w:rsidRDefault="007F5353">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39095BD0"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71404F8"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160F5FBC" w14:textId="77777777" w:rsidR="00000000" w:rsidRDefault="007F5353">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66D86744" w14:textId="77777777" w:rsidR="00000000" w:rsidRDefault="007F5353">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16FE8FD8"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EE119C6"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CA6A5A2" w14:textId="77777777" w:rsidR="00000000" w:rsidRDefault="007F5353">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002D167D" w14:textId="77777777" w:rsidR="00000000" w:rsidRDefault="007F5353">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5CC47CB2"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8F096D9"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0D7F76C" w14:textId="77777777" w:rsidR="00000000" w:rsidRDefault="007F5353">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383BB5FD" w14:textId="77777777" w:rsidR="00000000" w:rsidRDefault="007F5353">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65C176E3" w14:textId="77777777" w:rsidR="00000000" w:rsidRDefault="007F5353">
            <w:pPr>
              <w:rPr>
                <w:rFonts w:eastAsia="Times New Roman"/>
                <w:b/>
                <w:bCs/>
                <w:vanish/>
                <w:sz w:val="20"/>
                <w:szCs w:val="20"/>
              </w:rPr>
            </w:pPr>
            <w:r>
              <w:rPr>
                <w:rFonts w:eastAsia="Times New Roman"/>
                <w:b/>
                <w:bCs/>
                <w:vanish/>
                <w:sz w:val="20"/>
                <w:szCs w:val="20"/>
              </w:rPr>
              <w:t> </w:t>
            </w:r>
          </w:p>
        </w:tc>
      </w:tr>
      <w:tr w:rsidR="00000000" w14:paraId="1EE9D687" w14:textId="77777777">
        <w:tc>
          <w:tcPr>
            <w:tcW w:w="0" w:type="auto"/>
            <w:shd w:val="clear" w:color="auto" w:fill="FFFFFF"/>
            <w:vAlign w:val="bottom"/>
            <w:hideMark/>
          </w:tcPr>
          <w:p w14:paraId="342501D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C4DDD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7F4C2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9A8110"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56226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35A6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5F309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D7627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E9AB7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34DC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C379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DE7E30"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9BF6D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5881A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383D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95BF93"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E3368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AFC7D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93359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7AABB5"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1A02CA" w14:textId="77777777" w:rsidR="00000000" w:rsidRDefault="007F5353">
            <w:pPr>
              <w:rPr>
                <w:rFonts w:eastAsia="Times New Roman"/>
                <w:sz w:val="20"/>
                <w:szCs w:val="20"/>
              </w:rPr>
            </w:pPr>
            <w:r>
              <w:rPr>
                <w:rFonts w:eastAsia="Times New Roman"/>
                <w:sz w:val="20"/>
                <w:szCs w:val="20"/>
              </w:rPr>
              <w:t> </w:t>
            </w:r>
          </w:p>
        </w:tc>
      </w:tr>
      <w:tr w:rsidR="00000000" w14:paraId="7066AE99" w14:textId="77777777">
        <w:tc>
          <w:tcPr>
            <w:tcW w:w="1600" w:type="pct"/>
            <w:shd w:val="clear" w:color="auto" w:fill="CCEEFF"/>
            <w:vAlign w:val="bottom"/>
            <w:hideMark/>
          </w:tcPr>
          <w:p w14:paraId="0BD7B60A" w14:textId="77777777" w:rsidR="00000000" w:rsidRDefault="007F5353">
            <w:pPr>
              <w:rPr>
                <w:rFonts w:eastAsia="Times New Roman"/>
                <w:sz w:val="20"/>
                <w:szCs w:val="20"/>
              </w:rPr>
            </w:pPr>
            <w:r>
              <w:rPr>
                <w:rFonts w:eastAsia="Times New Roman"/>
                <w:sz w:val="20"/>
                <w:szCs w:val="20"/>
              </w:rPr>
              <w:t>Issuance of common stock to Sponsor</w:t>
            </w:r>
          </w:p>
        </w:tc>
        <w:tc>
          <w:tcPr>
            <w:tcW w:w="100" w:type="pct"/>
            <w:shd w:val="clear" w:color="auto" w:fill="CCEEFF"/>
            <w:vAlign w:val="bottom"/>
            <w:hideMark/>
          </w:tcPr>
          <w:p w14:paraId="6D6F4B90" w14:textId="77777777" w:rsidR="00000000" w:rsidRDefault="007F535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B2BA69" w14:textId="77777777" w:rsidR="00000000" w:rsidRDefault="007F535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A64BF4" w14:textId="77777777" w:rsidR="00000000" w:rsidRDefault="007F5353">
            <w:pPr>
              <w:jc w:val="right"/>
              <w:rPr>
                <w:rFonts w:eastAsia="Times New Roman"/>
                <w:sz w:val="20"/>
                <w:szCs w:val="20"/>
              </w:rPr>
            </w:pPr>
            <w:r>
              <w:rPr>
                <w:rFonts w:eastAsia="Times New Roman"/>
                <w:sz w:val="20"/>
                <w:szCs w:val="20"/>
              </w:rPr>
              <w:t>2,875,000</w:t>
            </w:r>
          </w:p>
        </w:tc>
        <w:tc>
          <w:tcPr>
            <w:tcW w:w="50" w:type="pct"/>
            <w:shd w:val="clear" w:color="auto" w:fill="CCEEFF"/>
            <w:vAlign w:val="bottom"/>
            <w:hideMark/>
          </w:tcPr>
          <w:p w14:paraId="26BC8225" w14:textId="77777777" w:rsidR="00000000" w:rsidRDefault="007F535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8D98941" w14:textId="77777777" w:rsidR="00000000" w:rsidRDefault="007F535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7344DA" w14:textId="77777777" w:rsidR="00000000" w:rsidRDefault="007F535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25288D" w14:textId="77777777" w:rsidR="00000000" w:rsidRDefault="007F5353">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14:paraId="05917C66" w14:textId="77777777" w:rsidR="00000000" w:rsidRDefault="007F535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95DF9FF" w14:textId="77777777" w:rsidR="00000000" w:rsidRDefault="007F535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4C742A" w14:textId="77777777" w:rsidR="00000000" w:rsidRDefault="007F535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11168DE" w14:textId="77777777" w:rsidR="00000000" w:rsidRDefault="007F5353">
            <w:pPr>
              <w:jc w:val="right"/>
              <w:rPr>
                <w:rFonts w:eastAsia="Times New Roman"/>
                <w:sz w:val="20"/>
                <w:szCs w:val="20"/>
              </w:rPr>
            </w:pPr>
            <w:r>
              <w:rPr>
                <w:rFonts w:eastAsia="Times New Roman"/>
                <w:sz w:val="20"/>
                <w:szCs w:val="20"/>
              </w:rPr>
              <w:t>24,997</w:t>
            </w:r>
          </w:p>
        </w:tc>
        <w:tc>
          <w:tcPr>
            <w:tcW w:w="50" w:type="pct"/>
            <w:shd w:val="clear" w:color="auto" w:fill="CCEEFF"/>
            <w:vAlign w:val="bottom"/>
            <w:hideMark/>
          </w:tcPr>
          <w:p w14:paraId="53F0DEEB" w14:textId="77777777" w:rsidR="00000000" w:rsidRDefault="007F535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AA4C825" w14:textId="77777777" w:rsidR="00000000" w:rsidRDefault="007F535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9F070F" w14:textId="77777777" w:rsidR="00000000" w:rsidRDefault="007F535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DEBF90" w14:textId="77777777" w:rsidR="00000000" w:rsidRDefault="007F535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D67CD8E" w14:textId="77777777" w:rsidR="00000000" w:rsidRDefault="007F535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2459D0C" w14:textId="77777777" w:rsidR="00000000" w:rsidRDefault="007F535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A6B4BE" w14:textId="77777777" w:rsidR="00000000" w:rsidRDefault="007F535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70BFA1" w14:textId="77777777" w:rsidR="00000000" w:rsidRDefault="007F5353">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14:paraId="29745ED4" w14:textId="77777777" w:rsidR="00000000" w:rsidRDefault="007F5353">
            <w:pPr>
              <w:rPr>
                <w:rFonts w:eastAsia="Times New Roman"/>
                <w:sz w:val="20"/>
                <w:szCs w:val="20"/>
              </w:rPr>
            </w:pPr>
            <w:r>
              <w:rPr>
                <w:rFonts w:eastAsia="Times New Roman"/>
                <w:sz w:val="20"/>
                <w:szCs w:val="20"/>
              </w:rPr>
              <w:t> </w:t>
            </w:r>
          </w:p>
        </w:tc>
      </w:tr>
      <w:tr w:rsidR="00000000" w14:paraId="524BD9B3" w14:textId="77777777">
        <w:tc>
          <w:tcPr>
            <w:tcW w:w="0" w:type="auto"/>
            <w:shd w:val="clear" w:color="auto" w:fill="FFFFFF"/>
            <w:vAlign w:val="bottom"/>
            <w:hideMark/>
          </w:tcPr>
          <w:p w14:paraId="2E451DA4" w14:textId="77777777" w:rsidR="00000000" w:rsidRDefault="007F5353">
            <w:pPr>
              <w:rPr>
                <w:rFonts w:eastAsia="Times New Roman"/>
                <w:sz w:val="20"/>
                <w:szCs w:val="20"/>
              </w:rPr>
            </w:pPr>
            <w:r>
              <w:rPr>
                <w:rFonts w:eastAsia="Times New Roman"/>
                <w:sz w:val="20"/>
                <w:szCs w:val="20"/>
              </w:rPr>
              <w:t>Net loss</w:t>
            </w:r>
          </w:p>
        </w:tc>
        <w:tc>
          <w:tcPr>
            <w:tcW w:w="0" w:type="auto"/>
            <w:shd w:val="clear" w:color="auto" w:fill="FFFFFF"/>
            <w:vAlign w:val="bottom"/>
            <w:hideMark/>
          </w:tcPr>
          <w:p w14:paraId="2C8EF25F"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F4FF88"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FBAFCB"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193B8B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3321F"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46A968"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DD9B9A"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DA72BD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4A284E"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F9179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0A10B5"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42FD35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CB4D15"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58D301"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A3A5EF"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22169C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E33091"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CACC2B"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076EE2"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F357EBC" w14:textId="77777777" w:rsidR="00000000" w:rsidRDefault="007F5353">
            <w:pPr>
              <w:rPr>
                <w:rFonts w:eastAsia="Times New Roman"/>
                <w:sz w:val="20"/>
                <w:szCs w:val="20"/>
              </w:rPr>
            </w:pPr>
            <w:r>
              <w:rPr>
                <w:rFonts w:eastAsia="Times New Roman"/>
                <w:sz w:val="20"/>
                <w:szCs w:val="20"/>
              </w:rPr>
              <w:t> </w:t>
            </w:r>
          </w:p>
        </w:tc>
      </w:tr>
      <w:tr w:rsidR="00000000" w14:paraId="07B92EA4" w14:textId="77777777">
        <w:tc>
          <w:tcPr>
            <w:tcW w:w="0" w:type="auto"/>
            <w:shd w:val="clear" w:color="auto" w:fill="CCEEFF"/>
            <w:vAlign w:val="bottom"/>
            <w:hideMark/>
          </w:tcPr>
          <w:p w14:paraId="42EB8BFB" w14:textId="77777777" w:rsidR="00000000" w:rsidRDefault="007F5353">
            <w:pPr>
              <w:rPr>
                <w:rFonts w:eastAsia="Times New Roman"/>
                <w:b/>
                <w:bCs/>
                <w:sz w:val="20"/>
                <w:szCs w:val="20"/>
              </w:rPr>
            </w:pPr>
            <w:r>
              <w:rPr>
                <w:rFonts w:eastAsia="Times New Roman"/>
                <w:b/>
                <w:bCs/>
                <w:sz w:val="20"/>
                <w:szCs w:val="20"/>
              </w:rPr>
              <w:t>Balance – June 30, 2021</w:t>
            </w:r>
          </w:p>
        </w:tc>
        <w:tc>
          <w:tcPr>
            <w:tcW w:w="0" w:type="auto"/>
            <w:shd w:val="clear" w:color="auto" w:fill="CCEEFF"/>
            <w:vAlign w:val="bottom"/>
            <w:hideMark/>
          </w:tcPr>
          <w:p w14:paraId="616601DC"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162416C"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174804F" w14:textId="77777777" w:rsidR="00000000" w:rsidRDefault="007F5353">
            <w:pPr>
              <w:jc w:val="right"/>
              <w:rPr>
                <w:rFonts w:eastAsia="Times New Roman"/>
                <w:b/>
                <w:bCs/>
                <w:sz w:val="20"/>
                <w:szCs w:val="20"/>
              </w:rPr>
            </w:pPr>
            <w:r>
              <w:rPr>
                <w:rFonts w:eastAsia="Times New Roman"/>
                <w:b/>
                <w:bCs/>
                <w:sz w:val="20"/>
                <w:szCs w:val="20"/>
              </w:rPr>
              <w:t>2,875,000</w:t>
            </w:r>
          </w:p>
        </w:tc>
        <w:tc>
          <w:tcPr>
            <w:tcW w:w="0" w:type="auto"/>
            <w:shd w:val="clear" w:color="auto" w:fill="CCEEFF"/>
            <w:vAlign w:val="bottom"/>
            <w:hideMark/>
          </w:tcPr>
          <w:p w14:paraId="7D6B39C0"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5937FE7"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69E6BDA"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69C671C" w14:textId="77777777" w:rsidR="00000000" w:rsidRDefault="007F5353">
            <w:pPr>
              <w:jc w:val="right"/>
              <w:rPr>
                <w:rFonts w:eastAsia="Times New Roman"/>
                <w:b/>
                <w:bCs/>
                <w:sz w:val="20"/>
                <w:szCs w:val="20"/>
              </w:rPr>
            </w:pPr>
            <w:r>
              <w:rPr>
                <w:rFonts w:eastAsia="Times New Roman"/>
                <w:b/>
                <w:bCs/>
                <w:sz w:val="20"/>
                <w:szCs w:val="20"/>
              </w:rPr>
              <w:t>      3</w:t>
            </w:r>
          </w:p>
        </w:tc>
        <w:tc>
          <w:tcPr>
            <w:tcW w:w="0" w:type="auto"/>
            <w:shd w:val="clear" w:color="auto" w:fill="CCEEFF"/>
            <w:vAlign w:val="bottom"/>
            <w:hideMark/>
          </w:tcPr>
          <w:p w14:paraId="092C59A5"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577B276"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C061017"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FA4172C" w14:textId="77777777" w:rsidR="00000000" w:rsidRDefault="007F5353">
            <w:pPr>
              <w:jc w:val="right"/>
              <w:rPr>
                <w:rFonts w:eastAsia="Times New Roman"/>
                <w:b/>
                <w:bCs/>
                <w:sz w:val="20"/>
                <w:szCs w:val="20"/>
              </w:rPr>
            </w:pPr>
            <w:r>
              <w:rPr>
                <w:rFonts w:eastAsia="Times New Roman"/>
                <w:b/>
                <w:bCs/>
                <w:sz w:val="20"/>
                <w:szCs w:val="20"/>
              </w:rPr>
              <w:t>24,997</w:t>
            </w:r>
          </w:p>
        </w:tc>
        <w:tc>
          <w:tcPr>
            <w:tcW w:w="0" w:type="auto"/>
            <w:shd w:val="clear" w:color="auto" w:fill="CCEEFF"/>
            <w:vAlign w:val="bottom"/>
            <w:hideMark/>
          </w:tcPr>
          <w:p w14:paraId="0519E481"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D5FE388"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72A8BADC"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E157DB0" w14:textId="77777777" w:rsidR="00000000" w:rsidRDefault="007F5353">
            <w:pPr>
              <w:jc w:val="right"/>
              <w:rPr>
                <w:rFonts w:eastAsia="Times New Roman"/>
                <w:b/>
                <w:bCs/>
                <w:sz w:val="20"/>
                <w:szCs w:val="20"/>
              </w:rPr>
            </w:pPr>
            <w:r>
              <w:rPr>
                <w:rFonts w:eastAsia="Times New Roman"/>
                <w:b/>
                <w:bCs/>
                <w:sz w:val="20"/>
                <w:szCs w:val="20"/>
              </w:rPr>
              <w:t>             </w:t>
            </w:r>
            <w:r>
              <w:rPr>
                <w:rFonts w:eastAsia="Times New Roman"/>
                <w:b/>
                <w:bCs/>
                <w:sz w:val="20"/>
                <w:szCs w:val="20"/>
              </w:rPr>
              <w:t> </w:t>
            </w:r>
            <w:r>
              <w:rPr>
                <w:rFonts w:eastAsia="Times New Roman"/>
                <w:b/>
                <w:bCs/>
                <w:sz w:val="20"/>
                <w:szCs w:val="20"/>
              </w:rPr>
              <w:t>-</w:t>
            </w:r>
          </w:p>
        </w:tc>
        <w:tc>
          <w:tcPr>
            <w:tcW w:w="0" w:type="auto"/>
            <w:shd w:val="clear" w:color="auto" w:fill="CCEEFF"/>
            <w:vAlign w:val="bottom"/>
            <w:hideMark/>
          </w:tcPr>
          <w:p w14:paraId="298394D7"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7F1D605"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3AC5675"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57D9BC6" w14:textId="77777777" w:rsidR="00000000" w:rsidRDefault="007F5353">
            <w:pPr>
              <w:jc w:val="right"/>
              <w:rPr>
                <w:rFonts w:eastAsia="Times New Roman"/>
                <w:b/>
                <w:bCs/>
                <w:sz w:val="20"/>
                <w:szCs w:val="20"/>
              </w:rPr>
            </w:pPr>
            <w:r>
              <w:rPr>
                <w:rFonts w:eastAsia="Times New Roman"/>
                <w:b/>
                <w:bCs/>
                <w:sz w:val="20"/>
                <w:szCs w:val="20"/>
              </w:rPr>
              <w:t>25,000</w:t>
            </w:r>
          </w:p>
        </w:tc>
        <w:tc>
          <w:tcPr>
            <w:tcW w:w="0" w:type="auto"/>
            <w:shd w:val="clear" w:color="auto" w:fill="CCEEFF"/>
            <w:vAlign w:val="bottom"/>
            <w:hideMark/>
          </w:tcPr>
          <w:p w14:paraId="0ECDC988" w14:textId="77777777" w:rsidR="00000000" w:rsidRDefault="007F5353">
            <w:pPr>
              <w:rPr>
                <w:rFonts w:eastAsia="Times New Roman"/>
                <w:b/>
                <w:bCs/>
                <w:sz w:val="20"/>
                <w:szCs w:val="20"/>
              </w:rPr>
            </w:pPr>
            <w:r>
              <w:rPr>
                <w:rFonts w:eastAsia="Times New Roman"/>
                <w:b/>
                <w:bCs/>
                <w:sz w:val="20"/>
                <w:szCs w:val="20"/>
              </w:rPr>
              <w:t> </w:t>
            </w:r>
          </w:p>
        </w:tc>
      </w:tr>
      <w:tr w:rsidR="00000000" w14:paraId="6D908B92" w14:textId="77777777">
        <w:trPr>
          <w:hidden/>
        </w:trPr>
        <w:tc>
          <w:tcPr>
            <w:tcW w:w="0" w:type="auto"/>
            <w:shd w:val="clear" w:color="auto" w:fill="CCEEFF"/>
            <w:vAlign w:val="bottom"/>
            <w:hideMark/>
          </w:tcPr>
          <w:p w14:paraId="663F00F3" w14:textId="77777777" w:rsidR="00000000" w:rsidRDefault="007F5353">
            <w:pPr>
              <w:rPr>
                <w:rFonts w:eastAsia="Times New Roman"/>
                <w:b/>
                <w:bCs/>
                <w:vanish/>
                <w:sz w:val="20"/>
                <w:szCs w:val="20"/>
              </w:rPr>
            </w:pPr>
            <w:r>
              <w:rPr>
                <w:rFonts w:eastAsia="Times New Roman"/>
                <w:b/>
                <w:bCs/>
                <w:vanish/>
                <w:sz w:val="20"/>
                <w:szCs w:val="20"/>
              </w:rPr>
              <w:t>Balance</w:t>
            </w:r>
          </w:p>
        </w:tc>
        <w:tc>
          <w:tcPr>
            <w:tcW w:w="0" w:type="auto"/>
            <w:shd w:val="clear" w:color="auto" w:fill="CCEEFF"/>
            <w:vAlign w:val="bottom"/>
            <w:hideMark/>
          </w:tcPr>
          <w:p w14:paraId="1A144D09"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17DC152F"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7125676A" w14:textId="77777777" w:rsidR="00000000" w:rsidRDefault="007F5353">
            <w:pPr>
              <w:jc w:val="right"/>
              <w:rPr>
                <w:rFonts w:eastAsia="Times New Roman"/>
                <w:b/>
                <w:bCs/>
                <w:vanish/>
                <w:sz w:val="20"/>
                <w:szCs w:val="20"/>
              </w:rPr>
            </w:pPr>
            <w:r>
              <w:rPr>
                <w:rFonts w:eastAsia="Times New Roman"/>
                <w:b/>
                <w:bCs/>
                <w:vanish/>
                <w:sz w:val="20"/>
                <w:szCs w:val="20"/>
              </w:rPr>
              <w:t>2,875,000</w:t>
            </w:r>
          </w:p>
        </w:tc>
        <w:tc>
          <w:tcPr>
            <w:tcW w:w="0" w:type="auto"/>
            <w:shd w:val="clear" w:color="auto" w:fill="CCEEFF"/>
            <w:vAlign w:val="bottom"/>
            <w:hideMark/>
          </w:tcPr>
          <w:p w14:paraId="42FD4851"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9CC1A2E"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76150683"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1FA7CB73" w14:textId="77777777" w:rsidR="00000000" w:rsidRDefault="007F5353">
            <w:pPr>
              <w:jc w:val="right"/>
              <w:rPr>
                <w:rFonts w:eastAsia="Times New Roman"/>
                <w:b/>
                <w:bCs/>
                <w:vanish/>
                <w:sz w:val="20"/>
                <w:szCs w:val="20"/>
              </w:rPr>
            </w:pPr>
            <w:r>
              <w:rPr>
                <w:rFonts w:eastAsia="Times New Roman"/>
                <w:b/>
                <w:bCs/>
                <w:vanish/>
                <w:sz w:val="20"/>
                <w:szCs w:val="20"/>
              </w:rPr>
              <w:t>      3</w:t>
            </w:r>
          </w:p>
        </w:tc>
        <w:tc>
          <w:tcPr>
            <w:tcW w:w="0" w:type="auto"/>
            <w:shd w:val="clear" w:color="auto" w:fill="CCEEFF"/>
            <w:vAlign w:val="bottom"/>
            <w:hideMark/>
          </w:tcPr>
          <w:p w14:paraId="0334B7FF"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1883747A"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061820B4"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66AB3C3B" w14:textId="77777777" w:rsidR="00000000" w:rsidRDefault="007F5353">
            <w:pPr>
              <w:jc w:val="right"/>
              <w:rPr>
                <w:rFonts w:eastAsia="Times New Roman"/>
                <w:b/>
                <w:bCs/>
                <w:vanish/>
                <w:sz w:val="20"/>
                <w:szCs w:val="20"/>
              </w:rPr>
            </w:pPr>
            <w:r>
              <w:rPr>
                <w:rFonts w:eastAsia="Times New Roman"/>
                <w:b/>
                <w:bCs/>
                <w:vanish/>
                <w:sz w:val="20"/>
                <w:szCs w:val="20"/>
              </w:rPr>
              <w:t>24,997</w:t>
            </w:r>
          </w:p>
        </w:tc>
        <w:tc>
          <w:tcPr>
            <w:tcW w:w="0" w:type="auto"/>
            <w:shd w:val="clear" w:color="auto" w:fill="CCEEFF"/>
            <w:vAlign w:val="bottom"/>
            <w:hideMark/>
          </w:tcPr>
          <w:p w14:paraId="52328F08"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8A5F973"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125F9EED"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79609E2B" w14:textId="77777777" w:rsidR="00000000" w:rsidRDefault="007F5353">
            <w:pPr>
              <w:jc w:val="right"/>
              <w:rPr>
                <w:rFonts w:eastAsia="Times New Roman"/>
                <w:b/>
                <w:bCs/>
                <w:vanish/>
                <w:sz w:val="20"/>
                <w:szCs w:val="20"/>
              </w:rPr>
            </w:pPr>
            <w:r>
              <w:rPr>
                <w:rFonts w:eastAsia="Times New Roman"/>
                <w:b/>
                <w:bCs/>
                <w:vanish/>
                <w:sz w:val="20"/>
                <w:szCs w:val="20"/>
              </w:rPr>
              <w:t>             </w:t>
            </w:r>
            <w:r>
              <w:rPr>
                <w:rFonts w:eastAsia="Times New Roman"/>
                <w:b/>
                <w:bCs/>
                <w:vanish/>
                <w:sz w:val="20"/>
                <w:szCs w:val="20"/>
              </w:rPr>
              <w:t> </w:t>
            </w:r>
            <w:r>
              <w:rPr>
                <w:rFonts w:eastAsia="Times New Roman"/>
                <w:b/>
                <w:bCs/>
                <w:vanish/>
                <w:sz w:val="20"/>
                <w:szCs w:val="20"/>
              </w:rPr>
              <w:t>-</w:t>
            </w:r>
          </w:p>
        </w:tc>
        <w:tc>
          <w:tcPr>
            <w:tcW w:w="0" w:type="auto"/>
            <w:shd w:val="clear" w:color="auto" w:fill="CCEEFF"/>
            <w:vAlign w:val="bottom"/>
            <w:hideMark/>
          </w:tcPr>
          <w:p w14:paraId="0AA0E10B"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8E61B91"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0EBC68D7"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CCEEFF"/>
            <w:vAlign w:val="bottom"/>
            <w:hideMark/>
          </w:tcPr>
          <w:p w14:paraId="6D0EA771" w14:textId="77777777" w:rsidR="00000000" w:rsidRDefault="007F5353">
            <w:pPr>
              <w:jc w:val="right"/>
              <w:rPr>
                <w:rFonts w:eastAsia="Times New Roman"/>
                <w:b/>
                <w:bCs/>
                <w:vanish/>
                <w:sz w:val="20"/>
                <w:szCs w:val="20"/>
              </w:rPr>
            </w:pPr>
            <w:r>
              <w:rPr>
                <w:rFonts w:eastAsia="Times New Roman"/>
                <w:b/>
                <w:bCs/>
                <w:vanish/>
                <w:sz w:val="20"/>
                <w:szCs w:val="20"/>
              </w:rPr>
              <w:t>25,000</w:t>
            </w:r>
          </w:p>
        </w:tc>
        <w:tc>
          <w:tcPr>
            <w:tcW w:w="0" w:type="auto"/>
            <w:shd w:val="clear" w:color="auto" w:fill="CCEEFF"/>
            <w:vAlign w:val="bottom"/>
            <w:hideMark/>
          </w:tcPr>
          <w:p w14:paraId="663A81C0" w14:textId="77777777" w:rsidR="00000000" w:rsidRDefault="007F5353">
            <w:pPr>
              <w:rPr>
                <w:rFonts w:eastAsia="Times New Roman"/>
                <w:b/>
                <w:bCs/>
                <w:vanish/>
                <w:sz w:val="20"/>
                <w:szCs w:val="20"/>
              </w:rPr>
            </w:pPr>
            <w:r>
              <w:rPr>
                <w:rFonts w:eastAsia="Times New Roman"/>
                <w:b/>
                <w:bCs/>
                <w:vanish/>
                <w:sz w:val="20"/>
                <w:szCs w:val="20"/>
              </w:rPr>
              <w:t> </w:t>
            </w:r>
          </w:p>
        </w:tc>
      </w:tr>
    </w:tbl>
    <w:p w14:paraId="5D4764A9" w14:textId="77777777" w:rsidR="00000000" w:rsidRDefault="007F5353">
      <w:pPr>
        <w:pStyle w:val="a3"/>
        <w:spacing w:before="0" w:beforeAutospacing="0" w:after="0" w:afterAutospacing="0"/>
        <w:jc w:val="center"/>
        <w:rPr>
          <w:sz w:val="20"/>
          <w:szCs w:val="20"/>
        </w:rPr>
      </w:pPr>
      <w:r>
        <w:rPr>
          <w:sz w:val="20"/>
          <w:szCs w:val="20"/>
        </w:rPr>
        <w:t> </w:t>
      </w:r>
    </w:p>
    <w:p w14:paraId="16ED94B8" w14:textId="77777777" w:rsidR="00000000" w:rsidRDefault="007F5353">
      <w:pPr>
        <w:pStyle w:val="a3"/>
        <w:spacing w:before="0" w:beforeAutospacing="0" w:after="0" w:afterAutospacing="0"/>
        <w:jc w:val="center"/>
        <w:rPr>
          <w:sz w:val="20"/>
          <w:szCs w:val="20"/>
        </w:rPr>
      </w:pPr>
      <w:r>
        <w:rPr>
          <w:b/>
          <w:bCs/>
          <w:sz w:val="20"/>
          <w:szCs w:val="20"/>
        </w:rPr>
        <w:t>The accompanying notes are an integral part of these unaudited financial statements.</w:t>
      </w:r>
    </w:p>
    <w:p w14:paraId="336F0AD8" w14:textId="77777777" w:rsidR="00000000" w:rsidRDefault="007F5353">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3BD167F" w14:textId="77777777">
        <w:trPr>
          <w:divId w:val="1883319057"/>
        </w:trPr>
        <w:tc>
          <w:tcPr>
            <w:tcW w:w="5000" w:type="pct"/>
            <w:hideMark/>
          </w:tcPr>
          <w:p w14:paraId="45FFDC8E"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1CC89D3B" w14:textId="77777777">
        <w:tc>
          <w:tcPr>
            <w:tcW w:w="5000" w:type="pct"/>
            <w:hideMark/>
          </w:tcPr>
          <w:p w14:paraId="0814B0A0" w14:textId="77777777" w:rsidR="00000000" w:rsidRDefault="007F5353">
            <w:pPr>
              <w:jc w:val="center"/>
              <w:rPr>
                <w:rFonts w:eastAsia="Times New Roman"/>
                <w:sz w:val="20"/>
                <w:szCs w:val="20"/>
              </w:rPr>
            </w:pPr>
            <w:r>
              <w:rPr>
                <w:rFonts w:eastAsia="Times New Roman"/>
                <w:sz w:val="20"/>
                <w:szCs w:val="20"/>
              </w:rPr>
              <w:t> </w:t>
            </w:r>
          </w:p>
        </w:tc>
      </w:tr>
    </w:tbl>
    <w:p w14:paraId="57448F43" w14:textId="77777777" w:rsidR="00000000" w:rsidRDefault="007F5353">
      <w:pPr>
        <w:pStyle w:val="a3"/>
        <w:spacing w:before="0" w:beforeAutospacing="0" w:after="0" w:afterAutospacing="0"/>
        <w:jc w:val="both"/>
        <w:rPr>
          <w:sz w:val="20"/>
          <w:szCs w:val="20"/>
        </w:rPr>
      </w:pPr>
      <w:r>
        <w:rPr>
          <w:b/>
          <w:bCs/>
          <w:sz w:val="20"/>
          <w:szCs w:val="20"/>
        </w:rPr>
        <w:t> </w:t>
      </w:r>
    </w:p>
    <w:p w14:paraId="7C38EB55" w14:textId="77777777" w:rsidR="00000000" w:rsidRDefault="007F5353">
      <w:pPr>
        <w:pStyle w:val="a3"/>
        <w:spacing w:before="0" w:beforeAutospacing="0" w:after="0" w:afterAutospacing="0"/>
        <w:jc w:val="center"/>
        <w:rPr>
          <w:sz w:val="20"/>
          <w:szCs w:val="20"/>
        </w:rPr>
      </w:pPr>
      <w:r>
        <w:rPr>
          <w:b/>
          <w:bCs/>
          <w:sz w:val="20"/>
          <w:szCs w:val="20"/>
        </w:rPr>
        <w:t>BROAD CAPITAL ACQUISITION CORP</w:t>
      </w:r>
    </w:p>
    <w:p w14:paraId="2EA90E98" w14:textId="77777777" w:rsidR="00000000" w:rsidRDefault="007F5353">
      <w:pPr>
        <w:pStyle w:val="a3"/>
        <w:spacing w:before="0" w:beforeAutospacing="0" w:after="0" w:afterAutospacing="0"/>
        <w:jc w:val="center"/>
        <w:rPr>
          <w:sz w:val="20"/>
          <w:szCs w:val="20"/>
        </w:rPr>
      </w:pPr>
      <w:r>
        <w:rPr>
          <w:b/>
          <w:bCs/>
          <w:sz w:val="20"/>
          <w:szCs w:val="20"/>
        </w:rPr>
        <w:t>STATEMENT OF CASH FLOWS</w:t>
      </w:r>
    </w:p>
    <w:p w14:paraId="26A1BAA8" w14:textId="77777777" w:rsidR="00000000" w:rsidRDefault="007F5353">
      <w:pPr>
        <w:pStyle w:val="a3"/>
        <w:spacing w:before="0" w:beforeAutospacing="0" w:after="0" w:afterAutospacing="0"/>
        <w:jc w:val="center"/>
        <w:rPr>
          <w:sz w:val="20"/>
          <w:szCs w:val="20"/>
        </w:rPr>
      </w:pPr>
      <w:r>
        <w:rPr>
          <w:b/>
          <w:bCs/>
          <w:sz w:val="20"/>
          <w:szCs w:val="20"/>
        </w:rPr>
        <w:t xml:space="preserve">FOR </w:t>
      </w:r>
      <w:r>
        <w:rPr>
          <w:b/>
          <w:bCs/>
          <w:sz w:val="20"/>
          <w:szCs w:val="20"/>
        </w:rPr>
        <w:t>THE SIX MONTHS ENDED JUNE 30, 2022</w:t>
      </w:r>
    </w:p>
    <w:p w14:paraId="258285EA" w14:textId="77777777" w:rsidR="00000000" w:rsidRDefault="007F5353">
      <w:pPr>
        <w:pStyle w:val="a3"/>
        <w:spacing w:before="0" w:beforeAutospacing="0" w:after="0" w:afterAutospacing="0"/>
        <w:jc w:val="center"/>
        <w:rPr>
          <w:sz w:val="20"/>
          <w:szCs w:val="20"/>
        </w:rPr>
      </w:pPr>
      <w:r>
        <w:rPr>
          <w:b/>
          <w:bCs/>
          <w:sz w:val="20"/>
          <w:szCs w:val="20"/>
        </w:rPr>
        <w:t>(UNAUDITED)</w:t>
      </w:r>
    </w:p>
    <w:p w14:paraId="1B583568"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ash Flows (Unaudited)"/>
      </w:tblPr>
      <w:tblGrid>
        <w:gridCol w:w="4979"/>
        <w:gridCol w:w="161"/>
        <w:gridCol w:w="100"/>
        <w:gridCol w:w="1324"/>
        <w:gridCol w:w="78"/>
        <w:gridCol w:w="161"/>
        <w:gridCol w:w="101"/>
        <w:gridCol w:w="1324"/>
        <w:gridCol w:w="78"/>
      </w:tblGrid>
      <w:tr w:rsidR="00000000" w14:paraId="54873B97" w14:textId="77777777">
        <w:trPr>
          <w:hidden/>
        </w:trPr>
        <w:tc>
          <w:tcPr>
            <w:tcW w:w="0" w:type="auto"/>
            <w:shd w:val="clear" w:color="auto" w:fill="CCEEFF"/>
            <w:vAlign w:val="bottom"/>
            <w:hideMark/>
          </w:tcPr>
          <w:p w14:paraId="220590A1" w14:textId="77777777" w:rsidR="00000000" w:rsidRDefault="007F535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A8A2CA8"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1DFFD67"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909201F"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E223EF1"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2D5A328"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8E0F5E5" w14:textId="77777777" w:rsidR="00000000" w:rsidRDefault="007F535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9462D27" w14:textId="77777777" w:rsidR="00000000" w:rsidRDefault="007F535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43F1EA4" w14:textId="77777777" w:rsidR="00000000" w:rsidRDefault="007F5353">
            <w:pPr>
              <w:rPr>
                <w:rFonts w:eastAsia="Times New Roman"/>
                <w:vanish/>
                <w:sz w:val="20"/>
                <w:szCs w:val="20"/>
              </w:rPr>
            </w:pPr>
            <w:r>
              <w:rPr>
                <w:rFonts w:eastAsia="Times New Roman"/>
                <w:vanish/>
                <w:sz w:val="20"/>
                <w:szCs w:val="20"/>
              </w:rPr>
              <w:t> </w:t>
            </w:r>
          </w:p>
        </w:tc>
      </w:tr>
      <w:tr w:rsidR="00000000" w14:paraId="049A9DB2" w14:textId="77777777">
        <w:tc>
          <w:tcPr>
            <w:tcW w:w="0" w:type="auto"/>
            <w:vAlign w:val="bottom"/>
            <w:hideMark/>
          </w:tcPr>
          <w:p w14:paraId="6305EAAB"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750881A7"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6262D435" w14:textId="77777777" w:rsidR="00000000" w:rsidRDefault="007F5353">
            <w:pPr>
              <w:rPr>
                <w:rFonts w:eastAsia="Times New Roman"/>
                <w:sz w:val="20"/>
                <w:szCs w:val="20"/>
              </w:rPr>
            </w:pPr>
          </w:p>
        </w:tc>
        <w:tc>
          <w:tcPr>
            <w:tcW w:w="0" w:type="auto"/>
            <w:vAlign w:val="bottom"/>
            <w:hideMark/>
          </w:tcPr>
          <w:p w14:paraId="0473EEDE"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6E9F668E"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742E405B" w14:textId="77777777" w:rsidR="00000000" w:rsidRDefault="007F5353">
            <w:pPr>
              <w:jc w:val="center"/>
              <w:rPr>
                <w:rFonts w:eastAsia="Times New Roman"/>
                <w:sz w:val="20"/>
                <w:szCs w:val="20"/>
              </w:rPr>
            </w:pPr>
            <w:r>
              <w:rPr>
                <w:rFonts w:eastAsia="Times New Roman"/>
                <w:sz w:val="20"/>
                <w:szCs w:val="20"/>
              </w:rPr>
              <w:t>For the Period from</w:t>
            </w:r>
          </w:p>
        </w:tc>
        <w:tc>
          <w:tcPr>
            <w:tcW w:w="0" w:type="auto"/>
            <w:vAlign w:val="bottom"/>
            <w:hideMark/>
          </w:tcPr>
          <w:p w14:paraId="2D67DD1E" w14:textId="77777777" w:rsidR="00000000" w:rsidRDefault="007F5353">
            <w:pPr>
              <w:rPr>
                <w:rFonts w:eastAsia="Times New Roman"/>
                <w:sz w:val="20"/>
                <w:szCs w:val="20"/>
              </w:rPr>
            </w:pPr>
            <w:r>
              <w:rPr>
                <w:rFonts w:eastAsia="Times New Roman"/>
                <w:sz w:val="20"/>
                <w:szCs w:val="20"/>
              </w:rPr>
              <w:t> </w:t>
            </w:r>
          </w:p>
        </w:tc>
      </w:tr>
      <w:tr w:rsidR="00000000" w14:paraId="4950F394" w14:textId="77777777">
        <w:tc>
          <w:tcPr>
            <w:tcW w:w="0" w:type="auto"/>
            <w:vAlign w:val="bottom"/>
            <w:hideMark/>
          </w:tcPr>
          <w:p w14:paraId="3AA06851"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36CEBD2C"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343C2158" w14:textId="77777777" w:rsidR="00000000" w:rsidRDefault="007F5353">
            <w:pPr>
              <w:rPr>
                <w:rFonts w:eastAsia="Times New Roman"/>
                <w:sz w:val="20"/>
                <w:szCs w:val="20"/>
              </w:rPr>
            </w:pPr>
          </w:p>
        </w:tc>
        <w:tc>
          <w:tcPr>
            <w:tcW w:w="0" w:type="auto"/>
            <w:vAlign w:val="bottom"/>
            <w:hideMark/>
          </w:tcPr>
          <w:p w14:paraId="01D7F714"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552E6007"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6F26DB5D" w14:textId="77777777" w:rsidR="00000000" w:rsidRDefault="007F5353">
            <w:pPr>
              <w:jc w:val="center"/>
              <w:rPr>
                <w:rFonts w:eastAsia="Times New Roman"/>
                <w:sz w:val="20"/>
                <w:szCs w:val="20"/>
              </w:rPr>
            </w:pPr>
            <w:r>
              <w:rPr>
                <w:rFonts w:eastAsia="Times New Roman"/>
                <w:sz w:val="20"/>
                <w:szCs w:val="20"/>
              </w:rPr>
              <w:t xml:space="preserve">April 16, 2021 </w:t>
            </w:r>
          </w:p>
        </w:tc>
        <w:tc>
          <w:tcPr>
            <w:tcW w:w="0" w:type="auto"/>
            <w:vAlign w:val="bottom"/>
            <w:hideMark/>
          </w:tcPr>
          <w:p w14:paraId="40BA6211" w14:textId="77777777" w:rsidR="00000000" w:rsidRDefault="007F5353">
            <w:pPr>
              <w:rPr>
                <w:rFonts w:eastAsia="Times New Roman"/>
                <w:sz w:val="20"/>
                <w:szCs w:val="20"/>
              </w:rPr>
            </w:pPr>
            <w:r>
              <w:rPr>
                <w:rFonts w:eastAsia="Times New Roman"/>
                <w:sz w:val="20"/>
                <w:szCs w:val="20"/>
              </w:rPr>
              <w:t> </w:t>
            </w:r>
          </w:p>
        </w:tc>
      </w:tr>
      <w:tr w:rsidR="00000000" w14:paraId="13262481" w14:textId="77777777">
        <w:tc>
          <w:tcPr>
            <w:tcW w:w="0" w:type="auto"/>
            <w:vAlign w:val="bottom"/>
            <w:hideMark/>
          </w:tcPr>
          <w:p w14:paraId="419D4098"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48C3DA2A"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1C955A06" w14:textId="77777777" w:rsidR="00000000" w:rsidRDefault="007F5353">
            <w:pPr>
              <w:jc w:val="center"/>
              <w:rPr>
                <w:rFonts w:eastAsia="Times New Roman"/>
                <w:sz w:val="20"/>
                <w:szCs w:val="20"/>
              </w:rPr>
            </w:pPr>
            <w:r>
              <w:rPr>
                <w:rFonts w:eastAsia="Times New Roman"/>
                <w:sz w:val="20"/>
                <w:szCs w:val="20"/>
              </w:rPr>
              <w:t xml:space="preserve">Six Months Ended </w:t>
            </w:r>
          </w:p>
        </w:tc>
        <w:tc>
          <w:tcPr>
            <w:tcW w:w="0" w:type="auto"/>
            <w:vAlign w:val="bottom"/>
            <w:hideMark/>
          </w:tcPr>
          <w:p w14:paraId="28AB46B6"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4DC4863D" w14:textId="77777777" w:rsidR="00000000" w:rsidRDefault="007F5353">
            <w:pPr>
              <w:rPr>
                <w:rFonts w:eastAsia="Times New Roman"/>
                <w:sz w:val="20"/>
                <w:szCs w:val="20"/>
              </w:rPr>
            </w:pPr>
            <w:r>
              <w:rPr>
                <w:rFonts w:eastAsia="Times New Roman"/>
                <w:sz w:val="20"/>
                <w:szCs w:val="20"/>
              </w:rPr>
              <w:t> </w:t>
            </w:r>
          </w:p>
        </w:tc>
        <w:tc>
          <w:tcPr>
            <w:tcW w:w="0" w:type="auto"/>
            <w:gridSpan w:val="2"/>
            <w:vAlign w:val="bottom"/>
            <w:hideMark/>
          </w:tcPr>
          <w:p w14:paraId="075EAF00" w14:textId="77777777" w:rsidR="00000000" w:rsidRDefault="007F5353">
            <w:pPr>
              <w:jc w:val="center"/>
              <w:rPr>
                <w:rFonts w:eastAsia="Times New Roman"/>
                <w:sz w:val="20"/>
                <w:szCs w:val="20"/>
              </w:rPr>
            </w:pPr>
            <w:r>
              <w:rPr>
                <w:rFonts w:eastAsia="Times New Roman"/>
                <w:sz w:val="20"/>
                <w:szCs w:val="20"/>
              </w:rPr>
              <w:t xml:space="preserve">(Inception) Through </w:t>
            </w:r>
          </w:p>
        </w:tc>
        <w:tc>
          <w:tcPr>
            <w:tcW w:w="0" w:type="auto"/>
            <w:vAlign w:val="bottom"/>
            <w:hideMark/>
          </w:tcPr>
          <w:p w14:paraId="566C487F" w14:textId="77777777" w:rsidR="00000000" w:rsidRDefault="007F5353">
            <w:pPr>
              <w:rPr>
                <w:rFonts w:eastAsia="Times New Roman"/>
                <w:sz w:val="20"/>
                <w:szCs w:val="20"/>
              </w:rPr>
            </w:pPr>
            <w:r>
              <w:rPr>
                <w:rFonts w:eastAsia="Times New Roman"/>
                <w:sz w:val="20"/>
                <w:szCs w:val="20"/>
              </w:rPr>
              <w:t> </w:t>
            </w:r>
          </w:p>
        </w:tc>
      </w:tr>
      <w:tr w:rsidR="00000000" w14:paraId="030E0F4A" w14:textId="77777777">
        <w:tc>
          <w:tcPr>
            <w:tcW w:w="0" w:type="auto"/>
            <w:vAlign w:val="bottom"/>
            <w:hideMark/>
          </w:tcPr>
          <w:p w14:paraId="39531FB6" w14:textId="77777777" w:rsidR="00000000" w:rsidRDefault="007F5353">
            <w:pPr>
              <w:rPr>
                <w:rFonts w:eastAsia="Times New Roman"/>
                <w:b/>
                <w:bCs/>
                <w:sz w:val="20"/>
                <w:szCs w:val="20"/>
              </w:rPr>
            </w:pPr>
            <w:r>
              <w:rPr>
                <w:rFonts w:eastAsia="Times New Roman"/>
                <w:b/>
                <w:bCs/>
                <w:sz w:val="20"/>
                <w:szCs w:val="20"/>
              </w:rPr>
              <w:t> </w:t>
            </w:r>
          </w:p>
        </w:tc>
        <w:tc>
          <w:tcPr>
            <w:tcW w:w="0" w:type="auto"/>
            <w:vAlign w:val="bottom"/>
            <w:hideMark/>
          </w:tcPr>
          <w:p w14:paraId="44F46175" w14:textId="77777777" w:rsidR="00000000" w:rsidRDefault="007F535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E4BA542" w14:textId="77777777" w:rsidR="00000000" w:rsidRDefault="007F5353">
            <w:pPr>
              <w:jc w:val="center"/>
              <w:rPr>
                <w:rFonts w:eastAsia="Times New Roman"/>
                <w:sz w:val="20"/>
                <w:szCs w:val="20"/>
              </w:rPr>
            </w:pPr>
            <w:r>
              <w:rPr>
                <w:rFonts w:eastAsia="Times New Roman"/>
                <w:sz w:val="20"/>
                <w:szCs w:val="20"/>
              </w:rPr>
              <w:t>June 30, 2022</w:t>
            </w:r>
          </w:p>
        </w:tc>
        <w:tc>
          <w:tcPr>
            <w:tcW w:w="0" w:type="auto"/>
            <w:vAlign w:val="bottom"/>
            <w:hideMark/>
          </w:tcPr>
          <w:p w14:paraId="670FDA6C" w14:textId="77777777" w:rsidR="00000000" w:rsidRDefault="007F5353">
            <w:pPr>
              <w:rPr>
                <w:rFonts w:eastAsia="Times New Roman"/>
                <w:sz w:val="20"/>
                <w:szCs w:val="20"/>
              </w:rPr>
            </w:pPr>
            <w:r>
              <w:rPr>
                <w:rFonts w:eastAsia="Times New Roman"/>
                <w:sz w:val="20"/>
                <w:szCs w:val="20"/>
              </w:rPr>
              <w:t> </w:t>
            </w:r>
          </w:p>
        </w:tc>
        <w:tc>
          <w:tcPr>
            <w:tcW w:w="0" w:type="auto"/>
            <w:vAlign w:val="bottom"/>
            <w:hideMark/>
          </w:tcPr>
          <w:p w14:paraId="663B4E67" w14:textId="77777777" w:rsidR="00000000" w:rsidRDefault="007F535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C3BB836" w14:textId="77777777" w:rsidR="00000000" w:rsidRDefault="007F5353">
            <w:pPr>
              <w:jc w:val="center"/>
              <w:rPr>
                <w:rFonts w:eastAsia="Times New Roman"/>
                <w:sz w:val="20"/>
                <w:szCs w:val="20"/>
              </w:rPr>
            </w:pPr>
            <w:r>
              <w:rPr>
                <w:rFonts w:eastAsia="Times New Roman"/>
                <w:sz w:val="20"/>
                <w:szCs w:val="20"/>
              </w:rPr>
              <w:t>June 30, 2021</w:t>
            </w:r>
          </w:p>
        </w:tc>
        <w:tc>
          <w:tcPr>
            <w:tcW w:w="0" w:type="auto"/>
            <w:vAlign w:val="bottom"/>
            <w:hideMark/>
          </w:tcPr>
          <w:p w14:paraId="6A16AD95" w14:textId="77777777" w:rsidR="00000000" w:rsidRDefault="007F5353">
            <w:pPr>
              <w:rPr>
                <w:rFonts w:eastAsia="Times New Roman"/>
                <w:sz w:val="20"/>
                <w:szCs w:val="20"/>
              </w:rPr>
            </w:pPr>
            <w:r>
              <w:rPr>
                <w:rFonts w:eastAsia="Times New Roman"/>
                <w:sz w:val="20"/>
                <w:szCs w:val="20"/>
              </w:rPr>
              <w:t> </w:t>
            </w:r>
          </w:p>
        </w:tc>
      </w:tr>
      <w:tr w:rsidR="00000000" w14:paraId="527B05F0" w14:textId="77777777">
        <w:tc>
          <w:tcPr>
            <w:tcW w:w="0" w:type="auto"/>
            <w:shd w:val="clear" w:color="auto" w:fill="CCEEFF"/>
            <w:vAlign w:val="bottom"/>
            <w:hideMark/>
          </w:tcPr>
          <w:p w14:paraId="4D6D3B69" w14:textId="77777777" w:rsidR="00000000" w:rsidRDefault="007F5353">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14:paraId="728D077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3FBF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C5A192"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D4476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389A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8428E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1F4F8"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BF99C5" w14:textId="77777777" w:rsidR="00000000" w:rsidRDefault="007F5353">
            <w:pPr>
              <w:rPr>
                <w:rFonts w:eastAsia="Times New Roman"/>
                <w:sz w:val="20"/>
                <w:szCs w:val="20"/>
              </w:rPr>
            </w:pPr>
            <w:r>
              <w:rPr>
                <w:rFonts w:eastAsia="Times New Roman"/>
                <w:sz w:val="20"/>
                <w:szCs w:val="20"/>
              </w:rPr>
              <w:t> </w:t>
            </w:r>
          </w:p>
        </w:tc>
      </w:tr>
      <w:tr w:rsidR="00000000" w14:paraId="4A1FAEA8" w14:textId="77777777">
        <w:tc>
          <w:tcPr>
            <w:tcW w:w="3000" w:type="pct"/>
            <w:shd w:val="clear" w:color="auto" w:fill="FFFFFF"/>
            <w:vAlign w:val="bottom"/>
            <w:hideMark/>
          </w:tcPr>
          <w:p w14:paraId="549FAD44" w14:textId="77777777" w:rsidR="00000000" w:rsidRDefault="007F5353">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0CC6E4D2" w14:textId="77777777" w:rsidR="00000000" w:rsidRDefault="007F535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44FAF8" w14:textId="77777777" w:rsidR="00000000" w:rsidRDefault="007F5353">
            <w:pPr>
              <w:rPr>
                <w:rFonts w:eastAsia="Times New Roman"/>
                <w:sz w:val="20"/>
                <w:szCs w:val="20"/>
              </w:rPr>
            </w:pPr>
            <w:r>
              <w:rPr>
                <w:rFonts w:eastAsia="Times New Roman"/>
                <w:sz w:val="20"/>
                <w:szCs w:val="20"/>
              </w:rPr>
              <w:t>$</w:t>
            </w:r>
          </w:p>
        </w:tc>
        <w:tc>
          <w:tcPr>
            <w:tcW w:w="800" w:type="pct"/>
            <w:shd w:val="clear" w:color="auto" w:fill="FFFFFF"/>
            <w:vAlign w:val="bottom"/>
            <w:hideMark/>
          </w:tcPr>
          <w:p w14:paraId="025CDC28" w14:textId="77777777" w:rsidR="00000000" w:rsidRDefault="007F5353">
            <w:pPr>
              <w:jc w:val="right"/>
              <w:rPr>
                <w:rFonts w:eastAsia="Times New Roman"/>
                <w:sz w:val="20"/>
                <w:szCs w:val="20"/>
              </w:rPr>
            </w:pPr>
            <w:r>
              <w:rPr>
                <w:rFonts w:eastAsia="Times New Roman"/>
                <w:sz w:val="20"/>
                <w:szCs w:val="20"/>
              </w:rPr>
              <w:t>(428,315</w:t>
            </w:r>
          </w:p>
        </w:tc>
        <w:tc>
          <w:tcPr>
            <w:tcW w:w="50" w:type="pct"/>
            <w:shd w:val="clear" w:color="auto" w:fill="FFFFFF"/>
            <w:vAlign w:val="bottom"/>
            <w:hideMark/>
          </w:tcPr>
          <w:p w14:paraId="3F7698C3" w14:textId="77777777" w:rsidR="00000000" w:rsidRDefault="007F5353">
            <w:pPr>
              <w:rPr>
                <w:rFonts w:eastAsia="Times New Roman"/>
                <w:sz w:val="20"/>
                <w:szCs w:val="20"/>
              </w:rPr>
            </w:pPr>
            <w:r>
              <w:rPr>
                <w:rFonts w:eastAsia="Times New Roman"/>
                <w:sz w:val="20"/>
                <w:szCs w:val="20"/>
              </w:rPr>
              <w:t>)</w:t>
            </w:r>
          </w:p>
        </w:tc>
        <w:tc>
          <w:tcPr>
            <w:tcW w:w="100" w:type="pct"/>
            <w:shd w:val="clear" w:color="auto" w:fill="FFFFFF"/>
            <w:vAlign w:val="bottom"/>
            <w:hideMark/>
          </w:tcPr>
          <w:p w14:paraId="43CF4D74" w14:textId="77777777" w:rsidR="00000000" w:rsidRDefault="007F535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DB391B" w14:textId="77777777" w:rsidR="00000000" w:rsidRDefault="007F5353">
            <w:pPr>
              <w:rPr>
                <w:rFonts w:eastAsia="Times New Roman"/>
                <w:sz w:val="20"/>
                <w:szCs w:val="20"/>
              </w:rPr>
            </w:pPr>
            <w:r>
              <w:rPr>
                <w:rFonts w:eastAsia="Times New Roman"/>
                <w:sz w:val="20"/>
                <w:szCs w:val="20"/>
              </w:rPr>
              <w:t>$</w:t>
            </w:r>
          </w:p>
        </w:tc>
        <w:tc>
          <w:tcPr>
            <w:tcW w:w="800" w:type="pct"/>
            <w:shd w:val="clear" w:color="auto" w:fill="FFFFFF"/>
            <w:vAlign w:val="bottom"/>
            <w:hideMark/>
          </w:tcPr>
          <w:p w14:paraId="2F2A6BBE" w14:textId="77777777" w:rsidR="00000000" w:rsidRDefault="007F535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97434F1" w14:textId="77777777" w:rsidR="00000000" w:rsidRDefault="007F5353">
            <w:pPr>
              <w:rPr>
                <w:rFonts w:eastAsia="Times New Roman"/>
                <w:sz w:val="20"/>
                <w:szCs w:val="20"/>
              </w:rPr>
            </w:pPr>
            <w:r>
              <w:rPr>
                <w:rFonts w:eastAsia="Times New Roman"/>
                <w:sz w:val="20"/>
                <w:szCs w:val="20"/>
              </w:rPr>
              <w:t> </w:t>
            </w:r>
          </w:p>
        </w:tc>
      </w:tr>
      <w:tr w:rsidR="00000000" w14:paraId="498FD34C" w14:textId="77777777">
        <w:tc>
          <w:tcPr>
            <w:tcW w:w="0" w:type="auto"/>
            <w:shd w:val="clear" w:color="auto" w:fill="CCEEFF"/>
            <w:vAlign w:val="bottom"/>
            <w:hideMark/>
          </w:tcPr>
          <w:p w14:paraId="3C7C4A35" w14:textId="77777777" w:rsidR="00000000" w:rsidRDefault="007F5353">
            <w:pPr>
              <w:rPr>
                <w:rFonts w:eastAsia="Times New Roman"/>
                <w:b/>
                <w:bCs/>
                <w:sz w:val="20"/>
                <w:szCs w:val="20"/>
              </w:rPr>
            </w:pPr>
            <w:r>
              <w:rPr>
                <w:rFonts w:eastAsia="Times New Roman"/>
                <w:b/>
                <w:bCs/>
                <w:sz w:val="20"/>
                <w:szCs w:val="20"/>
              </w:rPr>
              <w:t>Adjustments to reconcile net loss to net cash used in operating activities:</w:t>
            </w:r>
          </w:p>
        </w:tc>
        <w:tc>
          <w:tcPr>
            <w:tcW w:w="0" w:type="auto"/>
            <w:shd w:val="clear" w:color="auto" w:fill="CCEEFF"/>
            <w:vAlign w:val="bottom"/>
            <w:hideMark/>
          </w:tcPr>
          <w:p w14:paraId="0737B1A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79B8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05680B"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75799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C6589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42792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2F4374"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73BBB5D" w14:textId="77777777" w:rsidR="00000000" w:rsidRDefault="007F5353">
            <w:pPr>
              <w:rPr>
                <w:rFonts w:eastAsia="Times New Roman"/>
                <w:sz w:val="20"/>
                <w:szCs w:val="20"/>
              </w:rPr>
            </w:pPr>
            <w:r>
              <w:rPr>
                <w:rFonts w:eastAsia="Times New Roman"/>
                <w:sz w:val="20"/>
                <w:szCs w:val="20"/>
              </w:rPr>
              <w:t> </w:t>
            </w:r>
          </w:p>
        </w:tc>
      </w:tr>
      <w:tr w:rsidR="00000000" w14:paraId="72BB0B0E" w14:textId="77777777">
        <w:tc>
          <w:tcPr>
            <w:tcW w:w="0" w:type="auto"/>
            <w:shd w:val="clear" w:color="auto" w:fill="FFFFFF"/>
            <w:vAlign w:val="bottom"/>
            <w:hideMark/>
          </w:tcPr>
          <w:p w14:paraId="2DA9F5D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48C37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7EC8C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A38F7"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98231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85F3A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E13B8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B4F585"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3BBC7E" w14:textId="77777777" w:rsidR="00000000" w:rsidRDefault="007F5353">
            <w:pPr>
              <w:rPr>
                <w:rFonts w:eastAsia="Times New Roman"/>
                <w:sz w:val="20"/>
                <w:szCs w:val="20"/>
              </w:rPr>
            </w:pPr>
            <w:r>
              <w:rPr>
                <w:rFonts w:eastAsia="Times New Roman"/>
                <w:sz w:val="20"/>
                <w:szCs w:val="20"/>
              </w:rPr>
              <w:t> </w:t>
            </w:r>
          </w:p>
        </w:tc>
      </w:tr>
      <w:tr w:rsidR="00000000" w14:paraId="076BB280" w14:textId="77777777">
        <w:tc>
          <w:tcPr>
            <w:tcW w:w="0" w:type="auto"/>
            <w:shd w:val="clear" w:color="auto" w:fill="CCEEFF"/>
            <w:vAlign w:val="bottom"/>
            <w:hideMark/>
          </w:tcPr>
          <w:p w14:paraId="0CA41DC3" w14:textId="77777777" w:rsidR="00000000" w:rsidRDefault="007F5353">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14:paraId="0F16771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E472F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1C63D9" w14:textId="77777777" w:rsidR="00000000" w:rsidRDefault="007F5353">
            <w:pPr>
              <w:jc w:val="right"/>
              <w:rPr>
                <w:rFonts w:eastAsia="Times New Roman"/>
                <w:sz w:val="20"/>
                <w:szCs w:val="20"/>
              </w:rPr>
            </w:pPr>
            <w:r>
              <w:rPr>
                <w:rFonts w:eastAsia="Times New Roman"/>
                <w:sz w:val="20"/>
                <w:szCs w:val="20"/>
              </w:rPr>
              <w:t>(148,407</w:t>
            </w:r>
          </w:p>
        </w:tc>
        <w:tc>
          <w:tcPr>
            <w:tcW w:w="0" w:type="auto"/>
            <w:shd w:val="clear" w:color="auto" w:fill="CCEEFF"/>
            <w:vAlign w:val="bottom"/>
            <w:hideMark/>
          </w:tcPr>
          <w:p w14:paraId="7A2F531F" w14:textId="77777777" w:rsidR="00000000" w:rsidRDefault="007F5353">
            <w:pPr>
              <w:rPr>
                <w:rFonts w:eastAsia="Times New Roman"/>
                <w:sz w:val="20"/>
                <w:szCs w:val="20"/>
              </w:rPr>
            </w:pPr>
            <w:r>
              <w:rPr>
                <w:rFonts w:eastAsia="Times New Roman"/>
                <w:sz w:val="20"/>
                <w:szCs w:val="20"/>
              </w:rPr>
              <w:t>)</w:t>
            </w:r>
          </w:p>
        </w:tc>
        <w:tc>
          <w:tcPr>
            <w:tcW w:w="0" w:type="auto"/>
            <w:shd w:val="clear" w:color="auto" w:fill="CCEEFF"/>
            <w:vAlign w:val="bottom"/>
            <w:hideMark/>
          </w:tcPr>
          <w:p w14:paraId="0494BD8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8BCA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9A11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94D993" w14:textId="77777777" w:rsidR="00000000" w:rsidRDefault="007F5353">
            <w:pPr>
              <w:rPr>
                <w:rFonts w:eastAsia="Times New Roman"/>
                <w:sz w:val="20"/>
                <w:szCs w:val="20"/>
              </w:rPr>
            </w:pPr>
            <w:r>
              <w:rPr>
                <w:rFonts w:eastAsia="Times New Roman"/>
                <w:sz w:val="20"/>
                <w:szCs w:val="20"/>
              </w:rPr>
              <w:t> </w:t>
            </w:r>
          </w:p>
        </w:tc>
      </w:tr>
      <w:tr w:rsidR="00000000" w14:paraId="612355BD" w14:textId="77777777">
        <w:tc>
          <w:tcPr>
            <w:tcW w:w="0" w:type="auto"/>
            <w:shd w:val="clear" w:color="auto" w:fill="FFFFFF"/>
            <w:vAlign w:val="bottom"/>
            <w:hideMark/>
          </w:tcPr>
          <w:p w14:paraId="49AB80A9" w14:textId="77777777" w:rsidR="00000000" w:rsidRDefault="007F5353">
            <w:pPr>
              <w:rPr>
                <w:rFonts w:eastAsia="Times New Roman"/>
                <w:b/>
                <w:bCs/>
                <w:sz w:val="20"/>
                <w:szCs w:val="20"/>
              </w:rPr>
            </w:pPr>
            <w:r>
              <w:rPr>
                <w:rFonts w:eastAsia="Times New Roman"/>
                <w:b/>
                <w:bCs/>
                <w:sz w:val="20"/>
                <w:szCs w:val="20"/>
              </w:rPr>
              <w:t>Changes in operating assets and liabilities:</w:t>
            </w:r>
          </w:p>
        </w:tc>
        <w:tc>
          <w:tcPr>
            <w:tcW w:w="0" w:type="auto"/>
            <w:shd w:val="clear" w:color="auto" w:fill="FFFFFF"/>
            <w:vAlign w:val="bottom"/>
            <w:hideMark/>
          </w:tcPr>
          <w:p w14:paraId="5373BB0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DA90A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CF8D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14231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92AC9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F37C5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F5CFAE"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2CF0EC" w14:textId="77777777" w:rsidR="00000000" w:rsidRDefault="007F5353">
            <w:pPr>
              <w:rPr>
                <w:rFonts w:eastAsia="Times New Roman"/>
                <w:sz w:val="20"/>
                <w:szCs w:val="20"/>
              </w:rPr>
            </w:pPr>
            <w:r>
              <w:rPr>
                <w:rFonts w:eastAsia="Times New Roman"/>
                <w:sz w:val="20"/>
                <w:szCs w:val="20"/>
              </w:rPr>
              <w:t> </w:t>
            </w:r>
          </w:p>
        </w:tc>
      </w:tr>
      <w:tr w:rsidR="00000000" w14:paraId="4E916373" w14:textId="77777777">
        <w:tc>
          <w:tcPr>
            <w:tcW w:w="0" w:type="auto"/>
            <w:shd w:val="clear" w:color="auto" w:fill="CCEEFF"/>
            <w:vAlign w:val="bottom"/>
            <w:hideMark/>
          </w:tcPr>
          <w:p w14:paraId="239D22DB" w14:textId="77777777" w:rsidR="00000000" w:rsidRDefault="007F5353">
            <w:pPr>
              <w:rPr>
                <w:rFonts w:eastAsia="Times New Roman"/>
                <w:sz w:val="20"/>
                <w:szCs w:val="20"/>
              </w:rPr>
            </w:pPr>
            <w:r>
              <w:rPr>
                <w:rFonts w:eastAsia="Times New Roman"/>
                <w:sz w:val="20"/>
                <w:szCs w:val="20"/>
              </w:rPr>
              <w:t>Account payables</w:t>
            </w:r>
          </w:p>
        </w:tc>
        <w:tc>
          <w:tcPr>
            <w:tcW w:w="0" w:type="auto"/>
            <w:shd w:val="clear" w:color="auto" w:fill="CCEEFF"/>
            <w:vAlign w:val="bottom"/>
            <w:hideMark/>
          </w:tcPr>
          <w:p w14:paraId="5E4EF45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F893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3FC8E4" w14:textId="77777777" w:rsidR="00000000" w:rsidRDefault="007F5353">
            <w:pPr>
              <w:jc w:val="right"/>
              <w:rPr>
                <w:rFonts w:eastAsia="Times New Roman"/>
                <w:sz w:val="20"/>
                <w:szCs w:val="20"/>
              </w:rPr>
            </w:pPr>
            <w:r>
              <w:rPr>
                <w:rFonts w:eastAsia="Times New Roman"/>
                <w:sz w:val="20"/>
                <w:szCs w:val="20"/>
              </w:rPr>
              <w:t>7,500</w:t>
            </w:r>
          </w:p>
        </w:tc>
        <w:tc>
          <w:tcPr>
            <w:tcW w:w="0" w:type="auto"/>
            <w:shd w:val="clear" w:color="auto" w:fill="CCEEFF"/>
            <w:vAlign w:val="bottom"/>
            <w:hideMark/>
          </w:tcPr>
          <w:p w14:paraId="350A985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3F0D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BB45C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704C25"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825D60C" w14:textId="77777777" w:rsidR="00000000" w:rsidRDefault="007F5353">
            <w:pPr>
              <w:rPr>
                <w:rFonts w:eastAsia="Times New Roman"/>
                <w:sz w:val="20"/>
                <w:szCs w:val="20"/>
              </w:rPr>
            </w:pPr>
            <w:r>
              <w:rPr>
                <w:rFonts w:eastAsia="Times New Roman"/>
                <w:sz w:val="20"/>
                <w:szCs w:val="20"/>
              </w:rPr>
              <w:t> </w:t>
            </w:r>
          </w:p>
        </w:tc>
      </w:tr>
      <w:tr w:rsidR="00000000" w14:paraId="03AB3291" w14:textId="77777777">
        <w:tc>
          <w:tcPr>
            <w:tcW w:w="0" w:type="auto"/>
            <w:shd w:val="clear" w:color="auto" w:fill="FFFFFF"/>
            <w:vAlign w:val="bottom"/>
            <w:hideMark/>
          </w:tcPr>
          <w:p w14:paraId="3AA10B7E" w14:textId="77777777" w:rsidR="00000000" w:rsidRDefault="007F5353">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4F42BD02"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59E691"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EF37A4" w14:textId="77777777" w:rsidR="00000000" w:rsidRDefault="007F5353">
            <w:pPr>
              <w:jc w:val="right"/>
              <w:rPr>
                <w:rFonts w:eastAsia="Times New Roman"/>
                <w:sz w:val="20"/>
                <w:szCs w:val="20"/>
              </w:rPr>
            </w:pPr>
            <w:r>
              <w:rPr>
                <w:rFonts w:eastAsia="Times New Roman"/>
                <w:sz w:val="20"/>
                <w:szCs w:val="20"/>
              </w:rPr>
              <w:t>(11,012</w:t>
            </w:r>
          </w:p>
        </w:tc>
        <w:tc>
          <w:tcPr>
            <w:tcW w:w="0" w:type="auto"/>
            <w:shd w:val="clear" w:color="auto" w:fill="FFFFFF"/>
            <w:vAlign w:val="bottom"/>
            <w:hideMark/>
          </w:tcPr>
          <w:p w14:paraId="19368F28"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5D1EBFAE"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AC615B"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1FD686" w14:textId="77777777" w:rsidR="00000000" w:rsidRDefault="007F5353">
            <w:pPr>
              <w:jc w:val="right"/>
              <w:rPr>
                <w:rFonts w:eastAsia="Times New Roman"/>
                <w:sz w:val="20"/>
                <w:szCs w:val="20"/>
              </w:rPr>
            </w:pPr>
            <w:r>
              <w:rPr>
                <w:rFonts w:eastAsia="Times New Roman"/>
                <w:sz w:val="20"/>
                <w:szCs w:val="20"/>
              </w:rPr>
              <w:t>36,283</w:t>
            </w:r>
          </w:p>
        </w:tc>
        <w:tc>
          <w:tcPr>
            <w:tcW w:w="0" w:type="auto"/>
            <w:shd w:val="clear" w:color="auto" w:fill="FFFFFF"/>
            <w:vAlign w:val="bottom"/>
            <w:hideMark/>
          </w:tcPr>
          <w:p w14:paraId="47758CE6" w14:textId="77777777" w:rsidR="00000000" w:rsidRDefault="007F5353">
            <w:pPr>
              <w:rPr>
                <w:rFonts w:eastAsia="Times New Roman"/>
                <w:sz w:val="20"/>
                <w:szCs w:val="20"/>
              </w:rPr>
            </w:pPr>
            <w:r>
              <w:rPr>
                <w:rFonts w:eastAsia="Times New Roman"/>
                <w:sz w:val="20"/>
                <w:szCs w:val="20"/>
              </w:rPr>
              <w:t> </w:t>
            </w:r>
          </w:p>
        </w:tc>
      </w:tr>
      <w:tr w:rsidR="00000000" w14:paraId="18576618" w14:textId="77777777">
        <w:tc>
          <w:tcPr>
            <w:tcW w:w="0" w:type="auto"/>
            <w:shd w:val="clear" w:color="auto" w:fill="CCEEFF"/>
            <w:vAlign w:val="bottom"/>
            <w:hideMark/>
          </w:tcPr>
          <w:p w14:paraId="59BFA470" w14:textId="77777777" w:rsidR="00000000" w:rsidRDefault="007F5353">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vAlign w:val="bottom"/>
            <w:hideMark/>
          </w:tcPr>
          <w:p w14:paraId="28144CA2"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DCCA491"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ED20D9E" w14:textId="77777777" w:rsidR="00000000" w:rsidRDefault="007F5353">
            <w:pPr>
              <w:jc w:val="right"/>
              <w:rPr>
                <w:rFonts w:eastAsia="Times New Roman"/>
                <w:b/>
                <w:bCs/>
                <w:sz w:val="20"/>
                <w:szCs w:val="20"/>
              </w:rPr>
            </w:pPr>
            <w:r>
              <w:rPr>
                <w:rFonts w:eastAsia="Times New Roman"/>
                <w:b/>
                <w:bCs/>
                <w:sz w:val="20"/>
                <w:szCs w:val="20"/>
              </w:rPr>
              <w:t>(580,234</w:t>
            </w:r>
          </w:p>
        </w:tc>
        <w:tc>
          <w:tcPr>
            <w:tcW w:w="0" w:type="auto"/>
            <w:shd w:val="clear" w:color="auto" w:fill="CCEEFF"/>
            <w:vAlign w:val="bottom"/>
            <w:hideMark/>
          </w:tcPr>
          <w:p w14:paraId="7B61300D"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A7D51C4"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4B6AD8A"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3F2C38BC" w14:textId="77777777" w:rsidR="00000000" w:rsidRDefault="007F5353">
            <w:pPr>
              <w:jc w:val="right"/>
              <w:rPr>
                <w:rFonts w:eastAsia="Times New Roman"/>
                <w:b/>
                <w:bCs/>
                <w:sz w:val="20"/>
                <w:szCs w:val="20"/>
              </w:rPr>
            </w:pPr>
            <w:r>
              <w:rPr>
                <w:rFonts w:eastAsia="Times New Roman"/>
                <w:b/>
                <w:bCs/>
                <w:sz w:val="20"/>
                <w:szCs w:val="20"/>
              </w:rPr>
              <w:t>(36,283</w:t>
            </w:r>
          </w:p>
        </w:tc>
        <w:tc>
          <w:tcPr>
            <w:tcW w:w="0" w:type="auto"/>
            <w:shd w:val="clear" w:color="auto" w:fill="CCEEFF"/>
            <w:vAlign w:val="bottom"/>
            <w:hideMark/>
          </w:tcPr>
          <w:p w14:paraId="1E896794" w14:textId="77777777" w:rsidR="00000000" w:rsidRDefault="007F5353">
            <w:pPr>
              <w:rPr>
                <w:rFonts w:eastAsia="Times New Roman"/>
                <w:b/>
                <w:bCs/>
                <w:sz w:val="20"/>
                <w:szCs w:val="20"/>
              </w:rPr>
            </w:pPr>
            <w:r>
              <w:rPr>
                <w:rFonts w:eastAsia="Times New Roman"/>
                <w:b/>
                <w:bCs/>
                <w:sz w:val="20"/>
                <w:szCs w:val="20"/>
              </w:rPr>
              <w:t>)</w:t>
            </w:r>
          </w:p>
        </w:tc>
      </w:tr>
      <w:tr w:rsidR="00000000" w14:paraId="1F080081" w14:textId="77777777">
        <w:tc>
          <w:tcPr>
            <w:tcW w:w="0" w:type="auto"/>
            <w:shd w:val="clear" w:color="auto" w:fill="FFFFFF"/>
            <w:vAlign w:val="bottom"/>
            <w:hideMark/>
          </w:tcPr>
          <w:p w14:paraId="6BF46B9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FE3D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43EE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CE7D5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AC10E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16FF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249B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D248F2"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453B7C" w14:textId="77777777" w:rsidR="00000000" w:rsidRDefault="007F5353">
            <w:pPr>
              <w:rPr>
                <w:rFonts w:eastAsia="Times New Roman"/>
                <w:sz w:val="20"/>
                <w:szCs w:val="20"/>
              </w:rPr>
            </w:pPr>
            <w:r>
              <w:rPr>
                <w:rFonts w:eastAsia="Times New Roman"/>
                <w:sz w:val="20"/>
                <w:szCs w:val="20"/>
              </w:rPr>
              <w:t> </w:t>
            </w:r>
          </w:p>
        </w:tc>
      </w:tr>
      <w:tr w:rsidR="00000000" w14:paraId="60B36F92" w14:textId="77777777">
        <w:tc>
          <w:tcPr>
            <w:tcW w:w="0" w:type="auto"/>
            <w:shd w:val="clear" w:color="auto" w:fill="CCEEFF"/>
            <w:vAlign w:val="bottom"/>
            <w:hideMark/>
          </w:tcPr>
          <w:p w14:paraId="11082377" w14:textId="77777777" w:rsidR="00000000" w:rsidRDefault="007F5353">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14:paraId="0045547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6109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77C6B5"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0EB8B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014D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BCABA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126E23"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81820E9" w14:textId="77777777" w:rsidR="00000000" w:rsidRDefault="007F5353">
            <w:pPr>
              <w:rPr>
                <w:rFonts w:eastAsia="Times New Roman"/>
                <w:sz w:val="20"/>
                <w:szCs w:val="20"/>
              </w:rPr>
            </w:pPr>
            <w:r>
              <w:rPr>
                <w:rFonts w:eastAsia="Times New Roman"/>
                <w:sz w:val="20"/>
                <w:szCs w:val="20"/>
              </w:rPr>
              <w:t> </w:t>
            </w:r>
          </w:p>
        </w:tc>
      </w:tr>
      <w:tr w:rsidR="00000000" w14:paraId="3A6CD8DB" w14:textId="77777777">
        <w:tc>
          <w:tcPr>
            <w:tcW w:w="0" w:type="auto"/>
            <w:shd w:val="clear" w:color="auto" w:fill="FFFFFF"/>
            <w:vAlign w:val="bottom"/>
            <w:hideMark/>
          </w:tcPr>
          <w:p w14:paraId="5ECC2794" w14:textId="77777777" w:rsidR="00000000" w:rsidRDefault="007F5353">
            <w:pPr>
              <w:rPr>
                <w:rFonts w:eastAsia="Times New Roman"/>
                <w:sz w:val="20"/>
                <w:szCs w:val="20"/>
              </w:rPr>
            </w:pPr>
            <w:r>
              <w:rPr>
                <w:rFonts w:eastAsia="Times New Roman"/>
                <w:sz w:val="20"/>
                <w:szCs w:val="20"/>
              </w:rPr>
              <w:t>Investment of cash in Trust Account</w:t>
            </w:r>
          </w:p>
        </w:tc>
        <w:tc>
          <w:tcPr>
            <w:tcW w:w="0" w:type="auto"/>
            <w:shd w:val="clear" w:color="auto" w:fill="FFFFFF"/>
            <w:vAlign w:val="bottom"/>
            <w:hideMark/>
          </w:tcPr>
          <w:p w14:paraId="5917360D"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817007"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B3BE8C" w14:textId="77777777" w:rsidR="00000000" w:rsidRDefault="007F5353">
            <w:pPr>
              <w:jc w:val="right"/>
              <w:rPr>
                <w:rFonts w:eastAsia="Times New Roman"/>
                <w:sz w:val="20"/>
                <w:szCs w:val="20"/>
              </w:rPr>
            </w:pPr>
            <w:r>
              <w:rPr>
                <w:rFonts w:eastAsia="Times New Roman"/>
                <w:sz w:val="20"/>
                <w:szCs w:val="20"/>
              </w:rPr>
              <w:t>(102,606,597</w:t>
            </w:r>
          </w:p>
        </w:tc>
        <w:tc>
          <w:tcPr>
            <w:tcW w:w="0" w:type="auto"/>
            <w:shd w:val="clear" w:color="auto" w:fill="FFFFFF"/>
            <w:vAlign w:val="bottom"/>
            <w:hideMark/>
          </w:tcPr>
          <w:p w14:paraId="44A1B9F4" w14:textId="77777777" w:rsidR="00000000" w:rsidRDefault="007F5353">
            <w:pPr>
              <w:rPr>
                <w:rFonts w:eastAsia="Times New Roman"/>
                <w:sz w:val="20"/>
                <w:szCs w:val="20"/>
              </w:rPr>
            </w:pPr>
            <w:r>
              <w:rPr>
                <w:rFonts w:eastAsia="Times New Roman"/>
                <w:sz w:val="20"/>
                <w:szCs w:val="20"/>
              </w:rPr>
              <w:t>)</w:t>
            </w:r>
          </w:p>
        </w:tc>
        <w:tc>
          <w:tcPr>
            <w:tcW w:w="0" w:type="auto"/>
            <w:shd w:val="clear" w:color="auto" w:fill="FFFFFF"/>
            <w:vAlign w:val="bottom"/>
            <w:hideMark/>
          </w:tcPr>
          <w:p w14:paraId="0B67AF38"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B9BF34"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E8E8C9"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D373805" w14:textId="77777777" w:rsidR="00000000" w:rsidRDefault="007F5353">
            <w:pPr>
              <w:rPr>
                <w:rFonts w:eastAsia="Times New Roman"/>
                <w:sz w:val="20"/>
                <w:szCs w:val="20"/>
              </w:rPr>
            </w:pPr>
            <w:r>
              <w:rPr>
                <w:rFonts w:eastAsia="Times New Roman"/>
                <w:sz w:val="20"/>
                <w:szCs w:val="20"/>
              </w:rPr>
              <w:t> </w:t>
            </w:r>
          </w:p>
        </w:tc>
      </w:tr>
      <w:tr w:rsidR="00000000" w14:paraId="3735E54C" w14:textId="77777777">
        <w:tc>
          <w:tcPr>
            <w:tcW w:w="0" w:type="auto"/>
            <w:shd w:val="clear" w:color="auto" w:fill="CCEEFF"/>
            <w:vAlign w:val="bottom"/>
            <w:hideMark/>
          </w:tcPr>
          <w:p w14:paraId="7CC81682" w14:textId="77777777" w:rsidR="00000000" w:rsidRDefault="007F5353">
            <w:pPr>
              <w:rPr>
                <w:rFonts w:eastAsia="Times New Roman"/>
                <w:b/>
                <w:bCs/>
                <w:sz w:val="20"/>
                <w:szCs w:val="20"/>
              </w:rPr>
            </w:pPr>
            <w:r>
              <w:rPr>
                <w:rFonts w:eastAsia="Times New Roman"/>
                <w:b/>
                <w:bCs/>
                <w:sz w:val="20"/>
                <w:szCs w:val="20"/>
              </w:rPr>
              <w:t>Net cash used in investing activities</w:t>
            </w:r>
          </w:p>
        </w:tc>
        <w:tc>
          <w:tcPr>
            <w:tcW w:w="0" w:type="auto"/>
            <w:shd w:val="clear" w:color="auto" w:fill="CCEEFF"/>
            <w:vAlign w:val="bottom"/>
            <w:hideMark/>
          </w:tcPr>
          <w:p w14:paraId="231467F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0E580EA"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F8F7975" w14:textId="77777777" w:rsidR="00000000" w:rsidRDefault="007F5353">
            <w:pPr>
              <w:jc w:val="right"/>
              <w:rPr>
                <w:rFonts w:eastAsia="Times New Roman"/>
                <w:b/>
                <w:bCs/>
                <w:sz w:val="20"/>
                <w:szCs w:val="20"/>
              </w:rPr>
            </w:pPr>
            <w:r>
              <w:rPr>
                <w:rFonts w:eastAsia="Times New Roman"/>
                <w:b/>
                <w:bCs/>
                <w:sz w:val="20"/>
                <w:szCs w:val="20"/>
              </w:rPr>
              <w:t>(102,606,597</w:t>
            </w:r>
          </w:p>
        </w:tc>
        <w:tc>
          <w:tcPr>
            <w:tcW w:w="0" w:type="auto"/>
            <w:shd w:val="clear" w:color="auto" w:fill="CCEEFF"/>
            <w:vAlign w:val="bottom"/>
            <w:hideMark/>
          </w:tcPr>
          <w:p w14:paraId="1E335F4A" w14:textId="77777777" w:rsidR="00000000" w:rsidRDefault="007F535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3DB4EEF"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7F6FF160"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48BE5D1" w14:textId="77777777" w:rsidR="00000000" w:rsidRDefault="007F535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5FC32CF" w14:textId="77777777" w:rsidR="00000000" w:rsidRDefault="007F5353">
            <w:pPr>
              <w:rPr>
                <w:rFonts w:eastAsia="Times New Roman"/>
                <w:b/>
                <w:bCs/>
                <w:sz w:val="20"/>
                <w:szCs w:val="20"/>
              </w:rPr>
            </w:pPr>
            <w:r>
              <w:rPr>
                <w:rFonts w:eastAsia="Times New Roman"/>
                <w:b/>
                <w:bCs/>
                <w:sz w:val="20"/>
                <w:szCs w:val="20"/>
              </w:rPr>
              <w:t> </w:t>
            </w:r>
          </w:p>
        </w:tc>
      </w:tr>
      <w:tr w:rsidR="00000000" w14:paraId="45A4A602" w14:textId="77777777">
        <w:tc>
          <w:tcPr>
            <w:tcW w:w="0" w:type="auto"/>
            <w:shd w:val="clear" w:color="auto" w:fill="FFFFFF"/>
            <w:vAlign w:val="bottom"/>
            <w:hideMark/>
          </w:tcPr>
          <w:p w14:paraId="29AA73F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0B9E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57C81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36ADA"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4700E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FA008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F3CCE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08B626"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40AFCA" w14:textId="77777777" w:rsidR="00000000" w:rsidRDefault="007F5353">
            <w:pPr>
              <w:rPr>
                <w:rFonts w:eastAsia="Times New Roman"/>
                <w:sz w:val="20"/>
                <w:szCs w:val="20"/>
              </w:rPr>
            </w:pPr>
            <w:r>
              <w:rPr>
                <w:rFonts w:eastAsia="Times New Roman"/>
                <w:sz w:val="20"/>
                <w:szCs w:val="20"/>
              </w:rPr>
              <w:t> </w:t>
            </w:r>
          </w:p>
        </w:tc>
      </w:tr>
      <w:tr w:rsidR="00000000" w14:paraId="5897935E" w14:textId="77777777">
        <w:tc>
          <w:tcPr>
            <w:tcW w:w="0" w:type="auto"/>
            <w:shd w:val="clear" w:color="auto" w:fill="CCEEFF"/>
            <w:vAlign w:val="bottom"/>
            <w:hideMark/>
          </w:tcPr>
          <w:p w14:paraId="58817B75" w14:textId="77777777" w:rsidR="00000000" w:rsidRDefault="007F5353">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14:paraId="7A6A247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052DA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B59D2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C5B15E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63D08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4398D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4A789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10143EB" w14:textId="77777777" w:rsidR="00000000" w:rsidRDefault="007F5353">
            <w:pPr>
              <w:rPr>
                <w:rFonts w:eastAsia="Times New Roman"/>
                <w:sz w:val="20"/>
                <w:szCs w:val="20"/>
              </w:rPr>
            </w:pPr>
            <w:r>
              <w:rPr>
                <w:rFonts w:eastAsia="Times New Roman"/>
                <w:sz w:val="20"/>
                <w:szCs w:val="20"/>
              </w:rPr>
              <w:t> </w:t>
            </w:r>
          </w:p>
        </w:tc>
      </w:tr>
      <w:tr w:rsidR="00000000" w14:paraId="42C0123D" w14:textId="77777777">
        <w:tc>
          <w:tcPr>
            <w:tcW w:w="0" w:type="auto"/>
            <w:shd w:val="clear" w:color="auto" w:fill="FFFFFF"/>
            <w:vAlign w:val="bottom"/>
            <w:hideMark/>
          </w:tcPr>
          <w:p w14:paraId="49FD66DF" w14:textId="77777777" w:rsidR="00000000" w:rsidRDefault="007F5353">
            <w:pPr>
              <w:rPr>
                <w:rFonts w:eastAsia="Times New Roman"/>
                <w:sz w:val="20"/>
                <w:szCs w:val="20"/>
              </w:rPr>
            </w:pPr>
            <w:r>
              <w:rPr>
                <w:rFonts w:eastAsia="Times New Roman"/>
                <w:sz w:val="20"/>
                <w:szCs w:val="20"/>
              </w:rPr>
              <w:t>Proceeds from issuance of common stock to Sponsor</w:t>
            </w:r>
          </w:p>
        </w:tc>
        <w:tc>
          <w:tcPr>
            <w:tcW w:w="0" w:type="auto"/>
            <w:shd w:val="clear" w:color="auto" w:fill="FFFFFF"/>
            <w:vAlign w:val="bottom"/>
            <w:hideMark/>
          </w:tcPr>
          <w:p w14:paraId="19605E2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09535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CF0186"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97A787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6CB17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E11791"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200C0" w14:textId="77777777" w:rsidR="00000000" w:rsidRDefault="007F5353">
            <w:pPr>
              <w:jc w:val="right"/>
              <w:rPr>
                <w:rFonts w:eastAsia="Times New Roman"/>
                <w:sz w:val="20"/>
                <w:szCs w:val="20"/>
              </w:rPr>
            </w:pPr>
            <w:r>
              <w:rPr>
                <w:rFonts w:eastAsia="Times New Roman"/>
                <w:sz w:val="20"/>
                <w:szCs w:val="20"/>
              </w:rPr>
              <w:t>25,000</w:t>
            </w:r>
          </w:p>
        </w:tc>
        <w:tc>
          <w:tcPr>
            <w:tcW w:w="0" w:type="auto"/>
            <w:shd w:val="clear" w:color="auto" w:fill="FFFFFF"/>
            <w:vAlign w:val="bottom"/>
            <w:hideMark/>
          </w:tcPr>
          <w:p w14:paraId="48F38EF4" w14:textId="77777777" w:rsidR="00000000" w:rsidRDefault="007F5353">
            <w:pPr>
              <w:rPr>
                <w:rFonts w:eastAsia="Times New Roman"/>
                <w:sz w:val="20"/>
                <w:szCs w:val="20"/>
              </w:rPr>
            </w:pPr>
            <w:r>
              <w:rPr>
                <w:rFonts w:eastAsia="Times New Roman"/>
                <w:sz w:val="20"/>
                <w:szCs w:val="20"/>
              </w:rPr>
              <w:t> </w:t>
            </w:r>
          </w:p>
        </w:tc>
      </w:tr>
      <w:tr w:rsidR="00000000" w14:paraId="7E69BBBB" w14:textId="77777777">
        <w:tc>
          <w:tcPr>
            <w:tcW w:w="0" w:type="auto"/>
            <w:shd w:val="clear" w:color="auto" w:fill="CCEEFF"/>
            <w:vAlign w:val="bottom"/>
            <w:hideMark/>
          </w:tcPr>
          <w:p w14:paraId="5D8881B4" w14:textId="77777777" w:rsidR="00000000" w:rsidRDefault="007F5353">
            <w:pPr>
              <w:rPr>
                <w:rFonts w:eastAsia="Times New Roman"/>
                <w:sz w:val="20"/>
                <w:szCs w:val="20"/>
              </w:rPr>
            </w:pPr>
            <w:r>
              <w:rPr>
                <w:rFonts w:eastAsia="Times New Roman"/>
                <w:sz w:val="20"/>
                <w:szCs w:val="20"/>
              </w:rPr>
              <w:t>Proceeds from sale of Units, net of IPO costs</w:t>
            </w:r>
          </w:p>
        </w:tc>
        <w:tc>
          <w:tcPr>
            <w:tcW w:w="0" w:type="auto"/>
            <w:shd w:val="clear" w:color="auto" w:fill="CCEEFF"/>
            <w:vAlign w:val="bottom"/>
            <w:hideMark/>
          </w:tcPr>
          <w:p w14:paraId="58E4C48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54960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D9291" w14:textId="77777777" w:rsidR="00000000" w:rsidRDefault="007F5353">
            <w:pPr>
              <w:jc w:val="right"/>
              <w:rPr>
                <w:rFonts w:eastAsia="Times New Roman"/>
                <w:sz w:val="20"/>
                <w:szCs w:val="20"/>
              </w:rPr>
            </w:pPr>
            <w:r>
              <w:rPr>
                <w:rFonts w:eastAsia="Times New Roman"/>
                <w:sz w:val="20"/>
                <w:szCs w:val="20"/>
              </w:rPr>
              <w:t>99,429,074</w:t>
            </w:r>
          </w:p>
        </w:tc>
        <w:tc>
          <w:tcPr>
            <w:tcW w:w="0" w:type="auto"/>
            <w:shd w:val="clear" w:color="auto" w:fill="CCEEFF"/>
            <w:vAlign w:val="bottom"/>
            <w:hideMark/>
          </w:tcPr>
          <w:p w14:paraId="3EBCABB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13E8DD"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D9434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697DE"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D2CE569" w14:textId="77777777" w:rsidR="00000000" w:rsidRDefault="007F5353">
            <w:pPr>
              <w:rPr>
                <w:rFonts w:eastAsia="Times New Roman"/>
                <w:sz w:val="20"/>
                <w:szCs w:val="20"/>
              </w:rPr>
            </w:pPr>
            <w:r>
              <w:rPr>
                <w:rFonts w:eastAsia="Times New Roman"/>
                <w:sz w:val="20"/>
                <w:szCs w:val="20"/>
              </w:rPr>
              <w:t> </w:t>
            </w:r>
          </w:p>
        </w:tc>
      </w:tr>
      <w:tr w:rsidR="00000000" w14:paraId="6D181D78" w14:textId="77777777">
        <w:tc>
          <w:tcPr>
            <w:tcW w:w="0" w:type="auto"/>
            <w:shd w:val="clear" w:color="auto" w:fill="FFFFFF"/>
            <w:vAlign w:val="bottom"/>
            <w:hideMark/>
          </w:tcPr>
          <w:p w14:paraId="3953FA9B" w14:textId="77777777" w:rsidR="00000000" w:rsidRDefault="007F5353">
            <w:pPr>
              <w:rPr>
                <w:rFonts w:eastAsia="Times New Roman"/>
                <w:sz w:val="20"/>
                <w:szCs w:val="20"/>
              </w:rPr>
            </w:pPr>
            <w:r>
              <w:rPr>
                <w:rFonts w:eastAsia="Times New Roman"/>
                <w:sz w:val="20"/>
                <w:szCs w:val="20"/>
              </w:rPr>
              <w:t>Proceeds from sale of Placement Units</w:t>
            </w:r>
          </w:p>
        </w:tc>
        <w:tc>
          <w:tcPr>
            <w:tcW w:w="0" w:type="auto"/>
            <w:shd w:val="clear" w:color="auto" w:fill="FFFFFF"/>
            <w:vAlign w:val="bottom"/>
            <w:hideMark/>
          </w:tcPr>
          <w:p w14:paraId="65C1E7F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EC0E5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F03C16" w14:textId="77777777" w:rsidR="00000000" w:rsidRDefault="007F5353">
            <w:pPr>
              <w:jc w:val="right"/>
              <w:rPr>
                <w:rFonts w:eastAsia="Times New Roman"/>
                <w:sz w:val="20"/>
                <w:szCs w:val="20"/>
              </w:rPr>
            </w:pPr>
            <w:r>
              <w:rPr>
                <w:rFonts w:eastAsia="Times New Roman"/>
                <w:sz w:val="20"/>
                <w:szCs w:val="20"/>
              </w:rPr>
              <w:t>4,511,301</w:t>
            </w:r>
          </w:p>
        </w:tc>
        <w:tc>
          <w:tcPr>
            <w:tcW w:w="0" w:type="auto"/>
            <w:shd w:val="clear" w:color="auto" w:fill="FFFFFF"/>
            <w:vAlign w:val="bottom"/>
            <w:hideMark/>
          </w:tcPr>
          <w:p w14:paraId="173DEF3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0EAE9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4C33F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7165AB"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B55FEAE" w14:textId="77777777" w:rsidR="00000000" w:rsidRDefault="007F5353">
            <w:pPr>
              <w:rPr>
                <w:rFonts w:eastAsia="Times New Roman"/>
                <w:sz w:val="20"/>
                <w:szCs w:val="20"/>
              </w:rPr>
            </w:pPr>
            <w:r>
              <w:rPr>
                <w:rFonts w:eastAsia="Times New Roman"/>
                <w:sz w:val="20"/>
                <w:szCs w:val="20"/>
              </w:rPr>
              <w:t> </w:t>
            </w:r>
          </w:p>
        </w:tc>
      </w:tr>
      <w:tr w:rsidR="00000000" w14:paraId="2242EFA6" w14:textId="77777777">
        <w:tc>
          <w:tcPr>
            <w:tcW w:w="0" w:type="auto"/>
            <w:shd w:val="clear" w:color="auto" w:fill="CCEEFF"/>
            <w:vAlign w:val="bottom"/>
            <w:hideMark/>
          </w:tcPr>
          <w:p w14:paraId="512F70A4" w14:textId="77777777" w:rsidR="00000000" w:rsidRDefault="007F5353">
            <w:pPr>
              <w:rPr>
                <w:rFonts w:eastAsia="Times New Roman"/>
                <w:sz w:val="20"/>
                <w:szCs w:val="20"/>
              </w:rPr>
            </w:pPr>
            <w:r>
              <w:rPr>
                <w:rFonts w:eastAsia="Times New Roman"/>
                <w:sz w:val="20"/>
                <w:szCs w:val="20"/>
              </w:rPr>
              <w:t>Payment of deferred offering costs</w:t>
            </w:r>
          </w:p>
        </w:tc>
        <w:tc>
          <w:tcPr>
            <w:tcW w:w="0" w:type="auto"/>
            <w:shd w:val="clear" w:color="auto" w:fill="CCEEFF"/>
            <w:vAlign w:val="bottom"/>
            <w:hideMark/>
          </w:tcPr>
          <w:p w14:paraId="24011AB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AE83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AC0D2"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5A41F6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5516C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75C6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1D248" w14:textId="77777777" w:rsidR="00000000" w:rsidRDefault="007F5353">
            <w:pPr>
              <w:jc w:val="right"/>
              <w:rPr>
                <w:rFonts w:eastAsia="Times New Roman"/>
                <w:sz w:val="20"/>
                <w:szCs w:val="20"/>
              </w:rPr>
            </w:pPr>
            <w:r>
              <w:rPr>
                <w:rFonts w:eastAsia="Times New Roman"/>
                <w:sz w:val="20"/>
                <w:szCs w:val="20"/>
              </w:rPr>
              <w:t>(90,536</w:t>
            </w:r>
          </w:p>
        </w:tc>
        <w:tc>
          <w:tcPr>
            <w:tcW w:w="0" w:type="auto"/>
            <w:shd w:val="clear" w:color="auto" w:fill="CCEEFF"/>
            <w:vAlign w:val="bottom"/>
            <w:hideMark/>
          </w:tcPr>
          <w:p w14:paraId="706D0AC4" w14:textId="77777777" w:rsidR="00000000" w:rsidRDefault="007F5353">
            <w:pPr>
              <w:rPr>
                <w:rFonts w:eastAsia="Times New Roman"/>
                <w:sz w:val="20"/>
                <w:szCs w:val="20"/>
              </w:rPr>
            </w:pPr>
            <w:r>
              <w:rPr>
                <w:rFonts w:eastAsia="Times New Roman"/>
                <w:sz w:val="20"/>
                <w:szCs w:val="20"/>
              </w:rPr>
              <w:t>)</w:t>
            </w:r>
          </w:p>
        </w:tc>
      </w:tr>
      <w:tr w:rsidR="00000000" w14:paraId="458222D6" w14:textId="77777777">
        <w:tc>
          <w:tcPr>
            <w:tcW w:w="0" w:type="auto"/>
            <w:shd w:val="clear" w:color="auto" w:fill="FFFFFF"/>
            <w:vAlign w:val="bottom"/>
            <w:hideMark/>
          </w:tcPr>
          <w:p w14:paraId="7CF08340" w14:textId="77777777" w:rsidR="00000000" w:rsidRDefault="007F5353">
            <w:pPr>
              <w:rPr>
                <w:rFonts w:eastAsia="Times New Roman"/>
                <w:sz w:val="20"/>
                <w:szCs w:val="20"/>
              </w:rPr>
            </w:pPr>
            <w:r>
              <w:rPr>
                <w:rFonts w:eastAsia="Times New Roman"/>
                <w:sz w:val="20"/>
                <w:szCs w:val="20"/>
              </w:rPr>
              <w:t>Proceeds from Promissory Note – related party</w:t>
            </w:r>
          </w:p>
        </w:tc>
        <w:tc>
          <w:tcPr>
            <w:tcW w:w="0" w:type="auto"/>
            <w:shd w:val="clear" w:color="auto" w:fill="FFFFFF"/>
            <w:vAlign w:val="bottom"/>
            <w:hideMark/>
          </w:tcPr>
          <w:p w14:paraId="31E8272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4168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504A4D"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A3F33F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B9ED0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C67B3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18868" w14:textId="77777777" w:rsidR="00000000" w:rsidRDefault="007F5353">
            <w:pPr>
              <w:jc w:val="right"/>
              <w:rPr>
                <w:rFonts w:eastAsia="Times New Roman"/>
                <w:sz w:val="20"/>
                <w:szCs w:val="20"/>
              </w:rPr>
            </w:pPr>
            <w:r>
              <w:rPr>
                <w:rFonts w:eastAsia="Times New Roman"/>
                <w:sz w:val="20"/>
                <w:szCs w:val="20"/>
              </w:rPr>
              <w:t>35,452</w:t>
            </w:r>
          </w:p>
        </w:tc>
        <w:tc>
          <w:tcPr>
            <w:tcW w:w="0" w:type="auto"/>
            <w:shd w:val="clear" w:color="auto" w:fill="FFFFFF"/>
            <w:vAlign w:val="bottom"/>
            <w:hideMark/>
          </w:tcPr>
          <w:p w14:paraId="6B8AC3B0" w14:textId="77777777" w:rsidR="00000000" w:rsidRDefault="007F5353">
            <w:pPr>
              <w:rPr>
                <w:rFonts w:eastAsia="Times New Roman"/>
                <w:sz w:val="20"/>
                <w:szCs w:val="20"/>
              </w:rPr>
            </w:pPr>
            <w:r>
              <w:rPr>
                <w:rFonts w:eastAsia="Times New Roman"/>
                <w:sz w:val="20"/>
                <w:szCs w:val="20"/>
              </w:rPr>
              <w:t> </w:t>
            </w:r>
          </w:p>
        </w:tc>
      </w:tr>
      <w:tr w:rsidR="00000000" w14:paraId="7367DBEF" w14:textId="77777777">
        <w:tc>
          <w:tcPr>
            <w:tcW w:w="0" w:type="auto"/>
            <w:shd w:val="clear" w:color="auto" w:fill="CCEEFF"/>
            <w:vAlign w:val="bottom"/>
            <w:hideMark/>
          </w:tcPr>
          <w:p w14:paraId="2C7F34CC" w14:textId="77777777" w:rsidR="00000000" w:rsidRDefault="007F5353">
            <w:pPr>
              <w:rPr>
                <w:rFonts w:eastAsia="Times New Roman"/>
                <w:sz w:val="20"/>
                <w:szCs w:val="20"/>
              </w:rPr>
            </w:pPr>
            <w:r>
              <w:rPr>
                <w:rFonts w:eastAsia="Times New Roman"/>
                <w:sz w:val="20"/>
                <w:szCs w:val="20"/>
              </w:rPr>
              <w:t>Repayment of Promissory note – related party</w:t>
            </w:r>
          </w:p>
        </w:tc>
        <w:tc>
          <w:tcPr>
            <w:tcW w:w="0" w:type="auto"/>
            <w:shd w:val="clear" w:color="auto" w:fill="CCEEFF"/>
            <w:vAlign w:val="bottom"/>
            <w:hideMark/>
          </w:tcPr>
          <w:p w14:paraId="271953C6"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AF885B"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0ED218" w14:textId="77777777" w:rsidR="00000000" w:rsidRDefault="007F5353">
            <w:pPr>
              <w:jc w:val="right"/>
              <w:rPr>
                <w:rFonts w:eastAsia="Times New Roman"/>
                <w:sz w:val="20"/>
                <w:szCs w:val="20"/>
              </w:rPr>
            </w:pPr>
            <w:r>
              <w:rPr>
                <w:rFonts w:eastAsia="Times New Roman"/>
                <w:sz w:val="20"/>
                <w:szCs w:val="20"/>
              </w:rPr>
              <w:t>(133,357</w:t>
            </w:r>
          </w:p>
        </w:tc>
        <w:tc>
          <w:tcPr>
            <w:tcW w:w="0" w:type="auto"/>
            <w:shd w:val="clear" w:color="auto" w:fill="CCEEFF"/>
            <w:vAlign w:val="bottom"/>
            <w:hideMark/>
          </w:tcPr>
          <w:p w14:paraId="519E9DB0" w14:textId="77777777" w:rsidR="00000000" w:rsidRDefault="007F5353">
            <w:pPr>
              <w:rPr>
                <w:rFonts w:eastAsia="Times New Roman"/>
                <w:sz w:val="20"/>
                <w:szCs w:val="20"/>
              </w:rPr>
            </w:pPr>
            <w:r>
              <w:rPr>
                <w:rFonts w:eastAsia="Times New Roman"/>
                <w:sz w:val="20"/>
                <w:szCs w:val="20"/>
              </w:rPr>
              <w:t>)</w:t>
            </w:r>
          </w:p>
        </w:tc>
        <w:tc>
          <w:tcPr>
            <w:tcW w:w="0" w:type="auto"/>
            <w:shd w:val="clear" w:color="auto" w:fill="CCEEFF"/>
            <w:vAlign w:val="bottom"/>
            <w:hideMark/>
          </w:tcPr>
          <w:p w14:paraId="4D1440E7"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0AC133"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A28EDB"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74F2C6B" w14:textId="77777777" w:rsidR="00000000" w:rsidRDefault="007F5353">
            <w:pPr>
              <w:rPr>
                <w:rFonts w:eastAsia="Times New Roman"/>
                <w:sz w:val="20"/>
                <w:szCs w:val="20"/>
              </w:rPr>
            </w:pPr>
            <w:r>
              <w:rPr>
                <w:rFonts w:eastAsia="Times New Roman"/>
                <w:sz w:val="20"/>
                <w:szCs w:val="20"/>
              </w:rPr>
              <w:t> </w:t>
            </w:r>
          </w:p>
        </w:tc>
      </w:tr>
      <w:tr w:rsidR="00000000" w14:paraId="59B51AFA" w14:textId="77777777">
        <w:tc>
          <w:tcPr>
            <w:tcW w:w="0" w:type="auto"/>
            <w:shd w:val="clear" w:color="auto" w:fill="FFFFFF"/>
            <w:vAlign w:val="bottom"/>
            <w:hideMark/>
          </w:tcPr>
          <w:p w14:paraId="726D6292" w14:textId="77777777" w:rsidR="00000000" w:rsidRDefault="007F5353">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vAlign w:val="bottom"/>
            <w:hideMark/>
          </w:tcPr>
          <w:p w14:paraId="696B79E4"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5B300D99"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5D868464" w14:textId="77777777" w:rsidR="00000000" w:rsidRDefault="007F5353">
            <w:pPr>
              <w:jc w:val="right"/>
              <w:rPr>
                <w:rFonts w:eastAsia="Times New Roman"/>
                <w:b/>
                <w:bCs/>
                <w:sz w:val="20"/>
                <w:szCs w:val="20"/>
              </w:rPr>
            </w:pPr>
            <w:r>
              <w:rPr>
                <w:rFonts w:eastAsia="Times New Roman"/>
                <w:b/>
                <w:bCs/>
                <w:sz w:val="20"/>
                <w:szCs w:val="20"/>
              </w:rPr>
              <w:t>103,807,018</w:t>
            </w:r>
          </w:p>
        </w:tc>
        <w:tc>
          <w:tcPr>
            <w:tcW w:w="0" w:type="auto"/>
            <w:shd w:val="clear" w:color="auto" w:fill="FFFFFF"/>
            <w:vAlign w:val="bottom"/>
            <w:hideMark/>
          </w:tcPr>
          <w:p w14:paraId="0C91DA0E"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26709E0"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55F2B875"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5B9B316D" w14:textId="77777777" w:rsidR="00000000" w:rsidRDefault="007F5353">
            <w:pPr>
              <w:jc w:val="right"/>
              <w:rPr>
                <w:rFonts w:eastAsia="Times New Roman"/>
                <w:b/>
                <w:bCs/>
                <w:sz w:val="20"/>
                <w:szCs w:val="20"/>
              </w:rPr>
            </w:pPr>
            <w:r>
              <w:rPr>
                <w:rFonts w:eastAsia="Times New Roman"/>
                <w:b/>
                <w:bCs/>
                <w:sz w:val="20"/>
                <w:szCs w:val="20"/>
              </w:rPr>
              <w:t>(30,084</w:t>
            </w:r>
          </w:p>
        </w:tc>
        <w:tc>
          <w:tcPr>
            <w:tcW w:w="0" w:type="auto"/>
            <w:shd w:val="clear" w:color="auto" w:fill="FFFFFF"/>
            <w:vAlign w:val="bottom"/>
            <w:hideMark/>
          </w:tcPr>
          <w:p w14:paraId="6BC40307" w14:textId="77777777" w:rsidR="00000000" w:rsidRDefault="007F5353">
            <w:pPr>
              <w:rPr>
                <w:rFonts w:eastAsia="Times New Roman"/>
                <w:b/>
                <w:bCs/>
                <w:sz w:val="20"/>
                <w:szCs w:val="20"/>
              </w:rPr>
            </w:pPr>
            <w:r>
              <w:rPr>
                <w:rFonts w:eastAsia="Times New Roman"/>
                <w:b/>
                <w:bCs/>
                <w:sz w:val="20"/>
                <w:szCs w:val="20"/>
              </w:rPr>
              <w:t>)</w:t>
            </w:r>
          </w:p>
        </w:tc>
      </w:tr>
      <w:tr w:rsidR="00000000" w14:paraId="7DA32917" w14:textId="77777777">
        <w:tc>
          <w:tcPr>
            <w:tcW w:w="0" w:type="auto"/>
            <w:shd w:val="clear" w:color="auto" w:fill="CCEEFF"/>
            <w:vAlign w:val="bottom"/>
            <w:hideMark/>
          </w:tcPr>
          <w:p w14:paraId="13D8D758" w14:textId="77777777" w:rsidR="00000000" w:rsidRDefault="007F5353">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14:paraId="00C9FB6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BD526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0E88D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A576F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235D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68CEA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CCAA12"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BA5405E" w14:textId="77777777" w:rsidR="00000000" w:rsidRDefault="007F5353">
            <w:pPr>
              <w:rPr>
                <w:rFonts w:eastAsia="Times New Roman"/>
                <w:sz w:val="20"/>
                <w:szCs w:val="20"/>
              </w:rPr>
            </w:pPr>
            <w:r>
              <w:rPr>
                <w:rFonts w:eastAsia="Times New Roman"/>
                <w:sz w:val="20"/>
                <w:szCs w:val="20"/>
              </w:rPr>
              <w:t> </w:t>
            </w:r>
          </w:p>
        </w:tc>
      </w:tr>
      <w:tr w:rsidR="00000000" w14:paraId="2A7E29D9" w14:textId="77777777">
        <w:tc>
          <w:tcPr>
            <w:tcW w:w="0" w:type="auto"/>
            <w:shd w:val="clear" w:color="auto" w:fill="FFFFFF"/>
            <w:vAlign w:val="bottom"/>
            <w:hideMark/>
          </w:tcPr>
          <w:p w14:paraId="776C5A7A" w14:textId="77777777" w:rsidR="00000000" w:rsidRDefault="007F5353">
            <w:pPr>
              <w:rPr>
                <w:rFonts w:eastAsia="Times New Roman"/>
                <w:b/>
                <w:bCs/>
                <w:sz w:val="20"/>
                <w:szCs w:val="20"/>
              </w:rPr>
            </w:pPr>
            <w:r>
              <w:rPr>
                <w:rFonts w:eastAsia="Times New Roman"/>
                <w:b/>
                <w:bCs/>
                <w:sz w:val="20"/>
                <w:szCs w:val="20"/>
              </w:rPr>
              <w:t>Net change in cash</w:t>
            </w:r>
          </w:p>
        </w:tc>
        <w:tc>
          <w:tcPr>
            <w:tcW w:w="0" w:type="auto"/>
            <w:shd w:val="clear" w:color="auto" w:fill="FFFFFF"/>
            <w:vAlign w:val="bottom"/>
            <w:hideMark/>
          </w:tcPr>
          <w:p w14:paraId="12D7F5BB"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01FAC0B5"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0BBF94F5" w14:textId="77777777" w:rsidR="00000000" w:rsidRDefault="007F5353">
            <w:pPr>
              <w:jc w:val="right"/>
              <w:rPr>
                <w:rFonts w:eastAsia="Times New Roman"/>
                <w:b/>
                <w:bCs/>
                <w:sz w:val="20"/>
                <w:szCs w:val="20"/>
              </w:rPr>
            </w:pPr>
            <w:r>
              <w:rPr>
                <w:rFonts w:eastAsia="Times New Roman"/>
                <w:b/>
                <w:bCs/>
                <w:sz w:val="20"/>
                <w:szCs w:val="20"/>
              </w:rPr>
              <w:t>620,187</w:t>
            </w:r>
          </w:p>
        </w:tc>
        <w:tc>
          <w:tcPr>
            <w:tcW w:w="0" w:type="auto"/>
            <w:shd w:val="clear" w:color="auto" w:fill="FFFFFF"/>
            <w:vAlign w:val="bottom"/>
            <w:hideMark/>
          </w:tcPr>
          <w:p w14:paraId="4FC22D22"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74A4FAD"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28DF84B4"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21F2B39A" w14:textId="77777777" w:rsidR="00000000" w:rsidRDefault="007F5353">
            <w:pPr>
              <w:jc w:val="right"/>
              <w:rPr>
                <w:rFonts w:eastAsia="Times New Roman"/>
                <w:b/>
                <w:bCs/>
                <w:sz w:val="20"/>
                <w:szCs w:val="20"/>
              </w:rPr>
            </w:pPr>
            <w:r>
              <w:rPr>
                <w:rFonts w:eastAsia="Times New Roman"/>
                <w:b/>
                <w:bCs/>
                <w:sz w:val="20"/>
                <w:szCs w:val="20"/>
              </w:rPr>
              <w:t>6,199</w:t>
            </w:r>
          </w:p>
        </w:tc>
        <w:tc>
          <w:tcPr>
            <w:tcW w:w="0" w:type="auto"/>
            <w:shd w:val="clear" w:color="auto" w:fill="FFFFFF"/>
            <w:vAlign w:val="bottom"/>
            <w:hideMark/>
          </w:tcPr>
          <w:p w14:paraId="76E0D5FC" w14:textId="77777777" w:rsidR="00000000" w:rsidRDefault="007F5353">
            <w:pPr>
              <w:rPr>
                <w:rFonts w:eastAsia="Times New Roman"/>
                <w:b/>
                <w:bCs/>
                <w:sz w:val="20"/>
                <w:szCs w:val="20"/>
              </w:rPr>
            </w:pPr>
            <w:r>
              <w:rPr>
                <w:rFonts w:eastAsia="Times New Roman"/>
                <w:b/>
                <w:bCs/>
                <w:sz w:val="20"/>
                <w:szCs w:val="20"/>
              </w:rPr>
              <w:t> </w:t>
            </w:r>
          </w:p>
        </w:tc>
      </w:tr>
      <w:tr w:rsidR="00000000" w14:paraId="26C20E7B" w14:textId="77777777">
        <w:tc>
          <w:tcPr>
            <w:tcW w:w="0" w:type="auto"/>
            <w:shd w:val="clear" w:color="auto" w:fill="CCEEFF"/>
            <w:vAlign w:val="bottom"/>
            <w:hideMark/>
          </w:tcPr>
          <w:p w14:paraId="451822B4" w14:textId="77777777" w:rsidR="00000000" w:rsidRDefault="007F5353">
            <w:pPr>
              <w:rPr>
                <w:rFonts w:eastAsia="Times New Roman"/>
                <w:sz w:val="20"/>
                <w:szCs w:val="20"/>
              </w:rPr>
            </w:pPr>
            <w:r>
              <w:rPr>
                <w:rFonts w:eastAsia="Times New Roman"/>
                <w:sz w:val="20"/>
                <w:szCs w:val="20"/>
              </w:rPr>
              <w:t>Cash at the beginning of the period</w:t>
            </w:r>
          </w:p>
        </w:tc>
        <w:tc>
          <w:tcPr>
            <w:tcW w:w="0" w:type="auto"/>
            <w:shd w:val="clear" w:color="auto" w:fill="CCEEFF"/>
            <w:vAlign w:val="bottom"/>
            <w:hideMark/>
          </w:tcPr>
          <w:p w14:paraId="49F8280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25AB0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1F14BE" w14:textId="77777777" w:rsidR="00000000" w:rsidRDefault="007F5353">
            <w:pPr>
              <w:jc w:val="right"/>
              <w:rPr>
                <w:rFonts w:eastAsia="Times New Roman"/>
                <w:sz w:val="20"/>
                <w:szCs w:val="20"/>
              </w:rPr>
            </w:pPr>
            <w:r>
              <w:rPr>
                <w:rFonts w:eastAsia="Times New Roman"/>
                <w:sz w:val="20"/>
                <w:szCs w:val="20"/>
              </w:rPr>
              <w:t>2,164</w:t>
            </w:r>
          </w:p>
        </w:tc>
        <w:tc>
          <w:tcPr>
            <w:tcW w:w="0" w:type="auto"/>
            <w:shd w:val="clear" w:color="auto" w:fill="CCEEFF"/>
            <w:vAlign w:val="bottom"/>
            <w:hideMark/>
          </w:tcPr>
          <w:p w14:paraId="536B97C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A9EC67"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DF201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E9859"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6877C8D" w14:textId="77777777" w:rsidR="00000000" w:rsidRDefault="007F5353">
            <w:pPr>
              <w:rPr>
                <w:rFonts w:eastAsia="Times New Roman"/>
                <w:sz w:val="20"/>
                <w:szCs w:val="20"/>
              </w:rPr>
            </w:pPr>
            <w:r>
              <w:rPr>
                <w:rFonts w:eastAsia="Times New Roman"/>
                <w:sz w:val="20"/>
                <w:szCs w:val="20"/>
              </w:rPr>
              <w:t> </w:t>
            </w:r>
          </w:p>
        </w:tc>
      </w:tr>
      <w:tr w:rsidR="00000000" w14:paraId="3947CC02" w14:textId="77777777">
        <w:tc>
          <w:tcPr>
            <w:tcW w:w="0" w:type="auto"/>
            <w:shd w:val="clear" w:color="auto" w:fill="FFFFFF"/>
            <w:vAlign w:val="bottom"/>
            <w:hideMark/>
          </w:tcPr>
          <w:p w14:paraId="7DB255AD" w14:textId="77777777" w:rsidR="00000000" w:rsidRDefault="007F5353">
            <w:pPr>
              <w:rPr>
                <w:rFonts w:eastAsia="Times New Roman"/>
                <w:b/>
                <w:bCs/>
                <w:sz w:val="20"/>
                <w:szCs w:val="20"/>
              </w:rPr>
            </w:pPr>
            <w:r>
              <w:rPr>
                <w:rFonts w:eastAsia="Times New Roman"/>
                <w:b/>
                <w:bCs/>
                <w:sz w:val="20"/>
                <w:szCs w:val="20"/>
              </w:rPr>
              <w:t>Cash at the end of the period</w:t>
            </w:r>
          </w:p>
        </w:tc>
        <w:tc>
          <w:tcPr>
            <w:tcW w:w="0" w:type="auto"/>
            <w:shd w:val="clear" w:color="auto" w:fill="FFFFFF"/>
            <w:vAlign w:val="bottom"/>
            <w:hideMark/>
          </w:tcPr>
          <w:p w14:paraId="3D8DDB9D"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62EE2FE"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FC6CC4A" w14:textId="77777777" w:rsidR="00000000" w:rsidRDefault="007F5353">
            <w:pPr>
              <w:jc w:val="right"/>
              <w:rPr>
                <w:rFonts w:eastAsia="Times New Roman"/>
                <w:b/>
                <w:bCs/>
                <w:sz w:val="20"/>
                <w:szCs w:val="20"/>
              </w:rPr>
            </w:pPr>
            <w:r>
              <w:rPr>
                <w:rFonts w:eastAsia="Times New Roman"/>
                <w:b/>
                <w:bCs/>
                <w:sz w:val="20"/>
                <w:szCs w:val="20"/>
              </w:rPr>
              <w:t>622,351</w:t>
            </w:r>
          </w:p>
        </w:tc>
        <w:tc>
          <w:tcPr>
            <w:tcW w:w="0" w:type="auto"/>
            <w:shd w:val="clear" w:color="auto" w:fill="FFFFFF"/>
            <w:vAlign w:val="bottom"/>
            <w:hideMark/>
          </w:tcPr>
          <w:p w14:paraId="18981E8F" w14:textId="77777777" w:rsidR="00000000" w:rsidRDefault="007F535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ED9081A" w14:textId="77777777" w:rsidR="00000000" w:rsidRDefault="007F535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718911C" w14:textId="77777777" w:rsidR="00000000" w:rsidRDefault="007F535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54839379" w14:textId="77777777" w:rsidR="00000000" w:rsidRDefault="007F5353">
            <w:pPr>
              <w:jc w:val="right"/>
              <w:rPr>
                <w:rFonts w:eastAsia="Times New Roman"/>
                <w:b/>
                <w:bCs/>
                <w:sz w:val="20"/>
                <w:szCs w:val="20"/>
              </w:rPr>
            </w:pPr>
            <w:r>
              <w:rPr>
                <w:rFonts w:eastAsia="Times New Roman"/>
                <w:b/>
                <w:bCs/>
                <w:sz w:val="20"/>
                <w:szCs w:val="20"/>
              </w:rPr>
              <w:t>6,199</w:t>
            </w:r>
          </w:p>
        </w:tc>
        <w:tc>
          <w:tcPr>
            <w:tcW w:w="0" w:type="auto"/>
            <w:shd w:val="clear" w:color="auto" w:fill="FFFFFF"/>
            <w:vAlign w:val="bottom"/>
            <w:hideMark/>
          </w:tcPr>
          <w:p w14:paraId="56BD5A8E" w14:textId="77777777" w:rsidR="00000000" w:rsidRDefault="007F5353">
            <w:pPr>
              <w:rPr>
                <w:rFonts w:eastAsia="Times New Roman"/>
                <w:b/>
                <w:bCs/>
                <w:sz w:val="20"/>
                <w:szCs w:val="20"/>
              </w:rPr>
            </w:pPr>
            <w:r>
              <w:rPr>
                <w:rFonts w:eastAsia="Times New Roman"/>
                <w:b/>
                <w:bCs/>
                <w:sz w:val="20"/>
                <w:szCs w:val="20"/>
              </w:rPr>
              <w:t> </w:t>
            </w:r>
          </w:p>
        </w:tc>
      </w:tr>
      <w:tr w:rsidR="00000000" w14:paraId="53A60DEF" w14:textId="77777777">
        <w:tc>
          <w:tcPr>
            <w:tcW w:w="0" w:type="auto"/>
            <w:shd w:val="clear" w:color="auto" w:fill="CCEEFF"/>
            <w:vAlign w:val="bottom"/>
            <w:hideMark/>
          </w:tcPr>
          <w:p w14:paraId="126A3B13"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69134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1580A8"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57C29"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A8DD2E"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9EE9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8348F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92D5F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2835D5" w14:textId="77777777" w:rsidR="00000000" w:rsidRDefault="007F5353">
            <w:pPr>
              <w:rPr>
                <w:rFonts w:eastAsia="Times New Roman"/>
                <w:sz w:val="20"/>
                <w:szCs w:val="20"/>
              </w:rPr>
            </w:pPr>
            <w:r>
              <w:rPr>
                <w:rFonts w:eastAsia="Times New Roman"/>
                <w:sz w:val="20"/>
                <w:szCs w:val="20"/>
              </w:rPr>
              <w:t> </w:t>
            </w:r>
          </w:p>
        </w:tc>
      </w:tr>
      <w:tr w:rsidR="00000000" w14:paraId="428BCF70" w14:textId="77777777">
        <w:tc>
          <w:tcPr>
            <w:tcW w:w="0" w:type="auto"/>
            <w:shd w:val="clear" w:color="auto" w:fill="FFFFFF"/>
            <w:vAlign w:val="bottom"/>
            <w:hideMark/>
          </w:tcPr>
          <w:p w14:paraId="247176B2" w14:textId="77777777" w:rsidR="00000000" w:rsidRDefault="007F5353">
            <w:pPr>
              <w:rPr>
                <w:rFonts w:eastAsia="Times New Roman"/>
                <w:b/>
                <w:bCs/>
                <w:sz w:val="20"/>
                <w:szCs w:val="20"/>
              </w:rPr>
            </w:pPr>
            <w:r>
              <w:rPr>
                <w:rFonts w:eastAsia="Times New Roman"/>
                <w:b/>
                <w:bCs/>
                <w:sz w:val="20"/>
                <w:szCs w:val="20"/>
              </w:rPr>
              <w:t>Supplemental disclosure of non-cash investing and financing activities:</w:t>
            </w:r>
          </w:p>
        </w:tc>
        <w:tc>
          <w:tcPr>
            <w:tcW w:w="0" w:type="auto"/>
            <w:shd w:val="clear" w:color="auto" w:fill="FFFFFF"/>
            <w:vAlign w:val="bottom"/>
            <w:hideMark/>
          </w:tcPr>
          <w:p w14:paraId="2FE36195"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235F9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6916D"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D5C23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8873A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C88B1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C62D1" w14:textId="77777777" w:rsidR="00000000" w:rsidRDefault="007F535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B7E2FC" w14:textId="77777777" w:rsidR="00000000" w:rsidRDefault="007F5353">
            <w:pPr>
              <w:rPr>
                <w:rFonts w:eastAsia="Times New Roman"/>
                <w:sz w:val="20"/>
                <w:szCs w:val="20"/>
              </w:rPr>
            </w:pPr>
            <w:r>
              <w:rPr>
                <w:rFonts w:eastAsia="Times New Roman"/>
                <w:sz w:val="20"/>
                <w:szCs w:val="20"/>
              </w:rPr>
              <w:t> </w:t>
            </w:r>
          </w:p>
        </w:tc>
      </w:tr>
      <w:tr w:rsidR="00000000" w14:paraId="162F167E" w14:textId="77777777">
        <w:tc>
          <w:tcPr>
            <w:tcW w:w="0" w:type="auto"/>
            <w:shd w:val="clear" w:color="auto" w:fill="CCEEFF"/>
            <w:vAlign w:val="bottom"/>
            <w:hideMark/>
          </w:tcPr>
          <w:p w14:paraId="08A1D920" w14:textId="77777777" w:rsidR="00000000" w:rsidRDefault="007F5353">
            <w:pPr>
              <w:rPr>
                <w:rFonts w:eastAsia="Times New Roman"/>
                <w:sz w:val="20"/>
                <w:szCs w:val="20"/>
              </w:rPr>
            </w:pPr>
            <w:r>
              <w:rPr>
                <w:rFonts w:eastAsia="Times New Roman"/>
                <w:sz w:val="20"/>
                <w:szCs w:val="20"/>
              </w:rPr>
              <w:t>Deferred offering costs</w:t>
            </w:r>
          </w:p>
        </w:tc>
        <w:tc>
          <w:tcPr>
            <w:tcW w:w="0" w:type="auto"/>
            <w:shd w:val="clear" w:color="auto" w:fill="CCEEFF"/>
            <w:vAlign w:val="bottom"/>
            <w:hideMark/>
          </w:tcPr>
          <w:p w14:paraId="44136782"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76B99F" w14:textId="77777777" w:rsidR="00000000" w:rsidRDefault="007F535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0BBE8F8" w14:textId="77777777" w:rsidR="00000000" w:rsidRDefault="007F5353">
            <w:pPr>
              <w:pStyle w:val="a3"/>
              <w:spacing w:before="0" w:beforeAutospacing="0" w:after="0" w:afterAutospacing="0"/>
              <w:jc w:val="right"/>
              <w:rPr>
                <w:sz w:val="20"/>
                <w:szCs w:val="20"/>
              </w:rPr>
            </w:pPr>
            <w:r>
              <w:rPr>
                <w:sz w:val="20"/>
                <w:szCs w:val="20"/>
              </w:rPr>
              <w:t>-</w:t>
            </w:r>
          </w:p>
        </w:tc>
        <w:tc>
          <w:tcPr>
            <w:tcW w:w="0" w:type="auto"/>
            <w:shd w:val="clear" w:color="auto" w:fill="CCEEFF"/>
            <w:vAlign w:val="bottom"/>
            <w:hideMark/>
          </w:tcPr>
          <w:p w14:paraId="23E554A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C527F"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82599D9"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8BC6C9" w14:textId="77777777" w:rsidR="00000000" w:rsidRDefault="007F5353">
            <w:pPr>
              <w:pStyle w:val="a3"/>
              <w:spacing w:before="0" w:beforeAutospacing="0" w:after="0" w:afterAutospacing="0"/>
              <w:jc w:val="right"/>
              <w:rPr>
                <w:sz w:val="20"/>
                <w:szCs w:val="20"/>
              </w:rPr>
            </w:pPr>
            <w:r>
              <w:rPr>
                <w:sz w:val="20"/>
                <w:szCs w:val="20"/>
              </w:rPr>
              <w:t>36,283</w:t>
            </w:r>
          </w:p>
        </w:tc>
        <w:tc>
          <w:tcPr>
            <w:tcW w:w="0" w:type="auto"/>
            <w:shd w:val="clear" w:color="auto" w:fill="CCEEFF"/>
            <w:vAlign w:val="bottom"/>
            <w:hideMark/>
          </w:tcPr>
          <w:p w14:paraId="0E560CA0" w14:textId="77777777" w:rsidR="00000000" w:rsidRDefault="007F5353">
            <w:pPr>
              <w:rPr>
                <w:rFonts w:eastAsia="Times New Roman"/>
                <w:sz w:val="20"/>
                <w:szCs w:val="20"/>
              </w:rPr>
            </w:pPr>
            <w:r>
              <w:rPr>
                <w:rFonts w:eastAsia="Times New Roman"/>
                <w:sz w:val="20"/>
                <w:szCs w:val="20"/>
              </w:rPr>
              <w:t> </w:t>
            </w:r>
          </w:p>
        </w:tc>
      </w:tr>
      <w:tr w:rsidR="00000000" w14:paraId="3BFB3635" w14:textId="77777777">
        <w:tc>
          <w:tcPr>
            <w:tcW w:w="0" w:type="auto"/>
            <w:shd w:val="clear" w:color="auto" w:fill="FFFFFF"/>
            <w:vAlign w:val="bottom"/>
            <w:hideMark/>
          </w:tcPr>
          <w:p w14:paraId="277E9460" w14:textId="77777777" w:rsidR="00000000" w:rsidRDefault="007F5353">
            <w:pPr>
              <w:rPr>
                <w:rFonts w:eastAsia="Times New Roman"/>
                <w:sz w:val="20"/>
                <w:szCs w:val="20"/>
              </w:rPr>
            </w:pPr>
            <w:r>
              <w:rPr>
                <w:rFonts w:eastAsia="Times New Roman"/>
                <w:sz w:val="20"/>
                <w:szCs w:val="20"/>
              </w:rPr>
              <w:t>Deferred underwriting fee payable</w:t>
            </w:r>
          </w:p>
        </w:tc>
        <w:tc>
          <w:tcPr>
            <w:tcW w:w="0" w:type="auto"/>
            <w:shd w:val="clear" w:color="auto" w:fill="FFFFFF"/>
            <w:vAlign w:val="bottom"/>
            <w:hideMark/>
          </w:tcPr>
          <w:p w14:paraId="3E0EEDFB"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DCC9E7B" w14:textId="77777777" w:rsidR="00000000" w:rsidRDefault="007F535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E8CEE5" w14:textId="77777777" w:rsidR="00000000" w:rsidRDefault="007F5353">
            <w:pPr>
              <w:jc w:val="right"/>
              <w:rPr>
                <w:rFonts w:eastAsia="Times New Roman"/>
                <w:sz w:val="20"/>
                <w:szCs w:val="20"/>
              </w:rPr>
            </w:pPr>
            <w:r>
              <w:rPr>
                <w:rFonts w:eastAsia="Times New Roman"/>
                <w:sz w:val="20"/>
                <w:szCs w:val="20"/>
              </w:rPr>
              <w:t>3,555,674</w:t>
            </w:r>
          </w:p>
        </w:tc>
        <w:tc>
          <w:tcPr>
            <w:tcW w:w="0" w:type="auto"/>
            <w:shd w:val="clear" w:color="auto" w:fill="FFFFFF"/>
            <w:vAlign w:val="bottom"/>
            <w:hideMark/>
          </w:tcPr>
          <w:p w14:paraId="3755E47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2B32D9"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54AABD1" w14:textId="77777777" w:rsidR="00000000" w:rsidRDefault="007F535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CAE2380"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F94D6A4" w14:textId="77777777" w:rsidR="00000000" w:rsidRDefault="007F5353">
            <w:pPr>
              <w:rPr>
                <w:rFonts w:eastAsia="Times New Roman"/>
                <w:sz w:val="20"/>
                <w:szCs w:val="20"/>
              </w:rPr>
            </w:pPr>
            <w:r>
              <w:rPr>
                <w:rFonts w:eastAsia="Times New Roman"/>
                <w:sz w:val="20"/>
                <w:szCs w:val="20"/>
              </w:rPr>
              <w:t> </w:t>
            </w:r>
          </w:p>
        </w:tc>
      </w:tr>
      <w:tr w:rsidR="00000000" w14:paraId="446AF1F9" w14:textId="77777777">
        <w:tc>
          <w:tcPr>
            <w:tcW w:w="0" w:type="auto"/>
            <w:shd w:val="clear" w:color="auto" w:fill="CCEEFF"/>
            <w:vAlign w:val="bottom"/>
            <w:hideMark/>
          </w:tcPr>
          <w:p w14:paraId="2F5B66FF" w14:textId="77777777" w:rsidR="00000000" w:rsidRDefault="007F5353">
            <w:pPr>
              <w:rPr>
                <w:rFonts w:eastAsia="Times New Roman"/>
                <w:sz w:val="20"/>
                <w:szCs w:val="20"/>
              </w:rPr>
            </w:pPr>
            <w:r>
              <w:rPr>
                <w:rFonts w:eastAsia="Times New Roman"/>
                <w:sz w:val="20"/>
                <w:szCs w:val="20"/>
              </w:rPr>
              <w:t>Initial Classification of Common Stock subject to redemption</w:t>
            </w:r>
          </w:p>
        </w:tc>
        <w:tc>
          <w:tcPr>
            <w:tcW w:w="0" w:type="auto"/>
            <w:shd w:val="clear" w:color="auto" w:fill="CCEEFF"/>
            <w:vAlign w:val="bottom"/>
            <w:hideMark/>
          </w:tcPr>
          <w:p w14:paraId="608B1303"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6533C7" w14:textId="77777777" w:rsidR="00000000" w:rsidRDefault="007F535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F804365" w14:textId="77777777" w:rsidR="00000000" w:rsidRDefault="007F5353">
            <w:pPr>
              <w:jc w:val="right"/>
              <w:rPr>
                <w:rFonts w:eastAsia="Times New Roman"/>
                <w:sz w:val="20"/>
                <w:szCs w:val="20"/>
              </w:rPr>
            </w:pPr>
            <w:r>
              <w:rPr>
                <w:rFonts w:eastAsia="Times New Roman"/>
                <w:sz w:val="20"/>
                <w:szCs w:val="20"/>
              </w:rPr>
              <w:t>102,606,597</w:t>
            </w:r>
          </w:p>
        </w:tc>
        <w:tc>
          <w:tcPr>
            <w:tcW w:w="0" w:type="auto"/>
            <w:shd w:val="clear" w:color="auto" w:fill="CCEEFF"/>
            <w:vAlign w:val="bottom"/>
            <w:hideMark/>
          </w:tcPr>
          <w:p w14:paraId="46A634F6" w14:textId="77777777" w:rsidR="00000000" w:rsidRDefault="007F535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4A8ED7"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456C743" w14:textId="77777777" w:rsidR="00000000" w:rsidRDefault="007F535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0274A9B"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E65DA0D" w14:textId="77777777" w:rsidR="00000000" w:rsidRDefault="007F5353">
            <w:pPr>
              <w:rPr>
                <w:rFonts w:eastAsia="Times New Roman"/>
                <w:sz w:val="20"/>
                <w:szCs w:val="20"/>
              </w:rPr>
            </w:pPr>
            <w:r>
              <w:rPr>
                <w:rFonts w:eastAsia="Times New Roman"/>
                <w:sz w:val="20"/>
                <w:szCs w:val="20"/>
              </w:rPr>
              <w:t> </w:t>
            </w:r>
          </w:p>
        </w:tc>
      </w:tr>
      <w:tr w:rsidR="00000000" w14:paraId="57F5FADE" w14:textId="77777777">
        <w:tc>
          <w:tcPr>
            <w:tcW w:w="0" w:type="auto"/>
            <w:shd w:val="clear" w:color="auto" w:fill="FFFFFF"/>
            <w:vAlign w:val="bottom"/>
            <w:hideMark/>
          </w:tcPr>
          <w:p w14:paraId="55D1C1B6" w14:textId="77777777" w:rsidR="00000000" w:rsidRDefault="007F5353">
            <w:pPr>
              <w:rPr>
                <w:rFonts w:eastAsia="Times New Roman"/>
                <w:sz w:val="20"/>
                <w:szCs w:val="20"/>
              </w:rPr>
            </w:pPr>
            <w:r>
              <w:rPr>
                <w:rFonts w:eastAsia="Times New Roman"/>
                <w:sz w:val="20"/>
                <w:szCs w:val="20"/>
              </w:rPr>
              <w:t>Deferred offering costs paid for by Promissory note – related party</w:t>
            </w:r>
          </w:p>
        </w:tc>
        <w:tc>
          <w:tcPr>
            <w:tcW w:w="0" w:type="auto"/>
            <w:shd w:val="clear" w:color="auto" w:fill="FFFFFF"/>
            <w:vAlign w:val="bottom"/>
            <w:hideMark/>
          </w:tcPr>
          <w:p w14:paraId="6B013E4D"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9C01259" w14:textId="77777777" w:rsidR="00000000" w:rsidRDefault="007F535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88CBC45" w14:textId="77777777" w:rsidR="00000000" w:rsidRDefault="007F5353">
            <w:pPr>
              <w:jc w:val="right"/>
              <w:rPr>
                <w:rFonts w:eastAsia="Times New Roman"/>
                <w:sz w:val="20"/>
                <w:szCs w:val="20"/>
              </w:rPr>
            </w:pPr>
            <w:r>
              <w:rPr>
                <w:rFonts w:eastAsia="Times New Roman"/>
                <w:sz w:val="20"/>
                <w:szCs w:val="20"/>
              </w:rPr>
              <w:t>176</w:t>
            </w:r>
          </w:p>
        </w:tc>
        <w:tc>
          <w:tcPr>
            <w:tcW w:w="0" w:type="auto"/>
            <w:shd w:val="clear" w:color="auto" w:fill="FFFFFF"/>
            <w:vAlign w:val="bottom"/>
            <w:hideMark/>
          </w:tcPr>
          <w:p w14:paraId="5A1F780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4CCA5D" w14:textId="77777777" w:rsidR="00000000" w:rsidRDefault="007F535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0FC0424" w14:textId="77777777" w:rsidR="00000000" w:rsidRDefault="007F535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F378EF4" w14:textId="77777777" w:rsidR="00000000" w:rsidRDefault="007F535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173F120" w14:textId="77777777" w:rsidR="00000000" w:rsidRDefault="007F5353">
            <w:pPr>
              <w:rPr>
                <w:rFonts w:eastAsia="Times New Roman"/>
                <w:sz w:val="20"/>
                <w:szCs w:val="20"/>
              </w:rPr>
            </w:pPr>
            <w:r>
              <w:rPr>
                <w:rFonts w:eastAsia="Times New Roman"/>
                <w:sz w:val="20"/>
                <w:szCs w:val="20"/>
              </w:rPr>
              <w:t> </w:t>
            </w:r>
          </w:p>
        </w:tc>
      </w:tr>
    </w:tbl>
    <w:p w14:paraId="12A5F0DE" w14:textId="77777777" w:rsidR="00000000" w:rsidRDefault="007F5353">
      <w:pPr>
        <w:pStyle w:val="a3"/>
        <w:spacing w:before="0" w:beforeAutospacing="0" w:after="0" w:afterAutospacing="0"/>
        <w:jc w:val="center"/>
        <w:rPr>
          <w:sz w:val="20"/>
          <w:szCs w:val="20"/>
        </w:rPr>
      </w:pPr>
      <w:r>
        <w:rPr>
          <w:sz w:val="20"/>
          <w:szCs w:val="20"/>
        </w:rPr>
        <w:t> </w:t>
      </w:r>
    </w:p>
    <w:p w14:paraId="031627E7" w14:textId="77777777" w:rsidR="00000000" w:rsidRDefault="007F5353">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unaudited financial statements.</w:t>
      </w:r>
    </w:p>
    <w:p w14:paraId="040585B0" w14:textId="77777777" w:rsidR="00000000" w:rsidRDefault="007F535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D702A9C" w14:textId="77777777">
        <w:trPr>
          <w:divId w:val="53896967"/>
        </w:trPr>
        <w:tc>
          <w:tcPr>
            <w:tcW w:w="5000" w:type="pct"/>
            <w:hideMark/>
          </w:tcPr>
          <w:p w14:paraId="62E67054"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3B8AED28" w14:textId="77777777">
        <w:tc>
          <w:tcPr>
            <w:tcW w:w="5000" w:type="pct"/>
            <w:hideMark/>
          </w:tcPr>
          <w:p w14:paraId="131F8701" w14:textId="77777777" w:rsidR="00000000" w:rsidRDefault="007F5353">
            <w:pPr>
              <w:jc w:val="center"/>
              <w:rPr>
                <w:rFonts w:eastAsia="Times New Roman"/>
                <w:sz w:val="20"/>
                <w:szCs w:val="20"/>
              </w:rPr>
            </w:pPr>
            <w:r>
              <w:rPr>
                <w:rFonts w:eastAsia="Times New Roman"/>
                <w:sz w:val="20"/>
                <w:szCs w:val="20"/>
              </w:rPr>
              <w:t> </w:t>
            </w:r>
          </w:p>
        </w:tc>
      </w:tr>
    </w:tbl>
    <w:p w14:paraId="5BB8EF6C" w14:textId="77777777" w:rsidR="00000000" w:rsidRDefault="007F5353">
      <w:pPr>
        <w:pStyle w:val="a3"/>
        <w:spacing w:before="0" w:beforeAutospacing="0" w:after="0" w:afterAutospacing="0"/>
        <w:jc w:val="center"/>
        <w:rPr>
          <w:sz w:val="20"/>
          <w:szCs w:val="20"/>
        </w:rPr>
      </w:pPr>
      <w:r>
        <w:rPr>
          <w:sz w:val="20"/>
          <w:szCs w:val="20"/>
        </w:rPr>
        <w:t> </w:t>
      </w:r>
    </w:p>
    <w:p w14:paraId="60C5DE8B" w14:textId="77777777" w:rsidR="00000000" w:rsidRDefault="007F5353">
      <w:pPr>
        <w:pStyle w:val="a3"/>
        <w:spacing w:before="0" w:beforeAutospacing="0" w:after="0" w:afterAutospacing="0"/>
        <w:jc w:val="center"/>
        <w:rPr>
          <w:sz w:val="20"/>
          <w:szCs w:val="20"/>
        </w:rPr>
      </w:pPr>
      <w:r>
        <w:rPr>
          <w:b/>
          <w:bCs/>
          <w:sz w:val="20"/>
          <w:szCs w:val="20"/>
        </w:rPr>
        <w:t>BROAD CAPITAL ACQUISITION CORP</w:t>
      </w:r>
    </w:p>
    <w:p w14:paraId="21F7724F" w14:textId="77777777" w:rsidR="00000000" w:rsidRDefault="007F5353">
      <w:pPr>
        <w:pStyle w:val="a3"/>
        <w:spacing w:before="0" w:beforeAutospacing="0" w:after="0" w:afterAutospacing="0"/>
        <w:jc w:val="center"/>
        <w:rPr>
          <w:sz w:val="20"/>
          <w:szCs w:val="20"/>
        </w:rPr>
      </w:pPr>
      <w:r>
        <w:rPr>
          <w:sz w:val="20"/>
          <w:szCs w:val="20"/>
        </w:rPr>
        <w:t> </w:t>
      </w:r>
    </w:p>
    <w:p w14:paraId="2CE9052F" w14:textId="77777777" w:rsidR="00000000" w:rsidRDefault="007F5353">
      <w:pPr>
        <w:pStyle w:val="a3"/>
        <w:spacing w:before="0" w:beforeAutospacing="0" w:after="0" w:afterAutospacing="0"/>
        <w:jc w:val="center"/>
        <w:rPr>
          <w:sz w:val="20"/>
          <w:szCs w:val="20"/>
        </w:rPr>
      </w:pPr>
      <w:r>
        <w:rPr>
          <w:b/>
          <w:bCs/>
          <w:sz w:val="20"/>
          <w:szCs w:val="20"/>
        </w:rPr>
        <w:t>NOTES TO FINANCIAL STATEMENTS</w:t>
      </w:r>
    </w:p>
    <w:p w14:paraId="0278B6AB" w14:textId="77777777" w:rsidR="00000000" w:rsidRDefault="007F5353">
      <w:pPr>
        <w:pStyle w:val="a3"/>
        <w:spacing w:before="0" w:beforeAutospacing="0" w:after="0" w:afterAutospacing="0"/>
        <w:jc w:val="both"/>
        <w:rPr>
          <w:sz w:val="20"/>
          <w:szCs w:val="20"/>
        </w:rPr>
      </w:pPr>
      <w:r>
        <w:rPr>
          <w:sz w:val="20"/>
          <w:szCs w:val="20"/>
        </w:rPr>
        <w:t> </w:t>
      </w:r>
    </w:p>
    <w:p w14:paraId="6C046262" w14:textId="77777777" w:rsidR="00000000" w:rsidRDefault="007F5353">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DESCRIPTION OF ORGANIZATION, BUSINESS OPERATION</w:t>
      </w:r>
      <w:r>
        <w:rPr>
          <w:b/>
          <w:bCs/>
          <w:sz w:val="20"/>
          <w:szCs w:val="20"/>
        </w:rPr>
        <w:t>S</w:t>
      </w:r>
    </w:p>
    <w:p w14:paraId="7F3F4681" w14:textId="77777777" w:rsidR="00000000" w:rsidRDefault="007F5353">
      <w:pPr>
        <w:pStyle w:val="a3"/>
        <w:spacing w:before="0" w:beforeAutospacing="0" w:after="0" w:afterAutospacing="0"/>
        <w:ind w:firstLine="300"/>
        <w:jc w:val="both"/>
        <w:rPr>
          <w:sz w:val="20"/>
          <w:szCs w:val="20"/>
        </w:rPr>
      </w:pPr>
      <w:r>
        <w:rPr>
          <w:sz w:val="20"/>
          <w:szCs w:val="20"/>
        </w:rPr>
        <w:t> </w:t>
      </w:r>
    </w:p>
    <w:p w14:paraId="3980D234" w14:textId="77777777" w:rsidR="00000000" w:rsidRDefault="007F5353">
      <w:pPr>
        <w:pStyle w:val="a3"/>
        <w:shd w:val="clear" w:color="auto" w:fill="FFFFFF"/>
        <w:spacing w:before="0" w:beforeAutospacing="0" w:after="0" w:afterAutospacing="0"/>
        <w:jc w:val="both"/>
        <w:rPr>
          <w:sz w:val="20"/>
          <w:szCs w:val="20"/>
        </w:rPr>
      </w:pPr>
      <w:r>
        <w:rPr>
          <w:sz w:val="20"/>
          <w:szCs w:val="20"/>
        </w:rPr>
        <w:t>Broad Capital Acquisition Corp (the “Company”) is a blank check company incorporated in the State of Delaware on April 16, 2021. The Company was formed for the purpose of acquiring, engaging in a share exc</w:t>
      </w:r>
      <w:r>
        <w:rPr>
          <w:sz w:val="20"/>
          <w:szCs w:val="20"/>
        </w:rPr>
        <w:t>hange, share reconstruction and amalgamation with, purchasing all or substantially all of the assets of, entering into contractual arrangements with, or engaging in any other similar business combination with one or more businesses or entities (“Business C</w:t>
      </w:r>
      <w:r>
        <w:rPr>
          <w:sz w:val="20"/>
          <w:szCs w:val="20"/>
        </w:rPr>
        <w:t>ombination”). The Company is not limited to a particular industry or sector for purposes of consummating a Business Combination.</w:t>
      </w:r>
    </w:p>
    <w:p w14:paraId="1E0CDACD" w14:textId="77777777" w:rsidR="00000000" w:rsidRDefault="007F5353">
      <w:pPr>
        <w:pStyle w:val="a3"/>
        <w:spacing w:before="0" w:beforeAutospacing="0" w:after="0" w:afterAutospacing="0"/>
        <w:jc w:val="both"/>
        <w:rPr>
          <w:sz w:val="20"/>
          <w:szCs w:val="20"/>
        </w:rPr>
      </w:pPr>
      <w:r>
        <w:rPr>
          <w:sz w:val="20"/>
          <w:szCs w:val="20"/>
        </w:rPr>
        <w:t> </w:t>
      </w:r>
    </w:p>
    <w:p w14:paraId="6E32B001" w14:textId="77777777" w:rsidR="00000000" w:rsidRDefault="007F5353">
      <w:pPr>
        <w:pStyle w:val="a3"/>
        <w:shd w:val="clear" w:color="auto" w:fill="FFFFFF"/>
        <w:spacing w:before="0" w:beforeAutospacing="0" w:after="0" w:afterAutospacing="0"/>
        <w:jc w:val="both"/>
        <w:rPr>
          <w:sz w:val="20"/>
          <w:szCs w:val="20"/>
        </w:rPr>
      </w:pPr>
      <w:r>
        <w:rPr>
          <w:sz w:val="20"/>
          <w:szCs w:val="20"/>
        </w:rPr>
        <w:t>As of June 30, 2022, the Company had not commenced any operations. All activity for the (inception) through December 31, 2021</w:t>
      </w:r>
      <w:r>
        <w:rPr>
          <w:sz w:val="20"/>
          <w:szCs w:val="20"/>
        </w:rPr>
        <w:t xml:space="preserve"> and the six months ended June 30, 2022 relates to the Company’s formation and the Initial Public Offering (as defined below). The Company will not generate any operating revenues until after the completion of its initial Business Combination, at the earli</w:t>
      </w:r>
      <w:r>
        <w:rPr>
          <w:sz w:val="20"/>
          <w:szCs w:val="20"/>
        </w:rPr>
        <w:t>est. The Company will generate non-operating income in the form of interest income on cash and cash equivalents from the proceeds derived from the Initial Public Offering. The Company has selected December 31 as its fiscal year end. The Company is an early</w:t>
      </w:r>
      <w:r>
        <w:rPr>
          <w:sz w:val="20"/>
          <w:szCs w:val="20"/>
        </w:rPr>
        <w:t xml:space="preserve"> stage and emerging growth company and, as such, the Company is subject to all of the risks associated with early stage and emerging growth companies.</w:t>
      </w:r>
    </w:p>
    <w:p w14:paraId="299705C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1C5A765" w14:textId="77777777" w:rsidR="00000000" w:rsidRDefault="007F5353">
      <w:pPr>
        <w:pStyle w:val="a3"/>
        <w:shd w:val="clear" w:color="auto" w:fill="FFFFFF"/>
        <w:spacing w:before="0" w:beforeAutospacing="0" w:after="0" w:afterAutospacing="0"/>
        <w:jc w:val="both"/>
        <w:rPr>
          <w:sz w:val="20"/>
          <w:szCs w:val="20"/>
        </w:rPr>
      </w:pPr>
      <w:r>
        <w:rPr>
          <w:sz w:val="20"/>
          <w:szCs w:val="20"/>
        </w:rPr>
        <w:t>The Company’s sponsor is Broad Capital LLC, a Delaware limited liability company (the “Sponsor”). The r</w:t>
      </w:r>
      <w:r>
        <w:rPr>
          <w:sz w:val="20"/>
          <w:szCs w:val="20"/>
        </w:rPr>
        <w:t>egistration statement for the Company’s Initial Public Offering was declared effective on January 10, 2022. 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 (the “Units” and, with respect to the shares of common stock</w:t>
      </w:r>
      <w:r>
        <w:rPr>
          <w:sz w:val="20"/>
          <w:szCs w:val="20"/>
        </w:rPr>
        <w:t xml:space="preserve"> included in the Units being offered, the “Public Shares”), at </w:t>
      </w:r>
      <w:r>
        <w:rPr>
          <w:sz w:val="20"/>
          <w:szCs w:val="20"/>
        </w:rPr>
        <w:t>$</w:t>
      </w:r>
      <w:r>
        <w:rPr>
          <w:sz w:val="20"/>
          <w:szCs w:val="20"/>
        </w:rPr>
        <w:t>10.0</w:t>
      </w:r>
      <w:r>
        <w:rPr>
          <w:sz w:val="20"/>
          <w:szCs w:val="20"/>
        </w:rPr>
        <w:t>0</w:t>
      </w:r>
      <w:r>
        <w:rPr>
          <w:sz w:val="20"/>
          <w:szCs w:val="20"/>
        </w:rPr>
        <w:t xml:space="preserve"> per Unit, generating gross proceeds of </w:t>
      </w:r>
      <w:r>
        <w:rPr>
          <w:sz w:val="20"/>
          <w:szCs w:val="20"/>
        </w:rPr>
        <w:t>$</w:t>
      </w:r>
      <w:r>
        <w:rPr>
          <w:sz w:val="20"/>
          <w:szCs w:val="20"/>
        </w:rPr>
        <w:t>100,000,00</w:t>
      </w:r>
      <w:r>
        <w:rPr>
          <w:sz w:val="20"/>
          <w:szCs w:val="20"/>
        </w:rPr>
        <w:t>0</w:t>
      </w:r>
      <w:r>
        <w:rPr>
          <w:sz w:val="20"/>
          <w:szCs w:val="20"/>
        </w:rPr>
        <w:t xml:space="preserve"> (the “Initial Public Offering”), and incurring transaction costs of </w:t>
      </w:r>
      <w:r>
        <w:rPr>
          <w:sz w:val="20"/>
          <w:szCs w:val="20"/>
        </w:rPr>
        <w:t>$</w:t>
      </w:r>
      <w:r>
        <w:rPr>
          <w:sz w:val="20"/>
          <w:szCs w:val="20"/>
        </w:rPr>
        <w:t>6,917,22</w:t>
      </w:r>
      <w:r>
        <w:rPr>
          <w:sz w:val="20"/>
          <w:szCs w:val="20"/>
        </w:rPr>
        <w:t>6</w:t>
      </w:r>
      <w:r>
        <w:rPr>
          <w:sz w:val="20"/>
          <w:szCs w:val="20"/>
        </w:rPr>
        <w:t xml:space="preserve">, of which </w:t>
      </w:r>
      <w:r>
        <w:rPr>
          <w:sz w:val="20"/>
          <w:szCs w:val="20"/>
        </w:rPr>
        <w:t>$</w:t>
      </w:r>
      <w:r>
        <w:rPr>
          <w:sz w:val="20"/>
          <w:szCs w:val="20"/>
        </w:rPr>
        <w:t>3,500,00</w:t>
      </w:r>
      <w:r>
        <w:rPr>
          <w:sz w:val="20"/>
          <w:szCs w:val="20"/>
        </w:rPr>
        <w:t>0</w:t>
      </w:r>
      <w:r>
        <w:rPr>
          <w:sz w:val="20"/>
          <w:szCs w:val="20"/>
        </w:rPr>
        <w:t xml:space="preserve"> was for deferred underwriting comm</w:t>
      </w:r>
      <w:r>
        <w:rPr>
          <w:sz w:val="20"/>
          <w:szCs w:val="20"/>
        </w:rPr>
        <w:t>issions (see Note 6). The Company granted the underwriter a 45-day option to purchase up to an additional</w:t>
      </w:r>
      <w:r>
        <w:rPr>
          <w:sz w:val="20"/>
          <w:szCs w:val="20"/>
        </w:rPr>
        <w:t xml:space="preserve"> </w:t>
      </w:r>
      <w:r>
        <w:rPr>
          <w:sz w:val="20"/>
          <w:szCs w:val="20"/>
        </w:rPr>
        <w:t>1,500,00</w:t>
      </w:r>
      <w:r>
        <w:rPr>
          <w:sz w:val="20"/>
          <w:szCs w:val="20"/>
        </w:rPr>
        <w:t>0</w:t>
      </w:r>
      <w:r>
        <w:rPr>
          <w:sz w:val="20"/>
          <w:szCs w:val="20"/>
        </w:rPr>
        <w:t xml:space="preserve"> Units at the Initial Public Offering price to cover over-allotments, if any. On February 9, 2022, the Underwriters partially exercised the o</w:t>
      </w:r>
      <w:r>
        <w:rPr>
          <w:sz w:val="20"/>
          <w:szCs w:val="20"/>
        </w:rPr>
        <w:t>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w:t>
      </w:r>
    </w:p>
    <w:p w14:paraId="36B38A16"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0C530E8" w14:textId="77777777" w:rsidR="00000000" w:rsidRDefault="007F5353">
      <w:pPr>
        <w:pStyle w:val="a3"/>
        <w:shd w:val="clear" w:color="auto" w:fill="FFFFFF"/>
        <w:spacing w:before="0" w:beforeAutospacing="0" w:after="0" w:afterAutospacing="0"/>
        <w:jc w:val="both"/>
        <w:rPr>
          <w:sz w:val="20"/>
          <w:szCs w:val="20"/>
        </w:rPr>
      </w:pPr>
      <w:r>
        <w:rPr>
          <w:sz w:val="20"/>
          <w:szCs w:val="20"/>
        </w:rPr>
        <w:t>Simultaneously with the consummation o</w:t>
      </w:r>
      <w:r>
        <w:rPr>
          <w:sz w:val="20"/>
          <w:szCs w:val="20"/>
        </w:rPr>
        <w:t>f the closing of the Initial Public Offering, the Company consummated the private placement of an aggregate of</w:t>
      </w:r>
      <w:r>
        <w:rPr>
          <w:sz w:val="20"/>
          <w:szCs w:val="20"/>
        </w:rPr>
        <w:t xml:space="preserve"> </w:t>
      </w:r>
      <w:r>
        <w:rPr>
          <w:sz w:val="20"/>
          <w:szCs w:val="20"/>
        </w:rPr>
        <w:t>446,35</w:t>
      </w:r>
      <w:r>
        <w:rPr>
          <w:sz w:val="20"/>
          <w:szCs w:val="20"/>
        </w:rPr>
        <w:t>8</w:t>
      </w:r>
      <w:r>
        <w:rPr>
          <w:sz w:val="20"/>
          <w:szCs w:val="20"/>
        </w:rPr>
        <w:t xml:space="preserve"> units (the “Placement Units”) to the Sponsor at a price of </w:t>
      </w:r>
      <w:r>
        <w:rPr>
          <w:sz w:val="20"/>
          <w:szCs w:val="20"/>
        </w:rPr>
        <w:t>$</w:t>
      </w:r>
      <w:r>
        <w:rPr>
          <w:sz w:val="20"/>
          <w:szCs w:val="20"/>
        </w:rPr>
        <w:t>10.0</w:t>
      </w:r>
      <w:r>
        <w:rPr>
          <w:sz w:val="20"/>
          <w:szCs w:val="20"/>
        </w:rPr>
        <w:t>0</w:t>
      </w:r>
      <w:r>
        <w:rPr>
          <w:sz w:val="20"/>
          <w:szCs w:val="20"/>
        </w:rPr>
        <w:t xml:space="preserve"> per Placement Unit, generating total gross proceeds of </w:t>
      </w:r>
      <w:r>
        <w:rPr>
          <w:sz w:val="20"/>
          <w:szCs w:val="20"/>
        </w:rPr>
        <w:t>$</w:t>
      </w:r>
      <w:r>
        <w:rPr>
          <w:sz w:val="20"/>
          <w:szCs w:val="20"/>
        </w:rPr>
        <w:t>4,463,58</w:t>
      </w:r>
      <w:r>
        <w:rPr>
          <w:sz w:val="20"/>
          <w:szCs w:val="20"/>
        </w:rPr>
        <w:t>0</w:t>
      </w:r>
      <w:r>
        <w:rPr>
          <w:sz w:val="20"/>
          <w:szCs w:val="20"/>
        </w:rPr>
        <w:t xml:space="preserve"> (the </w:t>
      </w:r>
      <w:r>
        <w:rPr>
          <w:sz w:val="20"/>
          <w:szCs w:val="20"/>
        </w:rPr>
        <w:t>“Private Placement”) (see Note 4). With the exercise of the overallotment, the Company consummated the Private Placement of</w:t>
      </w:r>
      <w:r>
        <w:rPr>
          <w:sz w:val="20"/>
          <w:szCs w:val="20"/>
        </w:rPr>
        <w:t xml:space="preserve"> </w:t>
      </w:r>
      <w:r>
        <w:rPr>
          <w:sz w:val="20"/>
          <w:szCs w:val="20"/>
        </w:rPr>
        <w:t>4,77</w:t>
      </w:r>
      <w:r>
        <w:rPr>
          <w:sz w:val="20"/>
          <w:szCs w:val="20"/>
        </w:rPr>
        <w:t>2</w:t>
      </w:r>
      <w:r>
        <w:rPr>
          <w:sz w:val="20"/>
          <w:szCs w:val="20"/>
        </w:rPr>
        <w:t xml:space="preserve"> Placement Units to Broad Capital LLC, a Delaware limited liability company (the “Sponsor”), generating gross proceeds of </w:t>
      </w:r>
      <w:r>
        <w:rPr>
          <w:sz w:val="20"/>
          <w:szCs w:val="20"/>
        </w:rPr>
        <w:t>$</w:t>
      </w:r>
      <w:r>
        <w:rPr>
          <w:sz w:val="20"/>
          <w:szCs w:val="20"/>
        </w:rPr>
        <w:t>47,7</w:t>
      </w:r>
      <w:r>
        <w:rPr>
          <w:sz w:val="20"/>
          <w:szCs w:val="20"/>
        </w:rPr>
        <w:t>2</w:t>
      </w:r>
      <w:r>
        <w:rPr>
          <w:sz w:val="20"/>
          <w:szCs w:val="20"/>
        </w:rPr>
        <w:t>0</w:t>
      </w:r>
      <w:r>
        <w:rPr>
          <w:sz w:val="20"/>
          <w:szCs w:val="20"/>
        </w:rPr>
        <w:t>.</w:t>
      </w:r>
    </w:p>
    <w:p w14:paraId="47F1EFA0"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782A192" w14:textId="77777777" w:rsidR="00000000" w:rsidRDefault="007F5353">
      <w:pPr>
        <w:pStyle w:val="a3"/>
        <w:shd w:val="clear" w:color="auto" w:fill="FFFFFF"/>
        <w:spacing w:before="0" w:beforeAutospacing="0" w:after="0" w:afterAutospacing="0"/>
        <w:jc w:val="both"/>
        <w:rPr>
          <w:sz w:val="20"/>
          <w:szCs w:val="20"/>
        </w:rPr>
      </w:pPr>
      <w:r>
        <w:rPr>
          <w:sz w:val="20"/>
          <w:szCs w:val="20"/>
        </w:rPr>
        <w:t>On February 10, 2022, the underwriters partially exercised the over-allotment option and purchased an additional</w:t>
      </w:r>
      <w:r>
        <w:rPr>
          <w:sz w:val="20"/>
          <w:szCs w:val="20"/>
        </w:rPr>
        <w:t xml:space="preserve"> </w:t>
      </w:r>
      <w:r>
        <w:rPr>
          <w:sz w:val="20"/>
          <w:szCs w:val="20"/>
        </w:rPr>
        <w:t>159,06</w:t>
      </w:r>
      <w:r>
        <w:rPr>
          <w:sz w:val="20"/>
          <w:szCs w:val="20"/>
        </w:rPr>
        <w:t>9</w:t>
      </w:r>
      <w:r>
        <w:rPr>
          <w:sz w:val="20"/>
          <w:szCs w:val="20"/>
        </w:rPr>
        <w:t xml:space="preserve"> Units, generating gross proceeds of </w:t>
      </w:r>
      <w:r>
        <w:rPr>
          <w:sz w:val="20"/>
          <w:szCs w:val="20"/>
        </w:rPr>
        <w:t>$</w:t>
      </w:r>
      <w:r>
        <w:rPr>
          <w:sz w:val="20"/>
          <w:szCs w:val="20"/>
        </w:rPr>
        <w:t>1,590,69</w:t>
      </w:r>
      <w:r>
        <w:rPr>
          <w:sz w:val="20"/>
          <w:szCs w:val="20"/>
        </w:rPr>
        <w:t>0</w:t>
      </w:r>
      <w:r>
        <w:rPr>
          <w:sz w:val="20"/>
          <w:szCs w:val="20"/>
        </w:rPr>
        <w:t xml:space="preserve"> and forfeited the remainder of the option, which is</w:t>
      </w:r>
      <w:r>
        <w:rPr>
          <w:sz w:val="20"/>
          <w:szCs w:val="20"/>
        </w:rPr>
        <w:t xml:space="preserve"> </w:t>
      </w:r>
      <w:r>
        <w:rPr>
          <w:sz w:val="20"/>
          <w:szCs w:val="20"/>
        </w:rPr>
        <w:t>335,23</w:t>
      </w:r>
      <w:r>
        <w:rPr>
          <w:sz w:val="20"/>
          <w:szCs w:val="20"/>
        </w:rPr>
        <w:t>3</w:t>
      </w:r>
      <w:r>
        <w:rPr>
          <w:sz w:val="20"/>
          <w:szCs w:val="20"/>
        </w:rPr>
        <w:t xml:space="preserve"> shares of common stock</w:t>
      </w:r>
      <w:r>
        <w:rPr>
          <w:sz w:val="20"/>
          <w:szCs w:val="20"/>
        </w:rPr>
        <w:t xml:space="preserve">. In connection with the closing and sale of the Over-Allotment Units and the additional Placement Units (together,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(which amount includes </w:t>
      </w:r>
      <w:r>
        <w:rPr>
          <w:sz w:val="20"/>
          <w:szCs w:val="20"/>
        </w:rPr>
        <w:t>$</w:t>
      </w:r>
      <w:r>
        <w:rPr>
          <w:sz w:val="20"/>
          <w:szCs w:val="20"/>
        </w:rPr>
        <w:t>31,81</w:t>
      </w:r>
      <w:r>
        <w:rPr>
          <w:sz w:val="20"/>
          <w:szCs w:val="20"/>
        </w:rPr>
        <w:t>4</w:t>
      </w:r>
      <w:r>
        <w:rPr>
          <w:sz w:val="20"/>
          <w:szCs w:val="20"/>
        </w:rPr>
        <w:t xml:space="preserve"> of the Under</w:t>
      </w:r>
      <w:r>
        <w:rPr>
          <w:sz w:val="20"/>
          <w:szCs w:val="20"/>
        </w:rPr>
        <w:t>writers’ deferred discount) was placed in a U.S.-based trust account established for the benefit of the Company’s public shareholders, maintained by Continental Stock Transfer &amp; Trust Company, acting as trustee.</w:t>
      </w:r>
    </w:p>
    <w:p w14:paraId="597D2CB6" w14:textId="77777777" w:rsidR="00000000" w:rsidRDefault="007F5353">
      <w:pPr>
        <w:pStyle w:val="a3"/>
        <w:spacing w:before="0" w:beforeAutospacing="0" w:after="0" w:afterAutospacing="0"/>
        <w:jc w:val="both"/>
        <w:rPr>
          <w:sz w:val="20"/>
          <w:szCs w:val="20"/>
        </w:rPr>
      </w:pPr>
      <w:r>
        <w:rPr>
          <w:sz w:val="20"/>
          <w:szCs w:val="20"/>
        </w:rPr>
        <w:t> </w:t>
      </w:r>
    </w:p>
    <w:p w14:paraId="322937AE" w14:textId="77777777" w:rsidR="00000000" w:rsidRDefault="007F5353">
      <w:pPr>
        <w:pStyle w:val="a3"/>
        <w:shd w:val="clear" w:color="auto" w:fill="FFFFFF"/>
        <w:spacing w:before="0" w:beforeAutospacing="0" w:after="0" w:afterAutospacing="0"/>
        <w:jc w:val="both"/>
        <w:rPr>
          <w:sz w:val="20"/>
          <w:szCs w:val="20"/>
        </w:rPr>
      </w:pPr>
      <w:r>
        <w:rPr>
          <w:sz w:val="20"/>
          <w:szCs w:val="20"/>
        </w:rPr>
        <w:t>Following the closing of the Initial Publi</w:t>
      </w:r>
      <w:r>
        <w:rPr>
          <w:sz w:val="20"/>
          <w:szCs w:val="20"/>
        </w:rPr>
        <w:t xml:space="preserve">c Offering on January 13, 2022, an amount of </w:t>
      </w:r>
      <w:r>
        <w:rPr>
          <w:sz w:val="20"/>
          <w:szCs w:val="20"/>
        </w:rPr>
        <w:t>$</w:t>
      </w:r>
      <w:r>
        <w:rPr>
          <w:sz w:val="20"/>
          <w:szCs w:val="20"/>
        </w:rPr>
        <w:t>101,000,00</w:t>
      </w:r>
      <w:r>
        <w:rPr>
          <w:sz w:val="20"/>
          <w:szCs w:val="20"/>
        </w:rPr>
        <w:t>0</w:t>
      </w:r>
      <w:r>
        <w:rPr>
          <w:sz w:val="20"/>
          <w:szCs w:val="20"/>
        </w:rPr>
        <w:t xml:space="preserve"> (</w:t>
      </w:r>
      <w:r>
        <w:rPr>
          <w:sz w:val="20"/>
          <w:szCs w:val="20"/>
        </w:rPr>
        <w:t>$</w:t>
      </w:r>
      <w:r>
        <w:rPr>
          <w:sz w:val="20"/>
          <w:szCs w:val="20"/>
        </w:rPr>
        <w:t>10.1</w:t>
      </w:r>
      <w:r>
        <w:rPr>
          <w:sz w:val="20"/>
          <w:szCs w:val="20"/>
        </w:rPr>
        <w:t>0</w:t>
      </w:r>
      <w:r>
        <w:rPr>
          <w:sz w:val="20"/>
          <w:szCs w:val="20"/>
        </w:rPr>
        <w:t xml:space="preserve"> per Unit) from the net proceeds of the sale of the Units in the Initial Public Offering and a portion of the proceeds from the sale of the Placement Units was placed in a trust account (the </w:t>
      </w:r>
      <w:r>
        <w:rPr>
          <w:sz w:val="20"/>
          <w:szCs w:val="20"/>
        </w:rPr>
        <w:t>“Trust Account”), located in the United States and held as cash items or may be invested in U.S. government securities, within the meaning set forth in Section 2(a)(16) of the Investment Company Act, with a maturity of 185 days or less, or in any open-ende</w:t>
      </w:r>
      <w:r>
        <w:rPr>
          <w:sz w:val="20"/>
          <w:szCs w:val="20"/>
        </w:rPr>
        <w:t>d investment company that holds itself out as a money market fund meeting the conditions of Rule 2a-7 of the Investment Company Act, as determined by the Company, until the earlier of: (i) the consummation of a Business Combination or (ii) the distribution</w:t>
      </w:r>
      <w:r>
        <w:rPr>
          <w:sz w:val="20"/>
          <w:szCs w:val="20"/>
        </w:rPr>
        <w:t xml:space="preserve"> of the funds in the Trust Account to the Company’s stockholders, as described below.</w:t>
      </w:r>
    </w:p>
    <w:p w14:paraId="7249E7D3"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A0D1A7C" w14:textId="77777777">
        <w:trPr>
          <w:divId w:val="921645548"/>
        </w:trPr>
        <w:tc>
          <w:tcPr>
            <w:tcW w:w="5000" w:type="pct"/>
            <w:hideMark/>
          </w:tcPr>
          <w:p w14:paraId="184F6CC9"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458BE018" w14:textId="77777777">
        <w:tc>
          <w:tcPr>
            <w:tcW w:w="5000" w:type="pct"/>
            <w:hideMark/>
          </w:tcPr>
          <w:p w14:paraId="23BDDB1E" w14:textId="77777777" w:rsidR="00000000" w:rsidRDefault="007F5353">
            <w:pPr>
              <w:jc w:val="center"/>
              <w:rPr>
                <w:rFonts w:eastAsia="Times New Roman"/>
                <w:sz w:val="20"/>
                <w:szCs w:val="20"/>
              </w:rPr>
            </w:pPr>
            <w:r>
              <w:rPr>
                <w:rFonts w:eastAsia="Times New Roman"/>
                <w:sz w:val="20"/>
                <w:szCs w:val="20"/>
              </w:rPr>
              <w:t> </w:t>
            </w:r>
          </w:p>
        </w:tc>
      </w:tr>
    </w:tbl>
    <w:p w14:paraId="2220DC86" w14:textId="77777777" w:rsidR="00000000" w:rsidRDefault="007F5353">
      <w:pPr>
        <w:pStyle w:val="a3"/>
        <w:spacing w:before="0" w:beforeAutospacing="0" w:after="0" w:afterAutospacing="0"/>
        <w:jc w:val="both"/>
        <w:rPr>
          <w:sz w:val="20"/>
          <w:szCs w:val="20"/>
        </w:rPr>
      </w:pPr>
      <w:r>
        <w:rPr>
          <w:sz w:val="20"/>
          <w:szCs w:val="20"/>
        </w:rPr>
        <w:t> </w:t>
      </w:r>
    </w:p>
    <w:p w14:paraId="61B8D86B" w14:textId="77777777" w:rsidR="00000000" w:rsidRDefault="007F5353">
      <w:pPr>
        <w:pStyle w:val="a3"/>
        <w:spacing w:before="0" w:beforeAutospacing="0" w:after="0" w:afterAutospacing="0"/>
        <w:jc w:val="both"/>
        <w:rPr>
          <w:sz w:val="20"/>
          <w:szCs w:val="20"/>
        </w:rPr>
      </w:pPr>
      <w:r>
        <w:rPr>
          <w:sz w:val="20"/>
          <w:szCs w:val="20"/>
        </w:rPr>
        <w:t>The Company’</w:t>
      </w:r>
      <w:r>
        <w:rPr>
          <w:sz w:val="20"/>
          <w:szCs w:val="20"/>
        </w:rPr>
        <w:t>s management has broad discretion with respect to the specific application of the net proceeds of the Initial Public Offering and the sale of Placement Units, although substantially all of the net proceeds are intended to be applied generally toward consum</w:t>
      </w:r>
      <w:r>
        <w:rPr>
          <w:sz w:val="20"/>
          <w:szCs w:val="20"/>
        </w:rPr>
        <w:t>mating a Business Combination. There is no assurance that the Company will be able to complete a Business Combination successfully. The Company must complete one or more initial Business Combinations with one or more operating businesses or assets with a f</w:t>
      </w:r>
      <w:r>
        <w:rPr>
          <w:sz w:val="20"/>
          <w:szCs w:val="20"/>
        </w:rPr>
        <w:t>air market value equal to at least</w:t>
      </w:r>
      <w:r>
        <w:rPr>
          <w:sz w:val="20"/>
          <w:szCs w:val="20"/>
        </w:rPr>
        <w:t xml:space="preserve"> </w:t>
      </w:r>
      <w:r>
        <w:rPr>
          <w:sz w:val="20"/>
          <w:szCs w:val="20"/>
        </w:rPr>
        <w:t>8</w:t>
      </w:r>
      <w:r>
        <w:rPr>
          <w:sz w:val="20"/>
          <w:szCs w:val="20"/>
        </w:rPr>
        <w:t>0</w:t>
      </w:r>
      <w:r>
        <w:rPr>
          <w:sz w:val="20"/>
          <w:szCs w:val="20"/>
        </w:rPr>
        <w:t>% of the value of the net assets held in the Trust Account (as defined below) (excluding the deferred underwriting commissions and taxes payable on the interest earned on the Trust Account).</w:t>
      </w:r>
      <w:r>
        <w:rPr>
          <w:sz w:val="20"/>
          <w:szCs w:val="20"/>
        </w:rPr>
        <w:t xml:space="preserve"> </w:t>
      </w:r>
      <w:r>
        <w:rPr>
          <w:sz w:val="20"/>
          <w:szCs w:val="20"/>
        </w:rPr>
        <w:t>The Company will only comple</w:t>
      </w:r>
      <w:r>
        <w:rPr>
          <w:sz w:val="20"/>
          <w:szCs w:val="20"/>
        </w:rPr>
        <w:t>te a Business Combination if the post transaction company owns or acquires 50% or more of the outstanding voting securities of the target or otherwise acquires a controlling interest in the target business sufficient for it not to be required to register a</w:t>
      </w:r>
      <w:r>
        <w:rPr>
          <w:sz w:val="20"/>
          <w:szCs w:val="20"/>
        </w:rPr>
        <w:t>s an investment company under the Investment Company Act of 1940, as amended (the “Investment Company Act”</w:t>
      </w:r>
      <w:r>
        <w:rPr>
          <w:sz w:val="20"/>
          <w:szCs w:val="20"/>
        </w:rPr>
        <w:t>)</w:t>
      </w:r>
      <w:r>
        <w:rPr>
          <w:sz w:val="20"/>
          <w:szCs w:val="20"/>
        </w:rPr>
        <w:t>.</w:t>
      </w:r>
    </w:p>
    <w:p w14:paraId="0B53759D" w14:textId="77777777" w:rsidR="00000000" w:rsidRDefault="007F5353">
      <w:pPr>
        <w:pStyle w:val="a3"/>
        <w:spacing w:before="0" w:beforeAutospacing="0" w:after="0" w:afterAutospacing="0"/>
        <w:jc w:val="both"/>
        <w:rPr>
          <w:sz w:val="20"/>
          <w:szCs w:val="20"/>
        </w:rPr>
      </w:pPr>
      <w:r>
        <w:rPr>
          <w:sz w:val="20"/>
          <w:szCs w:val="20"/>
        </w:rPr>
        <w:t> </w:t>
      </w:r>
    </w:p>
    <w:p w14:paraId="1BD3BB5D" w14:textId="77777777" w:rsidR="00000000" w:rsidRDefault="007F5353">
      <w:pPr>
        <w:pStyle w:val="a3"/>
        <w:spacing w:before="0" w:beforeAutospacing="0" w:after="0" w:afterAutospacing="0"/>
        <w:jc w:val="both"/>
        <w:rPr>
          <w:sz w:val="20"/>
          <w:szCs w:val="20"/>
        </w:rPr>
      </w:pPr>
      <w:r>
        <w:rPr>
          <w:sz w:val="20"/>
          <w:szCs w:val="20"/>
        </w:rPr>
        <w:t xml:space="preserve">Upon the closing of the Initial Public Offering, management has agreed that an amount equal to at least </w:t>
      </w:r>
      <w:r>
        <w:rPr>
          <w:sz w:val="20"/>
          <w:szCs w:val="20"/>
        </w:rPr>
        <w:t>$</w:t>
      </w:r>
      <w:r>
        <w:rPr>
          <w:sz w:val="20"/>
          <w:szCs w:val="20"/>
        </w:rPr>
        <w:t>10.1</w:t>
      </w:r>
      <w:r>
        <w:rPr>
          <w:sz w:val="20"/>
          <w:szCs w:val="20"/>
        </w:rPr>
        <w:t>0</w:t>
      </w:r>
      <w:r>
        <w:rPr>
          <w:sz w:val="20"/>
          <w:szCs w:val="20"/>
        </w:rPr>
        <w:t xml:space="preserve"> per Unit sold in the Initial Publi</w:t>
      </w:r>
      <w:r>
        <w:rPr>
          <w:sz w:val="20"/>
          <w:szCs w:val="20"/>
        </w:rPr>
        <w:t>c Offering, including proceeds of the Placement Units, will be held in a trust account (“Trust Account”), located in the United States and invested only in U.S. government securities, within the meaning set forth in Section 2(a)(16) of the Investment Compa</w:t>
      </w:r>
      <w:r>
        <w:rPr>
          <w:sz w:val="20"/>
          <w:szCs w:val="20"/>
        </w:rPr>
        <w:t>ny Act, with a maturity of 185 days or less or in any open-ended investment company that holds itself out as a money market fund selected by the Company meeting certain conditions of Rule 2a-7 of the Investment Company Act, as determined by the Company, un</w:t>
      </w:r>
      <w:r>
        <w:rPr>
          <w:sz w:val="20"/>
          <w:szCs w:val="20"/>
        </w:rPr>
        <w:t>til the earlier of: (i) the completion of a Business Combination and (ii) the distribution of the funds held in the Trust Account, as described below.</w:t>
      </w:r>
    </w:p>
    <w:p w14:paraId="24C7A286" w14:textId="77777777" w:rsidR="00000000" w:rsidRDefault="007F5353">
      <w:pPr>
        <w:pStyle w:val="a3"/>
        <w:spacing w:before="0" w:beforeAutospacing="0" w:after="0" w:afterAutospacing="0"/>
        <w:jc w:val="both"/>
        <w:rPr>
          <w:sz w:val="20"/>
          <w:szCs w:val="20"/>
        </w:rPr>
      </w:pPr>
      <w:r>
        <w:rPr>
          <w:sz w:val="20"/>
          <w:szCs w:val="20"/>
        </w:rPr>
        <w:t> </w:t>
      </w:r>
    </w:p>
    <w:p w14:paraId="19B2A9F3" w14:textId="77777777" w:rsidR="00000000" w:rsidRDefault="007F5353">
      <w:pPr>
        <w:pStyle w:val="a3"/>
        <w:spacing w:before="0" w:beforeAutospacing="0" w:after="0" w:afterAutospacing="0"/>
        <w:jc w:val="both"/>
        <w:rPr>
          <w:sz w:val="20"/>
          <w:szCs w:val="20"/>
        </w:rPr>
      </w:pPr>
      <w:r>
        <w:rPr>
          <w:sz w:val="20"/>
          <w:szCs w:val="20"/>
        </w:rPr>
        <w:t xml:space="preserve">The Company will provide the holders of the outstanding Public Shares (the “Public Shareholders”) with </w:t>
      </w:r>
      <w:r>
        <w:rPr>
          <w:sz w:val="20"/>
          <w:szCs w:val="20"/>
        </w:rPr>
        <w:t>the opportunity to redeem all or a portion of their Public Shares either (i) in connection with a shareholders meeting called to approve the Business Combination or (ii) by means of a tender offer in connection with the Business Combination. The decision a</w:t>
      </w:r>
      <w:r>
        <w:rPr>
          <w:sz w:val="20"/>
          <w:szCs w:val="20"/>
        </w:rPr>
        <w:t>s to whether the Company will seek shareholder approval of a Business Combination or conduct a tender offer will be made by the Company. The Public Shareholders will be entitled to redeem their Public Shares for a pro rata portion of the amount then in the</w:t>
      </w:r>
      <w:r>
        <w:rPr>
          <w:sz w:val="20"/>
          <w:szCs w:val="20"/>
        </w:rPr>
        <w:t xml:space="preserve"> Trust Account (initially anticipated to be </w:t>
      </w:r>
      <w:r>
        <w:rPr>
          <w:sz w:val="20"/>
          <w:szCs w:val="20"/>
        </w:rPr>
        <w:t>$</w:t>
      </w:r>
      <w:r>
        <w:rPr>
          <w:sz w:val="20"/>
          <w:szCs w:val="20"/>
        </w:rPr>
        <w:t>10.1</w:t>
      </w:r>
      <w:r>
        <w:rPr>
          <w:sz w:val="20"/>
          <w:szCs w:val="20"/>
        </w:rPr>
        <w:t>0</w:t>
      </w:r>
      <w:r>
        <w:rPr>
          <w:sz w:val="20"/>
          <w:szCs w:val="20"/>
        </w:rPr>
        <w:t xml:space="preserve"> per Public Share, plus any pro rata interest then in the Trust Account, net of taxes payable). The Public Shares subject to redemption will be recorded at a redemption value and classified as temporary equ</w:t>
      </w:r>
      <w:r>
        <w:rPr>
          <w:sz w:val="20"/>
          <w:szCs w:val="20"/>
        </w:rPr>
        <w:t>ity upon the completion of the Initial Public Offering in accordance with the Accounting Standards Codification (“ASC”) Topic 480 “</w:t>
      </w:r>
      <w:r>
        <w:rPr>
          <w:i/>
          <w:iCs/>
          <w:sz w:val="20"/>
          <w:szCs w:val="20"/>
        </w:rPr>
        <w:t>Distinguishing Liabilities from Equity</w:t>
      </w:r>
      <w:r>
        <w:rPr>
          <w:sz w:val="20"/>
          <w:szCs w:val="20"/>
        </w:rPr>
        <w:t>”.</w:t>
      </w:r>
    </w:p>
    <w:p w14:paraId="762E9CC0" w14:textId="77777777" w:rsidR="00000000" w:rsidRDefault="007F5353">
      <w:pPr>
        <w:pStyle w:val="a3"/>
        <w:spacing w:before="0" w:beforeAutospacing="0" w:after="0" w:afterAutospacing="0"/>
        <w:jc w:val="both"/>
        <w:rPr>
          <w:sz w:val="20"/>
          <w:szCs w:val="20"/>
        </w:rPr>
      </w:pPr>
      <w:r>
        <w:rPr>
          <w:sz w:val="20"/>
          <w:szCs w:val="20"/>
        </w:rPr>
        <w:t> </w:t>
      </w:r>
    </w:p>
    <w:p w14:paraId="75406AE8" w14:textId="77777777" w:rsidR="00000000" w:rsidRDefault="007F5353">
      <w:pPr>
        <w:pStyle w:val="a3"/>
        <w:spacing w:before="0" w:beforeAutospacing="0" w:after="0" w:afterAutospacing="0"/>
        <w:jc w:val="both"/>
        <w:rPr>
          <w:sz w:val="20"/>
          <w:szCs w:val="20"/>
        </w:rPr>
      </w:pPr>
      <w:r>
        <w:rPr>
          <w:sz w:val="20"/>
          <w:szCs w:val="20"/>
        </w:rPr>
        <w:t>The Company will not redeem Public Shares in an amount that would cause its net ta</w:t>
      </w:r>
      <w:r>
        <w:rPr>
          <w:sz w:val="20"/>
          <w:szCs w:val="20"/>
        </w:rPr>
        <w:t xml:space="preserve">ngible assets to be less than </w:t>
      </w:r>
      <w:r>
        <w:rPr>
          <w:sz w:val="20"/>
          <w:szCs w:val="20"/>
        </w:rPr>
        <w:t>$</w:t>
      </w:r>
      <w:r>
        <w:rPr>
          <w:sz w:val="20"/>
          <w:szCs w:val="20"/>
        </w:rPr>
        <w:t>5,000,00</w:t>
      </w:r>
      <w:r>
        <w:rPr>
          <w:sz w:val="20"/>
          <w:szCs w:val="20"/>
        </w:rPr>
        <w:t>1</w:t>
      </w:r>
      <w:r>
        <w:rPr>
          <w:sz w:val="20"/>
          <w:szCs w:val="20"/>
        </w:rPr>
        <w:t xml:space="preserve"> (so that it does not then become subject to the SEC’s “penny stock” rules) or any greater net tangible asset or cash requirement which may be contained in the agreement relating to the Business Combination. If the C</w:t>
      </w:r>
      <w:r>
        <w:rPr>
          <w:sz w:val="20"/>
          <w:szCs w:val="20"/>
        </w:rPr>
        <w:t>ompany seeks shareholder approval of the Business Combination, the Company will proceed with a Business Combination if a majority of the outstanding shares voted are voted in favor of the Business Combination, or such other vote as required by law or stock</w:t>
      </w:r>
      <w:r>
        <w:rPr>
          <w:sz w:val="20"/>
          <w:szCs w:val="20"/>
        </w:rPr>
        <w:t xml:space="preserve"> exchange rule. If a shareholder vote is not required by applicable law or stock exchange listing requirements and the Company does not decide to hold a shareholder vote for business or other reasons, the Company will, pursuant to its second amended and re</w:t>
      </w:r>
      <w:r>
        <w:rPr>
          <w:sz w:val="20"/>
          <w:szCs w:val="20"/>
        </w:rPr>
        <w:t>stated certificate of incorporation (the “Certificate of Incorporation”), conduct the redemptions pursuant to the tender offer rules of the U.S. Securities and Exchange Commission (“SEC”) and file tender offer documents with the SEC prior to completing a B</w:t>
      </w:r>
      <w:r>
        <w:rPr>
          <w:sz w:val="20"/>
          <w:szCs w:val="20"/>
        </w:rPr>
        <w:t>usiness Combination.</w:t>
      </w:r>
    </w:p>
    <w:p w14:paraId="43523B8B" w14:textId="77777777" w:rsidR="00000000" w:rsidRDefault="007F5353">
      <w:pPr>
        <w:pStyle w:val="a3"/>
        <w:spacing w:before="0" w:beforeAutospacing="0" w:after="0" w:afterAutospacing="0"/>
        <w:jc w:val="both"/>
        <w:rPr>
          <w:sz w:val="20"/>
          <w:szCs w:val="20"/>
        </w:rPr>
      </w:pPr>
      <w:r>
        <w:rPr>
          <w:sz w:val="20"/>
          <w:szCs w:val="20"/>
        </w:rPr>
        <w:t> </w:t>
      </w:r>
    </w:p>
    <w:p w14:paraId="44C327AD" w14:textId="77777777" w:rsidR="00000000" w:rsidRDefault="007F5353">
      <w:pPr>
        <w:pStyle w:val="a3"/>
        <w:spacing w:before="0" w:beforeAutospacing="0" w:after="0" w:afterAutospacing="0"/>
        <w:jc w:val="both"/>
        <w:rPr>
          <w:sz w:val="20"/>
          <w:szCs w:val="20"/>
        </w:rPr>
      </w:pPr>
      <w:r>
        <w:rPr>
          <w:sz w:val="20"/>
          <w:szCs w:val="20"/>
        </w:rPr>
        <w:t>If, however, shareholder approval of the transaction is required by applicable law or stock exchange listing requirements, or the Company decides to obtain shareholder approval for business or other reasons, the Company will offer to</w:t>
      </w:r>
      <w:r>
        <w:rPr>
          <w:sz w:val="20"/>
          <w:szCs w:val="20"/>
        </w:rPr>
        <w:t xml:space="preserve"> redeem shares in conjunction with a proxy solicitation pursuant to the proxy rules and not pursuant to the tender offer rules. If the Company seeks shareholder approval in connection with a Business Combination, the Sponsor has agreed to vote its Insider </w:t>
      </w:r>
      <w:r>
        <w:rPr>
          <w:sz w:val="20"/>
          <w:szCs w:val="20"/>
        </w:rPr>
        <w:t>shares (as defined in Note 5) and any Public Shares purchased during or after the Public Offering in favor of approving a Business Combination. Additionally, each Public Shareholder may elect to redeem their Public Shares without voting, and if they do vot</w:t>
      </w:r>
      <w:r>
        <w:rPr>
          <w:sz w:val="20"/>
          <w:szCs w:val="20"/>
        </w:rPr>
        <w:t>e, irrespective of whether they vote for or against the proposed transaction.</w:t>
      </w:r>
    </w:p>
    <w:p w14:paraId="0DD5EC12"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9ED3A44" w14:textId="77777777">
        <w:trPr>
          <w:divId w:val="988825299"/>
        </w:trPr>
        <w:tc>
          <w:tcPr>
            <w:tcW w:w="5000" w:type="pct"/>
            <w:hideMark/>
          </w:tcPr>
          <w:p w14:paraId="62CE284F"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1D1D56B7" w14:textId="77777777">
        <w:tc>
          <w:tcPr>
            <w:tcW w:w="5000" w:type="pct"/>
            <w:hideMark/>
          </w:tcPr>
          <w:p w14:paraId="3CE0F4D5" w14:textId="77777777" w:rsidR="00000000" w:rsidRDefault="007F5353">
            <w:pPr>
              <w:jc w:val="center"/>
              <w:rPr>
                <w:rFonts w:eastAsia="Times New Roman"/>
                <w:sz w:val="20"/>
                <w:szCs w:val="20"/>
              </w:rPr>
            </w:pPr>
            <w:r>
              <w:rPr>
                <w:rFonts w:eastAsia="Times New Roman"/>
                <w:sz w:val="20"/>
                <w:szCs w:val="20"/>
              </w:rPr>
              <w:t> </w:t>
            </w:r>
          </w:p>
        </w:tc>
      </w:tr>
    </w:tbl>
    <w:p w14:paraId="09945AF6" w14:textId="77777777" w:rsidR="00000000" w:rsidRDefault="007F5353">
      <w:pPr>
        <w:pStyle w:val="a3"/>
        <w:spacing w:before="0" w:beforeAutospacing="0" w:after="0" w:afterAutospacing="0"/>
        <w:jc w:val="both"/>
        <w:rPr>
          <w:sz w:val="20"/>
          <w:szCs w:val="20"/>
        </w:rPr>
      </w:pPr>
      <w:r>
        <w:rPr>
          <w:sz w:val="20"/>
          <w:szCs w:val="20"/>
        </w:rPr>
        <w:t> </w:t>
      </w:r>
    </w:p>
    <w:p w14:paraId="1B7256DA" w14:textId="77777777" w:rsidR="00000000" w:rsidRDefault="007F5353">
      <w:pPr>
        <w:pStyle w:val="a3"/>
        <w:spacing w:before="0" w:beforeAutospacing="0" w:after="0" w:afterAutospacing="0"/>
        <w:jc w:val="both"/>
        <w:rPr>
          <w:sz w:val="20"/>
          <w:szCs w:val="20"/>
        </w:rPr>
      </w:pPr>
      <w:r>
        <w:rPr>
          <w:sz w:val="20"/>
          <w:szCs w:val="20"/>
        </w:rPr>
        <w:t>Notwithstanding the foregoing, if the Company seeks shareholder approval of a Business Combination and it does not conduct redemptions pursuant to the tender offer r</w:t>
      </w:r>
      <w:r>
        <w:rPr>
          <w:sz w:val="20"/>
          <w:szCs w:val="20"/>
        </w:rPr>
        <w:t>ules, the Certificate of Incorporation will provide that a Public Shareholder, together with any affiliate of such shareholder or any other person with whom such shareholder is acting in concert or as a “group” (as defined under Section 13 of the Securitie</w:t>
      </w:r>
      <w:r>
        <w:rPr>
          <w:sz w:val="20"/>
          <w:szCs w:val="20"/>
        </w:rPr>
        <w:t>s Exchange Act of 1934, as amended (the “Exchange Act”)), will be restricted from redeeming its shares with respect to more than an aggregate of 20% of the Public Shares, without the prior consent of the Company.</w:t>
      </w:r>
    </w:p>
    <w:p w14:paraId="0C7AA79D" w14:textId="77777777" w:rsidR="00000000" w:rsidRDefault="007F5353">
      <w:pPr>
        <w:pStyle w:val="a3"/>
        <w:spacing w:before="0" w:beforeAutospacing="0" w:after="0" w:afterAutospacing="0"/>
        <w:jc w:val="both"/>
        <w:rPr>
          <w:sz w:val="20"/>
          <w:szCs w:val="20"/>
        </w:rPr>
      </w:pPr>
      <w:r>
        <w:rPr>
          <w:sz w:val="20"/>
          <w:szCs w:val="20"/>
        </w:rPr>
        <w:t> </w:t>
      </w:r>
    </w:p>
    <w:p w14:paraId="587CF146" w14:textId="77777777" w:rsidR="00000000" w:rsidRDefault="007F5353">
      <w:pPr>
        <w:pStyle w:val="a3"/>
        <w:spacing w:before="0" w:beforeAutospacing="0" w:after="0" w:afterAutospacing="0"/>
        <w:jc w:val="both"/>
        <w:rPr>
          <w:sz w:val="20"/>
          <w:szCs w:val="20"/>
        </w:rPr>
      </w:pPr>
      <w:r>
        <w:rPr>
          <w:sz w:val="20"/>
          <w:szCs w:val="20"/>
        </w:rPr>
        <w:t>The holders of the Insider Shares have ag</w:t>
      </w:r>
      <w:r>
        <w:rPr>
          <w:sz w:val="20"/>
          <w:szCs w:val="20"/>
        </w:rPr>
        <w:t>reed (a) to waive their redemption rights with respect to the Insider Shares and Public Shares held by them in connection with the completion of a Business Combination and (b) not to propose an amendment to the Certificate of Incorporation (i) to modify th</w:t>
      </w:r>
      <w:r>
        <w:rPr>
          <w:sz w:val="20"/>
          <w:szCs w:val="20"/>
        </w:rPr>
        <w:t>e substance or timing of the Company’s obligation to allow redemptions in connection with a Business Combination or to redeem</w:t>
      </w:r>
      <w:r>
        <w:rPr>
          <w:sz w:val="20"/>
          <w:szCs w:val="20"/>
        </w:rPr>
        <w:t xml:space="preserve"> </w:t>
      </w:r>
      <w:r>
        <w:rPr>
          <w:sz w:val="20"/>
          <w:szCs w:val="20"/>
        </w:rPr>
        <w:t>10</w:t>
      </w:r>
      <w:r>
        <w:rPr>
          <w:sz w:val="20"/>
          <w:szCs w:val="20"/>
        </w:rPr>
        <w:t>0</w:t>
      </w:r>
      <w:r>
        <w:rPr>
          <w:sz w:val="20"/>
          <w:szCs w:val="20"/>
        </w:rPr>
        <w:t>% of its Public Shares if the Company does not complete a Business Combination within the Combination Period (as defined below)</w:t>
      </w:r>
      <w:r>
        <w:rPr>
          <w:sz w:val="20"/>
          <w:szCs w:val="20"/>
        </w:rPr>
        <w:t xml:space="preserve"> or (ii) with respect to any other provision relating to shareholders’ rights or pre-business combination activity, unless the Company provides the Public Shareholders with the opportunity to redeem their Public Shares in conjunction with any such amendmen</w:t>
      </w:r>
      <w:r>
        <w:rPr>
          <w:sz w:val="20"/>
          <w:szCs w:val="20"/>
        </w:rPr>
        <w:t>t.</w:t>
      </w:r>
    </w:p>
    <w:p w14:paraId="4C40EFF5" w14:textId="77777777" w:rsidR="00000000" w:rsidRDefault="007F5353">
      <w:pPr>
        <w:pStyle w:val="a3"/>
        <w:spacing w:before="0" w:beforeAutospacing="0" w:after="0" w:afterAutospacing="0"/>
        <w:jc w:val="both"/>
        <w:rPr>
          <w:sz w:val="20"/>
          <w:szCs w:val="20"/>
        </w:rPr>
      </w:pPr>
      <w:r>
        <w:rPr>
          <w:sz w:val="20"/>
          <w:szCs w:val="20"/>
        </w:rPr>
        <w:t> </w:t>
      </w:r>
    </w:p>
    <w:p w14:paraId="72426890" w14:textId="77777777" w:rsidR="00000000" w:rsidRDefault="007F5353">
      <w:pPr>
        <w:pStyle w:val="a3"/>
        <w:spacing w:before="0" w:beforeAutospacing="0" w:after="0" w:afterAutospacing="0"/>
        <w:jc w:val="both"/>
        <w:rPr>
          <w:sz w:val="20"/>
          <w:szCs w:val="20"/>
        </w:rPr>
      </w:pPr>
      <w:r>
        <w:rPr>
          <w:sz w:val="20"/>
          <w:szCs w:val="20"/>
        </w:rPr>
        <w:t xml:space="preserve">If </w:t>
      </w:r>
      <w:r>
        <w:rPr>
          <w:sz w:val="20"/>
          <w:szCs w:val="20"/>
        </w:rPr>
        <w:t>the Company has not completed a Business Combination within 12 months (or 15 months, or 18 months, as applicable from the closing of the Initial Public Offering (the “Combination Period”), the Company will (i) cease all operations except for the purpose of</w:t>
      </w:r>
      <w:r>
        <w:rPr>
          <w:sz w:val="20"/>
          <w:szCs w:val="20"/>
        </w:rPr>
        <w:t xml:space="preserve"> winding up, (ii) as promptly as reasonably possible but not more than ten business days thereafter, redeem the Public Shares, at a per-share price, payable in cash, equal to the aggregate amount then on deposit in the Trust Account, including interest ear</w:t>
      </w:r>
      <w:r>
        <w:rPr>
          <w:sz w:val="20"/>
          <w:szCs w:val="20"/>
        </w:rPr>
        <w:t xml:space="preserve">ned on the funds held in the Trust Account and not previously released to pay taxes (less up to </w:t>
      </w:r>
      <w:r>
        <w:rPr>
          <w:sz w:val="20"/>
          <w:szCs w:val="20"/>
        </w:rPr>
        <w:t>$</w:t>
      </w:r>
      <w:r>
        <w:rPr>
          <w:sz w:val="20"/>
          <w:szCs w:val="20"/>
        </w:rPr>
        <w:t>100,00</w:t>
      </w:r>
      <w:r>
        <w:rPr>
          <w:sz w:val="20"/>
          <w:szCs w:val="20"/>
        </w:rPr>
        <w:t>0</w:t>
      </w:r>
      <w:r>
        <w:rPr>
          <w:sz w:val="20"/>
          <w:szCs w:val="20"/>
        </w:rPr>
        <w:t xml:space="preserve"> of interest to pay dissolution expenses), divided by the number of then outstanding Public Shares, which redemption will completely extinguish Public S</w:t>
      </w:r>
      <w:r>
        <w:rPr>
          <w:sz w:val="20"/>
          <w:szCs w:val="20"/>
        </w:rPr>
        <w:t xml:space="preserve">hareholders’ rights as shareholders (including the right to receive further liquidating distributions, if any), and (iii) as promptly as reasonably possible following such redemption, subject to the approval of the Company’s remaining shareholders and the </w:t>
      </w:r>
      <w:r>
        <w:rPr>
          <w:sz w:val="20"/>
          <w:szCs w:val="20"/>
        </w:rPr>
        <w:t>Company’s board of directors, dissolve and liquidate, subject in each case to the Company’s obligations under Delaware law to provide for claims of creditors and the requirements of other applicable law.</w:t>
      </w:r>
    </w:p>
    <w:p w14:paraId="78B23EFD" w14:textId="77777777" w:rsidR="00000000" w:rsidRDefault="007F5353">
      <w:pPr>
        <w:pStyle w:val="a3"/>
        <w:spacing w:before="0" w:beforeAutospacing="0" w:after="0" w:afterAutospacing="0"/>
        <w:jc w:val="both"/>
        <w:rPr>
          <w:sz w:val="20"/>
          <w:szCs w:val="20"/>
        </w:rPr>
      </w:pPr>
      <w:r>
        <w:rPr>
          <w:sz w:val="20"/>
          <w:szCs w:val="20"/>
        </w:rPr>
        <w:t> </w:t>
      </w:r>
    </w:p>
    <w:p w14:paraId="692778A7" w14:textId="77777777" w:rsidR="00000000" w:rsidRDefault="007F5353">
      <w:pPr>
        <w:pStyle w:val="a3"/>
        <w:spacing w:before="0" w:beforeAutospacing="0" w:after="0" w:afterAutospacing="0"/>
        <w:jc w:val="both"/>
        <w:rPr>
          <w:sz w:val="20"/>
          <w:szCs w:val="20"/>
        </w:rPr>
      </w:pPr>
      <w:r>
        <w:rPr>
          <w:sz w:val="20"/>
          <w:szCs w:val="20"/>
        </w:rPr>
        <w:t>The holders of the Insider Shares have agreed to w</w:t>
      </w:r>
      <w:r>
        <w:rPr>
          <w:sz w:val="20"/>
          <w:szCs w:val="20"/>
        </w:rPr>
        <w:t>aive their liquidation rights with respect to the Insider shares if the Company fails to complete a Business Combination within the Combination Period. However, if the holders of Insider shares acquire Public Shares in or after the Initial Public Offering,</w:t>
      </w:r>
      <w:r>
        <w:rPr>
          <w:sz w:val="20"/>
          <w:szCs w:val="20"/>
        </w:rPr>
        <w:t xml:space="preserve"> such Public Shares will be entitled to liquidating distributions from the Trust Account if the Company fails to complete a Business Combination within the Combination Period. The underwriters have agreed to waive their rights to their deferred underwritin</w:t>
      </w:r>
      <w:r>
        <w:rPr>
          <w:sz w:val="20"/>
          <w:szCs w:val="20"/>
        </w:rPr>
        <w:t>g commission (see Note 6) held in the Trust Account in the event the Company does not complete a Business Combination within the Combination Period and, in such event, such amounts will be included with the other funds held in the Trust Account that will b</w:t>
      </w:r>
      <w:r>
        <w:rPr>
          <w:sz w:val="20"/>
          <w:szCs w:val="20"/>
        </w:rPr>
        <w:t>e available to fund the redemption of the Public Shares.</w:t>
      </w:r>
      <w:r>
        <w:rPr>
          <w:sz w:val="20"/>
          <w:szCs w:val="20"/>
        </w:rPr>
        <w:t xml:space="preserve"> </w:t>
      </w:r>
      <w:r>
        <w:rPr>
          <w:sz w:val="20"/>
          <w:szCs w:val="20"/>
        </w:rPr>
        <w:t>In the event of such distribution, it is possible that the per share value of the assets remaining available for distribution will be less than the Initial Public Offering price per Unit ($10.00</w:t>
      </w:r>
      <w:r>
        <w:rPr>
          <w:sz w:val="20"/>
          <w:szCs w:val="20"/>
        </w:rPr>
        <w:t>)</w:t>
      </w:r>
      <w:r>
        <w:rPr>
          <w:sz w:val="20"/>
          <w:szCs w:val="20"/>
        </w:rPr>
        <w:t>.</w:t>
      </w:r>
    </w:p>
    <w:p w14:paraId="2A4C8B8A" w14:textId="77777777" w:rsidR="00000000" w:rsidRDefault="007F5353">
      <w:pPr>
        <w:pStyle w:val="a3"/>
        <w:spacing w:before="0" w:beforeAutospacing="0" w:after="0" w:afterAutospacing="0"/>
        <w:jc w:val="both"/>
        <w:rPr>
          <w:sz w:val="20"/>
          <w:szCs w:val="20"/>
        </w:rPr>
      </w:pPr>
      <w:r>
        <w:rPr>
          <w:sz w:val="20"/>
          <w:szCs w:val="20"/>
        </w:rPr>
        <w:t> </w:t>
      </w:r>
    </w:p>
    <w:p w14:paraId="5592040C" w14:textId="77777777" w:rsidR="00000000" w:rsidRDefault="007F5353">
      <w:pPr>
        <w:pStyle w:val="a3"/>
        <w:spacing w:before="0" w:beforeAutospacing="0" w:after="0" w:afterAutospacing="0"/>
        <w:jc w:val="both"/>
        <w:rPr>
          <w:sz w:val="20"/>
          <w:szCs w:val="20"/>
        </w:rPr>
      </w:pPr>
      <w:r>
        <w:rPr>
          <w:sz w:val="20"/>
          <w:szCs w:val="20"/>
        </w:rPr>
        <w:t>In order to protect the amounts held in the Trust Account, the Sponsor has agreed to be liable to the Company if and to the extent any claims by a third party for services rendered or products sold to the Company, or a prospective target business with whic</w:t>
      </w:r>
      <w:r>
        <w:rPr>
          <w:sz w:val="20"/>
          <w:szCs w:val="20"/>
        </w:rPr>
        <w:t xml:space="preserve">h the Company has discussed entering into a transaction agreement, reduce the amount of funds in the Trust Account to below (i) $10.10 per Public Share or (ii) such lesser amount per Public Share held in the Trust Account as of the date of the liquidation </w:t>
      </w:r>
      <w:r>
        <w:rPr>
          <w:sz w:val="20"/>
          <w:szCs w:val="20"/>
        </w:rPr>
        <w:t>of the Trust Account, if less than $10.10 per Public Share due to reductions in the value of the trust assets, in each case net of the amount of interest which may be withdrawn to pay taxes, except as to any claims by a third party who executed a waiver of</w:t>
      </w:r>
      <w:r>
        <w:rPr>
          <w:sz w:val="20"/>
          <w:szCs w:val="20"/>
        </w:rPr>
        <w:t xml:space="preserve"> any and all rights to seek access to the Trust Account and except as to any claims under the Company’s indemnity of the underwriters of the Initial Public Offering against certain liabilities, including liabilities under the Securities Act of 1933, as ame</w:t>
      </w:r>
      <w:r>
        <w:rPr>
          <w:sz w:val="20"/>
          <w:szCs w:val="20"/>
        </w:rPr>
        <w:t>nded (the “Securities Act”). Moreover, in the event that an executed waiver is deemed to be unenforceable against a third party, the Sponsor will not be responsible to the extent of any liability for such third-party claim</w:t>
      </w:r>
      <w:r>
        <w:rPr>
          <w:sz w:val="20"/>
          <w:szCs w:val="20"/>
        </w:rPr>
        <w:t>s</w:t>
      </w:r>
      <w:r>
        <w:rPr>
          <w:sz w:val="20"/>
          <w:szCs w:val="20"/>
        </w:rPr>
        <w:t>. The Company will seek to reduce</w:t>
      </w:r>
      <w:r>
        <w:rPr>
          <w:sz w:val="20"/>
          <w:szCs w:val="20"/>
        </w:rPr>
        <w:t xml:space="preserve"> the possibility that the Sponsor will have to indemnify the Trust Account due to claims of creditors by endeavoring to have all vendors, service providers (except for the Company’s independent registered accounting firm), prospective target businesses and</w:t>
      </w:r>
      <w:r>
        <w:rPr>
          <w:sz w:val="20"/>
          <w:szCs w:val="20"/>
        </w:rPr>
        <w:t xml:space="preserve"> other entities with which the Company does business, execute agreements with the Company waiving any right, title, interest or claim of any kind in or to monies held in the Trust Account.</w:t>
      </w:r>
    </w:p>
    <w:p w14:paraId="5DB2352C"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214AE8F" w14:textId="77777777">
        <w:trPr>
          <w:divId w:val="1323506616"/>
        </w:trPr>
        <w:tc>
          <w:tcPr>
            <w:tcW w:w="5000" w:type="pct"/>
            <w:hideMark/>
          </w:tcPr>
          <w:p w14:paraId="18AEB9A5"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4155142D" w14:textId="77777777">
        <w:tc>
          <w:tcPr>
            <w:tcW w:w="5000" w:type="pct"/>
            <w:hideMark/>
          </w:tcPr>
          <w:p w14:paraId="6E795F97" w14:textId="77777777" w:rsidR="00000000" w:rsidRDefault="007F5353">
            <w:pPr>
              <w:jc w:val="center"/>
              <w:rPr>
                <w:rFonts w:eastAsia="Times New Roman"/>
                <w:sz w:val="20"/>
                <w:szCs w:val="20"/>
              </w:rPr>
            </w:pPr>
            <w:r>
              <w:rPr>
                <w:rFonts w:eastAsia="Times New Roman"/>
                <w:sz w:val="20"/>
                <w:szCs w:val="20"/>
              </w:rPr>
              <w:t> </w:t>
            </w:r>
          </w:p>
        </w:tc>
      </w:tr>
    </w:tbl>
    <w:p w14:paraId="77F3D78A" w14:textId="77777777" w:rsidR="00000000" w:rsidRDefault="007F5353">
      <w:pPr>
        <w:pStyle w:val="a3"/>
        <w:spacing w:before="0" w:beforeAutospacing="0" w:after="0" w:afterAutospacing="0"/>
        <w:jc w:val="both"/>
        <w:rPr>
          <w:sz w:val="20"/>
          <w:szCs w:val="20"/>
        </w:rPr>
      </w:pPr>
      <w:r>
        <w:rPr>
          <w:b/>
          <w:bCs/>
          <w:sz w:val="20"/>
          <w:szCs w:val="20"/>
        </w:rPr>
        <w:t> </w:t>
      </w:r>
    </w:p>
    <w:p w14:paraId="60A0B720" w14:textId="77777777" w:rsidR="00000000" w:rsidRDefault="007F5353">
      <w:pPr>
        <w:pStyle w:val="a3"/>
        <w:shd w:val="clear" w:color="auto" w:fill="FFFFFF"/>
        <w:spacing w:before="0" w:beforeAutospacing="0" w:after="0" w:afterAutospacing="0"/>
        <w:jc w:val="both"/>
        <w:rPr>
          <w:sz w:val="20"/>
          <w:szCs w:val="20"/>
        </w:rPr>
      </w:pPr>
      <w:r>
        <w:rPr>
          <w:b/>
          <w:bCs/>
          <w:sz w:val="20"/>
          <w:szCs w:val="20"/>
        </w:rPr>
        <w:t>Liquidity and Capital Resources</w:t>
      </w:r>
    </w:p>
    <w:p w14:paraId="109E3958" w14:textId="77777777" w:rsidR="00000000" w:rsidRDefault="007F5353">
      <w:pPr>
        <w:pStyle w:val="a3"/>
        <w:shd w:val="clear" w:color="auto" w:fill="FFFFFF"/>
        <w:spacing w:before="0" w:beforeAutospacing="0" w:after="0" w:afterAutospacing="0"/>
        <w:ind w:firstLine="360"/>
        <w:jc w:val="both"/>
        <w:rPr>
          <w:sz w:val="20"/>
          <w:szCs w:val="20"/>
        </w:rPr>
      </w:pPr>
      <w:r>
        <w:rPr>
          <w:sz w:val="20"/>
          <w:szCs w:val="20"/>
        </w:rPr>
        <w:t> </w:t>
      </w:r>
    </w:p>
    <w:p w14:paraId="210A9BF8" w14:textId="77777777" w:rsidR="00000000" w:rsidRDefault="007F5353">
      <w:pPr>
        <w:pStyle w:val="a3"/>
        <w:shd w:val="clear" w:color="auto" w:fill="FFFFFF"/>
        <w:spacing w:before="0" w:beforeAutospacing="0" w:after="0" w:afterAutospacing="0"/>
        <w:jc w:val="both"/>
        <w:rPr>
          <w:sz w:val="20"/>
          <w:szCs w:val="20"/>
        </w:rPr>
      </w:pPr>
      <w:r>
        <w:rPr>
          <w:sz w:val="20"/>
          <w:szCs w:val="20"/>
        </w:rPr>
        <w:t>As of June 30, 2022,</w:t>
      </w:r>
      <w:r>
        <w:rPr>
          <w:sz w:val="20"/>
          <w:szCs w:val="20"/>
        </w:rPr>
        <w:t xml:space="preserve"> the Company had </w:t>
      </w:r>
      <w:r>
        <w:rPr>
          <w:sz w:val="20"/>
          <w:szCs w:val="20"/>
        </w:rPr>
        <w:t>$</w:t>
      </w:r>
      <w:r>
        <w:rPr>
          <w:sz w:val="20"/>
          <w:szCs w:val="20"/>
        </w:rPr>
        <w:t>622,35</w:t>
      </w:r>
      <w:r>
        <w:rPr>
          <w:sz w:val="20"/>
          <w:szCs w:val="20"/>
        </w:rPr>
        <w:t>1</w:t>
      </w:r>
      <w:r>
        <w:rPr>
          <w:sz w:val="20"/>
          <w:szCs w:val="20"/>
        </w:rPr>
        <w:t xml:space="preserve"> of cash in its operating bank account.</w:t>
      </w:r>
    </w:p>
    <w:p w14:paraId="2F0E3902"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4FADD93E"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The Company’s liquidity needs prior to the consummation of the Initial Public Offering were satisfied through the payment of </w:t>
      </w:r>
      <w:r>
        <w:rPr>
          <w:sz w:val="20"/>
          <w:szCs w:val="20"/>
        </w:rPr>
        <w:t>$</w:t>
      </w:r>
      <w:r>
        <w:rPr>
          <w:sz w:val="20"/>
          <w:szCs w:val="20"/>
        </w:rPr>
        <w:t>25,00</w:t>
      </w:r>
      <w:r>
        <w:rPr>
          <w:sz w:val="20"/>
          <w:szCs w:val="20"/>
        </w:rPr>
        <w:t>0</w:t>
      </w:r>
      <w:r>
        <w:rPr>
          <w:sz w:val="20"/>
          <w:szCs w:val="20"/>
        </w:rPr>
        <w:t xml:space="preserve"> from the Sponsor to cover for certain offering costs on </w:t>
      </w:r>
      <w:r>
        <w:rPr>
          <w:sz w:val="20"/>
          <w:szCs w:val="20"/>
        </w:rPr>
        <w:t xml:space="preserve">the Company’s behalf in exchange for issuance of Insider shares (as defined in Note 4). Following the Initial Public Offering of the Company on January 13, 2022, a total of </w:t>
      </w:r>
      <w:r>
        <w:rPr>
          <w:sz w:val="20"/>
          <w:szCs w:val="20"/>
        </w:rPr>
        <w:t>$</w:t>
      </w:r>
      <w:r>
        <w:rPr>
          <w:sz w:val="20"/>
          <w:szCs w:val="20"/>
        </w:rPr>
        <w:t>133,53</w:t>
      </w:r>
      <w:r>
        <w:rPr>
          <w:sz w:val="20"/>
          <w:szCs w:val="20"/>
        </w:rPr>
        <w:t>3</w:t>
      </w:r>
      <w:r>
        <w:rPr>
          <w:sz w:val="20"/>
          <w:szCs w:val="20"/>
        </w:rPr>
        <w:t xml:space="preserve"> under the promissory note was repaid on January 19, 2022. Subsequent to th</w:t>
      </w:r>
      <w:r>
        <w:rPr>
          <w:sz w:val="20"/>
          <w:szCs w:val="20"/>
        </w:rPr>
        <w:t>e consummation of the Initial Public Offering, the Company’s liquidity has been satisfied through the net proceeds from the consummation of the Initial Public Offering and the Private Placement held outside of the Trust Account. In addition, in order to fi</w:t>
      </w:r>
      <w:r>
        <w:rPr>
          <w:sz w:val="20"/>
          <w:szCs w:val="20"/>
        </w:rPr>
        <w:t>nance transaction costs in connection with a Business Combination, the Sponsor or an affiliate of the Sponsor, or certain of the Company’s officers and directors may, but are not obligated to, provide the Company Working Capital Loans (as defined in Note 4</w:t>
      </w:r>
      <w:r>
        <w:rPr>
          <w:sz w:val="20"/>
          <w:szCs w:val="20"/>
        </w:rPr>
        <w:t>). As of June 30, 2022, there were no amounts outstanding under any Working Capital Loan.</w:t>
      </w:r>
    </w:p>
    <w:p w14:paraId="5B73FF5B" w14:textId="77777777" w:rsidR="00000000" w:rsidRDefault="007F5353">
      <w:pPr>
        <w:pStyle w:val="a3"/>
        <w:spacing w:before="0" w:beforeAutospacing="0" w:after="0" w:afterAutospacing="0"/>
        <w:jc w:val="both"/>
        <w:rPr>
          <w:sz w:val="20"/>
          <w:szCs w:val="20"/>
        </w:rPr>
      </w:pPr>
      <w:r>
        <w:rPr>
          <w:sz w:val="20"/>
          <w:szCs w:val="20"/>
        </w:rPr>
        <w:t> </w:t>
      </w:r>
    </w:p>
    <w:p w14:paraId="0C182C1D"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Based </w:t>
      </w:r>
      <w:r>
        <w:rPr>
          <w:sz w:val="20"/>
          <w:szCs w:val="20"/>
        </w:rPr>
        <w:t xml:space="preserve">on the foregoing, management believes that the Company will have sufficient working capital and borrowing capacity to meet its needs through the earlier of the consummation of a Business Combination or one year from this filing. Over this time period, the </w:t>
      </w:r>
      <w:r>
        <w:rPr>
          <w:sz w:val="20"/>
          <w:szCs w:val="20"/>
        </w:rPr>
        <w:t>Company will be using the funds held outside of the Trust Account for paying existing accounts payable, identifying and evaluating prospective initial Business Combination candidates, performing due diligence on prospective target businesses, paying for tr</w:t>
      </w:r>
      <w:r>
        <w:rPr>
          <w:sz w:val="20"/>
          <w:szCs w:val="20"/>
        </w:rPr>
        <w:t>avel expenditures, selecting the target business to merge with or acquire, and structuring, negotiating and consummating the Business Combination.</w:t>
      </w:r>
    </w:p>
    <w:p w14:paraId="16611726"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5C1D2A4" w14:textId="77777777" w:rsidR="00000000" w:rsidRDefault="007F5353">
      <w:pPr>
        <w:pStyle w:val="a3"/>
        <w:shd w:val="clear" w:color="auto" w:fill="FFFFFF"/>
        <w:spacing w:before="0" w:beforeAutospacing="0" w:after="0" w:afterAutospacing="0"/>
        <w:jc w:val="both"/>
        <w:rPr>
          <w:sz w:val="20"/>
          <w:szCs w:val="20"/>
        </w:rPr>
      </w:pPr>
      <w:r>
        <w:rPr>
          <w:b/>
          <w:bCs/>
          <w:sz w:val="20"/>
          <w:szCs w:val="20"/>
        </w:rPr>
        <w:t>Going Concern Consideration</w:t>
      </w:r>
    </w:p>
    <w:p w14:paraId="17BA9C25" w14:textId="77777777" w:rsidR="00000000" w:rsidRDefault="007F5353">
      <w:pPr>
        <w:pStyle w:val="a3"/>
        <w:shd w:val="clear" w:color="auto" w:fill="FFFFFF"/>
        <w:spacing w:before="0" w:beforeAutospacing="0" w:after="0" w:afterAutospacing="0"/>
        <w:jc w:val="both"/>
        <w:rPr>
          <w:sz w:val="20"/>
          <w:szCs w:val="20"/>
        </w:rPr>
      </w:pPr>
      <w:r>
        <w:rPr>
          <w:b/>
          <w:bCs/>
          <w:sz w:val="20"/>
          <w:szCs w:val="20"/>
        </w:rPr>
        <w:t> </w:t>
      </w:r>
    </w:p>
    <w:p w14:paraId="6D05049D" w14:textId="77777777" w:rsidR="00000000" w:rsidRDefault="007F5353">
      <w:pPr>
        <w:pStyle w:val="a3"/>
        <w:shd w:val="clear" w:color="auto" w:fill="FFFFFF"/>
        <w:spacing w:before="0" w:beforeAutospacing="0" w:after="0" w:afterAutospacing="0"/>
        <w:jc w:val="both"/>
        <w:rPr>
          <w:sz w:val="20"/>
          <w:szCs w:val="20"/>
        </w:rPr>
      </w:pPr>
      <w:r>
        <w:rPr>
          <w:sz w:val="20"/>
          <w:szCs w:val="20"/>
        </w:rPr>
        <w:t>The Company expects to incur significant costs in pursuit of its financing an</w:t>
      </w:r>
      <w:r>
        <w:rPr>
          <w:sz w:val="20"/>
          <w:szCs w:val="20"/>
        </w:rPr>
        <w:t>d acquisition plans. In connection with the Company’s assessment of going concern considerations in accordance with Accounting Standards Update (“ASU”) 2014-15, “Disclosures of Uncertainties about an Entity’s Ability to Continue as a Going Concern,” manage</w:t>
      </w:r>
      <w:r>
        <w:rPr>
          <w:sz w:val="20"/>
          <w:szCs w:val="20"/>
        </w:rPr>
        <w:t xml:space="preserve">ment has determined that if the Company is unsuccessful in consummating an initial business combination within the prescribed period of time from the closing of the Initial Public Offering, the requirement that the Company cease all operations, redeem the </w:t>
      </w:r>
      <w:r>
        <w:rPr>
          <w:sz w:val="20"/>
          <w:szCs w:val="20"/>
        </w:rPr>
        <w:t>public shares and thereafter liquidate and dissolve raises substantial doubt about the ability to continue as a going concern. The balance sheet does not include any adjustments that might result from the outcome of this uncertainty. Management has determi</w:t>
      </w:r>
      <w:r>
        <w:rPr>
          <w:sz w:val="20"/>
          <w:szCs w:val="20"/>
        </w:rPr>
        <w:t>ned that the Company has funds that are sufficient to fund the working capital needs of the Company until the consummation of an initial business combination or the winding up of the Company as stipulated in the Company’s amended and restated memorandum of</w:t>
      </w:r>
      <w:r>
        <w:rPr>
          <w:sz w:val="20"/>
          <w:szCs w:val="20"/>
        </w:rPr>
        <w:t xml:space="preserve"> association. The accompanying financial statement has been prepared in conformity with generally accepted accounting principles in the United States of America (“GAAP”), which contemplate continuation of the Company as a going concern.</w:t>
      </w:r>
    </w:p>
    <w:p w14:paraId="748EFEAE"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C0BFAF" w14:textId="77777777">
        <w:trPr>
          <w:divId w:val="1937470552"/>
        </w:trPr>
        <w:tc>
          <w:tcPr>
            <w:tcW w:w="5000" w:type="pct"/>
            <w:hideMark/>
          </w:tcPr>
          <w:p w14:paraId="2CCD5EF6"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30BE6391" w14:textId="77777777">
        <w:tc>
          <w:tcPr>
            <w:tcW w:w="5000" w:type="pct"/>
            <w:hideMark/>
          </w:tcPr>
          <w:p w14:paraId="46867EE1" w14:textId="77777777" w:rsidR="00000000" w:rsidRDefault="007F5353">
            <w:pPr>
              <w:jc w:val="center"/>
              <w:rPr>
                <w:rFonts w:eastAsia="Times New Roman"/>
                <w:sz w:val="20"/>
                <w:szCs w:val="20"/>
              </w:rPr>
            </w:pPr>
            <w:r>
              <w:rPr>
                <w:rFonts w:eastAsia="Times New Roman"/>
                <w:sz w:val="20"/>
                <w:szCs w:val="20"/>
              </w:rPr>
              <w:t> </w:t>
            </w:r>
          </w:p>
        </w:tc>
      </w:tr>
    </w:tbl>
    <w:p w14:paraId="12FE85C0" w14:textId="77777777" w:rsidR="00000000" w:rsidRDefault="007F5353">
      <w:pPr>
        <w:pStyle w:val="a3"/>
        <w:spacing w:before="0" w:beforeAutospacing="0" w:after="0" w:afterAutospacing="0"/>
        <w:jc w:val="both"/>
        <w:rPr>
          <w:sz w:val="20"/>
          <w:szCs w:val="20"/>
        </w:rPr>
      </w:pPr>
      <w:r>
        <w:rPr>
          <w:sz w:val="20"/>
          <w:szCs w:val="20"/>
        </w:rPr>
        <w:t> </w:t>
      </w:r>
    </w:p>
    <w:p w14:paraId="495DC295" w14:textId="77777777" w:rsidR="00000000" w:rsidRDefault="007F5353">
      <w:pPr>
        <w:pStyle w:val="a3"/>
        <w:spacing w:before="0" w:beforeAutospacing="0" w:after="0" w:afterAutospacing="0"/>
        <w:jc w:val="both"/>
        <w:rPr>
          <w:sz w:val="20"/>
          <w:szCs w:val="20"/>
        </w:rPr>
      </w:pPr>
      <w:r>
        <w:rPr>
          <w:b/>
          <w:bCs/>
          <w:sz w:val="20"/>
          <w:szCs w:val="20"/>
        </w:rPr>
        <w:t>NOTE 2</w:t>
      </w:r>
      <w:r>
        <w:rPr>
          <w:b/>
          <w:bCs/>
          <w:sz w:val="20"/>
          <w:szCs w:val="20"/>
        </w:rPr>
        <w:t>.</w:t>
      </w:r>
      <w:r>
        <w:rPr>
          <w:b/>
          <w:bCs/>
          <w:sz w:val="20"/>
          <w:szCs w:val="20"/>
        </w:rPr>
        <w:t xml:space="preserve"> </w:t>
      </w:r>
      <w:r>
        <w:rPr>
          <w:b/>
          <w:bCs/>
          <w:sz w:val="20"/>
          <w:szCs w:val="20"/>
        </w:rPr>
        <w:t>SUMMARY OF SIGNIFICANT ACCOUNTING POLICIE</w:t>
      </w:r>
      <w:r>
        <w:rPr>
          <w:b/>
          <w:bCs/>
          <w:sz w:val="20"/>
          <w:szCs w:val="20"/>
        </w:rPr>
        <w:t>S</w:t>
      </w:r>
    </w:p>
    <w:p w14:paraId="2CFEB1EF" w14:textId="77777777" w:rsidR="00000000" w:rsidRDefault="007F5353">
      <w:pPr>
        <w:pStyle w:val="a3"/>
        <w:spacing w:before="0" w:beforeAutospacing="0" w:after="0" w:afterAutospacing="0"/>
        <w:jc w:val="both"/>
        <w:rPr>
          <w:sz w:val="20"/>
          <w:szCs w:val="20"/>
        </w:rPr>
      </w:pPr>
      <w:r>
        <w:rPr>
          <w:sz w:val="20"/>
          <w:szCs w:val="20"/>
        </w:rPr>
        <w:t> </w:t>
      </w:r>
    </w:p>
    <w:p w14:paraId="41FCF591" w14:textId="77777777" w:rsidR="00000000" w:rsidRDefault="007F5353">
      <w:pPr>
        <w:pStyle w:val="a3"/>
        <w:spacing w:before="0" w:beforeAutospacing="0" w:after="0" w:afterAutospacing="0"/>
        <w:jc w:val="both"/>
        <w:rPr>
          <w:sz w:val="20"/>
          <w:szCs w:val="20"/>
        </w:rPr>
      </w:pPr>
      <w:r>
        <w:rPr>
          <w:b/>
          <w:bCs/>
          <w:sz w:val="20"/>
          <w:szCs w:val="20"/>
        </w:rPr>
        <w:t>Basis of Presentation</w:t>
      </w:r>
    </w:p>
    <w:p w14:paraId="20658A0E" w14:textId="77777777" w:rsidR="00000000" w:rsidRDefault="007F5353">
      <w:pPr>
        <w:pStyle w:val="a3"/>
        <w:spacing w:before="0" w:beforeAutospacing="0" w:after="0" w:afterAutospacing="0"/>
        <w:ind w:firstLine="300"/>
        <w:jc w:val="both"/>
        <w:rPr>
          <w:sz w:val="20"/>
          <w:szCs w:val="20"/>
        </w:rPr>
      </w:pPr>
      <w:r>
        <w:rPr>
          <w:sz w:val="20"/>
          <w:szCs w:val="20"/>
        </w:rPr>
        <w:t> </w:t>
      </w:r>
    </w:p>
    <w:p w14:paraId="726DEE69" w14:textId="77777777" w:rsidR="00000000" w:rsidRDefault="007F5353">
      <w:pPr>
        <w:pStyle w:val="a3"/>
        <w:shd w:val="clear" w:color="auto" w:fill="FFFFFF"/>
        <w:spacing w:before="0" w:beforeAutospacing="0" w:after="0" w:afterAutospacing="0"/>
        <w:jc w:val="both"/>
        <w:rPr>
          <w:sz w:val="20"/>
          <w:szCs w:val="20"/>
        </w:rPr>
      </w:pPr>
      <w:r>
        <w:rPr>
          <w:sz w:val="20"/>
          <w:szCs w:val="20"/>
        </w:rPr>
        <w:t>The accompanying financial statements are presented in U.S. Dollars and conformity with accounting principles generally accepted in the United States of America (“GAAP”) and pursuant to</w:t>
      </w:r>
      <w:r>
        <w:rPr>
          <w:sz w:val="20"/>
          <w:szCs w:val="20"/>
        </w:rPr>
        <w:t xml:space="preserve"> the rules and regulations of the SEC.</w:t>
      </w:r>
    </w:p>
    <w:p w14:paraId="7E601C3D" w14:textId="77777777" w:rsidR="00000000" w:rsidRDefault="007F5353">
      <w:pPr>
        <w:pStyle w:val="a3"/>
        <w:spacing w:before="0" w:beforeAutospacing="0" w:after="0" w:afterAutospacing="0"/>
        <w:jc w:val="both"/>
        <w:rPr>
          <w:sz w:val="20"/>
          <w:szCs w:val="20"/>
        </w:rPr>
      </w:pPr>
      <w:r>
        <w:rPr>
          <w:sz w:val="20"/>
          <w:szCs w:val="20"/>
        </w:rPr>
        <w:t> </w:t>
      </w:r>
    </w:p>
    <w:p w14:paraId="48285828" w14:textId="77777777" w:rsidR="00000000" w:rsidRDefault="007F5353">
      <w:pPr>
        <w:pStyle w:val="a3"/>
        <w:spacing w:before="0" w:beforeAutospacing="0" w:after="0" w:afterAutospacing="0"/>
        <w:jc w:val="both"/>
        <w:rPr>
          <w:sz w:val="20"/>
          <w:szCs w:val="20"/>
        </w:rPr>
      </w:pPr>
      <w:r>
        <w:rPr>
          <w:b/>
          <w:bCs/>
          <w:sz w:val="20"/>
          <w:szCs w:val="20"/>
        </w:rPr>
        <w:t>Emerging Growth Company</w:t>
      </w:r>
    </w:p>
    <w:p w14:paraId="4ECAC415" w14:textId="77777777" w:rsidR="00000000" w:rsidRDefault="007F5353">
      <w:pPr>
        <w:pStyle w:val="a3"/>
        <w:spacing w:before="0" w:beforeAutospacing="0" w:after="0" w:afterAutospacing="0"/>
        <w:jc w:val="both"/>
        <w:rPr>
          <w:sz w:val="20"/>
          <w:szCs w:val="20"/>
        </w:rPr>
      </w:pPr>
      <w:r>
        <w:rPr>
          <w:sz w:val="20"/>
          <w:szCs w:val="20"/>
        </w:rPr>
        <w:t> </w:t>
      </w:r>
    </w:p>
    <w:p w14:paraId="53D13364" w14:textId="77777777" w:rsidR="00000000" w:rsidRDefault="007F5353">
      <w:pPr>
        <w:pStyle w:val="a3"/>
        <w:spacing w:before="0" w:beforeAutospacing="0" w:after="0" w:afterAutospacing="0"/>
        <w:jc w:val="both"/>
        <w:rPr>
          <w:sz w:val="20"/>
          <w:szCs w:val="20"/>
        </w:rPr>
      </w:pPr>
      <w:r>
        <w:rPr>
          <w:sz w:val="20"/>
          <w:szCs w:val="20"/>
        </w:rPr>
        <w:t xml:space="preserve">The Company is an “emerging growth company,” </w:t>
      </w:r>
      <w:r>
        <w:rPr>
          <w:sz w:val="20"/>
          <w:szCs w:val="20"/>
        </w:rPr>
        <w:t>as defined in Section 2(a) of the Securities Act, as modified by the Jumpstart Our Business Startups Act of 2012 (the “JOBS Act”), and it may take advantage of certain exemptions from various reporting requirements that are applicable to other public compa</w:t>
      </w:r>
      <w:r>
        <w:rPr>
          <w:sz w:val="20"/>
          <w:szCs w:val="20"/>
        </w:rPr>
        <w:t>nies that are not emerging growth companies including, but not limited to, not being required to comply with the auditor attestation requirements of Section 404 of the Sarbanes-Oxley Act, reduced disclosure obligations regarding executive compensation in i</w:t>
      </w:r>
      <w:r>
        <w:rPr>
          <w:sz w:val="20"/>
          <w:szCs w:val="20"/>
        </w:rPr>
        <w:t>ts periodic reports and proxy statements, and exemptions from the requirements of holding a nonbinding advisory vote on executive compensation and stockholder approval of any golden parachute payments not previously approved.</w:t>
      </w:r>
    </w:p>
    <w:p w14:paraId="1BAD7466" w14:textId="77777777" w:rsidR="00000000" w:rsidRDefault="007F5353">
      <w:pPr>
        <w:pStyle w:val="a3"/>
        <w:spacing w:before="0" w:beforeAutospacing="0" w:after="0" w:afterAutospacing="0"/>
        <w:jc w:val="both"/>
        <w:rPr>
          <w:sz w:val="20"/>
          <w:szCs w:val="20"/>
        </w:rPr>
      </w:pPr>
      <w:r>
        <w:rPr>
          <w:sz w:val="20"/>
          <w:szCs w:val="20"/>
        </w:rPr>
        <w:t> </w:t>
      </w:r>
    </w:p>
    <w:p w14:paraId="68572433" w14:textId="77777777" w:rsidR="00000000" w:rsidRDefault="007F5353">
      <w:pPr>
        <w:pStyle w:val="a3"/>
        <w:shd w:val="clear" w:color="auto" w:fill="FFFFFF"/>
        <w:spacing w:before="0" w:beforeAutospacing="0" w:after="0" w:afterAutospacing="0"/>
        <w:jc w:val="both"/>
        <w:rPr>
          <w:sz w:val="20"/>
          <w:szCs w:val="20"/>
        </w:rPr>
      </w:pPr>
      <w:r>
        <w:rPr>
          <w:sz w:val="20"/>
          <w:szCs w:val="20"/>
        </w:rPr>
        <w:t>Further, Section 102(b)(1) o</w:t>
      </w:r>
      <w:r>
        <w:rPr>
          <w:sz w:val="20"/>
          <w:szCs w:val="20"/>
        </w:rPr>
        <w:t>f the JOBS Act exempts emerging growth companies from being required to comply with new or revised financial accounting standards until private companies (that is, those that have not had a Securities Act registration statement declared effective or do not</w:t>
      </w:r>
      <w:r>
        <w:rPr>
          <w:sz w:val="20"/>
          <w:szCs w:val="20"/>
        </w:rPr>
        <w:t xml:space="preserve"> have a class of securities registered under the Exchange Act) are required to comply with the new or revised financial accounting standards. The JOBS Act provides that a company can elect to opt out of the extended transition period and comply with the re</w:t>
      </w:r>
      <w:r>
        <w:rPr>
          <w:sz w:val="20"/>
          <w:szCs w:val="20"/>
        </w:rPr>
        <w:t>quirements that apply to non-emerging growth companies but any such election to opt out is irrevocable. The Company has elected not to opt out of such extended transition period which means that when a standard is issued or revised and it has different app</w:t>
      </w:r>
      <w:r>
        <w:rPr>
          <w:sz w:val="20"/>
          <w:szCs w:val="20"/>
        </w:rPr>
        <w:t>lication dates for public or private companies, the Company, as an emerging growth company, can adopt the new or revised standard at the time private companies adopt the new or revised standard. This may make comparison of the Company’s financial statement</w:t>
      </w:r>
      <w:r>
        <w:rPr>
          <w:sz w:val="20"/>
          <w:szCs w:val="20"/>
        </w:rPr>
        <w:t>s with another public company which is neither an emerging growth company nor an emerging growth company which has opted out of using the extended transition period difficult or impossible because of the potential differences in accounting standards used.</w:t>
      </w:r>
    </w:p>
    <w:p w14:paraId="7214ACBD" w14:textId="77777777" w:rsidR="00000000" w:rsidRDefault="007F5353">
      <w:pPr>
        <w:pStyle w:val="a3"/>
        <w:spacing w:before="0" w:beforeAutospacing="0" w:after="0" w:afterAutospacing="0"/>
        <w:jc w:val="both"/>
        <w:rPr>
          <w:sz w:val="20"/>
          <w:szCs w:val="20"/>
        </w:rPr>
      </w:pPr>
      <w:r>
        <w:rPr>
          <w:sz w:val="20"/>
          <w:szCs w:val="20"/>
        </w:rPr>
        <w:t> </w:t>
      </w:r>
    </w:p>
    <w:p w14:paraId="1E33C44D" w14:textId="77777777" w:rsidR="00000000" w:rsidRDefault="007F5353">
      <w:pPr>
        <w:pStyle w:val="a3"/>
        <w:spacing w:before="0" w:beforeAutospacing="0" w:after="0" w:afterAutospacing="0"/>
        <w:jc w:val="both"/>
        <w:rPr>
          <w:sz w:val="20"/>
          <w:szCs w:val="20"/>
        </w:rPr>
      </w:pPr>
      <w:r>
        <w:rPr>
          <w:b/>
          <w:bCs/>
          <w:sz w:val="20"/>
          <w:szCs w:val="20"/>
        </w:rPr>
        <w:t>Use of Estimates</w:t>
      </w:r>
    </w:p>
    <w:p w14:paraId="42FE7858" w14:textId="77777777" w:rsidR="00000000" w:rsidRDefault="007F5353">
      <w:pPr>
        <w:pStyle w:val="a3"/>
        <w:spacing w:before="0" w:beforeAutospacing="0" w:after="0" w:afterAutospacing="0"/>
        <w:jc w:val="both"/>
        <w:rPr>
          <w:sz w:val="20"/>
          <w:szCs w:val="20"/>
        </w:rPr>
      </w:pPr>
      <w:r>
        <w:rPr>
          <w:sz w:val="20"/>
          <w:szCs w:val="20"/>
        </w:rPr>
        <w:t> </w:t>
      </w:r>
    </w:p>
    <w:p w14:paraId="375B8E8D" w14:textId="77777777" w:rsidR="00000000" w:rsidRDefault="007F5353">
      <w:pPr>
        <w:pStyle w:val="a3"/>
        <w:shd w:val="clear" w:color="auto" w:fill="FFFFFF"/>
        <w:spacing w:before="0" w:beforeAutospacing="0" w:after="0" w:afterAutospacing="0"/>
        <w:jc w:val="both"/>
        <w:rPr>
          <w:sz w:val="20"/>
          <w:szCs w:val="20"/>
        </w:rPr>
      </w:pPr>
      <w:r>
        <w:rPr>
          <w:sz w:val="20"/>
          <w:szCs w:val="20"/>
        </w:rPr>
        <w:t>The preparation of financial statements in conformity with GAAP requires management to make estimates and assumptions that affect the reported amounts of assets and liabilities and disclosure of contingent assets and liabilities at the</w:t>
      </w:r>
      <w:r>
        <w:rPr>
          <w:sz w:val="20"/>
          <w:szCs w:val="20"/>
        </w:rPr>
        <w:t xml:space="preserve"> date of the financial statements and the reported amounts of revenues and expenses during the reporting period.</w:t>
      </w:r>
    </w:p>
    <w:p w14:paraId="4E78951B"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2FD1D81"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Making estimates requires management to exercise significant judgment. It is at least reasonably possible that the estimate of the effect of </w:t>
      </w:r>
      <w:r>
        <w:rPr>
          <w:sz w:val="20"/>
          <w:szCs w:val="20"/>
        </w:rPr>
        <w:t>a condition, situation or set of circumstances that existed at the date of the financial statements, which management considered in formulating its estimate, could change in the near term due to one or more future confirming events. Accordingly, the actual</w:t>
      </w:r>
      <w:r>
        <w:rPr>
          <w:sz w:val="20"/>
          <w:szCs w:val="20"/>
        </w:rPr>
        <w:t xml:space="preserve"> results could differ significantly from those estimates.</w:t>
      </w:r>
    </w:p>
    <w:p w14:paraId="43619888" w14:textId="77777777" w:rsidR="00000000" w:rsidRDefault="007F5353">
      <w:pPr>
        <w:pStyle w:val="a3"/>
        <w:spacing w:before="0" w:beforeAutospacing="0" w:after="0" w:afterAutospacing="0"/>
        <w:jc w:val="both"/>
        <w:rPr>
          <w:sz w:val="20"/>
          <w:szCs w:val="20"/>
        </w:rPr>
      </w:pPr>
      <w:r>
        <w:rPr>
          <w:sz w:val="20"/>
          <w:szCs w:val="20"/>
        </w:rPr>
        <w:t> </w:t>
      </w:r>
    </w:p>
    <w:p w14:paraId="12257BDE" w14:textId="77777777" w:rsidR="00000000" w:rsidRDefault="007F5353">
      <w:pPr>
        <w:pStyle w:val="a3"/>
        <w:shd w:val="clear" w:color="auto" w:fill="FFFFFF"/>
        <w:spacing w:before="0" w:beforeAutospacing="0" w:after="0" w:afterAutospacing="0"/>
        <w:jc w:val="both"/>
        <w:rPr>
          <w:sz w:val="20"/>
          <w:szCs w:val="20"/>
        </w:rPr>
      </w:pPr>
      <w:r>
        <w:rPr>
          <w:b/>
          <w:bCs/>
          <w:sz w:val="20"/>
          <w:szCs w:val="20"/>
        </w:rPr>
        <w:t>Cash and Cash Equivalents</w:t>
      </w:r>
    </w:p>
    <w:p w14:paraId="430DB1B0" w14:textId="77777777" w:rsidR="00000000" w:rsidRDefault="007F5353">
      <w:pPr>
        <w:pStyle w:val="a3"/>
        <w:shd w:val="clear" w:color="auto" w:fill="FFFFFF"/>
        <w:spacing w:before="0" w:beforeAutospacing="0" w:after="0" w:afterAutospacing="0"/>
        <w:ind w:firstLine="360"/>
        <w:jc w:val="both"/>
        <w:rPr>
          <w:sz w:val="20"/>
          <w:szCs w:val="20"/>
        </w:rPr>
      </w:pPr>
      <w:r>
        <w:rPr>
          <w:sz w:val="20"/>
          <w:szCs w:val="20"/>
        </w:rPr>
        <w:t> </w:t>
      </w:r>
    </w:p>
    <w:p w14:paraId="7F66960F" w14:textId="77777777" w:rsidR="00000000" w:rsidRDefault="007F5353">
      <w:pPr>
        <w:pStyle w:val="a3"/>
        <w:shd w:val="clear" w:color="auto" w:fill="FFFFFF"/>
        <w:spacing w:before="0" w:beforeAutospacing="0" w:after="0" w:afterAutospacing="0"/>
        <w:jc w:val="both"/>
        <w:rPr>
          <w:sz w:val="20"/>
          <w:szCs w:val="20"/>
        </w:rPr>
      </w:pPr>
      <w:r>
        <w:rPr>
          <w:sz w:val="20"/>
          <w:szCs w:val="20"/>
        </w:rPr>
        <w:t>The Company considers all short-term investments with an original maturity of three months or less when purchased to be cash equivalents. The Company had</w:t>
      </w:r>
      <w:r>
        <w:rPr>
          <w:sz w:val="20"/>
          <w:szCs w:val="20"/>
        </w:rPr>
        <w:t xml:space="preserve"> </w:t>
      </w:r>
      <w:r>
        <w:rPr>
          <w:sz w:val="20"/>
          <w:szCs w:val="20"/>
        </w:rPr>
        <w:t>n</w:t>
      </w:r>
      <w:r>
        <w:rPr>
          <w:sz w:val="20"/>
          <w:szCs w:val="20"/>
        </w:rPr>
        <w:t>o</w:t>
      </w:r>
      <w:r>
        <w:rPr>
          <w:sz w:val="20"/>
          <w:szCs w:val="20"/>
        </w:rPr>
        <w:t xml:space="preserve"> cash equiva</w:t>
      </w:r>
      <w:r>
        <w:rPr>
          <w:sz w:val="20"/>
          <w:szCs w:val="20"/>
        </w:rPr>
        <w:t>lents as of June 30, 2022.</w:t>
      </w:r>
    </w:p>
    <w:p w14:paraId="1D97B796"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p w14:paraId="606AABF7" w14:textId="77777777" w:rsidR="00000000" w:rsidRDefault="007F5353">
      <w:pPr>
        <w:pStyle w:val="a3"/>
        <w:spacing w:before="0" w:beforeAutospacing="0" w:after="0" w:afterAutospacing="0"/>
        <w:jc w:val="both"/>
        <w:rPr>
          <w:sz w:val="20"/>
          <w:szCs w:val="20"/>
        </w:rPr>
      </w:pPr>
      <w:r>
        <w:rPr>
          <w:b/>
          <w:bCs/>
          <w:sz w:val="20"/>
          <w:szCs w:val="20"/>
        </w:rPr>
        <w:t>Marketable Securities Held in Trust Account</w:t>
      </w:r>
    </w:p>
    <w:p w14:paraId="7753FE97" w14:textId="77777777" w:rsidR="00000000" w:rsidRDefault="007F5353">
      <w:pPr>
        <w:pStyle w:val="a3"/>
        <w:spacing w:before="0" w:beforeAutospacing="0" w:after="0" w:afterAutospacing="0"/>
        <w:jc w:val="both"/>
        <w:rPr>
          <w:sz w:val="20"/>
          <w:szCs w:val="20"/>
        </w:rPr>
      </w:pPr>
      <w:r>
        <w:rPr>
          <w:sz w:val="20"/>
          <w:szCs w:val="20"/>
        </w:rPr>
        <w:t> </w:t>
      </w:r>
    </w:p>
    <w:p w14:paraId="6C5ADB37" w14:textId="77777777" w:rsidR="00000000" w:rsidRDefault="007F5353">
      <w:pPr>
        <w:pStyle w:val="a3"/>
        <w:spacing w:before="0" w:beforeAutospacing="0" w:after="0" w:afterAutospacing="0"/>
        <w:jc w:val="both"/>
        <w:rPr>
          <w:sz w:val="20"/>
          <w:szCs w:val="20"/>
        </w:rPr>
      </w:pPr>
      <w:r>
        <w:rPr>
          <w:sz w:val="20"/>
          <w:szCs w:val="20"/>
        </w:rPr>
        <w:t>As of June 30, 2022, substantially all of the assets held in the Trust Account were held in government securities (United States Treasury Bills). As of June 30, 2022, the balance in</w:t>
      </w:r>
      <w:r>
        <w:rPr>
          <w:sz w:val="20"/>
          <w:szCs w:val="20"/>
        </w:rPr>
        <w:t xml:space="preserve"> the Trust Account was </w:t>
      </w:r>
      <w:r>
        <w:rPr>
          <w:sz w:val="20"/>
          <w:szCs w:val="20"/>
        </w:rPr>
        <w:t>$</w:t>
      </w:r>
      <w:r>
        <w:rPr>
          <w:sz w:val="20"/>
          <w:szCs w:val="20"/>
        </w:rPr>
        <w:t>102,755,00</w:t>
      </w:r>
      <w:r>
        <w:rPr>
          <w:sz w:val="20"/>
          <w:szCs w:val="20"/>
        </w:rPr>
        <w:t>4</w:t>
      </w:r>
      <w:r>
        <w:rPr>
          <w:sz w:val="20"/>
          <w:szCs w:val="20"/>
        </w:rPr>
        <w:t>.</w:t>
      </w:r>
    </w:p>
    <w:p w14:paraId="7498D0A0"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30440B2" w14:textId="77777777">
        <w:trPr>
          <w:divId w:val="886261697"/>
        </w:trPr>
        <w:tc>
          <w:tcPr>
            <w:tcW w:w="5000" w:type="pct"/>
            <w:hideMark/>
          </w:tcPr>
          <w:p w14:paraId="25888FE0"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137B2824" w14:textId="77777777">
        <w:tc>
          <w:tcPr>
            <w:tcW w:w="5000" w:type="pct"/>
            <w:hideMark/>
          </w:tcPr>
          <w:p w14:paraId="5532A89B" w14:textId="77777777" w:rsidR="00000000" w:rsidRDefault="007F5353">
            <w:pPr>
              <w:jc w:val="center"/>
              <w:rPr>
                <w:rFonts w:eastAsia="Times New Roman"/>
                <w:sz w:val="20"/>
                <w:szCs w:val="20"/>
              </w:rPr>
            </w:pPr>
            <w:r>
              <w:rPr>
                <w:rFonts w:eastAsia="Times New Roman"/>
                <w:sz w:val="20"/>
                <w:szCs w:val="20"/>
              </w:rPr>
              <w:t> </w:t>
            </w:r>
          </w:p>
        </w:tc>
      </w:tr>
    </w:tbl>
    <w:p w14:paraId="76BFB1C9" w14:textId="77777777" w:rsidR="00000000" w:rsidRDefault="007F5353">
      <w:pPr>
        <w:pStyle w:val="a3"/>
        <w:spacing w:before="0" w:beforeAutospacing="0" w:after="0" w:afterAutospacing="0"/>
        <w:jc w:val="both"/>
        <w:rPr>
          <w:sz w:val="20"/>
          <w:szCs w:val="20"/>
        </w:rPr>
      </w:pPr>
      <w:r>
        <w:rPr>
          <w:b/>
          <w:bCs/>
          <w:sz w:val="20"/>
          <w:szCs w:val="20"/>
        </w:rPr>
        <w:t> </w:t>
      </w:r>
    </w:p>
    <w:p w14:paraId="33145B84"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F079538" w14:textId="77777777" w:rsidR="00000000" w:rsidRDefault="007F5353">
      <w:pPr>
        <w:pStyle w:val="a3"/>
        <w:shd w:val="clear" w:color="auto" w:fill="FFFFFF"/>
        <w:spacing w:before="0" w:beforeAutospacing="0" w:after="0" w:afterAutospacing="0"/>
        <w:jc w:val="both"/>
        <w:rPr>
          <w:sz w:val="20"/>
          <w:szCs w:val="20"/>
        </w:rPr>
      </w:pPr>
      <w:r>
        <w:rPr>
          <w:b/>
          <w:bCs/>
          <w:sz w:val="20"/>
          <w:szCs w:val="20"/>
        </w:rPr>
        <w:t>Deferred offering costs</w:t>
      </w:r>
    </w:p>
    <w:p w14:paraId="50F45D02" w14:textId="77777777" w:rsidR="00000000" w:rsidRDefault="007F5353">
      <w:pPr>
        <w:pStyle w:val="a3"/>
        <w:shd w:val="clear" w:color="auto" w:fill="FFFFFF"/>
        <w:spacing w:before="0" w:beforeAutospacing="0" w:after="0" w:afterAutospacing="0"/>
        <w:ind w:firstLine="360"/>
        <w:jc w:val="both"/>
        <w:rPr>
          <w:sz w:val="20"/>
          <w:szCs w:val="20"/>
        </w:rPr>
      </w:pPr>
      <w:r>
        <w:rPr>
          <w:sz w:val="20"/>
          <w:szCs w:val="20"/>
        </w:rPr>
        <w:t> </w:t>
      </w:r>
    </w:p>
    <w:p w14:paraId="49A1037F"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Deferred </w:t>
      </w:r>
      <w:r>
        <w:rPr>
          <w:sz w:val="20"/>
          <w:szCs w:val="20"/>
        </w:rPr>
        <w:t>offering costs consist of underwriting, legal, accounting and other expenses incurred through the balance sheet date that are directly related to the Proposed Offering and that will be charged to stockholders’ equity upon the completion of the Proposed Off</w:t>
      </w:r>
      <w:r>
        <w:rPr>
          <w:sz w:val="20"/>
          <w:szCs w:val="20"/>
        </w:rPr>
        <w:t>ering. Should the Proposed Offering have proved to be unsuccessful, these deferred costs, as well as additional expenses incurred, would have been charged to operations.</w:t>
      </w:r>
    </w:p>
    <w:p w14:paraId="410FFCF2" w14:textId="77777777" w:rsidR="00000000" w:rsidRDefault="007F5353">
      <w:pPr>
        <w:pStyle w:val="a3"/>
        <w:shd w:val="clear" w:color="auto" w:fill="FFFFFF"/>
        <w:spacing w:before="0" w:beforeAutospacing="0" w:after="0" w:afterAutospacing="0"/>
        <w:ind w:firstLine="709"/>
        <w:jc w:val="both"/>
        <w:rPr>
          <w:sz w:val="20"/>
          <w:szCs w:val="20"/>
        </w:rPr>
      </w:pPr>
      <w:r>
        <w:rPr>
          <w:sz w:val="20"/>
          <w:szCs w:val="20"/>
        </w:rPr>
        <w:t> </w:t>
      </w:r>
    </w:p>
    <w:p w14:paraId="1D67B9A4" w14:textId="77777777" w:rsidR="00000000" w:rsidRDefault="007F5353">
      <w:pPr>
        <w:pStyle w:val="a3"/>
        <w:spacing w:before="0" w:beforeAutospacing="0" w:after="0" w:afterAutospacing="0"/>
        <w:jc w:val="both"/>
        <w:rPr>
          <w:sz w:val="20"/>
          <w:szCs w:val="20"/>
        </w:rPr>
      </w:pPr>
      <w:r>
        <w:rPr>
          <w:b/>
          <w:bCs/>
          <w:sz w:val="20"/>
          <w:szCs w:val="20"/>
        </w:rPr>
        <w:t>Income Taxes</w:t>
      </w:r>
    </w:p>
    <w:p w14:paraId="2F49875F" w14:textId="77777777" w:rsidR="00000000" w:rsidRDefault="007F5353">
      <w:pPr>
        <w:pStyle w:val="a3"/>
        <w:spacing w:before="0" w:beforeAutospacing="0" w:after="0" w:afterAutospacing="0"/>
        <w:jc w:val="both"/>
        <w:rPr>
          <w:sz w:val="20"/>
          <w:szCs w:val="20"/>
        </w:rPr>
      </w:pPr>
      <w:r>
        <w:rPr>
          <w:sz w:val="20"/>
          <w:szCs w:val="20"/>
        </w:rPr>
        <w:t> </w:t>
      </w:r>
    </w:p>
    <w:p w14:paraId="32DB033B"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complies with the accounting and reporting requirements of ASC Topic 740, “Income Taxes,” which requires an asset and liability approach to financial accounting and reporting for income taxes. Deferred income tax assets and liabilities are computed</w:t>
      </w:r>
      <w:r>
        <w:rPr>
          <w:sz w:val="20"/>
          <w:szCs w:val="20"/>
        </w:rPr>
        <w:t xml:space="preserve"> for differences between the financial statement and tax bases of assets and liabilities that will result in future taxable or deductible amounts, based on enacted tax laws and rates applicable to the periods in which the differences are expected to affect</w:t>
      </w:r>
      <w:r>
        <w:rPr>
          <w:sz w:val="20"/>
          <w:szCs w:val="20"/>
        </w:rPr>
        <w:t xml:space="preserve"> taxable income. Valuation allowances are established, when necessary, to reduce deferred tax assets to the amount expected to be realized.</w:t>
      </w:r>
    </w:p>
    <w:p w14:paraId="1717BF5C"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514E67F" w14:textId="77777777" w:rsidR="00000000" w:rsidRDefault="007F5353">
      <w:pPr>
        <w:pStyle w:val="a3"/>
        <w:shd w:val="clear" w:color="auto" w:fill="FFFFFF"/>
        <w:spacing w:before="0" w:beforeAutospacing="0" w:after="0" w:afterAutospacing="0"/>
        <w:jc w:val="both"/>
        <w:rPr>
          <w:sz w:val="20"/>
          <w:szCs w:val="20"/>
        </w:rPr>
      </w:pPr>
      <w:r>
        <w:rPr>
          <w:sz w:val="20"/>
          <w:szCs w:val="20"/>
        </w:rPr>
        <w:t>ASC Topic 740 prescribes a recognition threshold and a measurement attribute for the financial statement recogniti</w:t>
      </w:r>
      <w:r>
        <w:rPr>
          <w:sz w:val="20"/>
          <w:szCs w:val="20"/>
        </w:rPr>
        <w:t xml:space="preserve">on and measurement of tax positions taken or expected to be taken in a tax return. For those benefits to be recognized, a tax position must be more-likely-than-not to be sustained upon examination by taxing authorities. The Company’s management determined </w:t>
      </w:r>
      <w:r>
        <w:rPr>
          <w:sz w:val="20"/>
          <w:szCs w:val="20"/>
        </w:rPr>
        <w:t>the United States is the Company’s only major tax jurisdiction. The Company recognizes accrued interest and penalties related to unrecognized tax benefits, if any, as income tax expense. There were</w:t>
      </w:r>
      <w:r>
        <w:rPr>
          <w:sz w:val="20"/>
          <w:szCs w:val="20"/>
        </w:rPr>
        <w:t xml:space="preserve"> </w:t>
      </w:r>
      <w:r>
        <w:rPr>
          <w:sz w:val="20"/>
          <w:szCs w:val="20"/>
        </w:rPr>
        <w:t>n</w:t>
      </w:r>
      <w:r>
        <w:rPr>
          <w:sz w:val="20"/>
          <w:szCs w:val="20"/>
        </w:rPr>
        <w:t>o</w:t>
      </w:r>
      <w:r>
        <w:rPr>
          <w:sz w:val="20"/>
          <w:szCs w:val="20"/>
        </w:rPr>
        <w:t xml:space="preserve"> unrecognized tax benefits as of June 30, 2022 and</w:t>
      </w:r>
      <w:r>
        <w:rPr>
          <w:sz w:val="20"/>
          <w:szCs w:val="20"/>
        </w:rPr>
        <w:t xml:space="preserve"> </w:t>
      </w:r>
      <w:r>
        <w:rPr>
          <w:sz w:val="20"/>
          <w:szCs w:val="20"/>
        </w:rPr>
        <w:t>n</w:t>
      </w:r>
      <w:r>
        <w:rPr>
          <w:sz w:val="20"/>
          <w:szCs w:val="20"/>
        </w:rPr>
        <w:t>o</w:t>
      </w:r>
      <w:r>
        <w:rPr>
          <w:sz w:val="20"/>
          <w:szCs w:val="20"/>
        </w:rPr>
        <w:t xml:space="preserve"> am</w:t>
      </w:r>
      <w:r>
        <w:rPr>
          <w:sz w:val="20"/>
          <w:szCs w:val="20"/>
        </w:rPr>
        <w:t xml:space="preserve">ounts accrued for interest and penalties. The Company is currently not aware of any issues under review that could result in significant payments, accruals or material deviation from its position. The Company is subject to income tax examinations by major </w:t>
      </w:r>
      <w:r>
        <w:rPr>
          <w:sz w:val="20"/>
          <w:szCs w:val="20"/>
        </w:rPr>
        <w:t>taxing authorities since inception.</w:t>
      </w:r>
    </w:p>
    <w:p w14:paraId="0DDB40D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F538CD7" w14:textId="77777777" w:rsidR="00000000" w:rsidRDefault="007F5353">
      <w:pPr>
        <w:pStyle w:val="a3"/>
        <w:spacing w:before="0" w:beforeAutospacing="0" w:after="0" w:afterAutospacing="0"/>
        <w:jc w:val="both"/>
        <w:rPr>
          <w:sz w:val="20"/>
          <w:szCs w:val="20"/>
        </w:rPr>
      </w:pPr>
      <w:r>
        <w:rPr>
          <w:sz w:val="20"/>
          <w:szCs w:val="20"/>
        </w:rPr>
        <w:t>The provision for income taxes was deemed to be de minimis for the six months ended June 30, 2022.</w:t>
      </w:r>
    </w:p>
    <w:p w14:paraId="334EDCF0" w14:textId="77777777" w:rsidR="00000000" w:rsidRDefault="007F5353">
      <w:pPr>
        <w:pStyle w:val="a3"/>
        <w:spacing w:before="0" w:beforeAutospacing="0" w:after="0" w:afterAutospacing="0"/>
        <w:jc w:val="both"/>
        <w:rPr>
          <w:sz w:val="20"/>
          <w:szCs w:val="20"/>
        </w:rPr>
      </w:pPr>
      <w:r>
        <w:rPr>
          <w:sz w:val="20"/>
          <w:szCs w:val="20"/>
        </w:rPr>
        <w:t> </w:t>
      </w:r>
    </w:p>
    <w:p w14:paraId="737EABF1" w14:textId="77777777" w:rsidR="00000000" w:rsidRDefault="007F5353">
      <w:pPr>
        <w:pStyle w:val="a3"/>
        <w:spacing w:before="0" w:beforeAutospacing="0" w:after="0" w:afterAutospacing="0"/>
        <w:jc w:val="both"/>
        <w:rPr>
          <w:sz w:val="20"/>
          <w:szCs w:val="20"/>
        </w:rPr>
      </w:pPr>
      <w:r>
        <w:rPr>
          <w:b/>
          <w:bCs/>
          <w:sz w:val="20"/>
          <w:szCs w:val="20"/>
        </w:rPr>
        <w:t>Net loss per share</w:t>
      </w:r>
    </w:p>
    <w:p w14:paraId="5D9724B3"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A67D374" w14:textId="77777777" w:rsidR="00000000" w:rsidRDefault="007F5353">
      <w:pPr>
        <w:pStyle w:val="a3"/>
        <w:shd w:val="clear" w:color="auto" w:fill="FFFFFF"/>
        <w:spacing w:before="0" w:beforeAutospacing="0" w:after="0" w:afterAutospacing="0"/>
        <w:jc w:val="both"/>
        <w:rPr>
          <w:sz w:val="20"/>
          <w:szCs w:val="20"/>
        </w:rPr>
      </w:pPr>
      <w:r>
        <w:rPr>
          <w:sz w:val="20"/>
          <w:szCs w:val="20"/>
        </w:rPr>
        <w:t>The Company complies with accounting and disclosure requirements of ASC Topic 260, “Earnings Per</w:t>
      </w:r>
      <w:r>
        <w:rPr>
          <w:sz w:val="20"/>
          <w:szCs w:val="20"/>
        </w:rPr>
        <w:t xml:space="preserve"> Share.” Net loss per share is computed by dividing net loss by the weighted average number of common stock outstanding during the period, excluding common stock subject to forfeiture. As of June 30, 2022, the Company did not have any dilutive securities a</w:t>
      </w:r>
      <w:r>
        <w:rPr>
          <w:sz w:val="20"/>
          <w:szCs w:val="20"/>
        </w:rPr>
        <w:t>nd other contracts that could, potentially, be exercised or converted into common stock and then share in the earnings of the Company. As a result, diluted loss per share is the same as basic loss per share for the periods presented.</w:t>
      </w:r>
    </w:p>
    <w:p w14:paraId="4C27B63F" w14:textId="77777777" w:rsidR="00000000" w:rsidRDefault="007F5353">
      <w:pPr>
        <w:pStyle w:val="a3"/>
        <w:shd w:val="clear" w:color="auto" w:fill="FFFFFF"/>
        <w:spacing w:before="0" w:beforeAutospacing="0" w:after="0" w:afterAutospacing="0"/>
        <w:ind w:firstLine="708"/>
        <w:jc w:val="both"/>
        <w:rPr>
          <w:sz w:val="20"/>
          <w:szCs w:val="20"/>
        </w:rPr>
      </w:pPr>
      <w:r>
        <w:rPr>
          <w:sz w:val="20"/>
          <w:szCs w:val="20"/>
        </w:rPr>
        <w:t> </w:t>
      </w:r>
    </w:p>
    <w:p w14:paraId="2A877611" w14:textId="77777777" w:rsidR="00000000" w:rsidRDefault="007F5353">
      <w:pPr>
        <w:pStyle w:val="a3"/>
        <w:spacing w:before="0" w:beforeAutospacing="0" w:after="0" w:afterAutospacing="0"/>
        <w:jc w:val="both"/>
        <w:rPr>
          <w:sz w:val="20"/>
          <w:szCs w:val="20"/>
        </w:rPr>
      </w:pPr>
      <w:r>
        <w:rPr>
          <w:b/>
          <w:bCs/>
          <w:sz w:val="20"/>
          <w:szCs w:val="20"/>
        </w:rPr>
        <w:t>Concentration of Cre</w:t>
      </w:r>
      <w:r>
        <w:rPr>
          <w:b/>
          <w:bCs/>
          <w:sz w:val="20"/>
          <w:szCs w:val="20"/>
        </w:rPr>
        <w:t>dit Risk</w:t>
      </w:r>
    </w:p>
    <w:p w14:paraId="29C92239" w14:textId="77777777" w:rsidR="00000000" w:rsidRDefault="007F5353">
      <w:pPr>
        <w:pStyle w:val="a3"/>
        <w:spacing w:before="0" w:beforeAutospacing="0" w:after="0" w:afterAutospacing="0"/>
        <w:ind w:firstLine="300"/>
        <w:jc w:val="both"/>
        <w:rPr>
          <w:sz w:val="20"/>
          <w:szCs w:val="20"/>
        </w:rPr>
      </w:pPr>
      <w:r>
        <w:rPr>
          <w:sz w:val="20"/>
          <w:szCs w:val="20"/>
        </w:rPr>
        <w:t> </w:t>
      </w:r>
    </w:p>
    <w:p w14:paraId="2432B974"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Financial instruments that potentially subject the Company to concentration of credit risk consist of a cash account in a financial institution which, at times may exceed the Federal depository insurance coverage of </w:t>
      </w:r>
      <w:r>
        <w:rPr>
          <w:sz w:val="20"/>
          <w:szCs w:val="20"/>
        </w:rPr>
        <w:t>$</w:t>
      </w:r>
      <w:r>
        <w:rPr>
          <w:sz w:val="20"/>
          <w:szCs w:val="20"/>
        </w:rPr>
        <w:t>250,00</w:t>
      </w:r>
      <w:r>
        <w:rPr>
          <w:sz w:val="20"/>
          <w:szCs w:val="20"/>
        </w:rPr>
        <w:t>0</w:t>
      </w:r>
      <w:r>
        <w:rPr>
          <w:sz w:val="20"/>
          <w:szCs w:val="20"/>
        </w:rPr>
        <w:t>. On June 30, 2022, t</w:t>
      </w:r>
      <w:r>
        <w:rPr>
          <w:sz w:val="20"/>
          <w:szCs w:val="20"/>
        </w:rPr>
        <w:t>he Company had not experienced losses on this account and management believes the Company is not exposed to significant risks on such account.</w:t>
      </w:r>
    </w:p>
    <w:p w14:paraId="49015B53" w14:textId="77777777" w:rsidR="00000000" w:rsidRDefault="007F5353">
      <w:pPr>
        <w:pStyle w:val="a3"/>
        <w:shd w:val="clear" w:color="auto" w:fill="FFFFFF"/>
        <w:spacing w:before="0" w:beforeAutospacing="0" w:after="0" w:afterAutospacing="0"/>
        <w:ind w:firstLine="708"/>
        <w:jc w:val="both"/>
        <w:rPr>
          <w:sz w:val="20"/>
          <w:szCs w:val="20"/>
        </w:rPr>
      </w:pPr>
      <w:r>
        <w:rPr>
          <w:sz w:val="20"/>
          <w:szCs w:val="20"/>
        </w:rPr>
        <w:t> </w:t>
      </w:r>
    </w:p>
    <w:p w14:paraId="5419643B" w14:textId="77777777" w:rsidR="00000000" w:rsidRDefault="007F5353">
      <w:pPr>
        <w:pStyle w:val="a3"/>
        <w:shd w:val="clear" w:color="auto" w:fill="FFFFFF"/>
        <w:spacing w:before="0" w:beforeAutospacing="0" w:after="0" w:afterAutospacing="0"/>
        <w:jc w:val="both"/>
        <w:rPr>
          <w:sz w:val="20"/>
          <w:szCs w:val="20"/>
        </w:rPr>
      </w:pPr>
      <w:r>
        <w:rPr>
          <w:b/>
          <w:bCs/>
          <w:sz w:val="20"/>
          <w:szCs w:val="20"/>
        </w:rPr>
        <w:t>Fair Value of Financial Instruments</w:t>
      </w:r>
    </w:p>
    <w:p w14:paraId="6D27068B" w14:textId="77777777" w:rsidR="00000000" w:rsidRDefault="007F5353">
      <w:pPr>
        <w:pStyle w:val="a3"/>
        <w:shd w:val="clear" w:color="auto" w:fill="FFFFFF"/>
        <w:spacing w:before="0" w:beforeAutospacing="0" w:after="0" w:afterAutospacing="0"/>
        <w:ind w:firstLine="360"/>
        <w:jc w:val="both"/>
        <w:rPr>
          <w:sz w:val="20"/>
          <w:szCs w:val="20"/>
        </w:rPr>
      </w:pPr>
      <w:r>
        <w:rPr>
          <w:sz w:val="20"/>
          <w:szCs w:val="20"/>
        </w:rPr>
        <w:t> </w:t>
      </w:r>
    </w:p>
    <w:p w14:paraId="0D32FDE8"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The fair value of the Company’s assets and liabilities, which qualify as </w:t>
      </w:r>
      <w:r>
        <w:rPr>
          <w:sz w:val="20"/>
          <w:szCs w:val="20"/>
        </w:rPr>
        <w:t>financial instruments under ASC Topic 820, “Fair Value Measurements and Disclosures,” approximates the carrying amounts represented in the accompanying balance sheet, primarily due to their short-term nature.</w:t>
      </w:r>
    </w:p>
    <w:p w14:paraId="7843670C" w14:textId="77777777" w:rsidR="00000000" w:rsidRDefault="007F5353">
      <w:pPr>
        <w:pStyle w:val="a3"/>
        <w:spacing w:before="0" w:beforeAutospacing="0" w:after="0" w:afterAutospacing="0"/>
        <w:jc w:val="both"/>
        <w:rPr>
          <w:sz w:val="20"/>
          <w:szCs w:val="20"/>
        </w:rPr>
      </w:pPr>
      <w:r>
        <w:rPr>
          <w:sz w:val="20"/>
          <w:szCs w:val="20"/>
        </w:rPr>
        <w:t> </w:t>
      </w:r>
    </w:p>
    <w:p w14:paraId="4CD53949" w14:textId="77777777" w:rsidR="00000000" w:rsidRDefault="007F5353">
      <w:pPr>
        <w:pStyle w:val="a3"/>
        <w:shd w:val="clear" w:color="auto" w:fill="FFFFFF"/>
        <w:spacing w:before="0" w:beforeAutospacing="0" w:after="0" w:afterAutospacing="0"/>
        <w:jc w:val="both"/>
        <w:rPr>
          <w:sz w:val="20"/>
          <w:szCs w:val="20"/>
        </w:rPr>
      </w:pPr>
      <w:r>
        <w:rPr>
          <w:b/>
          <w:bCs/>
          <w:sz w:val="20"/>
          <w:szCs w:val="20"/>
        </w:rPr>
        <w:t xml:space="preserve">Recent </w:t>
      </w:r>
      <w:r>
        <w:rPr>
          <w:b/>
          <w:bCs/>
          <w:sz w:val="20"/>
          <w:szCs w:val="20"/>
        </w:rPr>
        <w:t>Accounting Standards</w:t>
      </w:r>
    </w:p>
    <w:p w14:paraId="2B037E29"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p w14:paraId="400BC02A" w14:textId="77777777" w:rsidR="00000000" w:rsidRDefault="007F5353">
      <w:pPr>
        <w:pStyle w:val="a3"/>
        <w:shd w:val="clear" w:color="auto" w:fill="FFFFFF"/>
        <w:spacing w:before="0" w:beforeAutospacing="0" w:after="0" w:afterAutospacing="0"/>
        <w:jc w:val="both"/>
        <w:rPr>
          <w:sz w:val="20"/>
          <w:szCs w:val="20"/>
        </w:rPr>
      </w:pPr>
      <w:r>
        <w:rPr>
          <w:sz w:val="20"/>
          <w:szCs w:val="20"/>
        </w:rPr>
        <w:t>The Company’s management does not believe that any recently issued, but not yet effective, accounting standards updates, if currently adopted, would have a material effect on the accompanying financial statement.</w:t>
      </w:r>
    </w:p>
    <w:p w14:paraId="1DD7D9DC" w14:textId="77777777" w:rsidR="00000000" w:rsidRDefault="007F5353">
      <w:pPr>
        <w:pStyle w:val="a3"/>
        <w:spacing w:before="0" w:beforeAutospacing="0" w:after="0" w:afterAutospacing="0"/>
        <w:ind w:firstLine="300"/>
        <w:jc w:val="both"/>
        <w:rPr>
          <w:sz w:val="20"/>
          <w:szCs w:val="20"/>
        </w:rPr>
      </w:pPr>
      <w:r>
        <w:rPr>
          <w:sz w:val="20"/>
          <w:szCs w:val="20"/>
        </w:rPr>
        <w:t> </w:t>
      </w:r>
    </w:p>
    <w:p w14:paraId="7CCD9526" w14:textId="77777777" w:rsidR="00000000" w:rsidRDefault="007F5353">
      <w:pPr>
        <w:pStyle w:val="a3"/>
        <w:spacing w:before="0" w:beforeAutospacing="0" w:after="0" w:afterAutospacing="0"/>
        <w:jc w:val="both"/>
        <w:rPr>
          <w:sz w:val="20"/>
          <w:szCs w:val="20"/>
        </w:rPr>
      </w:pPr>
      <w:r>
        <w:rPr>
          <w:b/>
          <w:bCs/>
          <w:sz w:val="20"/>
          <w:szCs w:val="20"/>
        </w:rPr>
        <w:t>Risks and Uncertai</w:t>
      </w:r>
      <w:r>
        <w:rPr>
          <w:b/>
          <w:bCs/>
          <w:sz w:val="20"/>
          <w:szCs w:val="20"/>
        </w:rPr>
        <w:t>nties</w:t>
      </w:r>
    </w:p>
    <w:p w14:paraId="75DFD6E6"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p w14:paraId="27443EC0" w14:textId="77777777" w:rsidR="00000000" w:rsidRDefault="007F5353">
      <w:pPr>
        <w:pStyle w:val="a3"/>
        <w:shd w:val="clear" w:color="auto" w:fill="FFFFFF"/>
        <w:spacing w:before="0" w:beforeAutospacing="0" w:after="0" w:afterAutospacing="0"/>
        <w:jc w:val="both"/>
        <w:rPr>
          <w:sz w:val="20"/>
          <w:szCs w:val="20"/>
        </w:rPr>
      </w:pPr>
      <w:r>
        <w:rPr>
          <w:sz w:val="20"/>
          <w:szCs w:val="20"/>
        </w:rPr>
        <w:t>Management is currently evaluating the impact of the COVID-19 pandemic on the industry and has concluded that while it is reasonably possible that the virus could have a negative effect on the Company’s financial position, results of its operations</w:t>
      </w:r>
      <w:r>
        <w:rPr>
          <w:sz w:val="20"/>
          <w:szCs w:val="20"/>
        </w:rPr>
        <w:t>, close of the Initial Public Offering, and/or search for a target company, the specific impact is not readily determinable as of the date of these financial statements. The financial statements do not include any adjustments that might result from the out</w:t>
      </w:r>
      <w:r>
        <w:rPr>
          <w:sz w:val="20"/>
          <w:szCs w:val="20"/>
        </w:rPr>
        <w:t>come of this uncertainty.</w:t>
      </w:r>
    </w:p>
    <w:p w14:paraId="002815B5"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573DA9D" w14:textId="77777777">
        <w:trPr>
          <w:divId w:val="744033246"/>
        </w:trPr>
        <w:tc>
          <w:tcPr>
            <w:tcW w:w="5000" w:type="pct"/>
            <w:hideMark/>
          </w:tcPr>
          <w:p w14:paraId="1CD57EF2"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13904CEC" w14:textId="77777777">
        <w:tc>
          <w:tcPr>
            <w:tcW w:w="5000" w:type="pct"/>
            <w:hideMark/>
          </w:tcPr>
          <w:p w14:paraId="089692F4" w14:textId="77777777" w:rsidR="00000000" w:rsidRDefault="007F5353">
            <w:pPr>
              <w:jc w:val="center"/>
              <w:rPr>
                <w:rFonts w:eastAsia="Times New Roman"/>
                <w:sz w:val="20"/>
                <w:szCs w:val="20"/>
              </w:rPr>
            </w:pPr>
            <w:r>
              <w:rPr>
                <w:rFonts w:eastAsia="Times New Roman"/>
                <w:sz w:val="20"/>
                <w:szCs w:val="20"/>
              </w:rPr>
              <w:t> </w:t>
            </w:r>
          </w:p>
        </w:tc>
      </w:tr>
    </w:tbl>
    <w:p w14:paraId="21E3A8A4" w14:textId="77777777" w:rsidR="00000000" w:rsidRDefault="007F5353">
      <w:pPr>
        <w:pStyle w:val="a3"/>
        <w:spacing w:before="0" w:beforeAutospacing="0" w:after="0" w:afterAutospacing="0"/>
        <w:jc w:val="both"/>
        <w:rPr>
          <w:sz w:val="20"/>
          <w:szCs w:val="20"/>
        </w:rPr>
      </w:pPr>
      <w:r>
        <w:rPr>
          <w:sz w:val="20"/>
          <w:szCs w:val="20"/>
        </w:rPr>
        <w:t> </w:t>
      </w:r>
    </w:p>
    <w:p w14:paraId="35C96A2E" w14:textId="77777777" w:rsidR="00000000" w:rsidRDefault="007F5353">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INITIAL PUBLIC OFFERIN</w:t>
      </w:r>
      <w:r>
        <w:rPr>
          <w:b/>
          <w:bCs/>
          <w:sz w:val="20"/>
          <w:szCs w:val="20"/>
        </w:rPr>
        <w:t>G</w:t>
      </w:r>
    </w:p>
    <w:p w14:paraId="0AFB2EF2" w14:textId="77777777" w:rsidR="00000000" w:rsidRDefault="007F5353">
      <w:pPr>
        <w:pStyle w:val="a3"/>
        <w:spacing w:before="0" w:beforeAutospacing="0" w:after="0" w:afterAutospacing="0"/>
        <w:ind w:firstLine="300"/>
        <w:jc w:val="both"/>
        <w:rPr>
          <w:sz w:val="20"/>
          <w:szCs w:val="20"/>
        </w:rPr>
      </w:pPr>
      <w:r>
        <w:rPr>
          <w:sz w:val="20"/>
          <w:szCs w:val="20"/>
        </w:rPr>
        <w:t> </w:t>
      </w:r>
    </w:p>
    <w:p w14:paraId="6144B149" w14:textId="77777777" w:rsidR="00000000" w:rsidRDefault="007F5353">
      <w:pPr>
        <w:pStyle w:val="a3"/>
        <w:shd w:val="clear" w:color="auto" w:fill="FFFFFF"/>
        <w:spacing w:before="0" w:beforeAutospacing="0" w:after="0" w:afterAutospacing="0"/>
        <w:jc w:val="both"/>
        <w:rPr>
          <w:sz w:val="20"/>
          <w:szCs w:val="20"/>
        </w:rPr>
      </w:pPr>
      <w:r>
        <w:rPr>
          <w:sz w:val="20"/>
          <w:szCs w:val="20"/>
        </w:rPr>
        <w:t>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 at </w:t>
      </w:r>
      <w:r>
        <w:rPr>
          <w:sz w:val="20"/>
          <w:szCs w:val="20"/>
        </w:rPr>
        <w:t>$</w:t>
      </w:r>
      <w:r>
        <w:rPr>
          <w:sz w:val="20"/>
          <w:szCs w:val="20"/>
        </w:rPr>
        <w:t>10.0</w:t>
      </w:r>
      <w:r>
        <w:rPr>
          <w:sz w:val="20"/>
          <w:szCs w:val="20"/>
        </w:rPr>
        <w:t>0</w:t>
      </w:r>
      <w:r>
        <w:rPr>
          <w:sz w:val="20"/>
          <w:szCs w:val="20"/>
        </w:rPr>
        <w:t xml:space="preserve"> per Unit, generating gross proceeds of </w:t>
      </w:r>
      <w:r>
        <w:rPr>
          <w:sz w:val="20"/>
          <w:szCs w:val="20"/>
        </w:rPr>
        <w:t>$</w:t>
      </w:r>
      <w:r>
        <w:rPr>
          <w:sz w:val="20"/>
          <w:szCs w:val="20"/>
        </w:rPr>
        <w:t>100,000,00</w:t>
      </w:r>
      <w:r>
        <w:rPr>
          <w:sz w:val="20"/>
          <w:szCs w:val="20"/>
        </w:rPr>
        <w:t>0</w:t>
      </w:r>
      <w:r>
        <w:rPr>
          <w:sz w:val="20"/>
          <w:szCs w:val="20"/>
        </w:rPr>
        <w:t>.</w:t>
      </w:r>
    </w:p>
    <w:p w14:paraId="23522047"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0AD06B5"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Each </w:t>
      </w:r>
      <w:r>
        <w:rPr>
          <w:sz w:val="20"/>
          <w:szCs w:val="20"/>
        </w:rPr>
        <w:t>Unit consists of one share of common stock and one right to receive one-tenth (1/10) of one share of common stock upon the consummation of an initial business combination</w:t>
      </w:r>
      <w:r>
        <w:rPr>
          <w:sz w:val="20"/>
          <w:szCs w:val="20"/>
        </w:rPr>
        <w:t>.</w:t>
      </w:r>
    </w:p>
    <w:p w14:paraId="28E7091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4254D887" w14:textId="77777777" w:rsidR="00000000" w:rsidRDefault="007F5353">
      <w:pPr>
        <w:pStyle w:val="a3"/>
        <w:shd w:val="clear" w:color="auto" w:fill="FFFFFF"/>
        <w:spacing w:before="0" w:beforeAutospacing="0" w:after="0" w:afterAutospacing="0"/>
        <w:jc w:val="both"/>
        <w:rPr>
          <w:sz w:val="20"/>
          <w:szCs w:val="20"/>
        </w:rPr>
      </w:pPr>
      <w:r>
        <w:rPr>
          <w:sz w:val="20"/>
          <w:szCs w:val="20"/>
        </w:rPr>
        <w:t>As of January 13, 2022, the Company closed its Initial Public Offering and incurre</w:t>
      </w:r>
      <w:r>
        <w:rPr>
          <w:sz w:val="20"/>
          <w:szCs w:val="20"/>
        </w:rPr>
        <w:t xml:space="preserve">d transaction costs of approximately </w:t>
      </w:r>
      <w:r>
        <w:rPr>
          <w:sz w:val="20"/>
          <w:szCs w:val="20"/>
        </w:rPr>
        <w:t>$</w:t>
      </w:r>
      <w:r>
        <w:rPr>
          <w:sz w:val="20"/>
          <w:szCs w:val="20"/>
        </w:rPr>
        <w:t>6,917,22</w:t>
      </w:r>
      <w:r>
        <w:rPr>
          <w:sz w:val="20"/>
          <w:szCs w:val="20"/>
        </w:rPr>
        <w:t>6</w:t>
      </w:r>
      <w:r>
        <w:rPr>
          <w:sz w:val="20"/>
          <w:szCs w:val="20"/>
        </w:rPr>
        <w:t xml:space="preserve">, of which </w:t>
      </w:r>
      <w:r>
        <w:rPr>
          <w:sz w:val="20"/>
          <w:szCs w:val="20"/>
        </w:rPr>
        <w:t>$</w:t>
      </w:r>
      <w:r>
        <w:rPr>
          <w:sz w:val="20"/>
          <w:szCs w:val="20"/>
        </w:rPr>
        <w:t>3,500,00</w:t>
      </w:r>
      <w:r>
        <w:rPr>
          <w:sz w:val="20"/>
          <w:szCs w:val="20"/>
        </w:rPr>
        <w:t>0</w:t>
      </w:r>
      <w:r>
        <w:rPr>
          <w:sz w:val="20"/>
          <w:szCs w:val="20"/>
        </w:rPr>
        <w:t xml:space="preserve"> was for deferred underwriting commissions.</w:t>
      </w:r>
    </w:p>
    <w:p w14:paraId="4C0381B8"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3D943F0B" w14:textId="77777777" w:rsidR="00000000" w:rsidRDefault="007F5353">
      <w:pPr>
        <w:pStyle w:val="a3"/>
        <w:shd w:val="clear" w:color="auto" w:fill="FFFFFF"/>
        <w:spacing w:before="0" w:beforeAutospacing="0" w:after="0" w:afterAutospacing="0"/>
        <w:jc w:val="both"/>
        <w:rPr>
          <w:sz w:val="20"/>
          <w:szCs w:val="20"/>
        </w:rPr>
      </w:pPr>
      <w:r>
        <w:rPr>
          <w:sz w:val="20"/>
          <w:szCs w:val="20"/>
        </w:rPr>
        <w:t>On February 9, 2022, the Underwriters partially exercised 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w:t>
      </w:r>
      <w:r>
        <w:rPr>
          <w:sz w:val="20"/>
          <w:szCs w:val="20"/>
        </w:rPr>
        <w:t xml:space="preserve">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w:t>
      </w:r>
    </w:p>
    <w:p w14:paraId="7B43629B"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p w14:paraId="632ADDCD" w14:textId="77777777" w:rsidR="00000000" w:rsidRDefault="007F5353">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PRIVATE PLACEMEN</w:t>
      </w:r>
      <w:r>
        <w:rPr>
          <w:b/>
          <w:bCs/>
          <w:sz w:val="20"/>
          <w:szCs w:val="20"/>
        </w:rPr>
        <w:t>T</w:t>
      </w:r>
    </w:p>
    <w:p w14:paraId="7E8BE74C" w14:textId="77777777" w:rsidR="00000000" w:rsidRDefault="007F5353">
      <w:pPr>
        <w:pStyle w:val="a3"/>
        <w:spacing w:before="0" w:beforeAutospacing="0" w:after="0" w:afterAutospacing="0"/>
        <w:ind w:firstLine="300"/>
        <w:jc w:val="both"/>
        <w:rPr>
          <w:sz w:val="20"/>
          <w:szCs w:val="20"/>
        </w:rPr>
      </w:pPr>
      <w:r>
        <w:rPr>
          <w:sz w:val="20"/>
          <w:szCs w:val="20"/>
        </w:rPr>
        <w:t> </w:t>
      </w:r>
    </w:p>
    <w:p w14:paraId="5835490B"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Simultaneously with the closing of the Initial Public Offering, the Sponsor purchased an </w:t>
      </w:r>
      <w:r>
        <w:rPr>
          <w:sz w:val="20"/>
          <w:szCs w:val="20"/>
        </w:rPr>
        <w:t>aggregate of</w:t>
      </w:r>
      <w:r>
        <w:rPr>
          <w:sz w:val="20"/>
          <w:szCs w:val="20"/>
        </w:rPr>
        <w:t xml:space="preserve"> </w:t>
      </w:r>
      <w:r>
        <w:rPr>
          <w:sz w:val="20"/>
          <w:szCs w:val="20"/>
        </w:rPr>
        <w:t>446,35</w:t>
      </w:r>
      <w:r>
        <w:rPr>
          <w:sz w:val="20"/>
          <w:szCs w:val="20"/>
        </w:rPr>
        <w:t>8</w:t>
      </w:r>
      <w:r>
        <w:rPr>
          <w:sz w:val="20"/>
          <w:szCs w:val="20"/>
        </w:rPr>
        <w:t xml:space="preserve"> Placement Units at a price of </w:t>
      </w:r>
      <w:r>
        <w:rPr>
          <w:sz w:val="20"/>
          <w:szCs w:val="20"/>
        </w:rPr>
        <w:t>$</w:t>
      </w:r>
      <w:r>
        <w:rPr>
          <w:sz w:val="20"/>
          <w:szCs w:val="20"/>
        </w:rPr>
        <w:t>10.0</w:t>
      </w:r>
      <w:r>
        <w:rPr>
          <w:sz w:val="20"/>
          <w:szCs w:val="20"/>
        </w:rPr>
        <w:t>0</w:t>
      </w:r>
      <w:r>
        <w:rPr>
          <w:sz w:val="20"/>
          <w:szCs w:val="20"/>
        </w:rPr>
        <w:t xml:space="preserve"> per Placement Unit (</w:t>
      </w:r>
      <w:r>
        <w:rPr>
          <w:sz w:val="20"/>
          <w:szCs w:val="20"/>
        </w:rPr>
        <w:t>$</w:t>
      </w:r>
      <w:r>
        <w:rPr>
          <w:sz w:val="20"/>
          <w:szCs w:val="20"/>
        </w:rPr>
        <w:t>4,463,58</w:t>
      </w:r>
      <w:r>
        <w:rPr>
          <w:sz w:val="20"/>
          <w:szCs w:val="20"/>
        </w:rPr>
        <w:t>0</w:t>
      </w:r>
      <w:r>
        <w:rPr>
          <w:sz w:val="20"/>
          <w:szCs w:val="20"/>
        </w:rPr>
        <w:t xml:space="preserve"> in the aggregate).</w:t>
      </w:r>
    </w:p>
    <w:p w14:paraId="0F3FFD58"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4E6E459" w14:textId="77777777" w:rsidR="00000000" w:rsidRDefault="007F5353">
      <w:pPr>
        <w:pStyle w:val="a3"/>
        <w:shd w:val="clear" w:color="auto" w:fill="FFFFFF"/>
        <w:spacing w:before="0" w:beforeAutospacing="0" w:after="0" w:afterAutospacing="0"/>
        <w:jc w:val="both"/>
        <w:rPr>
          <w:sz w:val="20"/>
          <w:szCs w:val="20"/>
        </w:rPr>
      </w:pPr>
      <w:r>
        <w:rPr>
          <w:sz w:val="20"/>
          <w:szCs w:val="20"/>
        </w:rPr>
        <w:t>The proceeds from the sale of the Placement Units were added to the net proceeds from the Initial Public Offering held in the Trust Account. The P</w:t>
      </w:r>
      <w:r>
        <w:rPr>
          <w:sz w:val="20"/>
          <w:szCs w:val="20"/>
        </w:rPr>
        <w:t>lacement Units are identical to the Units sold in the Initial Public Offering. If the Company does not complete a Business Combination within the Combination Period, the proceeds from the sale of the Placement Units will be used to fund the redemption of t</w:t>
      </w:r>
      <w:r>
        <w:rPr>
          <w:sz w:val="20"/>
          <w:szCs w:val="20"/>
        </w:rPr>
        <w:t>he Public Shares (subject to the requirements of applicable law) and the Placement Units will expire worthless.</w:t>
      </w:r>
    </w:p>
    <w:p w14:paraId="48D2F9D5"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60C72F80" w14:textId="77777777" w:rsidR="00000000" w:rsidRDefault="007F5353">
      <w:pPr>
        <w:pStyle w:val="a3"/>
        <w:spacing w:before="0" w:beforeAutospacing="0" w:after="0" w:afterAutospacing="0"/>
        <w:jc w:val="both"/>
        <w:rPr>
          <w:sz w:val="20"/>
          <w:szCs w:val="20"/>
        </w:rPr>
      </w:pPr>
      <w:r>
        <w:rPr>
          <w:sz w:val="20"/>
          <w:szCs w:val="20"/>
        </w:rPr>
        <w:t>Simultaneously with the closing of the Over-Allotment, the Company completed the private sale of an additional</w:t>
      </w:r>
      <w:r>
        <w:rPr>
          <w:sz w:val="20"/>
          <w:szCs w:val="20"/>
        </w:rPr>
        <w:t xml:space="preserve"> </w:t>
      </w:r>
      <w:r>
        <w:rPr>
          <w:sz w:val="20"/>
          <w:szCs w:val="20"/>
        </w:rPr>
        <w:t>4,77</w:t>
      </w:r>
      <w:r>
        <w:rPr>
          <w:sz w:val="20"/>
          <w:szCs w:val="20"/>
        </w:rPr>
        <w:t>2</w:t>
      </w:r>
      <w:r>
        <w:rPr>
          <w:sz w:val="20"/>
          <w:szCs w:val="20"/>
        </w:rPr>
        <w:t xml:space="preserve"> placement units at a purc</w:t>
      </w:r>
      <w:r>
        <w:rPr>
          <w:sz w:val="20"/>
          <w:szCs w:val="20"/>
        </w:rPr>
        <w:t xml:space="preserve">hase price of </w:t>
      </w:r>
      <w:r>
        <w:rPr>
          <w:sz w:val="20"/>
          <w:szCs w:val="20"/>
        </w:rPr>
        <w:t>$</w:t>
      </w:r>
      <w:r>
        <w:rPr>
          <w:sz w:val="20"/>
          <w:szCs w:val="20"/>
        </w:rPr>
        <w:t>10.0</w:t>
      </w:r>
      <w:r>
        <w:rPr>
          <w:sz w:val="20"/>
          <w:szCs w:val="20"/>
        </w:rPr>
        <w:t>0</w:t>
      </w:r>
      <w:r>
        <w:rPr>
          <w:sz w:val="20"/>
          <w:szCs w:val="20"/>
        </w:rPr>
        <w:t xml:space="preserve"> per placement unit, to the Company’s sponsor, Broad Capital LLC, generating additional gross proceeds to the Company of </w:t>
      </w:r>
      <w:r>
        <w:rPr>
          <w:sz w:val="20"/>
          <w:szCs w:val="20"/>
        </w:rPr>
        <w:t>$</w:t>
      </w:r>
      <w:r>
        <w:rPr>
          <w:sz w:val="20"/>
          <w:szCs w:val="20"/>
        </w:rPr>
        <w:t>47,72</w:t>
      </w:r>
      <w:r>
        <w:rPr>
          <w:sz w:val="20"/>
          <w:szCs w:val="20"/>
        </w:rPr>
        <w:t>0</w:t>
      </w:r>
      <w:r>
        <w:rPr>
          <w:sz w:val="20"/>
          <w:szCs w:val="20"/>
        </w:rPr>
        <w:t>.</w:t>
      </w:r>
    </w:p>
    <w:p w14:paraId="54763A82" w14:textId="77777777" w:rsidR="00000000" w:rsidRDefault="007F5353">
      <w:pPr>
        <w:pStyle w:val="a3"/>
        <w:spacing w:before="0" w:beforeAutospacing="0" w:after="0" w:afterAutospacing="0"/>
        <w:jc w:val="both"/>
        <w:rPr>
          <w:sz w:val="20"/>
          <w:szCs w:val="20"/>
        </w:rPr>
      </w:pPr>
      <w:r>
        <w:rPr>
          <w:sz w:val="20"/>
          <w:szCs w:val="20"/>
        </w:rPr>
        <w:t> </w:t>
      </w:r>
    </w:p>
    <w:p w14:paraId="56AF747A" w14:textId="77777777" w:rsidR="00000000" w:rsidRDefault="007F5353">
      <w:pPr>
        <w:pStyle w:val="a3"/>
        <w:spacing w:before="0" w:beforeAutospacing="0" w:after="0" w:afterAutospacing="0"/>
        <w:jc w:val="both"/>
        <w:rPr>
          <w:sz w:val="20"/>
          <w:szCs w:val="20"/>
        </w:rPr>
      </w:pPr>
      <w:r>
        <w:rPr>
          <w:sz w:val="20"/>
          <w:szCs w:val="20"/>
        </w:rPr>
        <w:t>In connection with the closing and sale of the Over-Allotment Units and the additional placement units (</w:t>
      </w:r>
      <w:r>
        <w:rPr>
          <w:sz w:val="20"/>
          <w:szCs w:val="20"/>
        </w:rPr>
        <w:t xml:space="preserve">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was placed in a U.S.-based trust account established for the benefit of the Company’s public shareholders, maintained by Continental Stock Transfer &amp;</w:t>
      </w:r>
      <w:r>
        <w:rPr>
          <w:sz w:val="20"/>
          <w:szCs w:val="20"/>
        </w:rPr>
        <w:t xml:space="preserve"> Trust Company, acting as trustee.</w:t>
      </w:r>
    </w:p>
    <w:p w14:paraId="241451B3" w14:textId="77777777" w:rsidR="00000000" w:rsidRDefault="007F5353">
      <w:pPr>
        <w:pStyle w:val="a3"/>
        <w:spacing w:before="0" w:beforeAutospacing="0" w:after="0" w:afterAutospacing="0"/>
        <w:jc w:val="both"/>
        <w:rPr>
          <w:sz w:val="20"/>
          <w:szCs w:val="20"/>
        </w:rPr>
      </w:pPr>
      <w:r>
        <w:rPr>
          <w:sz w:val="20"/>
          <w:szCs w:val="20"/>
        </w:rPr>
        <w:t> </w:t>
      </w:r>
    </w:p>
    <w:p w14:paraId="3A8F10A7" w14:textId="77777777" w:rsidR="00000000" w:rsidRDefault="007F5353">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RELATED PARTY TRANSACTION</w:t>
      </w:r>
      <w:r>
        <w:rPr>
          <w:b/>
          <w:bCs/>
          <w:sz w:val="20"/>
          <w:szCs w:val="20"/>
        </w:rPr>
        <w:t>S</w:t>
      </w:r>
    </w:p>
    <w:p w14:paraId="1D7E9B3B" w14:textId="77777777" w:rsidR="00000000" w:rsidRDefault="007F5353">
      <w:pPr>
        <w:pStyle w:val="a3"/>
        <w:spacing w:before="0" w:beforeAutospacing="0" w:after="0" w:afterAutospacing="0"/>
        <w:jc w:val="both"/>
        <w:rPr>
          <w:sz w:val="20"/>
          <w:szCs w:val="20"/>
        </w:rPr>
      </w:pPr>
      <w:r>
        <w:rPr>
          <w:sz w:val="20"/>
          <w:szCs w:val="20"/>
        </w:rPr>
        <w:t> </w:t>
      </w:r>
    </w:p>
    <w:p w14:paraId="1D15E1A1" w14:textId="77777777" w:rsidR="00000000" w:rsidRDefault="007F5353">
      <w:pPr>
        <w:pStyle w:val="a3"/>
        <w:spacing w:before="0" w:beforeAutospacing="0" w:after="0" w:afterAutospacing="0"/>
        <w:jc w:val="both"/>
        <w:rPr>
          <w:sz w:val="20"/>
          <w:szCs w:val="20"/>
        </w:rPr>
      </w:pPr>
      <w:r>
        <w:rPr>
          <w:b/>
          <w:bCs/>
          <w:sz w:val="20"/>
          <w:szCs w:val="20"/>
        </w:rPr>
        <w:t>Insider shares</w:t>
      </w:r>
    </w:p>
    <w:p w14:paraId="6B7DA3FE"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p w14:paraId="4E09448E" w14:textId="77777777" w:rsidR="00000000" w:rsidRDefault="007F5353">
      <w:pPr>
        <w:pStyle w:val="a3"/>
        <w:shd w:val="clear" w:color="auto" w:fill="FFFFFF"/>
        <w:spacing w:before="0" w:beforeAutospacing="0" w:after="0" w:afterAutospacing="0"/>
        <w:jc w:val="both"/>
        <w:rPr>
          <w:sz w:val="20"/>
          <w:szCs w:val="20"/>
        </w:rPr>
      </w:pPr>
      <w:r>
        <w:rPr>
          <w:sz w:val="20"/>
          <w:szCs w:val="20"/>
        </w:rPr>
        <w:t>On May 7, 2021, the Sponsor purchased</w:t>
      </w:r>
      <w:r>
        <w:rPr>
          <w:sz w:val="20"/>
          <w:szCs w:val="20"/>
        </w:rPr>
        <w:t xml:space="preserve"> </w:t>
      </w:r>
      <w:r>
        <w:rPr>
          <w:sz w:val="20"/>
          <w:szCs w:val="20"/>
        </w:rPr>
        <w:t>2,875,00</w:t>
      </w:r>
      <w:r>
        <w:rPr>
          <w:sz w:val="20"/>
          <w:szCs w:val="20"/>
        </w:rPr>
        <w:t>0</w:t>
      </w:r>
      <w:r>
        <w:rPr>
          <w:sz w:val="20"/>
          <w:szCs w:val="20"/>
        </w:rPr>
        <w:t xml:space="preserve"> insider shares for an aggregate purchase price of </w:t>
      </w:r>
      <w:r>
        <w:rPr>
          <w:sz w:val="20"/>
          <w:szCs w:val="20"/>
        </w:rPr>
        <w:t>$</w:t>
      </w:r>
      <w:r>
        <w:rPr>
          <w:sz w:val="20"/>
          <w:szCs w:val="20"/>
        </w:rPr>
        <w:t>25,00</w:t>
      </w:r>
      <w:r>
        <w:rPr>
          <w:sz w:val="20"/>
          <w:szCs w:val="20"/>
        </w:rPr>
        <w:t>0</w:t>
      </w:r>
      <w:r>
        <w:rPr>
          <w:sz w:val="20"/>
          <w:szCs w:val="20"/>
        </w:rPr>
        <w:t xml:space="preserve">. The number of insider shares </w:t>
      </w:r>
      <w:r>
        <w:rPr>
          <w:sz w:val="20"/>
          <w:szCs w:val="20"/>
        </w:rPr>
        <w:t>will equal, on an as-converted basis, approximately</w:t>
      </w:r>
      <w:r>
        <w:rPr>
          <w:sz w:val="20"/>
          <w:szCs w:val="20"/>
        </w:rPr>
        <w:t xml:space="preserve"> </w:t>
      </w:r>
      <w:r>
        <w:rPr>
          <w:sz w:val="20"/>
          <w:szCs w:val="20"/>
        </w:rPr>
        <w:t>2</w:t>
      </w:r>
      <w:r>
        <w:rPr>
          <w:sz w:val="20"/>
          <w:szCs w:val="20"/>
        </w:rPr>
        <w:t>0</w:t>
      </w:r>
      <w:r>
        <w:rPr>
          <w:sz w:val="20"/>
          <w:szCs w:val="20"/>
        </w:rPr>
        <w:t>% of the Company’s issued and outstanding shares of ordinary shares after the Initial Public Offering.</w:t>
      </w:r>
    </w:p>
    <w:p w14:paraId="5497CA0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5E2E9BED" w14:textId="77777777" w:rsidR="00000000" w:rsidRDefault="007F5353">
      <w:pPr>
        <w:pStyle w:val="a3"/>
        <w:shd w:val="clear" w:color="auto" w:fill="FFFFFF"/>
        <w:spacing w:before="0" w:beforeAutospacing="0" w:after="0" w:afterAutospacing="0"/>
        <w:jc w:val="both"/>
        <w:rPr>
          <w:sz w:val="20"/>
          <w:szCs w:val="20"/>
        </w:rPr>
      </w:pPr>
      <w:r>
        <w:rPr>
          <w:sz w:val="20"/>
          <w:szCs w:val="20"/>
          <w:shd w:val="clear" w:color="auto" w:fill="FFFFFF"/>
        </w:rPr>
        <w:t>On May 25, 2021, our sponsor transferred</w:t>
      </w:r>
      <w:r>
        <w:rPr>
          <w:sz w:val="20"/>
          <w:szCs w:val="20"/>
          <w:shd w:val="clear" w:color="auto" w:fill="FFFFFF"/>
        </w:rPr>
        <w:t xml:space="preserve"> </w:t>
      </w:r>
      <w:r>
        <w:rPr>
          <w:sz w:val="20"/>
          <w:szCs w:val="20"/>
          <w:shd w:val="clear" w:color="auto" w:fill="FFFFFF"/>
        </w:rPr>
        <w:t>80,00</w:t>
      </w:r>
      <w:r>
        <w:rPr>
          <w:sz w:val="20"/>
          <w:szCs w:val="20"/>
          <w:shd w:val="clear" w:color="auto" w:fill="FFFFFF"/>
        </w:rPr>
        <w:t>0</w:t>
      </w:r>
      <w:r>
        <w:rPr>
          <w:sz w:val="20"/>
          <w:szCs w:val="20"/>
          <w:shd w:val="clear" w:color="auto" w:fill="FFFFFF"/>
        </w:rPr>
        <w:t xml:space="preserve"> insider shares of common stock among our four ind</w:t>
      </w:r>
      <w:r>
        <w:rPr>
          <w:sz w:val="20"/>
          <w:szCs w:val="20"/>
          <w:shd w:val="clear" w:color="auto" w:fill="FFFFFF"/>
        </w:rPr>
        <w:t>ependent directors, leaving</w:t>
      </w:r>
      <w:r>
        <w:rPr>
          <w:sz w:val="20"/>
          <w:szCs w:val="20"/>
          <w:shd w:val="clear" w:color="auto" w:fill="FFFFFF"/>
        </w:rPr>
        <w:t xml:space="preserve"> </w:t>
      </w:r>
      <w:r>
        <w:rPr>
          <w:sz w:val="20"/>
          <w:szCs w:val="20"/>
          <w:shd w:val="clear" w:color="auto" w:fill="FFFFFF"/>
        </w:rPr>
        <w:t>2,795,00</w:t>
      </w:r>
      <w:r>
        <w:rPr>
          <w:sz w:val="20"/>
          <w:szCs w:val="20"/>
          <w:shd w:val="clear" w:color="auto" w:fill="FFFFFF"/>
        </w:rPr>
        <w:t>0</w:t>
      </w:r>
      <w:r>
        <w:rPr>
          <w:sz w:val="20"/>
          <w:szCs w:val="20"/>
          <w:shd w:val="clear" w:color="auto" w:fill="FFFFFF"/>
        </w:rPr>
        <w:t xml:space="preserve"> insider shares held by our sponsor.</w:t>
      </w:r>
    </w:p>
    <w:p w14:paraId="3D20B913"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B68EFE9" w14:textId="77777777" w:rsidR="00000000" w:rsidRDefault="007F5353">
      <w:pPr>
        <w:pStyle w:val="a3"/>
        <w:shd w:val="clear" w:color="auto" w:fill="FFFFFF"/>
        <w:spacing w:before="0" w:beforeAutospacing="0" w:after="0" w:afterAutospacing="0"/>
        <w:jc w:val="both"/>
        <w:rPr>
          <w:sz w:val="20"/>
          <w:szCs w:val="20"/>
        </w:rPr>
      </w:pPr>
      <w:r>
        <w:rPr>
          <w:sz w:val="20"/>
          <w:szCs w:val="20"/>
        </w:rPr>
        <w:t>Due to the over-allotment option being partially exercised by the underwriter on February 10, 2022 (see note 6), the Sponsor forfeited</w:t>
      </w:r>
      <w:r>
        <w:rPr>
          <w:sz w:val="20"/>
          <w:szCs w:val="20"/>
        </w:rPr>
        <w:t xml:space="preserve"> </w:t>
      </w:r>
      <w:r>
        <w:rPr>
          <w:sz w:val="20"/>
          <w:szCs w:val="20"/>
        </w:rPr>
        <w:t>335,23</w:t>
      </w:r>
      <w:r>
        <w:rPr>
          <w:sz w:val="20"/>
          <w:szCs w:val="20"/>
        </w:rPr>
        <w:t>3</w:t>
      </w:r>
      <w:r>
        <w:rPr>
          <w:sz w:val="20"/>
          <w:szCs w:val="20"/>
        </w:rPr>
        <w:t xml:space="preserve"> insider shares. As of June 30, 2022, </w:t>
      </w:r>
      <w:r>
        <w:rPr>
          <w:sz w:val="20"/>
          <w:szCs w:val="20"/>
        </w:rPr>
        <w:t>there were</w:t>
      </w:r>
      <w:r>
        <w:rPr>
          <w:sz w:val="20"/>
          <w:szCs w:val="20"/>
        </w:rPr>
        <w:t xml:space="preserve"> </w:t>
      </w:r>
      <w:r>
        <w:rPr>
          <w:sz w:val="20"/>
          <w:szCs w:val="20"/>
        </w:rPr>
        <w:t>2,539,76</w:t>
      </w:r>
      <w:r>
        <w:rPr>
          <w:sz w:val="20"/>
          <w:szCs w:val="20"/>
        </w:rPr>
        <w:t>7</w:t>
      </w:r>
      <w:r>
        <w:rPr>
          <w:sz w:val="20"/>
          <w:szCs w:val="20"/>
        </w:rPr>
        <w:t xml:space="preserve"> </w:t>
      </w:r>
      <w:r>
        <w:rPr>
          <w:sz w:val="20"/>
          <w:szCs w:val="20"/>
        </w:rPr>
        <w:t>insider shares issued and outstanding and</w:t>
      </w:r>
      <w:r>
        <w:rPr>
          <w:sz w:val="20"/>
          <w:szCs w:val="20"/>
        </w:rPr>
        <w:t xml:space="preserve"> </w:t>
      </w:r>
      <w:r>
        <w:rPr>
          <w:sz w:val="20"/>
          <w:szCs w:val="20"/>
        </w:rPr>
        <w:t>n</w:t>
      </w:r>
      <w:r>
        <w:rPr>
          <w:sz w:val="20"/>
          <w:szCs w:val="20"/>
        </w:rPr>
        <w:t>o</w:t>
      </w:r>
      <w:r>
        <w:rPr>
          <w:sz w:val="20"/>
          <w:szCs w:val="20"/>
        </w:rPr>
        <w:t xml:space="preserve"> further insider shares are subject to forfeiture.</w:t>
      </w:r>
    </w:p>
    <w:p w14:paraId="73C8879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6F06DD22" w14:textId="77777777" w:rsidR="00000000" w:rsidRDefault="007F5353">
      <w:pPr>
        <w:pStyle w:val="a3"/>
        <w:shd w:val="clear" w:color="auto" w:fill="FFFFFF"/>
        <w:spacing w:before="0" w:beforeAutospacing="0" w:after="0" w:afterAutospacing="0"/>
        <w:jc w:val="both"/>
        <w:rPr>
          <w:sz w:val="20"/>
          <w:szCs w:val="20"/>
        </w:rPr>
      </w:pPr>
      <w:r>
        <w:rPr>
          <w:sz w:val="20"/>
          <w:szCs w:val="20"/>
        </w:rPr>
        <w:t>The initial stockholders have agreed not to transfer, assign or sell any of the common stock (except to certain permitted transferees as d</w:t>
      </w:r>
      <w:r>
        <w:rPr>
          <w:sz w:val="20"/>
          <w:szCs w:val="20"/>
        </w:rPr>
        <w:t xml:space="preserve">isclosed herein) until, with respect to any of the common stock, the earlier of (i) six months after the date of the consummation of a Business Combination, or (ii) the date on which the closing price of the Company’s common stock equals or exceeds $12.00 </w:t>
      </w:r>
      <w:r>
        <w:rPr>
          <w:sz w:val="20"/>
          <w:szCs w:val="20"/>
        </w:rPr>
        <w:t>per share (as adjusted for share subdivisions, share dividends, reorganizations and recapitalizations) for any 20 trading days within any 30-trading day period commencing after a Business Combination, or earlier, if, subsequent to a Business Combination, t</w:t>
      </w:r>
      <w:r>
        <w:rPr>
          <w:sz w:val="20"/>
          <w:szCs w:val="20"/>
        </w:rPr>
        <w:t>he Company consummates a subsequent liquidation, merger, share exchange or other similar transaction which results in all of the Company’s stockholders having the right to exchange their common stock for cash, securities or other property</w:t>
      </w:r>
      <w:r>
        <w:rPr>
          <w:sz w:val="20"/>
          <w:szCs w:val="20"/>
        </w:rPr>
        <w:t>.</w:t>
      </w:r>
    </w:p>
    <w:p w14:paraId="755E588F"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8E83870" w14:textId="77777777">
        <w:trPr>
          <w:divId w:val="538517540"/>
        </w:trPr>
        <w:tc>
          <w:tcPr>
            <w:tcW w:w="5000" w:type="pct"/>
            <w:hideMark/>
          </w:tcPr>
          <w:p w14:paraId="3F7865DA"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0A8FDB72" w14:textId="77777777">
        <w:tc>
          <w:tcPr>
            <w:tcW w:w="5000" w:type="pct"/>
            <w:hideMark/>
          </w:tcPr>
          <w:p w14:paraId="4FC9C4CD" w14:textId="77777777" w:rsidR="00000000" w:rsidRDefault="007F5353">
            <w:pPr>
              <w:jc w:val="center"/>
              <w:rPr>
                <w:rFonts w:eastAsia="Times New Roman"/>
                <w:sz w:val="20"/>
                <w:szCs w:val="20"/>
              </w:rPr>
            </w:pPr>
            <w:r>
              <w:rPr>
                <w:rFonts w:eastAsia="Times New Roman"/>
                <w:sz w:val="20"/>
                <w:szCs w:val="20"/>
              </w:rPr>
              <w:t> </w:t>
            </w:r>
          </w:p>
        </w:tc>
      </w:tr>
    </w:tbl>
    <w:p w14:paraId="4BE25844" w14:textId="77777777" w:rsidR="00000000" w:rsidRDefault="007F5353">
      <w:pPr>
        <w:pStyle w:val="a3"/>
        <w:spacing w:before="0" w:beforeAutospacing="0" w:after="0" w:afterAutospacing="0"/>
        <w:jc w:val="both"/>
        <w:rPr>
          <w:sz w:val="20"/>
          <w:szCs w:val="20"/>
        </w:rPr>
      </w:pPr>
      <w:r>
        <w:rPr>
          <w:sz w:val="20"/>
          <w:szCs w:val="20"/>
        </w:rPr>
        <w:t> </w:t>
      </w:r>
    </w:p>
    <w:p w14:paraId="4560F6DA" w14:textId="77777777" w:rsidR="00000000" w:rsidRDefault="007F5353">
      <w:pPr>
        <w:pStyle w:val="a3"/>
        <w:spacing w:before="0" w:beforeAutospacing="0" w:after="0" w:afterAutospacing="0"/>
        <w:jc w:val="both"/>
        <w:rPr>
          <w:sz w:val="20"/>
          <w:szCs w:val="20"/>
        </w:rPr>
      </w:pPr>
      <w:r>
        <w:rPr>
          <w:b/>
          <w:bCs/>
          <w:sz w:val="20"/>
          <w:szCs w:val="20"/>
        </w:rPr>
        <w:t>Pr</w:t>
      </w:r>
      <w:r>
        <w:rPr>
          <w:b/>
          <w:bCs/>
          <w:sz w:val="20"/>
          <w:szCs w:val="20"/>
        </w:rPr>
        <w:t>omissory Note – Related Party</w:t>
      </w:r>
    </w:p>
    <w:p w14:paraId="33EAF458" w14:textId="77777777" w:rsidR="00000000" w:rsidRDefault="007F5353">
      <w:pPr>
        <w:pStyle w:val="a3"/>
        <w:spacing w:before="0" w:beforeAutospacing="0" w:after="0" w:afterAutospacing="0"/>
        <w:ind w:firstLine="300"/>
        <w:jc w:val="both"/>
        <w:rPr>
          <w:sz w:val="20"/>
          <w:szCs w:val="20"/>
        </w:rPr>
      </w:pPr>
      <w:r>
        <w:rPr>
          <w:sz w:val="20"/>
          <w:szCs w:val="20"/>
        </w:rPr>
        <w:t> </w:t>
      </w:r>
    </w:p>
    <w:p w14:paraId="57ACA411"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 xml:space="preserve">April 16, 2021, the Sponsor issued an unsecured promissory note to the Company, pursuant to which the Company may borrow up to an aggregate principal amount of </w:t>
      </w:r>
      <w:r>
        <w:rPr>
          <w:sz w:val="20"/>
          <w:szCs w:val="20"/>
        </w:rPr>
        <w:t>$</w:t>
      </w:r>
      <w:r>
        <w:rPr>
          <w:sz w:val="20"/>
          <w:szCs w:val="20"/>
        </w:rPr>
        <w:t>300,00</w:t>
      </w:r>
      <w:r>
        <w:rPr>
          <w:sz w:val="20"/>
          <w:szCs w:val="20"/>
        </w:rPr>
        <w:t>0</w:t>
      </w:r>
      <w:r>
        <w:rPr>
          <w:sz w:val="20"/>
          <w:szCs w:val="20"/>
        </w:rPr>
        <w:t>, to be used for payment of costs related to the Initial Public Offering. The note is no</w:t>
      </w:r>
      <w:r>
        <w:rPr>
          <w:sz w:val="20"/>
          <w:szCs w:val="20"/>
        </w:rPr>
        <w:t xml:space="preserve">n-interest bearing and payable on the earlier of (i) June 30, 2022 or (ii) the consummation of the Initial Public Offering pursuant to an Amendment to Promissory Note effective September 30, 2021. The Company had borrowed </w:t>
      </w:r>
      <w:r>
        <w:rPr>
          <w:sz w:val="20"/>
          <w:szCs w:val="20"/>
        </w:rPr>
        <w:t>$</w:t>
      </w:r>
      <w:r>
        <w:rPr>
          <w:sz w:val="20"/>
          <w:szCs w:val="20"/>
        </w:rPr>
        <w:t>133,35</w:t>
      </w:r>
      <w:r>
        <w:rPr>
          <w:sz w:val="20"/>
          <w:szCs w:val="20"/>
        </w:rPr>
        <w:t>7</w:t>
      </w:r>
      <w:r>
        <w:rPr>
          <w:sz w:val="20"/>
          <w:szCs w:val="20"/>
        </w:rPr>
        <w:t xml:space="preserve"> under the promissory note</w:t>
      </w:r>
      <w:r>
        <w:rPr>
          <w:sz w:val="20"/>
          <w:szCs w:val="20"/>
        </w:rPr>
        <w:t xml:space="preserve"> with the Sponsor. Following the closing of the Initial Public Offering on January 13, 2022, the Company repaid a total of </w:t>
      </w:r>
      <w:r>
        <w:rPr>
          <w:sz w:val="20"/>
          <w:szCs w:val="20"/>
        </w:rPr>
        <w:t>$</w:t>
      </w:r>
      <w:r>
        <w:rPr>
          <w:sz w:val="20"/>
          <w:szCs w:val="20"/>
        </w:rPr>
        <w:t>133,35</w:t>
      </w:r>
      <w:r>
        <w:rPr>
          <w:sz w:val="20"/>
          <w:szCs w:val="20"/>
        </w:rPr>
        <w:t>7</w:t>
      </w:r>
      <w:r>
        <w:rPr>
          <w:sz w:val="20"/>
          <w:szCs w:val="20"/>
        </w:rPr>
        <w:t xml:space="preserve"> under the promissory note on January 19, 2022.</w:t>
      </w:r>
    </w:p>
    <w:p w14:paraId="151F00B0" w14:textId="77777777" w:rsidR="00000000" w:rsidRDefault="007F5353">
      <w:pPr>
        <w:pStyle w:val="a3"/>
        <w:spacing w:before="0" w:beforeAutospacing="0" w:after="0" w:afterAutospacing="0"/>
        <w:jc w:val="both"/>
        <w:rPr>
          <w:sz w:val="20"/>
          <w:szCs w:val="20"/>
        </w:rPr>
      </w:pPr>
      <w:r>
        <w:rPr>
          <w:sz w:val="20"/>
          <w:szCs w:val="20"/>
        </w:rPr>
        <w:t> </w:t>
      </w:r>
    </w:p>
    <w:p w14:paraId="616A119D" w14:textId="77777777" w:rsidR="00000000" w:rsidRDefault="007F5353">
      <w:pPr>
        <w:pStyle w:val="a3"/>
        <w:spacing w:before="0" w:beforeAutospacing="0" w:after="0" w:afterAutospacing="0"/>
        <w:jc w:val="both"/>
        <w:rPr>
          <w:sz w:val="20"/>
          <w:szCs w:val="20"/>
        </w:rPr>
      </w:pPr>
      <w:r>
        <w:rPr>
          <w:b/>
          <w:bCs/>
          <w:sz w:val="20"/>
          <w:szCs w:val="20"/>
        </w:rPr>
        <w:t>Related Party Loans</w:t>
      </w:r>
    </w:p>
    <w:p w14:paraId="3D329E49" w14:textId="77777777" w:rsidR="00000000" w:rsidRDefault="007F5353">
      <w:pPr>
        <w:pStyle w:val="a3"/>
        <w:spacing w:before="0" w:beforeAutospacing="0" w:after="0" w:afterAutospacing="0"/>
        <w:ind w:firstLine="300"/>
        <w:jc w:val="both"/>
        <w:rPr>
          <w:sz w:val="20"/>
          <w:szCs w:val="20"/>
        </w:rPr>
      </w:pPr>
      <w:r>
        <w:rPr>
          <w:sz w:val="20"/>
          <w:szCs w:val="20"/>
        </w:rPr>
        <w:t> </w:t>
      </w:r>
    </w:p>
    <w:p w14:paraId="59EF1FB9" w14:textId="77777777" w:rsidR="00000000" w:rsidRDefault="007F5353">
      <w:pPr>
        <w:pStyle w:val="a3"/>
        <w:spacing w:before="0" w:beforeAutospacing="0" w:after="0" w:afterAutospacing="0"/>
        <w:jc w:val="both"/>
        <w:rPr>
          <w:sz w:val="20"/>
          <w:szCs w:val="20"/>
        </w:rPr>
      </w:pPr>
      <w:r>
        <w:rPr>
          <w:sz w:val="20"/>
          <w:szCs w:val="20"/>
        </w:rPr>
        <w:t>In order to finance transaction costs in connection w</w:t>
      </w:r>
      <w:r>
        <w:rPr>
          <w:sz w:val="20"/>
          <w:szCs w:val="20"/>
        </w:rPr>
        <w:t xml:space="preserve">ith a Business Combination, the Sponsor or an affiliate of the Sponsor, or certain of the Company’s officers and directors may, but are not obligated to, loan the Company funds as may be required (“Working Capital Loans”). Such Working Capital Loans would </w:t>
      </w:r>
      <w:r>
        <w:rPr>
          <w:sz w:val="20"/>
          <w:szCs w:val="20"/>
        </w:rPr>
        <w:t xml:space="preserve">be evidenced by promissory notes. The notes may be repaid upon completion of a Business Combination, without interest, or, at the lender’s discretion, up to </w:t>
      </w:r>
      <w:r>
        <w:rPr>
          <w:sz w:val="20"/>
          <w:szCs w:val="20"/>
        </w:rPr>
        <w:t>$</w:t>
      </w:r>
      <w:r>
        <w:rPr>
          <w:sz w:val="20"/>
          <w:szCs w:val="20"/>
        </w:rPr>
        <w:t>1,500,00</w:t>
      </w:r>
      <w:r>
        <w:rPr>
          <w:sz w:val="20"/>
          <w:szCs w:val="20"/>
        </w:rPr>
        <w:t>0</w:t>
      </w:r>
      <w:r>
        <w:rPr>
          <w:sz w:val="20"/>
          <w:szCs w:val="20"/>
        </w:rPr>
        <w:t xml:space="preserve"> of the notes may be converted upon completion of a Business Combination into units at a </w:t>
      </w:r>
      <w:r>
        <w:rPr>
          <w:sz w:val="20"/>
          <w:szCs w:val="20"/>
        </w:rPr>
        <w:t xml:space="preserve">price of </w:t>
      </w:r>
      <w:r>
        <w:rPr>
          <w:sz w:val="20"/>
          <w:szCs w:val="20"/>
        </w:rPr>
        <w:t>$</w:t>
      </w:r>
      <w:r>
        <w:rPr>
          <w:sz w:val="20"/>
          <w:szCs w:val="20"/>
        </w:rPr>
        <w:t>10.0</w:t>
      </w:r>
      <w:r>
        <w:rPr>
          <w:sz w:val="20"/>
          <w:szCs w:val="20"/>
        </w:rPr>
        <w:t>0</w:t>
      </w:r>
      <w:r>
        <w:rPr>
          <w:sz w:val="20"/>
          <w:szCs w:val="20"/>
        </w:rPr>
        <w:t xml:space="preserve"> per unit. Such units would be identical to the Placement Units. In the event that a Business Combination does not close, the Company may use a portion of proceeds held outside the Trust Account to repay the Working Capital Loans but no proc</w:t>
      </w:r>
      <w:r>
        <w:rPr>
          <w:sz w:val="20"/>
          <w:szCs w:val="20"/>
        </w:rPr>
        <w:t>eeds held in the Trust Account would be used to repay the Working Capital Loans. As of June 30, 2022, there were</w:t>
      </w:r>
      <w:r>
        <w:rPr>
          <w:sz w:val="20"/>
          <w:szCs w:val="20"/>
        </w:rPr>
        <w:t xml:space="preserve"> </w:t>
      </w:r>
      <w:r>
        <w:rPr>
          <w:sz w:val="20"/>
          <w:szCs w:val="20"/>
        </w:rPr>
        <w:t>n</w:t>
      </w:r>
      <w:r>
        <w:rPr>
          <w:sz w:val="20"/>
          <w:szCs w:val="20"/>
        </w:rPr>
        <w:t>o</w:t>
      </w:r>
      <w:r>
        <w:rPr>
          <w:sz w:val="20"/>
          <w:szCs w:val="20"/>
        </w:rPr>
        <w:t xml:space="preserve"> amounts outstanding under the Working Capital Loans.</w:t>
      </w:r>
    </w:p>
    <w:p w14:paraId="45A0E7CE"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p w14:paraId="48E99D61" w14:textId="77777777" w:rsidR="00000000" w:rsidRDefault="007F5353">
      <w:pPr>
        <w:pStyle w:val="a3"/>
        <w:spacing w:before="0" w:beforeAutospacing="0" w:after="0" w:afterAutospacing="0"/>
        <w:jc w:val="both"/>
        <w:rPr>
          <w:sz w:val="20"/>
          <w:szCs w:val="20"/>
        </w:rPr>
      </w:pPr>
      <w:r>
        <w:rPr>
          <w:b/>
          <w:bCs/>
          <w:sz w:val="20"/>
          <w:szCs w:val="20"/>
        </w:rPr>
        <w:t>Administrative Services Arrangement</w:t>
      </w:r>
    </w:p>
    <w:p w14:paraId="45478062" w14:textId="77777777" w:rsidR="00000000" w:rsidRDefault="007F5353">
      <w:pPr>
        <w:pStyle w:val="a3"/>
        <w:spacing w:before="0" w:beforeAutospacing="0" w:after="0" w:afterAutospacing="0"/>
        <w:jc w:val="both"/>
        <w:rPr>
          <w:sz w:val="20"/>
          <w:szCs w:val="20"/>
        </w:rPr>
      </w:pPr>
      <w:r>
        <w:rPr>
          <w:sz w:val="20"/>
          <w:szCs w:val="20"/>
        </w:rPr>
        <w:t> </w:t>
      </w:r>
    </w:p>
    <w:p w14:paraId="631509E3" w14:textId="77777777" w:rsidR="00000000" w:rsidRDefault="007F5353">
      <w:pPr>
        <w:pStyle w:val="a3"/>
        <w:spacing w:before="0" w:beforeAutospacing="0" w:after="0" w:afterAutospacing="0"/>
        <w:jc w:val="both"/>
        <w:rPr>
          <w:sz w:val="20"/>
          <w:szCs w:val="20"/>
        </w:rPr>
      </w:pPr>
      <w:r>
        <w:rPr>
          <w:sz w:val="20"/>
          <w:szCs w:val="20"/>
        </w:rPr>
        <w:t>Commencing on the date the Units were first lis</w:t>
      </w:r>
      <w:r>
        <w:rPr>
          <w:sz w:val="20"/>
          <w:szCs w:val="20"/>
        </w:rPr>
        <w:t xml:space="preserve">ted on the Nasdaq, the Company agreed to pay the Sponsor </w:t>
      </w:r>
      <w:r>
        <w:rPr>
          <w:sz w:val="20"/>
          <w:szCs w:val="20"/>
        </w:rPr>
        <w:t>$</w:t>
      </w:r>
      <w:r>
        <w:rPr>
          <w:sz w:val="20"/>
          <w:szCs w:val="20"/>
        </w:rPr>
        <w:t>10,00</w:t>
      </w:r>
      <w:r>
        <w:rPr>
          <w:sz w:val="20"/>
          <w:szCs w:val="20"/>
        </w:rPr>
        <w:t>0</w:t>
      </w:r>
      <w:r>
        <w:rPr>
          <w:sz w:val="20"/>
          <w:szCs w:val="20"/>
        </w:rPr>
        <w:t xml:space="preserve"> per month for office space, utilities and secretarial and administrative support for up to 18 months. Upon completion of the Initial Business Combination or the Company’s liquidation, the Com</w:t>
      </w:r>
      <w:r>
        <w:rPr>
          <w:sz w:val="20"/>
          <w:szCs w:val="20"/>
        </w:rPr>
        <w:t xml:space="preserve">pany will cease paying these monthly fees. For the period April 16, 2021 (inception) through June 30, 2022, </w:t>
      </w:r>
      <w:r>
        <w:rPr>
          <w:sz w:val="20"/>
          <w:szCs w:val="20"/>
        </w:rPr>
        <w:t>$</w:t>
      </w:r>
      <w:r>
        <w:rPr>
          <w:sz w:val="20"/>
          <w:szCs w:val="20"/>
        </w:rPr>
        <w:t>50,00</w:t>
      </w:r>
      <w:r>
        <w:rPr>
          <w:sz w:val="20"/>
          <w:szCs w:val="20"/>
        </w:rPr>
        <w:t>0</w:t>
      </w:r>
      <w:r>
        <w:rPr>
          <w:sz w:val="20"/>
          <w:szCs w:val="20"/>
        </w:rPr>
        <w:t xml:space="preserve"> of expense was recorded and included in formation and operating costs in the statement of operations.</w:t>
      </w:r>
    </w:p>
    <w:p w14:paraId="392944F3" w14:textId="77777777" w:rsidR="00000000" w:rsidRDefault="007F5353">
      <w:pPr>
        <w:pStyle w:val="a3"/>
        <w:shd w:val="clear" w:color="auto" w:fill="FFFFFF"/>
        <w:spacing w:before="0" w:beforeAutospacing="0" w:after="0" w:afterAutospacing="0"/>
        <w:ind w:firstLine="720"/>
        <w:jc w:val="both"/>
        <w:rPr>
          <w:sz w:val="20"/>
          <w:szCs w:val="20"/>
        </w:rPr>
      </w:pPr>
      <w:r>
        <w:rPr>
          <w:sz w:val="20"/>
          <w:szCs w:val="20"/>
        </w:rPr>
        <w:t> </w:t>
      </w:r>
    </w:p>
    <w:p w14:paraId="7F46DEF0" w14:textId="77777777" w:rsidR="00000000" w:rsidRDefault="007F5353">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COMMITMENTS AND CONTINGENCIE</w:t>
      </w:r>
      <w:r>
        <w:rPr>
          <w:b/>
          <w:bCs/>
          <w:sz w:val="20"/>
          <w:szCs w:val="20"/>
        </w:rPr>
        <w:t>S</w:t>
      </w:r>
    </w:p>
    <w:p w14:paraId="5CE39406" w14:textId="77777777" w:rsidR="00000000" w:rsidRDefault="007F5353">
      <w:pPr>
        <w:pStyle w:val="a3"/>
        <w:spacing w:before="0" w:beforeAutospacing="0" w:after="0" w:afterAutospacing="0"/>
        <w:jc w:val="both"/>
        <w:rPr>
          <w:sz w:val="20"/>
          <w:szCs w:val="20"/>
        </w:rPr>
      </w:pPr>
      <w:r>
        <w:rPr>
          <w:sz w:val="20"/>
          <w:szCs w:val="20"/>
        </w:rPr>
        <w:t> </w:t>
      </w:r>
    </w:p>
    <w:p w14:paraId="21B28751" w14:textId="77777777" w:rsidR="00000000" w:rsidRDefault="007F5353">
      <w:pPr>
        <w:pStyle w:val="a3"/>
        <w:spacing w:before="0" w:beforeAutospacing="0" w:after="0" w:afterAutospacing="0"/>
        <w:jc w:val="both"/>
        <w:rPr>
          <w:sz w:val="20"/>
          <w:szCs w:val="20"/>
        </w:rPr>
      </w:pPr>
      <w:r>
        <w:rPr>
          <w:b/>
          <w:bCs/>
          <w:sz w:val="20"/>
          <w:szCs w:val="20"/>
        </w:rPr>
        <w:t>Registration Rights</w:t>
      </w:r>
    </w:p>
    <w:p w14:paraId="58FDFFCC" w14:textId="77777777" w:rsidR="00000000" w:rsidRDefault="007F5353">
      <w:pPr>
        <w:pStyle w:val="a3"/>
        <w:spacing w:before="0" w:beforeAutospacing="0" w:after="0" w:afterAutospacing="0"/>
        <w:ind w:firstLine="300"/>
        <w:jc w:val="both"/>
        <w:rPr>
          <w:sz w:val="20"/>
          <w:szCs w:val="20"/>
        </w:rPr>
      </w:pPr>
      <w:r>
        <w:rPr>
          <w:sz w:val="20"/>
          <w:szCs w:val="20"/>
        </w:rPr>
        <w:t> </w:t>
      </w:r>
    </w:p>
    <w:p w14:paraId="234B18FE" w14:textId="77777777" w:rsidR="00000000" w:rsidRDefault="007F5353">
      <w:pPr>
        <w:pStyle w:val="a3"/>
        <w:spacing w:before="0" w:beforeAutospacing="0" w:after="0" w:afterAutospacing="0"/>
        <w:jc w:val="both"/>
        <w:rPr>
          <w:sz w:val="20"/>
          <w:szCs w:val="20"/>
        </w:rPr>
      </w:pPr>
      <w:r>
        <w:rPr>
          <w:sz w:val="20"/>
          <w:szCs w:val="20"/>
        </w:rPr>
        <w:t>The holders of the insider shares and Placement Units that may be issued upon conversion of Working Capital Loans (and any shares of ordinary shares issuable upon the exercise of the Placement Units or units issued upon conversion</w:t>
      </w:r>
      <w:r>
        <w:rPr>
          <w:sz w:val="20"/>
          <w:szCs w:val="20"/>
        </w:rPr>
        <w:t xml:space="preserve"> of the Working Capital Loans and upon conversion of the Insider shares) will be entitled to registration rights pursuant to a registration rights agreement to be signed prior to or on the effective date of Initial Public Offering requiring the Company to </w:t>
      </w:r>
      <w:r>
        <w:rPr>
          <w:sz w:val="20"/>
          <w:szCs w:val="20"/>
        </w:rPr>
        <w:t>register such securities for resale. The holders of these securities will be entitled to make up to three demands, excluding short form registration demands, that the Company register such securities. In addition, the holders have certain “piggy-back” regi</w:t>
      </w:r>
      <w:r>
        <w:rPr>
          <w:sz w:val="20"/>
          <w:szCs w:val="20"/>
        </w:rPr>
        <w:t>stration rights with respect to registration statements filed subsequent to completion of a Business Combination and rights to require the Company to register for resale such securities pursuant to Rule 415 under the Securities Act. However, the registrati</w:t>
      </w:r>
      <w:r>
        <w:rPr>
          <w:sz w:val="20"/>
          <w:szCs w:val="20"/>
        </w:rPr>
        <w:t>on rights agreement provides that the Company will not be required to effect or permit any registration or cause any registration statement to become effective until the securities covered thereby are released from their lock-up restrictions. The Company w</w:t>
      </w:r>
      <w:r>
        <w:rPr>
          <w:sz w:val="20"/>
          <w:szCs w:val="20"/>
        </w:rPr>
        <w:t>ill bear the expenses incurred in connection with the filing of any such registration statements.</w:t>
      </w:r>
    </w:p>
    <w:p w14:paraId="130A809F" w14:textId="77777777" w:rsidR="00000000" w:rsidRDefault="007F5353">
      <w:pPr>
        <w:pStyle w:val="a3"/>
        <w:spacing w:before="0" w:beforeAutospacing="0" w:after="0" w:afterAutospacing="0"/>
        <w:jc w:val="both"/>
        <w:rPr>
          <w:sz w:val="20"/>
          <w:szCs w:val="20"/>
        </w:rPr>
      </w:pPr>
      <w:r>
        <w:rPr>
          <w:sz w:val="20"/>
          <w:szCs w:val="20"/>
        </w:rPr>
        <w:t> </w:t>
      </w:r>
    </w:p>
    <w:p w14:paraId="14F51E05" w14:textId="77777777" w:rsidR="00000000" w:rsidRDefault="007F5353">
      <w:pPr>
        <w:pStyle w:val="a3"/>
        <w:spacing w:before="0" w:beforeAutospacing="0" w:after="0" w:afterAutospacing="0"/>
        <w:jc w:val="both"/>
        <w:rPr>
          <w:sz w:val="20"/>
          <w:szCs w:val="20"/>
        </w:rPr>
      </w:pPr>
      <w:r>
        <w:rPr>
          <w:b/>
          <w:bCs/>
          <w:sz w:val="20"/>
          <w:szCs w:val="20"/>
        </w:rPr>
        <w:t>Underwriting Agreement</w:t>
      </w:r>
    </w:p>
    <w:p w14:paraId="1A8D5985" w14:textId="77777777" w:rsidR="00000000" w:rsidRDefault="007F5353">
      <w:pPr>
        <w:pStyle w:val="a3"/>
        <w:spacing w:before="0" w:beforeAutospacing="0" w:after="0" w:afterAutospacing="0"/>
        <w:ind w:firstLine="300"/>
        <w:jc w:val="both"/>
        <w:rPr>
          <w:sz w:val="20"/>
          <w:szCs w:val="20"/>
        </w:rPr>
      </w:pPr>
      <w:r>
        <w:rPr>
          <w:sz w:val="20"/>
          <w:szCs w:val="20"/>
        </w:rPr>
        <w:t> </w:t>
      </w:r>
    </w:p>
    <w:p w14:paraId="3BB00388"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February 9, 2022, the Underwriters partially exercised 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w:t>
      </w:r>
      <w:r>
        <w:rPr>
          <w:sz w:val="20"/>
          <w:szCs w:val="20"/>
        </w:rPr>
        <w:t>nder of the option, less the underwriting discounts and commissions.</w:t>
      </w:r>
    </w:p>
    <w:p w14:paraId="6A84456E"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6F6882AC" w14:textId="77777777" w:rsidR="00000000" w:rsidRDefault="007F5353">
      <w:pPr>
        <w:pStyle w:val="a3"/>
        <w:spacing w:before="0" w:beforeAutospacing="0" w:after="0" w:afterAutospacing="0"/>
        <w:jc w:val="both"/>
        <w:rPr>
          <w:sz w:val="20"/>
          <w:szCs w:val="20"/>
        </w:rPr>
      </w:pPr>
      <w:r>
        <w:rPr>
          <w:sz w:val="20"/>
          <w:szCs w:val="20"/>
        </w:rPr>
        <w:t xml:space="preserve">The underwriters were entitled to a cash underwriting discount of </w:t>
      </w:r>
      <w:r>
        <w:rPr>
          <w:sz w:val="20"/>
          <w:szCs w:val="20"/>
        </w:rPr>
        <w:t>$</w:t>
      </w:r>
      <w:r>
        <w:rPr>
          <w:sz w:val="20"/>
          <w:szCs w:val="20"/>
        </w:rPr>
        <w:t>0.2</w:t>
      </w:r>
      <w:r>
        <w:rPr>
          <w:sz w:val="20"/>
          <w:szCs w:val="20"/>
        </w:rPr>
        <w:t>0</w:t>
      </w:r>
      <w:r>
        <w:rPr>
          <w:sz w:val="20"/>
          <w:szCs w:val="20"/>
        </w:rPr>
        <w:t xml:space="preserve"> per Unit, or </w:t>
      </w:r>
      <w:r>
        <w:rPr>
          <w:sz w:val="20"/>
          <w:szCs w:val="20"/>
        </w:rPr>
        <w:t>$</w:t>
      </w:r>
      <w:r>
        <w:rPr>
          <w:sz w:val="20"/>
          <w:szCs w:val="20"/>
        </w:rPr>
        <w:t>2,000,00</w:t>
      </w:r>
      <w:r>
        <w:rPr>
          <w:sz w:val="20"/>
          <w:szCs w:val="20"/>
        </w:rPr>
        <w:t>0</w:t>
      </w:r>
      <w:r>
        <w:rPr>
          <w:sz w:val="20"/>
          <w:szCs w:val="20"/>
        </w:rPr>
        <w:t xml:space="preserve"> in the aggregate (or </w:t>
      </w:r>
      <w:r>
        <w:rPr>
          <w:sz w:val="20"/>
          <w:szCs w:val="20"/>
        </w:rPr>
        <w:t>$</w:t>
      </w:r>
      <w:r>
        <w:rPr>
          <w:sz w:val="20"/>
          <w:szCs w:val="20"/>
        </w:rPr>
        <w:t>2,300,00</w:t>
      </w:r>
      <w:r>
        <w:rPr>
          <w:sz w:val="20"/>
          <w:szCs w:val="20"/>
        </w:rPr>
        <w:t>0</w:t>
      </w:r>
      <w:r>
        <w:rPr>
          <w:sz w:val="20"/>
          <w:szCs w:val="20"/>
        </w:rPr>
        <w:t xml:space="preserve"> in the aggregate if the underwriters’ </w:t>
      </w:r>
      <w:r>
        <w:rPr>
          <w:sz w:val="20"/>
          <w:szCs w:val="20"/>
        </w:rPr>
        <w:t xml:space="preserve">over-allotment option is exercised in full), payable upon the closing of the Initial Public Offering. In addition, the underwriters were entitled to a deferred fee of </w:t>
      </w:r>
      <w:r>
        <w:rPr>
          <w:sz w:val="20"/>
          <w:szCs w:val="20"/>
        </w:rPr>
        <w:t>$</w:t>
      </w:r>
      <w:r>
        <w:rPr>
          <w:sz w:val="20"/>
          <w:szCs w:val="20"/>
        </w:rPr>
        <w:t>0.3</w:t>
      </w:r>
      <w:r>
        <w:rPr>
          <w:sz w:val="20"/>
          <w:szCs w:val="20"/>
        </w:rPr>
        <w:t>5</w:t>
      </w:r>
      <w:r>
        <w:rPr>
          <w:sz w:val="20"/>
          <w:szCs w:val="20"/>
        </w:rPr>
        <w:t xml:space="preserve"> per Unit, or </w:t>
      </w:r>
      <w:r>
        <w:rPr>
          <w:sz w:val="20"/>
          <w:szCs w:val="20"/>
        </w:rPr>
        <w:t>$</w:t>
      </w:r>
      <w:r>
        <w:rPr>
          <w:sz w:val="20"/>
          <w:szCs w:val="20"/>
        </w:rPr>
        <w:t>3,500,00</w:t>
      </w:r>
      <w:r>
        <w:rPr>
          <w:sz w:val="20"/>
          <w:szCs w:val="20"/>
        </w:rPr>
        <w:t>0</w:t>
      </w:r>
      <w:r>
        <w:rPr>
          <w:sz w:val="20"/>
          <w:szCs w:val="20"/>
        </w:rPr>
        <w:t xml:space="preserve"> in the aggregate (or </w:t>
      </w:r>
      <w:r>
        <w:rPr>
          <w:sz w:val="20"/>
          <w:szCs w:val="20"/>
        </w:rPr>
        <w:t>$</w:t>
      </w:r>
      <w:r>
        <w:rPr>
          <w:sz w:val="20"/>
          <w:szCs w:val="20"/>
        </w:rPr>
        <w:t>4,025,00</w:t>
      </w:r>
      <w:r>
        <w:rPr>
          <w:sz w:val="20"/>
          <w:szCs w:val="20"/>
        </w:rPr>
        <w:t>0</w:t>
      </w:r>
      <w:r>
        <w:rPr>
          <w:sz w:val="20"/>
          <w:szCs w:val="20"/>
        </w:rPr>
        <w:t xml:space="preserve"> in the aggregate if the und</w:t>
      </w:r>
      <w:r>
        <w:rPr>
          <w:sz w:val="20"/>
          <w:szCs w:val="20"/>
        </w:rPr>
        <w:t>erwriters’ over-allotment option is exercised in full). The deferred fee will become payable to the underwriters from the amounts held in the Trust Account solely in the event that the Company completes a Business Combination, subject to the terms of the u</w:t>
      </w:r>
      <w:r>
        <w:rPr>
          <w:sz w:val="20"/>
          <w:szCs w:val="20"/>
        </w:rPr>
        <w:t>nderwriting agreement.</w:t>
      </w:r>
    </w:p>
    <w:p w14:paraId="1769E80A" w14:textId="77777777" w:rsidR="00000000" w:rsidRDefault="007F5353">
      <w:pPr>
        <w:pStyle w:val="a3"/>
        <w:spacing w:before="0" w:beforeAutospacing="0" w:after="0" w:afterAutospacing="0"/>
        <w:jc w:val="both"/>
        <w:rPr>
          <w:sz w:val="20"/>
          <w:szCs w:val="20"/>
        </w:rPr>
      </w:pPr>
      <w:r>
        <w:rPr>
          <w:sz w:val="20"/>
          <w:szCs w:val="20"/>
        </w:rPr>
        <w:t> </w:t>
      </w:r>
    </w:p>
    <w:p w14:paraId="54F77C4E" w14:textId="77777777" w:rsidR="00000000" w:rsidRDefault="007F5353">
      <w:pPr>
        <w:pStyle w:val="a3"/>
        <w:spacing w:before="0" w:beforeAutospacing="0" w:after="0" w:afterAutospacing="0"/>
        <w:jc w:val="both"/>
        <w:rPr>
          <w:sz w:val="20"/>
          <w:szCs w:val="20"/>
        </w:rPr>
      </w:pPr>
      <w:r>
        <w:rPr>
          <w:sz w:val="20"/>
          <w:szCs w:val="20"/>
        </w:rPr>
        <w:t>On February 10, 2022, the underwriters purchased an additional</w:t>
      </w:r>
      <w:r>
        <w:rPr>
          <w:sz w:val="20"/>
          <w:szCs w:val="20"/>
        </w:rPr>
        <w:t xml:space="preserve"> </w:t>
      </w:r>
      <w:r>
        <w:rPr>
          <w:sz w:val="20"/>
          <w:szCs w:val="20"/>
        </w:rPr>
        <w:t>159,06</w:t>
      </w:r>
      <w:r>
        <w:rPr>
          <w:sz w:val="20"/>
          <w:szCs w:val="20"/>
        </w:rPr>
        <w:t>9</w:t>
      </w:r>
      <w:r>
        <w:rPr>
          <w:sz w:val="20"/>
          <w:szCs w:val="20"/>
        </w:rPr>
        <w:t xml:space="preserve"> Option Units pursuant to the exercise of the over-allotment option. The Option Units were sold at an offering price of </w:t>
      </w:r>
      <w:r>
        <w:rPr>
          <w:sz w:val="20"/>
          <w:szCs w:val="20"/>
        </w:rPr>
        <w:t>$</w:t>
      </w:r>
      <w:r>
        <w:rPr>
          <w:sz w:val="20"/>
          <w:szCs w:val="20"/>
        </w:rPr>
        <w:t>10.0</w:t>
      </w:r>
      <w:r>
        <w:rPr>
          <w:sz w:val="20"/>
          <w:szCs w:val="20"/>
        </w:rPr>
        <w:t>0</w:t>
      </w:r>
      <w:r>
        <w:rPr>
          <w:sz w:val="20"/>
          <w:szCs w:val="20"/>
        </w:rPr>
        <w:t xml:space="preserve"> per Unit, generating additional gr</w:t>
      </w:r>
      <w:r>
        <w:rPr>
          <w:sz w:val="20"/>
          <w:szCs w:val="20"/>
        </w:rPr>
        <w:t xml:space="preserve">oss proceeds to the Company of </w:t>
      </w:r>
      <w:r>
        <w:rPr>
          <w:sz w:val="20"/>
          <w:szCs w:val="20"/>
        </w:rPr>
        <w:t>$</w:t>
      </w:r>
      <w:r>
        <w:rPr>
          <w:sz w:val="20"/>
          <w:szCs w:val="20"/>
        </w:rPr>
        <w:t>1,590,69</w:t>
      </w:r>
      <w:r>
        <w:rPr>
          <w:sz w:val="20"/>
          <w:szCs w:val="20"/>
        </w:rPr>
        <w:t>0</w:t>
      </w:r>
      <w:r>
        <w:rPr>
          <w:sz w:val="20"/>
          <w:szCs w:val="20"/>
        </w:rPr>
        <w:t>.</w:t>
      </w:r>
    </w:p>
    <w:p w14:paraId="3568B0C7"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4098664" w14:textId="77777777">
        <w:trPr>
          <w:divId w:val="1915510619"/>
        </w:trPr>
        <w:tc>
          <w:tcPr>
            <w:tcW w:w="5000" w:type="pct"/>
            <w:hideMark/>
          </w:tcPr>
          <w:p w14:paraId="0C52801D"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144DAC6F" w14:textId="77777777">
        <w:tc>
          <w:tcPr>
            <w:tcW w:w="5000" w:type="pct"/>
            <w:hideMark/>
          </w:tcPr>
          <w:p w14:paraId="0C758A77" w14:textId="77777777" w:rsidR="00000000" w:rsidRDefault="007F5353">
            <w:pPr>
              <w:jc w:val="center"/>
              <w:rPr>
                <w:rFonts w:eastAsia="Times New Roman"/>
                <w:sz w:val="20"/>
                <w:szCs w:val="20"/>
              </w:rPr>
            </w:pPr>
            <w:r>
              <w:rPr>
                <w:rFonts w:eastAsia="Times New Roman"/>
                <w:sz w:val="20"/>
                <w:szCs w:val="20"/>
              </w:rPr>
              <w:t> </w:t>
            </w:r>
          </w:p>
        </w:tc>
      </w:tr>
    </w:tbl>
    <w:p w14:paraId="02DCD075" w14:textId="77777777" w:rsidR="00000000" w:rsidRDefault="007F5353">
      <w:pPr>
        <w:pStyle w:val="a3"/>
        <w:spacing w:before="0" w:beforeAutospacing="0" w:after="0" w:afterAutospacing="0"/>
        <w:jc w:val="center"/>
        <w:rPr>
          <w:sz w:val="20"/>
          <w:szCs w:val="20"/>
        </w:rPr>
      </w:pPr>
      <w:r>
        <w:rPr>
          <w:sz w:val="20"/>
          <w:szCs w:val="20"/>
        </w:rPr>
        <w:t> </w:t>
      </w:r>
    </w:p>
    <w:p w14:paraId="6C35B978" w14:textId="77777777" w:rsidR="00000000" w:rsidRDefault="007F5353">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STOCKHOLDERS’ EQUIT</w:t>
      </w:r>
      <w:r>
        <w:rPr>
          <w:b/>
          <w:bCs/>
          <w:sz w:val="20"/>
          <w:szCs w:val="20"/>
        </w:rPr>
        <w:t>Y</w:t>
      </w:r>
    </w:p>
    <w:p w14:paraId="64192DCD" w14:textId="77777777" w:rsidR="00000000" w:rsidRDefault="007F5353">
      <w:pPr>
        <w:pStyle w:val="a3"/>
        <w:spacing w:before="0" w:beforeAutospacing="0" w:after="0" w:afterAutospacing="0"/>
        <w:ind w:firstLine="300"/>
        <w:jc w:val="both"/>
        <w:rPr>
          <w:sz w:val="20"/>
          <w:szCs w:val="20"/>
        </w:rPr>
      </w:pPr>
      <w:r>
        <w:rPr>
          <w:sz w:val="20"/>
          <w:szCs w:val="20"/>
        </w:rPr>
        <w:t> </w:t>
      </w:r>
    </w:p>
    <w:p w14:paraId="34FEEFF5" w14:textId="77777777" w:rsidR="00000000" w:rsidRDefault="007F5353">
      <w:pPr>
        <w:pStyle w:val="a3"/>
        <w:shd w:val="clear" w:color="auto" w:fill="FFFFFF"/>
        <w:spacing w:before="0" w:beforeAutospacing="0" w:after="0" w:afterAutospacing="0"/>
        <w:ind w:firstLine="360"/>
        <w:jc w:val="both"/>
        <w:rPr>
          <w:sz w:val="20"/>
          <w:szCs w:val="20"/>
        </w:rPr>
      </w:pPr>
      <w:r>
        <w:rPr>
          <w:b/>
          <w:bCs/>
          <w:i/>
          <w:iCs/>
          <w:sz w:val="20"/>
          <w:szCs w:val="20"/>
        </w:rPr>
        <w:t>Common Stock</w:t>
      </w:r>
      <w:r>
        <w:rPr>
          <w:sz w:val="20"/>
          <w:szCs w:val="20"/>
        </w:rPr>
        <w:t xml:space="preserve"> — Our Certificate of Incorporation authorizes the Company to issue</w:t>
      </w:r>
      <w:r>
        <w:rPr>
          <w:sz w:val="20"/>
          <w:szCs w:val="20"/>
        </w:rPr>
        <w:t xml:space="preserve"> </w:t>
      </w:r>
      <w:r>
        <w:rPr>
          <w:sz w:val="20"/>
          <w:szCs w:val="20"/>
        </w:rPr>
        <w:t>100,000,00</w:t>
      </w:r>
      <w:r>
        <w:rPr>
          <w:sz w:val="20"/>
          <w:szCs w:val="20"/>
        </w:rPr>
        <w:t>0</w:t>
      </w:r>
      <w:r>
        <w:rPr>
          <w:sz w:val="20"/>
          <w:szCs w:val="20"/>
        </w:rPr>
        <w:t xml:space="preserve"> shares of common stock with a par value of </w:t>
      </w:r>
      <w:r>
        <w:rPr>
          <w:sz w:val="20"/>
          <w:szCs w:val="20"/>
        </w:rPr>
        <w:t>$</w:t>
      </w:r>
      <w:r>
        <w:rPr>
          <w:sz w:val="20"/>
          <w:szCs w:val="20"/>
        </w:rPr>
        <w:t>0.00000</w:t>
      </w:r>
      <w:r>
        <w:rPr>
          <w:sz w:val="20"/>
          <w:szCs w:val="20"/>
        </w:rPr>
        <w:t>1</w:t>
      </w:r>
      <w:r>
        <w:rPr>
          <w:sz w:val="20"/>
          <w:szCs w:val="20"/>
        </w:rPr>
        <w:t xml:space="preserve"> per share.</w:t>
      </w:r>
      <w:r>
        <w:rPr>
          <w:sz w:val="20"/>
          <w:szCs w:val="20"/>
        </w:rPr>
        <w:t xml:space="preserve"> </w:t>
      </w:r>
      <w:r>
        <w:rPr>
          <w:sz w:val="20"/>
          <w:szCs w:val="20"/>
        </w:rPr>
        <w:t>Holders of t</w:t>
      </w:r>
      <w:r>
        <w:rPr>
          <w:sz w:val="20"/>
          <w:szCs w:val="20"/>
        </w:rPr>
        <w:t>he Company’s common stock are entitled to one vote for each shar</w:t>
      </w:r>
      <w:r>
        <w:rPr>
          <w:sz w:val="20"/>
          <w:szCs w:val="20"/>
        </w:rPr>
        <w:t>e</w:t>
      </w:r>
      <w:r>
        <w:rPr>
          <w:sz w:val="20"/>
          <w:szCs w:val="20"/>
        </w:rPr>
        <w:t>. On June 30, 2022, there were</w:t>
      </w:r>
      <w:r>
        <w:rPr>
          <w:sz w:val="20"/>
          <w:szCs w:val="20"/>
        </w:rPr>
        <w:t xml:space="preserve"> </w:t>
      </w:r>
      <w:r>
        <w:rPr>
          <w:sz w:val="20"/>
          <w:szCs w:val="20"/>
        </w:rPr>
        <w:t>2,990,89</w:t>
      </w:r>
      <w:r>
        <w:rPr>
          <w:sz w:val="20"/>
          <w:szCs w:val="20"/>
        </w:rPr>
        <w:t>7</w:t>
      </w:r>
      <w:r>
        <w:rPr>
          <w:sz w:val="20"/>
          <w:szCs w:val="20"/>
        </w:rPr>
        <w:t xml:space="preserve"> (excluding</w:t>
      </w:r>
      <w:r>
        <w:rPr>
          <w:sz w:val="20"/>
          <w:szCs w:val="20"/>
        </w:rPr>
        <w:t xml:space="preserve"> </w:t>
      </w:r>
      <w:r>
        <w:rPr>
          <w:sz w:val="20"/>
          <w:szCs w:val="20"/>
        </w:rPr>
        <w:t>10,159,06</w:t>
      </w:r>
      <w:r>
        <w:rPr>
          <w:sz w:val="20"/>
          <w:szCs w:val="20"/>
        </w:rPr>
        <w:t>9</w:t>
      </w:r>
      <w:r>
        <w:rPr>
          <w:sz w:val="20"/>
          <w:szCs w:val="20"/>
        </w:rPr>
        <w:t xml:space="preserve"> shares subject to possible redemption) shares of common stock issued and outstanding.</w:t>
      </w:r>
    </w:p>
    <w:p w14:paraId="334865B8" w14:textId="77777777" w:rsidR="00000000" w:rsidRDefault="007F5353">
      <w:pPr>
        <w:pStyle w:val="a3"/>
        <w:spacing w:before="0" w:beforeAutospacing="0" w:after="0" w:afterAutospacing="0"/>
        <w:ind w:firstLine="360"/>
        <w:jc w:val="both"/>
        <w:rPr>
          <w:sz w:val="20"/>
          <w:szCs w:val="20"/>
        </w:rPr>
      </w:pPr>
      <w:r>
        <w:rPr>
          <w:sz w:val="20"/>
          <w:szCs w:val="20"/>
        </w:rPr>
        <w:t> </w:t>
      </w:r>
    </w:p>
    <w:p w14:paraId="7B7303E7" w14:textId="77777777" w:rsidR="00000000" w:rsidRDefault="007F5353">
      <w:pPr>
        <w:pStyle w:val="a3"/>
        <w:shd w:val="clear" w:color="auto" w:fill="FFFFFF"/>
        <w:spacing w:before="0" w:beforeAutospacing="0" w:after="0" w:afterAutospacing="0"/>
        <w:ind w:firstLine="360"/>
        <w:jc w:val="both"/>
        <w:rPr>
          <w:sz w:val="20"/>
          <w:szCs w:val="20"/>
        </w:rPr>
      </w:pPr>
      <w:r>
        <w:rPr>
          <w:b/>
          <w:bCs/>
          <w:i/>
          <w:iCs/>
          <w:sz w:val="20"/>
          <w:szCs w:val="20"/>
        </w:rPr>
        <w:t>Preferred Shares</w:t>
      </w:r>
      <w:r>
        <w:rPr>
          <w:sz w:val="20"/>
          <w:szCs w:val="20"/>
        </w:rPr>
        <w:t xml:space="preserve"> — </w:t>
      </w:r>
      <w:r>
        <w:rPr>
          <w:sz w:val="20"/>
          <w:szCs w:val="20"/>
        </w:rPr>
        <w:t>The Company is authorized to issue</w:t>
      </w:r>
      <w:r>
        <w:rPr>
          <w:sz w:val="20"/>
          <w:szCs w:val="20"/>
        </w:rPr>
        <w:t xml:space="preserve"> </w:t>
      </w:r>
      <w:r>
        <w:rPr>
          <w:sz w:val="20"/>
          <w:szCs w:val="20"/>
        </w:rPr>
        <w:t>1,000,00</w:t>
      </w:r>
      <w:r>
        <w:rPr>
          <w:sz w:val="20"/>
          <w:szCs w:val="20"/>
        </w:rPr>
        <w:t>0</w:t>
      </w:r>
      <w:r>
        <w:rPr>
          <w:sz w:val="20"/>
          <w:szCs w:val="20"/>
        </w:rPr>
        <w:t xml:space="preserve"> shares of preferred stock with a par value of </w:t>
      </w:r>
      <w:r>
        <w:rPr>
          <w:sz w:val="20"/>
          <w:szCs w:val="20"/>
        </w:rPr>
        <w:t>$</w:t>
      </w:r>
      <w:r>
        <w:rPr>
          <w:sz w:val="20"/>
          <w:szCs w:val="20"/>
        </w:rPr>
        <w:t>0.00000</w:t>
      </w:r>
      <w:r>
        <w:rPr>
          <w:sz w:val="20"/>
          <w:szCs w:val="20"/>
        </w:rPr>
        <w:t>1</w:t>
      </w:r>
      <w:r>
        <w:rPr>
          <w:sz w:val="20"/>
          <w:szCs w:val="20"/>
        </w:rPr>
        <w:t xml:space="preserve"> per share with such designation, rights and preferences as may be determined from time to time by the Company’s Board of Directors. On June 30, 2022, there</w:t>
      </w:r>
      <w:r>
        <w:rPr>
          <w:sz w:val="20"/>
          <w:szCs w:val="20"/>
        </w:rPr>
        <w:t xml:space="preserve"> were</w:t>
      </w:r>
      <w:r>
        <w:rPr>
          <w:sz w:val="20"/>
          <w:szCs w:val="20"/>
        </w:rPr>
        <w:t xml:space="preserve"> </w:t>
      </w:r>
      <w:r>
        <w:rPr>
          <w:sz w:val="20"/>
          <w:szCs w:val="20"/>
        </w:rPr>
        <w:t>n</w:t>
      </w:r>
      <w:r>
        <w:rPr>
          <w:sz w:val="20"/>
          <w:szCs w:val="20"/>
        </w:rPr>
        <w:t>o</w:t>
      </w:r>
      <w:r>
        <w:rPr>
          <w:sz w:val="20"/>
          <w:szCs w:val="20"/>
        </w:rPr>
        <w:t xml:space="preserve"> preferred shares issued or outstanding.</w:t>
      </w:r>
    </w:p>
    <w:p w14:paraId="0669C0BD" w14:textId="77777777" w:rsidR="00000000" w:rsidRDefault="007F5353">
      <w:pPr>
        <w:pStyle w:val="a3"/>
        <w:spacing w:before="0" w:beforeAutospacing="0" w:after="0" w:afterAutospacing="0"/>
        <w:ind w:firstLine="360"/>
        <w:jc w:val="both"/>
        <w:rPr>
          <w:sz w:val="20"/>
          <w:szCs w:val="20"/>
        </w:rPr>
      </w:pPr>
      <w:r>
        <w:rPr>
          <w:sz w:val="20"/>
          <w:szCs w:val="20"/>
        </w:rPr>
        <w:t> </w:t>
      </w:r>
    </w:p>
    <w:p w14:paraId="2213C40A" w14:textId="77777777" w:rsidR="00000000" w:rsidRDefault="007F5353">
      <w:pPr>
        <w:pStyle w:val="a3"/>
        <w:spacing w:before="0" w:beforeAutospacing="0" w:after="0" w:afterAutospacing="0"/>
        <w:ind w:firstLine="360"/>
        <w:jc w:val="both"/>
        <w:rPr>
          <w:sz w:val="20"/>
          <w:szCs w:val="20"/>
        </w:rPr>
      </w:pPr>
      <w:r>
        <w:rPr>
          <w:b/>
          <w:bCs/>
          <w:i/>
          <w:iCs/>
          <w:sz w:val="20"/>
          <w:szCs w:val="20"/>
        </w:rPr>
        <w:t xml:space="preserve">Rights </w:t>
      </w:r>
      <w:r>
        <w:rPr>
          <w:sz w:val="20"/>
          <w:szCs w:val="20"/>
        </w:rPr>
        <w:t>—</w:t>
      </w:r>
      <w:r>
        <w:rPr>
          <w:sz w:val="20"/>
          <w:szCs w:val="20"/>
        </w:rPr>
        <w:t xml:space="preserve"> </w:t>
      </w:r>
      <w:r>
        <w:rPr>
          <w:sz w:val="20"/>
          <w:szCs w:val="20"/>
        </w:rPr>
        <w:t>Except in cases where the Company is not the surviving company in a Business Combination, each holder of a Public Right will automatically receive one-tenth (1/10) of one share of common stock upo</w:t>
      </w:r>
      <w:r>
        <w:rPr>
          <w:sz w:val="20"/>
          <w:szCs w:val="20"/>
        </w:rPr>
        <w:t>n consummation of a Business Combination, even if the holder of a Public Right converted all shares held by him, her or it in connection with a Business Combination or an amendment to the Company’s Amended and Restated Certificate of Incorporation with res</w:t>
      </w:r>
      <w:r>
        <w:rPr>
          <w:sz w:val="20"/>
          <w:szCs w:val="20"/>
        </w:rPr>
        <w:t>pect to its pre-business combination activities. In the event that the Company will not be the surviving company upon completion of a Business Combination, each holder of a Public Right will be required to affirmatively convert his, her or its rights in or</w:t>
      </w:r>
      <w:r>
        <w:rPr>
          <w:sz w:val="20"/>
          <w:szCs w:val="20"/>
        </w:rPr>
        <w:t>der to receive the one-tenth (1/10) of a share underlying each Public Right upon consummation of the Business Combination</w:t>
      </w:r>
      <w:r>
        <w:rPr>
          <w:sz w:val="20"/>
          <w:szCs w:val="20"/>
        </w:rPr>
        <w:t>.</w:t>
      </w:r>
    </w:p>
    <w:p w14:paraId="6B548201"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40C606B" w14:textId="77777777" w:rsidR="00000000" w:rsidRDefault="007F5353">
      <w:pPr>
        <w:pStyle w:val="a3"/>
        <w:shd w:val="clear" w:color="auto" w:fill="FFFFFF"/>
        <w:spacing w:before="0" w:beforeAutospacing="0" w:after="0" w:afterAutospacing="0"/>
        <w:jc w:val="both"/>
        <w:rPr>
          <w:sz w:val="20"/>
          <w:szCs w:val="20"/>
        </w:rPr>
      </w:pPr>
      <w:r>
        <w:rPr>
          <w:sz w:val="20"/>
          <w:szCs w:val="20"/>
        </w:rPr>
        <w:t>The Company will not issue fractional shares in connection with an exchange of Public Rights. Fractional shares will either be roun</w:t>
      </w:r>
      <w:r>
        <w:rPr>
          <w:sz w:val="20"/>
          <w:szCs w:val="20"/>
        </w:rPr>
        <w:t>ded down to the nearest whole share or otherwise addressed in accordance with the applicable provisions of the Delaware General Corporation Law. As a result, the holders of the Public Rights must hold rights in multiples of 10 in order to receive shares fo</w:t>
      </w:r>
      <w:r>
        <w:rPr>
          <w:sz w:val="20"/>
          <w:szCs w:val="20"/>
        </w:rPr>
        <w:t>r all of the holders’ rights upon closing of a Business Combination.</w:t>
      </w:r>
    </w:p>
    <w:p w14:paraId="09DBACAF" w14:textId="77777777" w:rsidR="00000000" w:rsidRDefault="007F5353">
      <w:pPr>
        <w:pStyle w:val="a3"/>
        <w:spacing w:before="0" w:beforeAutospacing="0" w:after="0" w:afterAutospacing="0"/>
        <w:jc w:val="both"/>
        <w:rPr>
          <w:sz w:val="20"/>
          <w:szCs w:val="20"/>
        </w:rPr>
      </w:pPr>
      <w:r>
        <w:rPr>
          <w:sz w:val="20"/>
          <w:szCs w:val="20"/>
        </w:rPr>
        <w:t> </w:t>
      </w:r>
    </w:p>
    <w:p w14:paraId="4B7C77CF" w14:textId="77777777" w:rsidR="00000000" w:rsidRDefault="007F5353">
      <w:pPr>
        <w:pStyle w:val="a3"/>
        <w:spacing w:before="0" w:beforeAutospacing="0" w:after="0" w:afterAutospacing="0"/>
        <w:jc w:val="both"/>
        <w:rPr>
          <w:sz w:val="20"/>
          <w:szCs w:val="20"/>
        </w:rPr>
      </w:pPr>
      <w:r>
        <w:rPr>
          <w:b/>
          <w:bCs/>
          <w:sz w:val="20"/>
          <w:szCs w:val="20"/>
        </w:rPr>
        <w:t>NOTE 8.</w:t>
      </w:r>
      <w:r>
        <w:rPr>
          <w:b/>
          <w:bCs/>
          <w:sz w:val="20"/>
          <w:szCs w:val="20"/>
        </w:rPr>
        <w:t xml:space="preserve"> </w:t>
      </w:r>
      <w:r>
        <w:rPr>
          <w:b/>
          <w:bCs/>
          <w:sz w:val="20"/>
          <w:szCs w:val="20"/>
        </w:rPr>
        <w:t>SUBSEQUENT EVENT</w:t>
      </w:r>
      <w:r>
        <w:rPr>
          <w:b/>
          <w:bCs/>
          <w:sz w:val="20"/>
          <w:szCs w:val="20"/>
        </w:rPr>
        <w:t>S</w:t>
      </w:r>
    </w:p>
    <w:p w14:paraId="010D2FEC" w14:textId="77777777" w:rsidR="00000000" w:rsidRDefault="007F5353">
      <w:pPr>
        <w:pStyle w:val="a3"/>
        <w:spacing w:before="0" w:beforeAutospacing="0" w:after="0" w:afterAutospacing="0"/>
        <w:ind w:firstLine="300"/>
        <w:jc w:val="both"/>
        <w:rPr>
          <w:sz w:val="20"/>
          <w:szCs w:val="20"/>
        </w:rPr>
      </w:pPr>
      <w:r>
        <w:rPr>
          <w:sz w:val="20"/>
          <w:szCs w:val="20"/>
        </w:rPr>
        <w:t> </w:t>
      </w:r>
    </w:p>
    <w:p w14:paraId="71F41D8A" w14:textId="77777777" w:rsidR="00000000" w:rsidRDefault="007F5353">
      <w:pPr>
        <w:pStyle w:val="a3"/>
        <w:shd w:val="clear" w:color="auto" w:fill="FFFFFF"/>
        <w:spacing w:before="0" w:beforeAutospacing="0" w:after="0" w:afterAutospacing="0"/>
        <w:jc w:val="both"/>
        <w:rPr>
          <w:sz w:val="20"/>
          <w:szCs w:val="20"/>
        </w:rPr>
      </w:pPr>
      <w:r>
        <w:rPr>
          <w:sz w:val="20"/>
          <w:szCs w:val="20"/>
        </w:rPr>
        <w:t>In accordance with ASC Topic 855, “Subsequent Events”, which establishes general standards of accounting for and disclosure of events that occur after the ba</w:t>
      </w:r>
      <w:r>
        <w:rPr>
          <w:sz w:val="20"/>
          <w:szCs w:val="20"/>
        </w:rPr>
        <w:t>lance sheet date but before financial statements are issued, the Company has evaluated all events or transactions that occurred through the date the financial statements were available to issue.</w:t>
      </w:r>
    </w:p>
    <w:p w14:paraId="3D1E28CD" w14:textId="77777777" w:rsidR="00000000" w:rsidRDefault="007F535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8F3CA91" w14:textId="77777777">
        <w:trPr>
          <w:divId w:val="2103724737"/>
        </w:trPr>
        <w:tc>
          <w:tcPr>
            <w:tcW w:w="5000" w:type="pct"/>
            <w:hideMark/>
          </w:tcPr>
          <w:p w14:paraId="4910149E" w14:textId="77777777" w:rsidR="00000000" w:rsidRDefault="007F535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4D546FC0" w14:textId="77777777">
        <w:tc>
          <w:tcPr>
            <w:tcW w:w="5000" w:type="pct"/>
            <w:hideMark/>
          </w:tcPr>
          <w:p w14:paraId="0BAED600" w14:textId="77777777" w:rsidR="00000000" w:rsidRDefault="007F5353">
            <w:pPr>
              <w:jc w:val="center"/>
              <w:rPr>
                <w:rFonts w:eastAsia="Times New Roman"/>
                <w:sz w:val="20"/>
                <w:szCs w:val="20"/>
              </w:rPr>
            </w:pPr>
            <w:r>
              <w:rPr>
                <w:rFonts w:eastAsia="Times New Roman"/>
                <w:sz w:val="20"/>
                <w:szCs w:val="20"/>
              </w:rPr>
              <w:t> </w:t>
            </w:r>
          </w:p>
        </w:tc>
      </w:tr>
    </w:tbl>
    <w:p w14:paraId="3B5009F8" w14:textId="77777777" w:rsidR="00000000" w:rsidRDefault="007F5353">
      <w:pPr>
        <w:pStyle w:val="a3"/>
        <w:spacing w:before="0" w:beforeAutospacing="0" w:after="0" w:afterAutospacing="0"/>
        <w:jc w:val="both"/>
        <w:rPr>
          <w:sz w:val="20"/>
          <w:szCs w:val="20"/>
        </w:rPr>
      </w:pPr>
      <w:r>
        <w:rPr>
          <w:sz w:val="20"/>
          <w:szCs w:val="20"/>
        </w:rPr>
        <w:t> </w:t>
      </w:r>
    </w:p>
    <w:p w14:paraId="089B342E" w14:textId="77777777" w:rsidR="00000000" w:rsidRDefault="007F5353">
      <w:pPr>
        <w:pStyle w:val="a3"/>
        <w:spacing w:before="0" w:beforeAutospacing="0" w:after="0" w:afterAutospacing="0"/>
        <w:jc w:val="both"/>
        <w:rPr>
          <w:sz w:val="20"/>
          <w:szCs w:val="20"/>
        </w:rPr>
      </w:pPr>
      <w:r>
        <w:rPr>
          <w:b/>
          <w:bCs/>
          <w:sz w:val="20"/>
          <w:szCs w:val="20"/>
        </w:rPr>
        <w:t>ITEM 2. MANAGEMENT’</w:t>
      </w:r>
      <w:r>
        <w:rPr>
          <w:b/>
          <w:bCs/>
          <w:sz w:val="20"/>
          <w:szCs w:val="20"/>
        </w:rPr>
        <w:t>S DISCUSSION AND ANALYSIS OF FINANCIAL CONDITION AND RESULTS OF OPERATIONS</w:t>
      </w:r>
    </w:p>
    <w:p w14:paraId="452D8E52" w14:textId="77777777" w:rsidR="00000000" w:rsidRDefault="007F5353">
      <w:pPr>
        <w:pStyle w:val="a3"/>
        <w:spacing w:before="0" w:beforeAutospacing="0" w:after="0" w:afterAutospacing="0"/>
        <w:jc w:val="both"/>
        <w:rPr>
          <w:sz w:val="20"/>
          <w:szCs w:val="20"/>
        </w:rPr>
      </w:pPr>
      <w:r>
        <w:rPr>
          <w:b/>
          <w:bCs/>
          <w:sz w:val="20"/>
          <w:szCs w:val="20"/>
        </w:rPr>
        <w:t> </w:t>
      </w:r>
    </w:p>
    <w:p w14:paraId="7FB9AFCF" w14:textId="77777777" w:rsidR="00000000" w:rsidRDefault="007F5353">
      <w:pPr>
        <w:pStyle w:val="a3"/>
        <w:spacing w:before="0" w:beforeAutospacing="0" w:after="0" w:afterAutospacing="0"/>
        <w:jc w:val="both"/>
        <w:rPr>
          <w:sz w:val="20"/>
          <w:szCs w:val="20"/>
        </w:rPr>
      </w:pPr>
      <w:r>
        <w:rPr>
          <w:sz w:val="20"/>
          <w:szCs w:val="20"/>
        </w:rPr>
        <w:t xml:space="preserve">References in this report (the “Quarterly Report”) to “we,” “us” or the “Company” refer to Broad Capital Acquisition Corp. References to our “management” or our “management team” </w:t>
      </w:r>
      <w:r>
        <w:rPr>
          <w:sz w:val="20"/>
          <w:szCs w:val="20"/>
        </w:rPr>
        <w:t>refer to our officers and directors, and references to the “Sponsor” refer to Broad Capital, LLC. The following discussion and analysis of the Company’s financial condition and results of operations should be read in conjunction with the consolidated finan</w:t>
      </w:r>
      <w:r>
        <w:rPr>
          <w:sz w:val="20"/>
          <w:szCs w:val="20"/>
        </w:rPr>
        <w:t>cial statements and the notes thereto contained elsewhere in this Quarterly Report. Certain information contained in the discussion and analysis set forth below includes forward-looking statements that involve risks and uncertainties.</w:t>
      </w:r>
    </w:p>
    <w:p w14:paraId="119A981B" w14:textId="77777777" w:rsidR="00000000" w:rsidRDefault="007F5353">
      <w:pPr>
        <w:pStyle w:val="a3"/>
        <w:spacing w:before="0" w:beforeAutospacing="0" w:after="0" w:afterAutospacing="0"/>
        <w:ind w:firstLine="720"/>
        <w:jc w:val="both"/>
        <w:rPr>
          <w:sz w:val="20"/>
          <w:szCs w:val="20"/>
        </w:rPr>
      </w:pPr>
      <w:r>
        <w:rPr>
          <w:sz w:val="20"/>
          <w:szCs w:val="20"/>
        </w:rPr>
        <w:t> </w:t>
      </w:r>
    </w:p>
    <w:p w14:paraId="72C9F9AE" w14:textId="77777777" w:rsidR="00000000" w:rsidRDefault="007F5353">
      <w:pPr>
        <w:pStyle w:val="a3"/>
        <w:spacing w:before="0" w:beforeAutospacing="0" w:after="0" w:afterAutospacing="0"/>
        <w:jc w:val="both"/>
        <w:rPr>
          <w:sz w:val="20"/>
          <w:szCs w:val="20"/>
        </w:rPr>
      </w:pPr>
      <w:r>
        <w:rPr>
          <w:b/>
          <w:bCs/>
          <w:sz w:val="20"/>
          <w:szCs w:val="20"/>
        </w:rPr>
        <w:t>Special Note Regard</w:t>
      </w:r>
      <w:r>
        <w:rPr>
          <w:b/>
          <w:bCs/>
          <w:sz w:val="20"/>
          <w:szCs w:val="20"/>
        </w:rPr>
        <w:t>ing Forward-Looking Statements</w:t>
      </w:r>
    </w:p>
    <w:p w14:paraId="497C790D" w14:textId="77777777" w:rsidR="00000000" w:rsidRDefault="007F5353">
      <w:pPr>
        <w:pStyle w:val="a3"/>
        <w:spacing w:before="0" w:beforeAutospacing="0" w:after="0" w:afterAutospacing="0"/>
        <w:ind w:firstLine="720"/>
        <w:jc w:val="both"/>
        <w:rPr>
          <w:sz w:val="20"/>
          <w:szCs w:val="20"/>
        </w:rPr>
      </w:pPr>
      <w:r>
        <w:rPr>
          <w:sz w:val="20"/>
          <w:szCs w:val="20"/>
        </w:rPr>
        <w:t> </w:t>
      </w:r>
    </w:p>
    <w:p w14:paraId="473CD6D7" w14:textId="77777777" w:rsidR="00000000" w:rsidRDefault="007F5353">
      <w:pPr>
        <w:pStyle w:val="a3"/>
        <w:spacing w:before="0" w:beforeAutospacing="0" w:after="0" w:afterAutospacing="0"/>
        <w:jc w:val="both"/>
        <w:rPr>
          <w:sz w:val="20"/>
          <w:szCs w:val="20"/>
        </w:rPr>
      </w:pPr>
      <w:r>
        <w:rPr>
          <w:sz w:val="20"/>
          <w:szCs w:val="20"/>
        </w:rPr>
        <w:t>This Quarterly Report on Form 10-Q includes “forward-looking statements” within the meaning of Section 27A of the Securities Act and Section 21E of the Exchange Act that are not historical facts, and involve risks and uncer</w:t>
      </w:r>
      <w:r>
        <w:rPr>
          <w:sz w:val="20"/>
          <w:szCs w:val="20"/>
        </w:rPr>
        <w:t>tainties that could cause actual results to differ materially from those expected and projected. All statements other than statements of historical fact included in this Form 10-Q including statements in this “Management’s Discussion and Analysis of Financ</w:t>
      </w:r>
      <w:r>
        <w:rPr>
          <w:sz w:val="20"/>
          <w:szCs w:val="20"/>
        </w:rPr>
        <w:t>ial Condition and Results of Operations” regarding the Company’s financial position, business strategy and the plans and objectives of management for future operations, are forward-looking statements. Words such as “expect,” “believe,” “anticipate,” “inten</w:t>
      </w:r>
      <w:r>
        <w:rPr>
          <w:sz w:val="20"/>
          <w:szCs w:val="20"/>
        </w:rPr>
        <w:t>d,” “estimate,” “seek” and variations and similar words and expressions are intended to identify such forward-looking statements. Such forward-looking statements relate to future events or future performance, but reflect management’s current beliefs, based</w:t>
      </w:r>
      <w:r>
        <w:rPr>
          <w:sz w:val="20"/>
          <w:szCs w:val="20"/>
        </w:rPr>
        <w:t xml:space="preserve"> on information currently available. A number of factors could cause actual events, performance or results to differ materially from the events, performance and results discussed in the forward-looking statements. For information identifying important fact</w:t>
      </w:r>
      <w:r>
        <w:rPr>
          <w:sz w:val="20"/>
          <w:szCs w:val="20"/>
        </w:rPr>
        <w:t>ors that could cause actual results to differ materially from those anticipated in the forward-looking statements, please refer to the Risk Factors section of the Company’s Annual Report on Form 10-K for the year ending December 31, 2021 filed with the SEC</w:t>
      </w:r>
      <w:r>
        <w:rPr>
          <w:sz w:val="20"/>
          <w:szCs w:val="20"/>
        </w:rPr>
        <w:t xml:space="preserve"> on March 31, 2022. The Company’s securities filings can be accessed on the EDGAR section of the SEC’s website at www.sec.gov. Except as expressly required by applicable securities law, the Company disclaims any intention or obligation to update or revise </w:t>
      </w:r>
      <w:r>
        <w:rPr>
          <w:sz w:val="20"/>
          <w:szCs w:val="20"/>
        </w:rPr>
        <w:t>any forward-looking statements whether as a result of new information, future events or otherwise.</w:t>
      </w:r>
    </w:p>
    <w:p w14:paraId="040ADE43" w14:textId="77777777" w:rsidR="00000000" w:rsidRDefault="007F5353">
      <w:pPr>
        <w:pStyle w:val="a3"/>
        <w:spacing w:before="0" w:beforeAutospacing="0" w:after="0" w:afterAutospacing="0"/>
        <w:ind w:firstLine="720"/>
        <w:jc w:val="both"/>
        <w:rPr>
          <w:sz w:val="20"/>
          <w:szCs w:val="20"/>
        </w:rPr>
      </w:pPr>
      <w:r>
        <w:rPr>
          <w:sz w:val="20"/>
          <w:szCs w:val="20"/>
        </w:rPr>
        <w:t> </w:t>
      </w:r>
    </w:p>
    <w:p w14:paraId="2FFD4FE3" w14:textId="77777777" w:rsidR="00000000" w:rsidRDefault="007F5353">
      <w:pPr>
        <w:pStyle w:val="a3"/>
        <w:spacing w:before="0" w:beforeAutospacing="0" w:after="0" w:afterAutospacing="0"/>
        <w:jc w:val="both"/>
        <w:rPr>
          <w:sz w:val="20"/>
          <w:szCs w:val="20"/>
        </w:rPr>
      </w:pPr>
      <w:r>
        <w:rPr>
          <w:b/>
          <w:bCs/>
          <w:sz w:val="20"/>
          <w:szCs w:val="20"/>
        </w:rPr>
        <w:t>Overview</w:t>
      </w:r>
    </w:p>
    <w:p w14:paraId="23EE7D00" w14:textId="77777777" w:rsidR="00000000" w:rsidRDefault="007F5353">
      <w:pPr>
        <w:pStyle w:val="a3"/>
        <w:spacing w:before="0" w:beforeAutospacing="0" w:after="0" w:afterAutospacing="0"/>
        <w:jc w:val="both"/>
        <w:rPr>
          <w:sz w:val="20"/>
          <w:szCs w:val="20"/>
        </w:rPr>
      </w:pPr>
      <w:r>
        <w:rPr>
          <w:sz w:val="20"/>
          <w:szCs w:val="20"/>
        </w:rPr>
        <w:t> </w:t>
      </w:r>
    </w:p>
    <w:p w14:paraId="0F3E320F" w14:textId="77777777" w:rsidR="00000000" w:rsidRDefault="007F5353">
      <w:pPr>
        <w:pStyle w:val="a3"/>
        <w:spacing w:before="0" w:beforeAutospacing="0" w:after="0" w:afterAutospacing="0"/>
        <w:jc w:val="both"/>
        <w:rPr>
          <w:sz w:val="20"/>
          <w:szCs w:val="20"/>
        </w:rPr>
      </w:pPr>
      <w:r>
        <w:rPr>
          <w:sz w:val="20"/>
          <w:szCs w:val="20"/>
        </w:rPr>
        <w:t>We are a blank check company incorporated as a Delaware corporation and formed for the purpose of effecting a merger, capital stock exchange, as</w:t>
      </w:r>
      <w:r>
        <w:rPr>
          <w:sz w:val="20"/>
          <w:szCs w:val="20"/>
        </w:rPr>
        <w:t>set acquisition, stock purchase, reorganization or similar business combination (“Business Combination”) with one or more businesses. We intend to effectuate our initial Business Combination using cash from the proceeds our initial public offering (“Initia</w:t>
      </w:r>
      <w:r>
        <w:rPr>
          <w:sz w:val="20"/>
          <w:szCs w:val="20"/>
        </w:rPr>
        <w:t>l Public Offering”) and the private placement of the placement units (“Placement Units”), the proceeds of the sale of our shares in connection with our initial Business Combination (pursuant to backstop agreements we may enter into), shares issued to the o</w:t>
      </w:r>
      <w:r>
        <w:rPr>
          <w:sz w:val="20"/>
          <w:szCs w:val="20"/>
        </w:rPr>
        <w:t>wners of the target, debt issued to banks or other lenders or the owners of the target, or a combination of the foregoing.</w:t>
      </w:r>
    </w:p>
    <w:p w14:paraId="601320BF" w14:textId="77777777" w:rsidR="00000000" w:rsidRDefault="007F5353">
      <w:pPr>
        <w:pStyle w:val="a3"/>
        <w:spacing w:before="0" w:beforeAutospacing="0" w:after="0" w:afterAutospacing="0"/>
        <w:jc w:val="both"/>
        <w:rPr>
          <w:sz w:val="20"/>
          <w:szCs w:val="20"/>
        </w:rPr>
      </w:pPr>
      <w:r>
        <w:rPr>
          <w:sz w:val="20"/>
          <w:szCs w:val="20"/>
        </w:rPr>
        <w:t> </w:t>
      </w:r>
    </w:p>
    <w:p w14:paraId="58DC1B2C" w14:textId="77777777" w:rsidR="00000000" w:rsidRDefault="007F5353">
      <w:pPr>
        <w:pStyle w:val="a3"/>
        <w:spacing w:before="0" w:beforeAutospacing="0" w:after="0" w:afterAutospacing="0"/>
        <w:jc w:val="both"/>
        <w:rPr>
          <w:sz w:val="20"/>
          <w:szCs w:val="20"/>
        </w:rPr>
      </w:pPr>
      <w:r>
        <w:rPr>
          <w:sz w:val="20"/>
          <w:szCs w:val="20"/>
        </w:rPr>
        <w:t>The issuance of additional shares of common stock in connection with an initial Business Combination to the owners of the target or</w:t>
      </w:r>
      <w:r>
        <w:rPr>
          <w:sz w:val="20"/>
          <w:szCs w:val="20"/>
        </w:rPr>
        <w:t xml:space="preserve"> other investors:</w:t>
      </w:r>
    </w:p>
    <w:p w14:paraId="0F0B5462"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D74B344" w14:textId="77777777">
        <w:tc>
          <w:tcPr>
            <w:tcW w:w="720" w:type="dxa"/>
            <w:hideMark/>
          </w:tcPr>
          <w:p w14:paraId="40B0EE92" w14:textId="77777777" w:rsidR="00000000" w:rsidRDefault="007F5353">
            <w:pPr>
              <w:jc w:val="both"/>
              <w:rPr>
                <w:rFonts w:eastAsia="Times New Roman"/>
                <w:sz w:val="20"/>
                <w:szCs w:val="20"/>
              </w:rPr>
            </w:pPr>
            <w:r>
              <w:rPr>
                <w:rFonts w:eastAsia="Times New Roman"/>
                <w:sz w:val="20"/>
                <w:szCs w:val="20"/>
              </w:rPr>
              <w:t> </w:t>
            </w:r>
          </w:p>
        </w:tc>
        <w:tc>
          <w:tcPr>
            <w:tcW w:w="360" w:type="dxa"/>
            <w:hideMark/>
          </w:tcPr>
          <w:p w14:paraId="5EBD2F01"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1AC11CA5" w14:textId="77777777" w:rsidR="00000000" w:rsidRDefault="007F5353">
            <w:pPr>
              <w:jc w:val="both"/>
              <w:rPr>
                <w:rFonts w:eastAsia="Times New Roman"/>
                <w:sz w:val="20"/>
                <w:szCs w:val="20"/>
              </w:rPr>
            </w:pPr>
            <w:r>
              <w:rPr>
                <w:rFonts w:eastAsia="Times New Roman"/>
                <w:sz w:val="20"/>
                <w:szCs w:val="20"/>
              </w:rPr>
              <w:t xml:space="preserve">may </w:t>
            </w:r>
            <w:r>
              <w:rPr>
                <w:rFonts w:eastAsia="Times New Roman"/>
                <w:sz w:val="20"/>
                <w:szCs w:val="20"/>
              </w:rPr>
              <w:t>significantly dilute the equity interest of investors in our Initial Public Offering, which dilution would increase if the anti-dilution provisions in the insider shares resulted in the issuance of common stock on a greater than one-to-one basis;</w:t>
            </w:r>
          </w:p>
        </w:tc>
      </w:tr>
      <w:tr w:rsidR="00000000" w14:paraId="3E284FC0" w14:textId="77777777">
        <w:tc>
          <w:tcPr>
            <w:tcW w:w="0" w:type="auto"/>
            <w:hideMark/>
          </w:tcPr>
          <w:p w14:paraId="010E22EE"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165EB53E"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4A5BC884" w14:textId="77777777" w:rsidR="00000000" w:rsidRDefault="007F5353">
            <w:pPr>
              <w:jc w:val="both"/>
              <w:rPr>
                <w:rFonts w:eastAsia="Times New Roman"/>
                <w:sz w:val="20"/>
                <w:szCs w:val="20"/>
              </w:rPr>
            </w:pPr>
            <w:r>
              <w:rPr>
                <w:rFonts w:eastAsia="Times New Roman"/>
                <w:sz w:val="20"/>
                <w:szCs w:val="20"/>
              </w:rPr>
              <w:t xml:space="preserve">may </w:t>
            </w:r>
            <w:r>
              <w:rPr>
                <w:rFonts w:eastAsia="Times New Roman"/>
                <w:sz w:val="20"/>
                <w:szCs w:val="20"/>
              </w:rPr>
              <w:t>subordinate the rights of holders of our common stock if preferred stock is issued with rights senior to those afforded our common stock;</w:t>
            </w:r>
          </w:p>
        </w:tc>
      </w:tr>
      <w:tr w:rsidR="00000000" w14:paraId="0C62445E" w14:textId="77777777">
        <w:tc>
          <w:tcPr>
            <w:tcW w:w="0" w:type="auto"/>
            <w:hideMark/>
          </w:tcPr>
          <w:p w14:paraId="2B88482D"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2645AE81"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5A4461A1" w14:textId="77777777" w:rsidR="00000000" w:rsidRDefault="007F5353">
            <w:pPr>
              <w:jc w:val="both"/>
              <w:rPr>
                <w:rFonts w:eastAsia="Times New Roman"/>
                <w:sz w:val="20"/>
                <w:szCs w:val="20"/>
              </w:rPr>
            </w:pPr>
            <w:r>
              <w:rPr>
                <w:rFonts w:eastAsia="Times New Roman"/>
                <w:sz w:val="20"/>
                <w:szCs w:val="20"/>
              </w:rPr>
              <w:t>could cause a change in control if a substantial number of shares of our common stock is issued, which may affect</w:t>
            </w:r>
            <w:r>
              <w:rPr>
                <w:rFonts w:eastAsia="Times New Roman"/>
                <w:sz w:val="20"/>
                <w:szCs w:val="20"/>
              </w:rPr>
              <w:t>, among other things, our ability to use our net operating loss carry forwards, if any, and could result in the resignation or removal of our present officers and directors;</w:t>
            </w:r>
          </w:p>
        </w:tc>
      </w:tr>
      <w:tr w:rsidR="00000000" w14:paraId="3698A8A2" w14:textId="77777777">
        <w:tc>
          <w:tcPr>
            <w:tcW w:w="0" w:type="auto"/>
            <w:hideMark/>
          </w:tcPr>
          <w:p w14:paraId="30E58CB0"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7152FACD"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176C7386" w14:textId="77777777" w:rsidR="00000000" w:rsidRDefault="007F5353">
            <w:pPr>
              <w:jc w:val="both"/>
              <w:rPr>
                <w:rFonts w:eastAsia="Times New Roman"/>
                <w:sz w:val="20"/>
                <w:szCs w:val="20"/>
              </w:rPr>
            </w:pPr>
            <w:r>
              <w:rPr>
                <w:rFonts w:eastAsia="Times New Roman"/>
                <w:sz w:val="20"/>
                <w:szCs w:val="20"/>
              </w:rPr>
              <w:t>may have the effect of delaying or preventing a change of control of us by di</w:t>
            </w:r>
            <w:r>
              <w:rPr>
                <w:rFonts w:eastAsia="Times New Roman"/>
                <w:sz w:val="20"/>
                <w:szCs w:val="20"/>
              </w:rPr>
              <w:t>luting the stock ownership or voting rights of a person seeking to obtain control of us; and</w:t>
            </w:r>
          </w:p>
        </w:tc>
      </w:tr>
      <w:tr w:rsidR="00000000" w14:paraId="1B184FD1" w14:textId="77777777">
        <w:tc>
          <w:tcPr>
            <w:tcW w:w="0" w:type="auto"/>
            <w:hideMark/>
          </w:tcPr>
          <w:p w14:paraId="198A173C"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61AA1E1B"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5651CC52" w14:textId="77777777" w:rsidR="00000000" w:rsidRDefault="007F5353">
            <w:pPr>
              <w:jc w:val="both"/>
              <w:rPr>
                <w:rFonts w:eastAsia="Times New Roman"/>
                <w:sz w:val="20"/>
                <w:szCs w:val="20"/>
              </w:rPr>
            </w:pPr>
            <w:r>
              <w:rPr>
                <w:rFonts w:eastAsia="Times New Roman"/>
                <w:sz w:val="20"/>
                <w:szCs w:val="20"/>
              </w:rPr>
              <w:t>may adversely affect prevailing market prices for our common stock and/or rights.</w:t>
            </w:r>
          </w:p>
        </w:tc>
      </w:tr>
    </w:tbl>
    <w:p w14:paraId="0EBAB93B" w14:textId="77777777" w:rsidR="00000000" w:rsidRDefault="007F5353">
      <w:pPr>
        <w:pStyle w:val="a3"/>
        <w:spacing w:before="0" w:beforeAutospacing="0" w:after="0" w:afterAutospacing="0"/>
        <w:ind w:left="9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572ED8C" w14:textId="77777777">
        <w:trPr>
          <w:divId w:val="440494231"/>
        </w:trPr>
        <w:tc>
          <w:tcPr>
            <w:tcW w:w="5000" w:type="pct"/>
            <w:hideMark/>
          </w:tcPr>
          <w:p w14:paraId="2C60B7AB" w14:textId="77777777" w:rsidR="00000000" w:rsidRDefault="007F5353">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783F8CD8" w14:textId="77777777">
        <w:tc>
          <w:tcPr>
            <w:tcW w:w="5000" w:type="pct"/>
            <w:hideMark/>
          </w:tcPr>
          <w:p w14:paraId="750FBFD7" w14:textId="77777777" w:rsidR="00000000" w:rsidRDefault="007F5353">
            <w:pPr>
              <w:jc w:val="center"/>
              <w:rPr>
                <w:rFonts w:eastAsia="Times New Roman"/>
                <w:sz w:val="20"/>
                <w:szCs w:val="20"/>
              </w:rPr>
            </w:pPr>
            <w:r>
              <w:rPr>
                <w:rFonts w:eastAsia="Times New Roman"/>
                <w:sz w:val="20"/>
                <w:szCs w:val="20"/>
              </w:rPr>
              <w:t> </w:t>
            </w:r>
          </w:p>
        </w:tc>
      </w:tr>
    </w:tbl>
    <w:p w14:paraId="390B307B" w14:textId="77777777" w:rsidR="00000000" w:rsidRDefault="007F5353">
      <w:pPr>
        <w:pStyle w:val="a3"/>
        <w:spacing w:before="0" w:beforeAutospacing="0" w:after="0" w:afterAutospacing="0"/>
        <w:jc w:val="both"/>
        <w:rPr>
          <w:sz w:val="20"/>
          <w:szCs w:val="20"/>
        </w:rPr>
      </w:pPr>
      <w:r>
        <w:rPr>
          <w:sz w:val="20"/>
          <w:szCs w:val="20"/>
        </w:rPr>
        <w:t> </w:t>
      </w:r>
    </w:p>
    <w:p w14:paraId="7D4FBBD1" w14:textId="77777777" w:rsidR="00000000" w:rsidRDefault="007F5353">
      <w:pPr>
        <w:pStyle w:val="a3"/>
        <w:spacing w:before="0" w:beforeAutospacing="0" w:after="0" w:afterAutospacing="0"/>
        <w:jc w:val="both"/>
        <w:rPr>
          <w:sz w:val="20"/>
          <w:szCs w:val="20"/>
        </w:rPr>
      </w:pPr>
      <w:r>
        <w:rPr>
          <w:sz w:val="20"/>
          <w:szCs w:val="20"/>
        </w:rPr>
        <w:t xml:space="preserve">Similarly, </w:t>
      </w:r>
      <w:r>
        <w:rPr>
          <w:sz w:val="20"/>
          <w:szCs w:val="20"/>
        </w:rPr>
        <w:t>if we issue debt securities or otherwise incur significant debt to banks or other lenders or the owners of a target, it could result in:</w:t>
      </w:r>
    </w:p>
    <w:p w14:paraId="76E538A8"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332BB3D" w14:textId="77777777">
        <w:tc>
          <w:tcPr>
            <w:tcW w:w="720" w:type="dxa"/>
            <w:hideMark/>
          </w:tcPr>
          <w:p w14:paraId="52BB8F6C" w14:textId="77777777" w:rsidR="00000000" w:rsidRDefault="007F5353">
            <w:pPr>
              <w:jc w:val="both"/>
              <w:rPr>
                <w:rFonts w:eastAsia="Times New Roman"/>
                <w:sz w:val="20"/>
                <w:szCs w:val="20"/>
              </w:rPr>
            </w:pPr>
            <w:r>
              <w:rPr>
                <w:rFonts w:eastAsia="Times New Roman"/>
                <w:sz w:val="20"/>
                <w:szCs w:val="20"/>
              </w:rPr>
              <w:t> </w:t>
            </w:r>
          </w:p>
        </w:tc>
        <w:tc>
          <w:tcPr>
            <w:tcW w:w="360" w:type="dxa"/>
            <w:hideMark/>
          </w:tcPr>
          <w:p w14:paraId="007A0EF6"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659C95FB" w14:textId="77777777" w:rsidR="00000000" w:rsidRDefault="007F5353">
            <w:pPr>
              <w:jc w:val="both"/>
              <w:rPr>
                <w:rFonts w:eastAsia="Times New Roman"/>
                <w:sz w:val="20"/>
                <w:szCs w:val="20"/>
              </w:rPr>
            </w:pPr>
            <w:r>
              <w:rPr>
                <w:rFonts w:eastAsia="Times New Roman"/>
                <w:sz w:val="20"/>
                <w:szCs w:val="20"/>
              </w:rPr>
              <w:t>default and foreclosure on our assets if our operating revenues after an initial Business Combination are insuffi</w:t>
            </w:r>
            <w:r>
              <w:rPr>
                <w:rFonts w:eastAsia="Times New Roman"/>
                <w:sz w:val="20"/>
                <w:szCs w:val="20"/>
              </w:rPr>
              <w:t>cient to repay our debt obligations;</w:t>
            </w:r>
          </w:p>
        </w:tc>
      </w:tr>
      <w:tr w:rsidR="00000000" w14:paraId="0F742C20" w14:textId="77777777">
        <w:tc>
          <w:tcPr>
            <w:tcW w:w="0" w:type="auto"/>
            <w:hideMark/>
          </w:tcPr>
          <w:p w14:paraId="0C45FE89"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74428C68"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38116C4A" w14:textId="77777777" w:rsidR="00000000" w:rsidRDefault="007F5353">
            <w:pPr>
              <w:jc w:val="both"/>
              <w:rPr>
                <w:rFonts w:eastAsia="Times New Roman"/>
                <w:sz w:val="20"/>
                <w:szCs w:val="20"/>
              </w:rPr>
            </w:pPr>
            <w:r>
              <w:rPr>
                <w:rFonts w:eastAsia="Times New Roman"/>
                <w:sz w:val="20"/>
                <w:szCs w:val="20"/>
              </w:rPr>
              <w:t>acceleration of our obligations to repay the indebtedness even if we make all principal and interest payments when due if we breach certain covenants that require the maintenance of certain financial ratios or rese</w:t>
            </w:r>
            <w:r>
              <w:rPr>
                <w:rFonts w:eastAsia="Times New Roman"/>
                <w:sz w:val="20"/>
                <w:szCs w:val="20"/>
              </w:rPr>
              <w:t>rves without a waiver or renegotiation of that covenant;</w:t>
            </w:r>
          </w:p>
        </w:tc>
      </w:tr>
      <w:tr w:rsidR="00000000" w14:paraId="12C765A8" w14:textId="77777777">
        <w:tc>
          <w:tcPr>
            <w:tcW w:w="0" w:type="auto"/>
            <w:hideMark/>
          </w:tcPr>
          <w:p w14:paraId="76CD87E9"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45E3F001"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547B21AA" w14:textId="77777777" w:rsidR="00000000" w:rsidRDefault="007F5353">
            <w:pPr>
              <w:jc w:val="both"/>
              <w:rPr>
                <w:rFonts w:eastAsia="Times New Roman"/>
                <w:sz w:val="20"/>
                <w:szCs w:val="20"/>
              </w:rPr>
            </w:pPr>
            <w:r>
              <w:rPr>
                <w:rFonts w:eastAsia="Times New Roman"/>
                <w:sz w:val="20"/>
                <w:szCs w:val="20"/>
              </w:rPr>
              <w:t xml:space="preserve">our </w:t>
            </w:r>
            <w:r>
              <w:rPr>
                <w:rFonts w:eastAsia="Times New Roman"/>
                <w:sz w:val="20"/>
                <w:szCs w:val="20"/>
              </w:rPr>
              <w:t>immediate payment of all principal and accrued interest, if any, if the debt security is payable on demand;</w:t>
            </w:r>
          </w:p>
        </w:tc>
      </w:tr>
      <w:tr w:rsidR="00000000" w14:paraId="24A7114C" w14:textId="77777777">
        <w:tc>
          <w:tcPr>
            <w:tcW w:w="0" w:type="auto"/>
            <w:hideMark/>
          </w:tcPr>
          <w:p w14:paraId="06938AEB"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65450547"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23E85F91" w14:textId="77777777" w:rsidR="00000000" w:rsidRDefault="007F5353">
            <w:pPr>
              <w:jc w:val="both"/>
              <w:rPr>
                <w:rFonts w:eastAsia="Times New Roman"/>
                <w:sz w:val="20"/>
                <w:szCs w:val="20"/>
              </w:rPr>
            </w:pPr>
            <w:r>
              <w:rPr>
                <w:rFonts w:eastAsia="Times New Roman"/>
                <w:sz w:val="20"/>
                <w:szCs w:val="20"/>
              </w:rPr>
              <w:t>our inability to obtain necessary additional financing if the debt security contains covenants restricting our ability to obtain such financing</w:t>
            </w:r>
            <w:r>
              <w:rPr>
                <w:rFonts w:eastAsia="Times New Roman"/>
                <w:sz w:val="20"/>
                <w:szCs w:val="20"/>
              </w:rPr>
              <w:t xml:space="preserve"> while the debt security is outstanding;</w:t>
            </w:r>
          </w:p>
        </w:tc>
      </w:tr>
      <w:tr w:rsidR="00000000" w14:paraId="338EC9D6" w14:textId="77777777">
        <w:tc>
          <w:tcPr>
            <w:tcW w:w="0" w:type="auto"/>
            <w:hideMark/>
          </w:tcPr>
          <w:p w14:paraId="384F5F5C"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580A2297"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17DDD05A" w14:textId="77777777" w:rsidR="00000000" w:rsidRDefault="007F5353">
            <w:pPr>
              <w:jc w:val="both"/>
              <w:rPr>
                <w:rFonts w:eastAsia="Times New Roman"/>
                <w:sz w:val="20"/>
                <w:szCs w:val="20"/>
              </w:rPr>
            </w:pPr>
            <w:r>
              <w:rPr>
                <w:rFonts w:eastAsia="Times New Roman"/>
                <w:sz w:val="20"/>
                <w:szCs w:val="20"/>
              </w:rPr>
              <w:t>our inability to pay dividends on our common stock;</w:t>
            </w:r>
          </w:p>
        </w:tc>
      </w:tr>
      <w:tr w:rsidR="00000000" w14:paraId="39BD6D39" w14:textId="77777777">
        <w:tc>
          <w:tcPr>
            <w:tcW w:w="0" w:type="auto"/>
            <w:hideMark/>
          </w:tcPr>
          <w:p w14:paraId="07E1F8FA"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03194752"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7BD1C69D" w14:textId="77777777" w:rsidR="00000000" w:rsidRDefault="007F5353">
            <w:pPr>
              <w:jc w:val="both"/>
              <w:rPr>
                <w:rFonts w:eastAsia="Times New Roman"/>
                <w:sz w:val="20"/>
                <w:szCs w:val="20"/>
              </w:rPr>
            </w:pPr>
            <w:r>
              <w:rPr>
                <w:rFonts w:eastAsia="Times New Roman"/>
                <w:sz w:val="20"/>
                <w:szCs w:val="20"/>
              </w:rPr>
              <w:t>using a substantial portion of our cash flow to pay principal and interest on our debt, which will reduce the funds available for dividends on our common</w:t>
            </w:r>
            <w:r>
              <w:rPr>
                <w:rFonts w:eastAsia="Times New Roman"/>
                <w:sz w:val="20"/>
                <w:szCs w:val="20"/>
              </w:rPr>
              <w:t xml:space="preserve"> stock if declared, our ability to pay expenses, make capital expenditures and acquisitions, and fund other general corporate purposes;</w:t>
            </w:r>
          </w:p>
        </w:tc>
      </w:tr>
      <w:tr w:rsidR="00000000" w14:paraId="2EE30A78" w14:textId="77777777">
        <w:tc>
          <w:tcPr>
            <w:tcW w:w="0" w:type="auto"/>
            <w:hideMark/>
          </w:tcPr>
          <w:p w14:paraId="3313FBC0"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20ADB8A3"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43910E6B" w14:textId="77777777" w:rsidR="00000000" w:rsidRDefault="007F5353">
            <w:pPr>
              <w:jc w:val="both"/>
              <w:rPr>
                <w:rFonts w:eastAsia="Times New Roman"/>
                <w:sz w:val="20"/>
                <w:szCs w:val="20"/>
              </w:rPr>
            </w:pPr>
            <w:r>
              <w:rPr>
                <w:rFonts w:eastAsia="Times New Roman"/>
                <w:sz w:val="20"/>
                <w:szCs w:val="20"/>
              </w:rPr>
              <w:t>limitations on our flexibility in planning for and reacting to changes in our business and in the industry in which</w:t>
            </w:r>
            <w:r>
              <w:rPr>
                <w:rFonts w:eastAsia="Times New Roman"/>
                <w:sz w:val="20"/>
                <w:szCs w:val="20"/>
              </w:rPr>
              <w:t xml:space="preserve"> we operate;</w:t>
            </w:r>
          </w:p>
        </w:tc>
      </w:tr>
      <w:tr w:rsidR="00000000" w14:paraId="5E59F7CF" w14:textId="77777777">
        <w:tc>
          <w:tcPr>
            <w:tcW w:w="0" w:type="auto"/>
            <w:hideMark/>
          </w:tcPr>
          <w:p w14:paraId="57157123"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6CA239DB"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26928736" w14:textId="77777777" w:rsidR="00000000" w:rsidRDefault="007F5353">
            <w:pPr>
              <w:jc w:val="both"/>
              <w:rPr>
                <w:rFonts w:eastAsia="Times New Roman"/>
                <w:sz w:val="20"/>
                <w:szCs w:val="20"/>
              </w:rPr>
            </w:pPr>
            <w:r>
              <w:rPr>
                <w:rFonts w:eastAsia="Times New Roman"/>
                <w:sz w:val="20"/>
                <w:szCs w:val="20"/>
              </w:rPr>
              <w:t>increased vulnerability to adverse changes in general economic, industry and competitive conditions and adverse changes in government regulation;</w:t>
            </w:r>
          </w:p>
        </w:tc>
      </w:tr>
      <w:tr w:rsidR="00000000" w14:paraId="028A5458" w14:textId="77777777">
        <w:tc>
          <w:tcPr>
            <w:tcW w:w="0" w:type="auto"/>
            <w:hideMark/>
          </w:tcPr>
          <w:p w14:paraId="3C84AE32"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491B8084"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3F1E2550" w14:textId="77777777" w:rsidR="00000000" w:rsidRDefault="007F5353">
            <w:pPr>
              <w:jc w:val="both"/>
              <w:rPr>
                <w:rFonts w:eastAsia="Times New Roman"/>
                <w:sz w:val="20"/>
                <w:szCs w:val="20"/>
              </w:rPr>
            </w:pPr>
            <w:r>
              <w:rPr>
                <w:rFonts w:eastAsia="Times New Roman"/>
                <w:sz w:val="20"/>
                <w:szCs w:val="20"/>
              </w:rPr>
              <w:t xml:space="preserve">limitations </w:t>
            </w:r>
            <w:r>
              <w:rPr>
                <w:rFonts w:eastAsia="Times New Roman"/>
                <w:sz w:val="20"/>
                <w:szCs w:val="20"/>
              </w:rPr>
              <w:t>on our ability to borrow additional amounts for expenses, capital expenditures, acquisitions, debt service requirements, and execution of our strategy; and</w:t>
            </w:r>
          </w:p>
        </w:tc>
      </w:tr>
      <w:tr w:rsidR="00000000" w14:paraId="3E4512D7" w14:textId="77777777">
        <w:tc>
          <w:tcPr>
            <w:tcW w:w="0" w:type="auto"/>
            <w:hideMark/>
          </w:tcPr>
          <w:p w14:paraId="0FD26520" w14:textId="77777777" w:rsidR="00000000" w:rsidRDefault="007F5353">
            <w:pPr>
              <w:jc w:val="both"/>
              <w:rPr>
                <w:rFonts w:eastAsia="Times New Roman"/>
                <w:sz w:val="20"/>
                <w:szCs w:val="20"/>
              </w:rPr>
            </w:pPr>
            <w:r>
              <w:rPr>
                <w:rFonts w:eastAsia="Times New Roman"/>
                <w:sz w:val="20"/>
                <w:szCs w:val="20"/>
              </w:rPr>
              <w:t> </w:t>
            </w:r>
          </w:p>
        </w:tc>
        <w:tc>
          <w:tcPr>
            <w:tcW w:w="0" w:type="auto"/>
            <w:hideMark/>
          </w:tcPr>
          <w:p w14:paraId="157E361A" w14:textId="77777777" w:rsidR="00000000" w:rsidRDefault="007F5353">
            <w:pPr>
              <w:jc w:val="both"/>
              <w:rPr>
                <w:rFonts w:eastAsia="Times New Roman"/>
                <w:sz w:val="20"/>
                <w:szCs w:val="20"/>
              </w:rPr>
            </w:pPr>
            <w:r>
              <w:rPr>
                <w:rFonts w:eastAsia="Times New Roman"/>
                <w:sz w:val="20"/>
                <w:szCs w:val="20"/>
              </w:rPr>
              <w:t>●</w:t>
            </w:r>
          </w:p>
        </w:tc>
        <w:tc>
          <w:tcPr>
            <w:tcW w:w="0" w:type="auto"/>
            <w:hideMark/>
          </w:tcPr>
          <w:p w14:paraId="25EE33C7" w14:textId="77777777" w:rsidR="00000000" w:rsidRDefault="007F5353">
            <w:pPr>
              <w:jc w:val="both"/>
              <w:rPr>
                <w:rFonts w:eastAsia="Times New Roman"/>
                <w:sz w:val="20"/>
                <w:szCs w:val="20"/>
              </w:rPr>
            </w:pPr>
            <w:r>
              <w:rPr>
                <w:rFonts w:eastAsia="Times New Roman"/>
                <w:sz w:val="20"/>
                <w:szCs w:val="20"/>
              </w:rPr>
              <w:t>other purposes and other disadvantages compared to our competitors who have less debt.</w:t>
            </w:r>
          </w:p>
        </w:tc>
      </w:tr>
    </w:tbl>
    <w:p w14:paraId="7AF088C2" w14:textId="77777777" w:rsidR="00000000" w:rsidRDefault="007F5353">
      <w:pPr>
        <w:pStyle w:val="a3"/>
        <w:spacing w:before="0" w:beforeAutospacing="0" w:after="0" w:afterAutospacing="0"/>
        <w:ind w:left="960"/>
        <w:jc w:val="both"/>
        <w:rPr>
          <w:sz w:val="20"/>
          <w:szCs w:val="20"/>
        </w:rPr>
      </w:pPr>
      <w:r>
        <w:rPr>
          <w:sz w:val="20"/>
          <w:szCs w:val="20"/>
        </w:rPr>
        <w:t> </w:t>
      </w:r>
    </w:p>
    <w:p w14:paraId="78BB85B1" w14:textId="77777777" w:rsidR="00000000" w:rsidRDefault="007F5353">
      <w:pPr>
        <w:pStyle w:val="a3"/>
        <w:spacing w:before="0" w:beforeAutospacing="0" w:after="0" w:afterAutospacing="0"/>
        <w:jc w:val="both"/>
        <w:rPr>
          <w:sz w:val="20"/>
          <w:szCs w:val="20"/>
        </w:rPr>
      </w:pPr>
      <w:r>
        <w:rPr>
          <w:sz w:val="20"/>
          <w:szCs w:val="20"/>
        </w:rPr>
        <w:t>We ex</w:t>
      </w:r>
      <w:r>
        <w:rPr>
          <w:sz w:val="20"/>
          <w:szCs w:val="20"/>
        </w:rPr>
        <w:t>pect to continue to incur significant costs in the pursuit of our acquisition plans. We cannot assure you that our plans to complete our initial Business Combination will be successful.</w:t>
      </w:r>
    </w:p>
    <w:p w14:paraId="4D04C405" w14:textId="77777777" w:rsidR="00000000" w:rsidRDefault="007F5353">
      <w:pPr>
        <w:pStyle w:val="a3"/>
        <w:spacing w:before="0" w:beforeAutospacing="0" w:after="0" w:afterAutospacing="0"/>
        <w:jc w:val="both"/>
        <w:rPr>
          <w:sz w:val="20"/>
          <w:szCs w:val="20"/>
        </w:rPr>
      </w:pPr>
      <w:r>
        <w:rPr>
          <w:sz w:val="20"/>
          <w:szCs w:val="20"/>
        </w:rPr>
        <w:t> </w:t>
      </w:r>
    </w:p>
    <w:p w14:paraId="4AE0E33C" w14:textId="77777777" w:rsidR="00000000" w:rsidRDefault="007F5353">
      <w:pPr>
        <w:pStyle w:val="a3"/>
        <w:spacing w:before="0" w:beforeAutospacing="0" w:after="0" w:afterAutospacing="0"/>
        <w:jc w:val="both"/>
        <w:rPr>
          <w:sz w:val="20"/>
          <w:szCs w:val="20"/>
        </w:rPr>
      </w:pPr>
      <w:r>
        <w:rPr>
          <w:b/>
          <w:bCs/>
          <w:sz w:val="20"/>
          <w:szCs w:val="20"/>
        </w:rPr>
        <w:t>Results of Operations</w:t>
      </w:r>
    </w:p>
    <w:p w14:paraId="307A5275" w14:textId="77777777" w:rsidR="00000000" w:rsidRDefault="007F5353">
      <w:pPr>
        <w:pStyle w:val="a3"/>
        <w:spacing w:before="0" w:beforeAutospacing="0" w:after="0" w:afterAutospacing="0"/>
        <w:jc w:val="both"/>
        <w:rPr>
          <w:sz w:val="20"/>
          <w:szCs w:val="20"/>
        </w:rPr>
      </w:pPr>
      <w:r>
        <w:rPr>
          <w:sz w:val="20"/>
          <w:szCs w:val="20"/>
        </w:rPr>
        <w:t> </w:t>
      </w:r>
    </w:p>
    <w:p w14:paraId="5FBA2E4A" w14:textId="77777777" w:rsidR="00000000" w:rsidRDefault="007F5353">
      <w:pPr>
        <w:pStyle w:val="a3"/>
        <w:spacing w:before="0" w:beforeAutospacing="0" w:after="0" w:afterAutospacing="0"/>
        <w:jc w:val="both"/>
        <w:rPr>
          <w:sz w:val="20"/>
          <w:szCs w:val="20"/>
        </w:rPr>
      </w:pPr>
      <w:r>
        <w:rPr>
          <w:sz w:val="20"/>
          <w:szCs w:val="20"/>
        </w:rPr>
        <w:t>We have neither engaged in any operations no</w:t>
      </w:r>
      <w:r>
        <w:rPr>
          <w:sz w:val="20"/>
          <w:szCs w:val="20"/>
        </w:rPr>
        <w:t xml:space="preserve">r generated any revenues to date. Our only activities since inception have been organizational activities and those necessary to prepare for our Initial Public Offering, described below, and identifying a target for our initial Business Combination. We do </w:t>
      </w:r>
      <w:r>
        <w:rPr>
          <w:sz w:val="20"/>
          <w:szCs w:val="20"/>
        </w:rPr>
        <w:t>not expect to generate any operating revenues until after completion of our initial Business Combination. We generated non-operating income in the form of interest income on marketable securities held in the Trust Account of $108,459 and $148,407 for the t</w:t>
      </w:r>
      <w:r>
        <w:rPr>
          <w:sz w:val="20"/>
          <w:szCs w:val="20"/>
        </w:rPr>
        <w:t>hree months ended June 30, 2022 and the six months ended June 30, 2022. We incur expenses as a result of being a public company (for legal, financial reporting, accounting and auditing compliance), as well as for due diligence expenses in connection with c</w:t>
      </w:r>
      <w:r>
        <w:rPr>
          <w:sz w:val="20"/>
          <w:szCs w:val="20"/>
        </w:rPr>
        <w:t>ompleting our initial Business Combination and have a net loss of $8,850 and a net loss of $428,315 for the three months ended June 30, 2022 and the six months ended June 30, 2022.</w:t>
      </w:r>
    </w:p>
    <w:p w14:paraId="048EBA48" w14:textId="77777777" w:rsidR="00000000" w:rsidRDefault="007F5353">
      <w:pPr>
        <w:pStyle w:val="a3"/>
        <w:spacing w:before="0" w:beforeAutospacing="0" w:after="0" w:afterAutospacing="0"/>
        <w:jc w:val="both"/>
        <w:rPr>
          <w:sz w:val="20"/>
          <w:szCs w:val="20"/>
        </w:rPr>
      </w:pPr>
      <w:r>
        <w:rPr>
          <w:sz w:val="20"/>
          <w:szCs w:val="20"/>
        </w:rPr>
        <w:t> </w:t>
      </w:r>
    </w:p>
    <w:p w14:paraId="728D171F" w14:textId="77777777" w:rsidR="00000000" w:rsidRDefault="007F5353">
      <w:pPr>
        <w:pStyle w:val="a3"/>
        <w:spacing w:before="0" w:beforeAutospacing="0" w:after="0" w:afterAutospacing="0"/>
        <w:jc w:val="both"/>
        <w:rPr>
          <w:sz w:val="20"/>
          <w:szCs w:val="20"/>
        </w:rPr>
      </w:pPr>
      <w:r>
        <w:rPr>
          <w:b/>
          <w:bCs/>
          <w:sz w:val="20"/>
          <w:szCs w:val="20"/>
        </w:rPr>
        <w:t>Liquidity and Capital Resources</w:t>
      </w:r>
    </w:p>
    <w:p w14:paraId="29BCFE98" w14:textId="77777777" w:rsidR="00000000" w:rsidRDefault="007F5353">
      <w:pPr>
        <w:pStyle w:val="a3"/>
        <w:spacing w:before="0" w:beforeAutospacing="0" w:after="0" w:afterAutospacing="0"/>
        <w:jc w:val="both"/>
        <w:rPr>
          <w:sz w:val="20"/>
          <w:szCs w:val="20"/>
        </w:rPr>
      </w:pPr>
      <w:r>
        <w:rPr>
          <w:sz w:val="20"/>
          <w:szCs w:val="20"/>
        </w:rPr>
        <w:t> </w:t>
      </w:r>
    </w:p>
    <w:p w14:paraId="527FCA49" w14:textId="77777777" w:rsidR="00000000" w:rsidRDefault="007F5353">
      <w:pPr>
        <w:pStyle w:val="a3"/>
        <w:shd w:val="clear" w:color="auto" w:fill="FFFFFF"/>
        <w:spacing w:before="0" w:beforeAutospacing="0" w:after="0" w:afterAutospacing="0"/>
        <w:jc w:val="both"/>
        <w:rPr>
          <w:sz w:val="20"/>
          <w:szCs w:val="20"/>
        </w:rPr>
      </w:pPr>
      <w:r>
        <w:rPr>
          <w:sz w:val="20"/>
          <w:szCs w:val="20"/>
        </w:rPr>
        <w:t>On January 13, 2022, we consummated our</w:t>
      </w:r>
      <w:r>
        <w:rPr>
          <w:sz w:val="20"/>
          <w:szCs w:val="20"/>
        </w:rPr>
        <w:t xml:space="preserve"> Initial Public Offering of 10,000,000 Units at $10.00 per Unit, generating gross proceeds of $10,000,000 and incurring transaction costs of $6,917,226, of which $3,500,000 was for deferred underwriting commissions. On February 9, 2022, the Underwriters pa</w:t>
      </w:r>
      <w:r>
        <w:rPr>
          <w:sz w:val="20"/>
          <w:szCs w:val="20"/>
        </w:rPr>
        <w:t>rtially exercised the over-allotment option and on February 10, 2022, purchased an additional 159,069 Units from the Company (the “Over-Allotment Units”), generating gross proceeds of $1,590,690, and forfeited the remainder of the option.</w:t>
      </w:r>
    </w:p>
    <w:p w14:paraId="0B802DC9" w14:textId="77777777" w:rsidR="00000000" w:rsidRDefault="007F5353">
      <w:pPr>
        <w:pStyle w:val="a3"/>
        <w:spacing w:before="0" w:beforeAutospacing="0" w:after="0" w:afterAutospacing="0"/>
        <w:jc w:val="both"/>
        <w:rPr>
          <w:sz w:val="20"/>
          <w:szCs w:val="20"/>
        </w:rPr>
      </w:pPr>
      <w:r>
        <w:rPr>
          <w:sz w:val="20"/>
          <w:szCs w:val="20"/>
        </w:rPr>
        <w:t> </w:t>
      </w:r>
    </w:p>
    <w:p w14:paraId="4F6934A3"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Simultaneously </w:t>
      </w:r>
      <w:r>
        <w:rPr>
          <w:sz w:val="20"/>
          <w:szCs w:val="20"/>
        </w:rPr>
        <w:t>with the consummation of the closing of the Initial Public Offering, the Company consummated the private placement of an aggregate of 446,358 units (the “Placement Units”) to the Sponsor at a price of $10.00 per Placement Unit, generating total gross proce</w:t>
      </w:r>
      <w:r>
        <w:rPr>
          <w:sz w:val="20"/>
          <w:szCs w:val="20"/>
        </w:rPr>
        <w:t>eds of $4,463,580 (the “Private Placement”). With the exercise of the overallotment, the Company consummated the Private Placement of an additional 4,772 Placement Units to Broad Capital LLC, a Delaware limited liability company (the “Sponsor”), generating</w:t>
      </w:r>
      <w:r>
        <w:rPr>
          <w:sz w:val="20"/>
          <w:szCs w:val="20"/>
        </w:rPr>
        <w:t xml:space="preserve"> gross proceeds of $47,720.</w:t>
      </w:r>
    </w:p>
    <w:p w14:paraId="1215290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50D3ED40"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intend to use substantially all of the funds held in the trust account, including any amounts representing interest earned on the trust account (less deferred underwriting commissions), to complete our initial business combination. We may withdraw interest</w:t>
      </w:r>
      <w:r>
        <w:rPr>
          <w:sz w:val="20"/>
          <w:szCs w:val="20"/>
        </w:rPr>
        <w:t xml:space="preserve"> to pay taxes. We estimate our annual franchise tax obligations, based on the number of shares of our common stock currently authorized and outstanding, to be $200,000, which is the maximum amount of annual franchise taxes payable by us as a Delaware corpo</w:t>
      </w:r>
      <w:r>
        <w:rPr>
          <w:sz w:val="20"/>
          <w:szCs w:val="20"/>
        </w:rPr>
        <w:t>ration per annum, which we may pay from funds from this IPO held outside of the trust account or from interest earned on the funds held in our trust account and released to us for this purpose. Our annual income tax obligations will depend on the amount of</w:t>
      </w:r>
      <w:r>
        <w:rPr>
          <w:sz w:val="20"/>
          <w:szCs w:val="20"/>
        </w:rPr>
        <w:t xml:space="preserve"> interest and other income earned on the amounts held in the trust account. We expect the interest earned on the amount in the trust account will be sufficient to pay our income taxes. To the extent that our capital stock or debt is used, in whole or in pa</w:t>
      </w:r>
      <w:r>
        <w:rPr>
          <w:sz w:val="20"/>
          <w:szCs w:val="20"/>
        </w:rPr>
        <w:t>rt, as consideration to complete our initial business combination, the remaining proceeds held in the trust account will be used as working capital to finance the operations of the target business or businesses, make other acquisitions and pursue our growt</w:t>
      </w:r>
      <w:r>
        <w:rPr>
          <w:sz w:val="20"/>
          <w:szCs w:val="20"/>
        </w:rPr>
        <w:t>h strategies.</w:t>
      </w:r>
    </w:p>
    <w:p w14:paraId="6D4185D1"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DB8603D" w14:textId="77777777">
        <w:trPr>
          <w:divId w:val="1237279382"/>
        </w:trPr>
        <w:tc>
          <w:tcPr>
            <w:tcW w:w="5000" w:type="pct"/>
            <w:hideMark/>
          </w:tcPr>
          <w:p w14:paraId="05B78D67" w14:textId="77777777" w:rsidR="00000000" w:rsidRDefault="007F5353">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1C3BC256" w14:textId="77777777">
        <w:tc>
          <w:tcPr>
            <w:tcW w:w="5000" w:type="pct"/>
            <w:hideMark/>
          </w:tcPr>
          <w:p w14:paraId="5550EA5D" w14:textId="77777777" w:rsidR="00000000" w:rsidRDefault="007F5353">
            <w:pPr>
              <w:jc w:val="center"/>
              <w:rPr>
                <w:rFonts w:eastAsia="Times New Roman"/>
                <w:sz w:val="20"/>
                <w:szCs w:val="20"/>
              </w:rPr>
            </w:pPr>
            <w:r>
              <w:rPr>
                <w:rFonts w:eastAsia="Times New Roman"/>
                <w:sz w:val="20"/>
                <w:szCs w:val="20"/>
              </w:rPr>
              <w:t> </w:t>
            </w:r>
          </w:p>
        </w:tc>
      </w:tr>
    </w:tbl>
    <w:p w14:paraId="3B9B1AD5" w14:textId="77777777" w:rsidR="00000000" w:rsidRDefault="007F5353">
      <w:pPr>
        <w:pStyle w:val="a3"/>
        <w:spacing w:before="0" w:beforeAutospacing="0" w:after="0" w:afterAutospacing="0"/>
        <w:jc w:val="both"/>
        <w:rPr>
          <w:sz w:val="20"/>
          <w:szCs w:val="20"/>
        </w:rPr>
      </w:pPr>
      <w:r>
        <w:rPr>
          <w:sz w:val="20"/>
          <w:szCs w:val="20"/>
        </w:rPr>
        <w:t> </w:t>
      </w:r>
    </w:p>
    <w:p w14:paraId="4861430E" w14:textId="77777777" w:rsidR="00000000" w:rsidRDefault="007F5353">
      <w:pPr>
        <w:pStyle w:val="a3"/>
        <w:shd w:val="clear" w:color="auto" w:fill="FFFFFF"/>
        <w:spacing w:before="0" w:beforeAutospacing="0" w:after="0" w:afterAutospacing="0"/>
        <w:jc w:val="both"/>
        <w:rPr>
          <w:sz w:val="20"/>
          <w:szCs w:val="20"/>
        </w:rPr>
      </w:pPr>
      <w:r>
        <w:rPr>
          <w:sz w:val="20"/>
          <w:szCs w:val="20"/>
        </w:rPr>
        <w:t>Prior to the completion of our initial business combination, we will have available to us the approximately $650,000 of proceeds held outside the trust account. We will use these funds to identify and evaluate target businesses, pe</w:t>
      </w:r>
      <w:r>
        <w:rPr>
          <w:sz w:val="20"/>
          <w:szCs w:val="20"/>
        </w:rPr>
        <w:t>rform business due diligence on prospective target businesses, travel to and from the offices, plants or similar locations of prospective target businesses or their or owners, review corporate documents and material agreements of prospective target busines</w:t>
      </w:r>
      <w:r>
        <w:rPr>
          <w:sz w:val="20"/>
          <w:szCs w:val="20"/>
        </w:rPr>
        <w:t>ses, and structure, negotiate and complete an initial business combination.</w:t>
      </w:r>
    </w:p>
    <w:p w14:paraId="56565C95"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4A2A9A91" w14:textId="77777777" w:rsidR="00000000" w:rsidRDefault="007F5353">
      <w:pPr>
        <w:pStyle w:val="a3"/>
        <w:shd w:val="clear" w:color="auto" w:fill="FFFFFF"/>
        <w:spacing w:before="0" w:beforeAutospacing="0" w:after="0" w:afterAutospacing="0"/>
        <w:jc w:val="both"/>
        <w:rPr>
          <w:sz w:val="20"/>
          <w:szCs w:val="20"/>
        </w:rPr>
      </w:pPr>
      <w:r>
        <w:rPr>
          <w:sz w:val="20"/>
          <w:szCs w:val="20"/>
        </w:rPr>
        <w:t>In order to fund working capital deficiencies or finance transaction costs in connection with an intended initial business combination, our sponsor or an affiliate of our chief e</w:t>
      </w:r>
      <w:r>
        <w:rPr>
          <w:sz w:val="20"/>
          <w:szCs w:val="20"/>
        </w:rPr>
        <w:t>xecutive officer or certain of our officers and directors may, but are not obligated to, loan us funds on a non-interest bearing basis as may be required. If we complete our initial business combination, we will repay such loaned amounts. In the event that</w:t>
      </w:r>
      <w:r>
        <w:rPr>
          <w:sz w:val="20"/>
          <w:szCs w:val="20"/>
        </w:rPr>
        <w:t xml:space="preserve"> our initial business combination does not close, we may use a portion of the working capital held outside the trust account to repay such loaned amounts but no proceeds from our trust account would be used for such repayment.</w:t>
      </w:r>
    </w:p>
    <w:p w14:paraId="5F788FBB"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F2ED7B8" w14:textId="77777777" w:rsidR="00000000" w:rsidRDefault="007F5353">
      <w:pPr>
        <w:pStyle w:val="a3"/>
        <w:shd w:val="clear" w:color="auto" w:fill="FFFFFF"/>
        <w:spacing w:before="0" w:beforeAutospacing="0" w:after="0" w:afterAutospacing="0"/>
        <w:jc w:val="both"/>
        <w:rPr>
          <w:sz w:val="20"/>
          <w:szCs w:val="20"/>
        </w:rPr>
      </w:pPr>
      <w:r>
        <w:rPr>
          <w:sz w:val="20"/>
          <w:szCs w:val="20"/>
        </w:rPr>
        <w:t>Up to $1,500,000 of such lo</w:t>
      </w:r>
      <w:r>
        <w:rPr>
          <w:sz w:val="20"/>
          <w:szCs w:val="20"/>
        </w:rPr>
        <w:t>ans may be convertible into units, at a price of $10.00 per unit at the option of the lender, upon consummation of our initial business combination. The units would be identical to the placement units. Other than as described above, the terms of such loans</w:t>
      </w:r>
      <w:r>
        <w:rPr>
          <w:sz w:val="20"/>
          <w:szCs w:val="20"/>
        </w:rPr>
        <w:t xml:space="preserve"> by our officers and directors, if any, have not been determined and no written agreements exist with respect to such loans. We do not expect to seek loans from parties other than our sponsor or an affiliate of our CEO as we do not believe third parties wi</w:t>
      </w:r>
      <w:r>
        <w:rPr>
          <w:sz w:val="20"/>
          <w:szCs w:val="20"/>
        </w:rPr>
        <w:t>ll be willing to loan such funds and provide a waiver against any and all rights to seek access to funds in our trust account.</w:t>
      </w:r>
    </w:p>
    <w:p w14:paraId="33167F11"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115851F" w14:textId="77777777" w:rsidR="00000000" w:rsidRDefault="007F5353">
      <w:pPr>
        <w:pStyle w:val="a3"/>
        <w:shd w:val="clear" w:color="auto" w:fill="FFFFFF"/>
        <w:spacing w:before="0" w:beforeAutospacing="0" w:after="0" w:afterAutospacing="0"/>
        <w:jc w:val="both"/>
        <w:rPr>
          <w:sz w:val="20"/>
          <w:szCs w:val="20"/>
        </w:rPr>
      </w:pPr>
      <w:r>
        <w:rPr>
          <w:sz w:val="20"/>
          <w:szCs w:val="20"/>
        </w:rPr>
        <w:t>We expect our primary liquidity requirements during the 18-month period subsequent to our IPO to include approximately $390,000</w:t>
      </w:r>
      <w:r>
        <w:rPr>
          <w:sz w:val="20"/>
          <w:szCs w:val="20"/>
        </w:rPr>
        <w:t xml:space="preserve"> for legal, accounting, due diligence, travel and other expenses associated with structuring, negotiating and documenting successful business combinations; $60,000 for legal and accounting fees related to regulatory reporting requirements; $180,000 for off</w:t>
      </w:r>
      <w:r>
        <w:rPr>
          <w:sz w:val="20"/>
          <w:szCs w:val="20"/>
        </w:rPr>
        <w:t>ice space, utilities and secretarial and administrative support; and approximately $20,000 for working capital that will be used for miscellaneous expenses and reserves.</w:t>
      </w:r>
    </w:p>
    <w:p w14:paraId="31A0B6DA"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7D9392B3" w14:textId="77777777" w:rsidR="00000000" w:rsidRDefault="007F5353">
      <w:pPr>
        <w:pStyle w:val="a3"/>
        <w:shd w:val="clear" w:color="auto" w:fill="FFFFFF"/>
        <w:spacing w:before="0" w:beforeAutospacing="0" w:after="0" w:afterAutospacing="0"/>
        <w:jc w:val="both"/>
        <w:rPr>
          <w:sz w:val="20"/>
          <w:szCs w:val="20"/>
        </w:rPr>
      </w:pPr>
      <w:r>
        <w:rPr>
          <w:sz w:val="20"/>
          <w:szCs w:val="20"/>
        </w:rPr>
        <w:t>These amounts are estimates and may differ materially from our actual expenses. In a</w:t>
      </w:r>
      <w:r>
        <w:rPr>
          <w:sz w:val="20"/>
          <w:szCs w:val="20"/>
        </w:rPr>
        <w:t xml:space="preserve">ddition, we could use a portion of the funds not being placed in trust to pay commitment fees for financing, fees to consultants to assist us with our search for a target business or as a down payment or to fund a “no-shop” provision (a provision designed </w:t>
      </w:r>
      <w:r>
        <w:rPr>
          <w:sz w:val="20"/>
          <w:szCs w:val="20"/>
        </w:rPr>
        <w:t>to keep target businesses from “shopping” around for transactions with other companies or investors on terms more favorable to such target businesses) with respect to a particular proposed initial business combination, although we do not have any current i</w:t>
      </w:r>
      <w:r>
        <w:rPr>
          <w:sz w:val="20"/>
          <w:szCs w:val="20"/>
        </w:rPr>
        <w:t>ntention to do so. If we entered into an agreement where we paid for the right to receive exclusivity from a target business, the amount that would be used as a down payment or to fund a “no-shop” provision would be determined based on the terms of the spe</w:t>
      </w:r>
      <w:r>
        <w:rPr>
          <w:sz w:val="20"/>
          <w:szCs w:val="20"/>
        </w:rPr>
        <w:t>cific business combination and the amount of our available funds at the time. Our forfeiture of such funds (whether as a result of our breach or otherwise) could result in our not having sufficient funds to continue searching for, or conducting due diligen</w:t>
      </w:r>
      <w:r>
        <w:rPr>
          <w:sz w:val="20"/>
          <w:szCs w:val="20"/>
        </w:rPr>
        <w:t>ce with respect to, prospective target businesses.</w:t>
      </w:r>
    </w:p>
    <w:p w14:paraId="216FC9A3"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589743F6" w14:textId="77777777" w:rsidR="00000000" w:rsidRDefault="007F5353">
      <w:pPr>
        <w:pStyle w:val="a3"/>
        <w:shd w:val="clear" w:color="auto" w:fill="FFFFFF"/>
        <w:spacing w:before="0" w:beforeAutospacing="0" w:after="0" w:afterAutospacing="0"/>
        <w:jc w:val="both"/>
        <w:rPr>
          <w:sz w:val="20"/>
          <w:szCs w:val="20"/>
        </w:rPr>
      </w:pPr>
      <w:r>
        <w:rPr>
          <w:sz w:val="20"/>
          <w:szCs w:val="20"/>
        </w:rPr>
        <w:t>We do not believe we will need to raise additional funds in order to meet the expenditures required for operating our business. However, if our estimates of the costs of identifying a target business, un</w:t>
      </w:r>
      <w:r>
        <w:rPr>
          <w:sz w:val="20"/>
          <w:szCs w:val="20"/>
        </w:rPr>
        <w:t>dertaking in-depth due diligence and negotiating an initial business combination are less than the actual amount necessary to do so, we may have insufficient funds available to operate our business prior to our initial business combination. Moreover, we ma</w:t>
      </w:r>
      <w:r>
        <w:rPr>
          <w:sz w:val="20"/>
          <w:szCs w:val="20"/>
        </w:rPr>
        <w:t>y need to obtain additional financing either to complete our initial business combination or because we become obligated to redeem a significant number of our public shares upon completion of our initial business combination, in which case we may issue add</w:t>
      </w:r>
      <w:r>
        <w:rPr>
          <w:sz w:val="20"/>
          <w:szCs w:val="20"/>
        </w:rPr>
        <w:t>itional securities or incur debt in connection with such business combination. In addition, we intend to target businesses larger than we could acquire with the net proceeds of the IPO and the sale of the placement units, and may as a result be required to</w:t>
      </w:r>
      <w:r>
        <w:rPr>
          <w:sz w:val="20"/>
          <w:szCs w:val="20"/>
        </w:rPr>
        <w:t xml:space="preserve"> seek additional financing to complete such proposed initial business combination. Subject to compliance with applicable securities laws, we would only complete such financing simultaneously with the completion of our initial business combination. If we ar</w:t>
      </w:r>
      <w:r>
        <w:rPr>
          <w:sz w:val="20"/>
          <w:szCs w:val="20"/>
        </w:rPr>
        <w:t>e unable to complete our initial business combination because we do not have sufficient funds available to us, we will be forced to cease operations and liquidate the trust account. In addition, following our initial business combination, if cash on hand i</w:t>
      </w:r>
      <w:r>
        <w:rPr>
          <w:sz w:val="20"/>
          <w:szCs w:val="20"/>
        </w:rPr>
        <w:t>s insufficient, we may need to obtain additional financing in order to meet our obligations.</w:t>
      </w:r>
    </w:p>
    <w:p w14:paraId="3E1714BA"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7E4D1FA" w14:textId="77777777">
        <w:trPr>
          <w:divId w:val="808329810"/>
        </w:trPr>
        <w:tc>
          <w:tcPr>
            <w:tcW w:w="5000" w:type="pct"/>
            <w:hideMark/>
          </w:tcPr>
          <w:p w14:paraId="1682EDAD" w14:textId="77777777" w:rsidR="00000000" w:rsidRDefault="007F5353">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31A76C12" w14:textId="77777777">
        <w:tc>
          <w:tcPr>
            <w:tcW w:w="5000" w:type="pct"/>
            <w:hideMark/>
          </w:tcPr>
          <w:p w14:paraId="60582C46" w14:textId="77777777" w:rsidR="00000000" w:rsidRDefault="007F5353">
            <w:pPr>
              <w:jc w:val="center"/>
              <w:rPr>
                <w:rFonts w:eastAsia="Times New Roman"/>
                <w:sz w:val="20"/>
                <w:szCs w:val="20"/>
              </w:rPr>
            </w:pPr>
            <w:r>
              <w:rPr>
                <w:rFonts w:eastAsia="Times New Roman"/>
                <w:sz w:val="20"/>
                <w:szCs w:val="20"/>
              </w:rPr>
              <w:t> </w:t>
            </w:r>
          </w:p>
        </w:tc>
      </w:tr>
    </w:tbl>
    <w:p w14:paraId="7EE9C4EE" w14:textId="77777777" w:rsidR="00000000" w:rsidRDefault="007F5353">
      <w:pPr>
        <w:pStyle w:val="a3"/>
        <w:spacing w:before="0" w:beforeAutospacing="0" w:after="0" w:afterAutospacing="0"/>
        <w:jc w:val="both"/>
        <w:rPr>
          <w:sz w:val="20"/>
          <w:szCs w:val="20"/>
        </w:rPr>
      </w:pPr>
      <w:r>
        <w:rPr>
          <w:b/>
          <w:bCs/>
          <w:sz w:val="20"/>
          <w:szCs w:val="20"/>
        </w:rPr>
        <w:t> </w:t>
      </w:r>
    </w:p>
    <w:p w14:paraId="6934C8DB" w14:textId="77777777" w:rsidR="00000000" w:rsidRDefault="007F5353">
      <w:pPr>
        <w:pStyle w:val="a3"/>
        <w:spacing w:before="0" w:beforeAutospacing="0" w:after="0" w:afterAutospacing="0"/>
        <w:jc w:val="both"/>
        <w:rPr>
          <w:sz w:val="20"/>
          <w:szCs w:val="20"/>
        </w:rPr>
      </w:pPr>
      <w:r>
        <w:rPr>
          <w:b/>
          <w:bCs/>
          <w:sz w:val="20"/>
          <w:szCs w:val="20"/>
        </w:rPr>
        <w:t>Going Concern</w:t>
      </w:r>
    </w:p>
    <w:p w14:paraId="290A7711" w14:textId="77777777" w:rsidR="00000000" w:rsidRDefault="007F5353">
      <w:pPr>
        <w:pStyle w:val="a3"/>
        <w:spacing w:before="0" w:beforeAutospacing="0" w:after="0" w:afterAutospacing="0"/>
        <w:jc w:val="both"/>
        <w:rPr>
          <w:sz w:val="20"/>
          <w:szCs w:val="20"/>
        </w:rPr>
      </w:pPr>
      <w:r>
        <w:rPr>
          <w:sz w:val="20"/>
          <w:szCs w:val="20"/>
        </w:rPr>
        <w:t> </w:t>
      </w:r>
    </w:p>
    <w:p w14:paraId="1186842C" w14:textId="77777777" w:rsidR="00000000" w:rsidRDefault="007F5353">
      <w:pPr>
        <w:pStyle w:val="a3"/>
        <w:spacing w:before="0" w:beforeAutospacing="0" w:after="0" w:afterAutospacing="0"/>
        <w:jc w:val="both"/>
        <w:rPr>
          <w:sz w:val="20"/>
          <w:szCs w:val="20"/>
        </w:rPr>
      </w:pPr>
      <w:r>
        <w:rPr>
          <w:sz w:val="20"/>
          <w:szCs w:val="20"/>
        </w:rPr>
        <w:t xml:space="preserve">In </w:t>
      </w:r>
      <w:r>
        <w:rPr>
          <w:sz w:val="20"/>
          <w:szCs w:val="20"/>
        </w:rPr>
        <w:t>connection with our assessment of going concern considerations in accordance with Financial Accounting Standard Board’s Accounting Standards Update (“ASU”) 2014-15, “Disclosures of Uncertainties about an Entity’s Ability to Continue as a Going Concern,” we</w:t>
      </w:r>
      <w:r>
        <w:rPr>
          <w:sz w:val="20"/>
          <w:szCs w:val="20"/>
        </w:rPr>
        <w:t xml:space="preserve"> have until January 13, 2023 to consummate a Business Combination subject to extension to July 13, 2023. It is uncertain that we will be able to consummate a Business Combination by this time. If a Business Combination is not consummated by this date, ther</w:t>
      </w:r>
      <w:r>
        <w:rPr>
          <w:sz w:val="20"/>
          <w:szCs w:val="20"/>
        </w:rPr>
        <w:t xml:space="preserve">e will be a mandatory liquidation and subsequent dissolution. Management has determined that the mandatory liquidation, should a Business Combination not occur, and potential subsequent dissolution raises substantial doubt about our ability to continue as </w:t>
      </w:r>
      <w:r>
        <w:rPr>
          <w:sz w:val="20"/>
          <w:szCs w:val="20"/>
        </w:rPr>
        <w:t>a going concern.</w:t>
      </w:r>
    </w:p>
    <w:p w14:paraId="708939EA" w14:textId="77777777" w:rsidR="00000000" w:rsidRDefault="007F5353">
      <w:pPr>
        <w:pStyle w:val="a3"/>
        <w:spacing w:before="0" w:beforeAutospacing="0" w:after="0" w:afterAutospacing="0"/>
        <w:ind w:firstLine="360"/>
        <w:jc w:val="both"/>
        <w:rPr>
          <w:sz w:val="20"/>
          <w:szCs w:val="20"/>
        </w:rPr>
      </w:pPr>
      <w:r>
        <w:rPr>
          <w:sz w:val="20"/>
          <w:szCs w:val="20"/>
        </w:rPr>
        <w:t> </w:t>
      </w:r>
    </w:p>
    <w:p w14:paraId="5B7FAD1C" w14:textId="77777777" w:rsidR="00000000" w:rsidRDefault="007F5353">
      <w:pPr>
        <w:pStyle w:val="a3"/>
        <w:spacing w:before="0" w:beforeAutospacing="0" w:after="0" w:afterAutospacing="0"/>
        <w:jc w:val="both"/>
        <w:rPr>
          <w:sz w:val="20"/>
          <w:szCs w:val="20"/>
        </w:rPr>
      </w:pPr>
      <w:r>
        <w:rPr>
          <w:b/>
          <w:bCs/>
          <w:sz w:val="20"/>
          <w:szCs w:val="20"/>
        </w:rPr>
        <w:t>Off-Balance Sheet Financing Arrangements</w:t>
      </w:r>
    </w:p>
    <w:p w14:paraId="4C20E29D" w14:textId="77777777" w:rsidR="00000000" w:rsidRDefault="007F5353">
      <w:pPr>
        <w:pStyle w:val="a3"/>
        <w:spacing w:before="0" w:beforeAutospacing="0" w:after="0" w:afterAutospacing="0"/>
        <w:jc w:val="both"/>
        <w:rPr>
          <w:sz w:val="20"/>
          <w:szCs w:val="20"/>
        </w:rPr>
      </w:pPr>
      <w:r>
        <w:rPr>
          <w:sz w:val="20"/>
          <w:szCs w:val="20"/>
        </w:rPr>
        <w:t> </w:t>
      </w:r>
    </w:p>
    <w:p w14:paraId="24A279E7" w14:textId="77777777" w:rsidR="00000000" w:rsidRDefault="007F5353">
      <w:pPr>
        <w:pStyle w:val="a3"/>
        <w:spacing w:before="0" w:beforeAutospacing="0" w:after="0" w:afterAutospacing="0"/>
        <w:jc w:val="both"/>
        <w:rPr>
          <w:sz w:val="20"/>
          <w:szCs w:val="20"/>
        </w:rPr>
      </w:pPr>
      <w:r>
        <w:rPr>
          <w:sz w:val="20"/>
          <w:szCs w:val="20"/>
        </w:rPr>
        <w:t xml:space="preserve">We have no obligations, assets or liabilities, which would be considered off-balance sheet arrangements as of June 30, 2022. We do not participate in transactions that create relationships with </w:t>
      </w:r>
      <w:r>
        <w:rPr>
          <w:sz w:val="20"/>
          <w:szCs w:val="20"/>
        </w:rPr>
        <w:t>unconsolidated entities or financial partnerships, often referred to as variable interest entities, which would have been established for the purpose of facilitating off-balance sheet arrangements. We have not entered into any off-balance sheet financing a</w:t>
      </w:r>
      <w:r>
        <w:rPr>
          <w:sz w:val="20"/>
          <w:szCs w:val="20"/>
        </w:rPr>
        <w:t>rrangements, established any special purpose entities, guaranteed any debt or commitments of other entities, or purchased any non-financial assets.</w:t>
      </w:r>
    </w:p>
    <w:p w14:paraId="082B56BB" w14:textId="77777777" w:rsidR="00000000" w:rsidRDefault="007F5353">
      <w:pPr>
        <w:pStyle w:val="a3"/>
        <w:spacing w:before="0" w:beforeAutospacing="0" w:after="0" w:afterAutospacing="0"/>
        <w:jc w:val="both"/>
        <w:rPr>
          <w:sz w:val="20"/>
          <w:szCs w:val="20"/>
        </w:rPr>
      </w:pPr>
      <w:r>
        <w:rPr>
          <w:sz w:val="20"/>
          <w:szCs w:val="20"/>
        </w:rPr>
        <w:t> </w:t>
      </w:r>
    </w:p>
    <w:p w14:paraId="01AB062D" w14:textId="77777777" w:rsidR="00000000" w:rsidRDefault="007F5353">
      <w:pPr>
        <w:pStyle w:val="a3"/>
        <w:spacing w:before="0" w:beforeAutospacing="0" w:after="0" w:afterAutospacing="0"/>
        <w:jc w:val="both"/>
        <w:rPr>
          <w:sz w:val="20"/>
          <w:szCs w:val="20"/>
        </w:rPr>
      </w:pPr>
      <w:r>
        <w:rPr>
          <w:b/>
          <w:bCs/>
          <w:sz w:val="20"/>
          <w:szCs w:val="20"/>
        </w:rPr>
        <w:t>Contractual Obligations</w:t>
      </w:r>
    </w:p>
    <w:p w14:paraId="19188F58" w14:textId="77777777" w:rsidR="00000000" w:rsidRDefault="007F5353">
      <w:pPr>
        <w:pStyle w:val="a3"/>
        <w:spacing w:before="0" w:beforeAutospacing="0" w:after="0" w:afterAutospacing="0"/>
        <w:jc w:val="both"/>
        <w:rPr>
          <w:sz w:val="20"/>
          <w:szCs w:val="20"/>
        </w:rPr>
      </w:pPr>
      <w:r>
        <w:rPr>
          <w:sz w:val="20"/>
          <w:szCs w:val="20"/>
        </w:rPr>
        <w:t> </w:t>
      </w:r>
    </w:p>
    <w:p w14:paraId="5E3FCFC7" w14:textId="77777777" w:rsidR="00000000" w:rsidRDefault="007F5353">
      <w:pPr>
        <w:pStyle w:val="a3"/>
        <w:spacing w:before="0" w:beforeAutospacing="0" w:after="0" w:afterAutospacing="0"/>
        <w:jc w:val="both"/>
        <w:rPr>
          <w:sz w:val="20"/>
          <w:szCs w:val="20"/>
        </w:rPr>
      </w:pPr>
      <w:r>
        <w:rPr>
          <w:sz w:val="20"/>
          <w:szCs w:val="20"/>
        </w:rPr>
        <w:t>We do not have any long-term debt, capital lease obligations, operating lease ob</w:t>
      </w:r>
      <w:r>
        <w:rPr>
          <w:sz w:val="20"/>
          <w:szCs w:val="20"/>
        </w:rPr>
        <w:t>ligations or long-term liabilities, other than an agreement to pay an affiliate of our Sponsor a monthly fee of $10,000 for office space, utilities and administrative support provided to the Company. We began incurring these fees on January 13, 2022 and wi</w:t>
      </w:r>
      <w:r>
        <w:rPr>
          <w:sz w:val="20"/>
          <w:szCs w:val="20"/>
        </w:rPr>
        <w:t xml:space="preserve">ll continue to incur these fees monthly until the earlier of the completion of the initial Business Combination and the Company’s liquidation. For the period April 16, 2021 (inception) through June 30, 2022, $50,000 of expense was recorded and included in </w:t>
      </w:r>
      <w:r>
        <w:rPr>
          <w:sz w:val="20"/>
          <w:szCs w:val="20"/>
        </w:rPr>
        <w:t>formation and operating costs in the statement of operations.</w:t>
      </w:r>
    </w:p>
    <w:p w14:paraId="5112E799" w14:textId="77777777" w:rsidR="00000000" w:rsidRDefault="007F5353">
      <w:pPr>
        <w:pStyle w:val="a3"/>
        <w:spacing w:before="0" w:beforeAutospacing="0" w:after="0" w:afterAutospacing="0"/>
        <w:jc w:val="both"/>
        <w:rPr>
          <w:sz w:val="20"/>
          <w:szCs w:val="20"/>
        </w:rPr>
      </w:pPr>
      <w:r>
        <w:rPr>
          <w:sz w:val="20"/>
          <w:szCs w:val="20"/>
        </w:rPr>
        <w:t> </w:t>
      </w:r>
    </w:p>
    <w:p w14:paraId="5D4BBE68" w14:textId="77777777" w:rsidR="00000000" w:rsidRDefault="007F5353">
      <w:pPr>
        <w:pStyle w:val="a3"/>
        <w:spacing w:before="0" w:beforeAutospacing="0" w:after="0" w:afterAutospacing="0"/>
        <w:jc w:val="both"/>
        <w:rPr>
          <w:sz w:val="20"/>
          <w:szCs w:val="20"/>
        </w:rPr>
      </w:pPr>
      <w:r>
        <w:rPr>
          <w:sz w:val="20"/>
          <w:szCs w:val="20"/>
        </w:rPr>
        <w:t>The underwriter is entitled to deferred commissions of $3,555,674 from the Units sold in the Initial Public Offering. The deferred commissions will become payable to the underwriter from the a</w:t>
      </w:r>
      <w:r>
        <w:rPr>
          <w:sz w:val="20"/>
          <w:szCs w:val="20"/>
        </w:rPr>
        <w:t>mounts held in the Trust Account solely in the event that we complete a Business Combination, subject to the terms of the underwriting agreement.</w:t>
      </w:r>
    </w:p>
    <w:p w14:paraId="3DD49637" w14:textId="77777777" w:rsidR="00000000" w:rsidRDefault="007F5353">
      <w:pPr>
        <w:pStyle w:val="a3"/>
        <w:spacing w:before="0" w:beforeAutospacing="0" w:after="0" w:afterAutospacing="0"/>
        <w:jc w:val="both"/>
        <w:rPr>
          <w:sz w:val="20"/>
          <w:szCs w:val="20"/>
        </w:rPr>
      </w:pPr>
      <w:r>
        <w:rPr>
          <w:sz w:val="20"/>
          <w:szCs w:val="20"/>
        </w:rPr>
        <w:t> </w:t>
      </w:r>
    </w:p>
    <w:p w14:paraId="1F938E2E" w14:textId="77777777" w:rsidR="00000000" w:rsidRDefault="007F5353">
      <w:pPr>
        <w:pStyle w:val="a3"/>
        <w:spacing w:before="0" w:beforeAutospacing="0" w:after="0" w:afterAutospacing="0"/>
        <w:jc w:val="both"/>
        <w:rPr>
          <w:sz w:val="20"/>
          <w:szCs w:val="20"/>
        </w:rPr>
      </w:pPr>
      <w:r>
        <w:rPr>
          <w:b/>
          <w:bCs/>
          <w:sz w:val="20"/>
          <w:szCs w:val="20"/>
        </w:rPr>
        <w:t>Critical Accounting Policies</w:t>
      </w:r>
    </w:p>
    <w:p w14:paraId="7AC23826" w14:textId="77777777" w:rsidR="00000000" w:rsidRDefault="007F5353">
      <w:pPr>
        <w:pStyle w:val="a3"/>
        <w:spacing w:before="0" w:beforeAutospacing="0" w:after="0" w:afterAutospacing="0"/>
        <w:jc w:val="both"/>
        <w:rPr>
          <w:sz w:val="20"/>
          <w:szCs w:val="20"/>
        </w:rPr>
      </w:pPr>
      <w:r>
        <w:rPr>
          <w:sz w:val="20"/>
          <w:szCs w:val="20"/>
        </w:rPr>
        <w:t xml:space="preserve">The </w:t>
      </w:r>
      <w:r>
        <w:rPr>
          <w:sz w:val="20"/>
          <w:szCs w:val="20"/>
        </w:rPr>
        <w:t>preparation of financial statements and related disclosures in conformity with accounting principles generally accepted in the United States of America requires management to make estimates and assumptions that affect the reported amounts of assets and lia</w:t>
      </w:r>
      <w:r>
        <w:rPr>
          <w:sz w:val="20"/>
          <w:szCs w:val="20"/>
        </w:rPr>
        <w:t>bilities, disclosure of contingent assets and liabilities at the date of the financial statements, and income and expenses during the periods reported. Actual results could materially differ from those estimates. We have not identified any critical account</w:t>
      </w:r>
      <w:r>
        <w:rPr>
          <w:sz w:val="20"/>
          <w:szCs w:val="20"/>
        </w:rPr>
        <w:t>ing policies</w:t>
      </w:r>
    </w:p>
    <w:p w14:paraId="07F107EA" w14:textId="77777777" w:rsidR="00000000" w:rsidRDefault="007F5353">
      <w:pPr>
        <w:pStyle w:val="a3"/>
        <w:spacing w:before="0" w:beforeAutospacing="0" w:after="0" w:afterAutospacing="0"/>
        <w:jc w:val="both"/>
        <w:rPr>
          <w:sz w:val="20"/>
          <w:szCs w:val="20"/>
        </w:rPr>
      </w:pPr>
      <w:r>
        <w:rPr>
          <w:sz w:val="20"/>
          <w:szCs w:val="20"/>
        </w:rPr>
        <w:t> </w:t>
      </w:r>
    </w:p>
    <w:p w14:paraId="44C94418" w14:textId="77777777" w:rsidR="00000000" w:rsidRDefault="007F5353">
      <w:pPr>
        <w:pStyle w:val="a3"/>
        <w:spacing w:before="0" w:beforeAutospacing="0" w:after="0" w:afterAutospacing="0"/>
        <w:jc w:val="both"/>
        <w:rPr>
          <w:sz w:val="20"/>
          <w:szCs w:val="20"/>
        </w:rPr>
      </w:pPr>
      <w:r>
        <w:rPr>
          <w:b/>
          <w:bCs/>
          <w:sz w:val="20"/>
          <w:szCs w:val="20"/>
        </w:rPr>
        <w:t>Recent Accounting Pronouncements</w:t>
      </w:r>
    </w:p>
    <w:p w14:paraId="78462D60" w14:textId="77777777" w:rsidR="00000000" w:rsidRDefault="007F5353">
      <w:pPr>
        <w:pStyle w:val="a3"/>
        <w:spacing w:before="0" w:beforeAutospacing="0" w:after="0" w:afterAutospacing="0"/>
        <w:jc w:val="both"/>
        <w:rPr>
          <w:sz w:val="20"/>
          <w:szCs w:val="20"/>
        </w:rPr>
      </w:pPr>
      <w:r>
        <w:rPr>
          <w:sz w:val="20"/>
          <w:szCs w:val="20"/>
        </w:rPr>
        <w:t> </w:t>
      </w:r>
    </w:p>
    <w:p w14:paraId="3747A1DA" w14:textId="77777777" w:rsidR="00000000" w:rsidRDefault="007F5353">
      <w:pPr>
        <w:pStyle w:val="a3"/>
        <w:spacing w:before="0" w:beforeAutospacing="0" w:after="0" w:afterAutospacing="0"/>
        <w:jc w:val="both"/>
        <w:rPr>
          <w:sz w:val="20"/>
          <w:szCs w:val="20"/>
        </w:rPr>
      </w:pPr>
      <w:r>
        <w:rPr>
          <w:sz w:val="20"/>
          <w:szCs w:val="20"/>
        </w:rPr>
        <w:t>Management does not believe that any recently issued, but not yet effective, accounting pronouncements, if currently adopted, would have a material effect on our condensed consolidated financial statements.</w:t>
      </w:r>
    </w:p>
    <w:p w14:paraId="52190A47" w14:textId="77777777" w:rsidR="00000000" w:rsidRDefault="007F5353">
      <w:pPr>
        <w:pStyle w:val="a3"/>
        <w:spacing w:before="0" w:beforeAutospacing="0" w:after="0" w:afterAutospacing="0"/>
        <w:jc w:val="both"/>
        <w:rPr>
          <w:sz w:val="20"/>
          <w:szCs w:val="20"/>
        </w:rPr>
      </w:pPr>
      <w:r>
        <w:rPr>
          <w:b/>
          <w:bCs/>
          <w:sz w:val="20"/>
          <w:szCs w:val="20"/>
        </w:rPr>
        <w:t> </w:t>
      </w:r>
    </w:p>
    <w:p w14:paraId="25AC16B8" w14:textId="77777777" w:rsidR="00000000" w:rsidRDefault="007F5353">
      <w:pPr>
        <w:pStyle w:val="a3"/>
        <w:spacing w:before="0" w:beforeAutospacing="0" w:after="0" w:afterAutospacing="0"/>
        <w:jc w:val="both"/>
        <w:rPr>
          <w:sz w:val="20"/>
          <w:szCs w:val="20"/>
        </w:rPr>
      </w:pPr>
      <w:r>
        <w:rPr>
          <w:b/>
          <w:bCs/>
          <w:sz w:val="20"/>
          <w:szCs w:val="20"/>
        </w:rPr>
        <w:t>ITEM 3. QUANTITATIVE AND QUALITATIVE DISCLOSURES ABOUT MARKET RISK</w:t>
      </w:r>
    </w:p>
    <w:p w14:paraId="55F04AEA" w14:textId="77777777" w:rsidR="00000000" w:rsidRDefault="007F5353">
      <w:pPr>
        <w:pStyle w:val="a3"/>
        <w:spacing w:before="0" w:beforeAutospacing="0" w:after="0" w:afterAutospacing="0"/>
        <w:jc w:val="both"/>
        <w:rPr>
          <w:sz w:val="20"/>
          <w:szCs w:val="20"/>
        </w:rPr>
      </w:pPr>
      <w:r>
        <w:rPr>
          <w:b/>
          <w:bCs/>
          <w:sz w:val="20"/>
          <w:szCs w:val="20"/>
        </w:rPr>
        <w:t> </w:t>
      </w:r>
    </w:p>
    <w:p w14:paraId="7E76C414" w14:textId="77777777" w:rsidR="00000000" w:rsidRDefault="007F5353">
      <w:pPr>
        <w:pStyle w:val="a3"/>
        <w:spacing w:before="0" w:beforeAutospacing="0" w:after="0" w:afterAutospacing="0"/>
        <w:jc w:val="both"/>
        <w:rPr>
          <w:sz w:val="20"/>
          <w:szCs w:val="20"/>
        </w:rPr>
      </w:pPr>
      <w:r>
        <w:rPr>
          <w:sz w:val="20"/>
          <w:szCs w:val="20"/>
        </w:rPr>
        <w:t>Following the consummation of our Initial Public Offering, the net proceeds of our Initial Public Offering, including amounts in the Trust Account, have been invested in U.S. governmen</w:t>
      </w:r>
      <w:r>
        <w:rPr>
          <w:sz w:val="20"/>
          <w:szCs w:val="20"/>
        </w:rPr>
        <w:t>t treasury bills, notes or bonds with a maturity of 185 days or less or in certain money market funds that invest solely in US treasuries. Due to the short-term nature of these investments, we do not believe that there will be an associated material exposu</w:t>
      </w:r>
      <w:r>
        <w:rPr>
          <w:sz w:val="20"/>
          <w:szCs w:val="20"/>
        </w:rPr>
        <w:t>re to interest rate risk.</w:t>
      </w:r>
    </w:p>
    <w:p w14:paraId="2D4D21A3" w14:textId="77777777" w:rsidR="00000000" w:rsidRDefault="007F5353">
      <w:pPr>
        <w:pStyle w:val="a3"/>
        <w:spacing w:before="0" w:beforeAutospacing="0" w:after="0" w:afterAutospacing="0"/>
        <w:jc w:val="both"/>
        <w:rPr>
          <w:sz w:val="20"/>
          <w:szCs w:val="20"/>
        </w:rPr>
      </w:pPr>
      <w:r>
        <w:rPr>
          <w:sz w:val="20"/>
          <w:szCs w:val="20"/>
        </w:rPr>
        <w:t> </w:t>
      </w:r>
    </w:p>
    <w:p w14:paraId="03103320" w14:textId="77777777" w:rsidR="00000000" w:rsidRDefault="007F5353">
      <w:pPr>
        <w:pStyle w:val="a3"/>
        <w:spacing w:before="0" w:beforeAutospacing="0" w:after="0" w:afterAutospacing="0"/>
        <w:jc w:val="both"/>
        <w:rPr>
          <w:sz w:val="20"/>
          <w:szCs w:val="20"/>
        </w:rPr>
      </w:pPr>
      <w:r>
        <w:rPr>
          <w:b/>
          <w:bCs/>
          <w:sz w:val="20"/>
          <w:szCs w:val="20"/>
        </w:rPr>
        <w:t>ITEM 4. CONTROLS AND PROCEDURES</w:t>
      </w:r>
    </w:p>
    <w:p w14:paraId="1F85FBFD" w14:textId="77777777" w:rsidR="00000000" w:rsidRDefault="007F5353">
      <w:pPr>
        <w:pStyle w:val="a3"/>
        <w:spacing w:before="0" w:beforeAutospacing="0" w:after="0" w:afterAutospacing="0"/>
        <w:jc w:val="both"/>
        <w:rPr>
          <w:sz w:val="20"/>
          <w:szCs w:val="20"/>
        </w:rPr>
      </w:pPr>
      <w:r>
        <w:rPr>
          <w:b/>
          <w:bCs/>
          <w:sz w:val="20"/>
          <w:szCs w:val="20"/>
        </w:rPr>
        <w:t> </w:t>
      </w:r>
    </w:p>
    <w:p w14:paraId="7220D693" w14:textId="77777777" w:rsidR="00000000" w:rsidRDefault="007F5353">
      <w:pPr>
        <w:pStyle w:val="a3"/>
        <w:shd w:val="clear" w:color="auto" w:fill="FFFFFF"/>
        <w:spacing w:before="0" w:beforeAutospacing="0" w:after="0" w:afterAutospacing="0"/>
        <w:jc w:val="both"/>
        <w:rPr>
          <w:sz w:val="20"/>
          <w:szCs w:val="20"/>
        </w:rPr>
      </w:pPr>
      <w:r>
        <w:rPr>
          <w:sz w:val="20"/>
          <w:szCs w:val="20"/>
        </w:rPr>
        <w:t>Disclosure controls and procedures are controls and other procedures that are designed to ensure that information required to be disclosed in our reports filed or submitted under the Exchange Ac</w:t>
      </w:r>
      <w:r>
        <w:rPr>
          <w:sz w:val="20"/>
          <w:szCs w:val="20"/>
        </w:rPr>
        <w:t>t is recorded, processed, summarized and reported within the time periods specified in the SEC’s rules and forms. Disclosure controls and procedures include, without limitation, controls and procedures designed to ensure that information required to be dis</w:t>
      </w:r>
      <w:r>
        <w:rPr>
          <w:sz w:val="20"/>
          <w:szCs w:val="20"/>
        </w:rPr>
        <w:t>closed in our reports filed or submitted under the Exchange Act is accumulated and communicated to our management, including our Chief Executive Officer, to allow timely decisions regarding required disclosure.</w:t>
      </w:r>
    </w:p>
    <w:p w14:paraId="70D4C90C"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916097D" w14:textId="77777777">
        <w:trPr>
          <w:divId w:val="1039664080"/>
        </w:trPr>
        <w:tc>
          <w:tcPr>
            <w:tcW w:w="5000" w:type="pct"/>
            <w:hideMark/>
          </w:tcPr>
          <w:p w14:paraId="2E31D71C" w14:textId="77777777" w:rsidR="00000000" w:rsidRDefault="007F5353">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04E46C50" w14:textId="77777777">
        <w:tc>
          <w:tcPr>
            <w:tcW w:w="5000" w:type="pct"/>
            <w:hideMark/>
          </w:tcPr>
          <w:p w14:paraId="6D76E2B7" w14:textId="77777777" w:rsidR="00000000" w:rsidRDefault="007F5353">
            <w:pPr>
              <w:jc w:val="center"/>
              <w:rPr>
                <w:rFonts w:eastAsia="Times New Roman"/>
                <w:sz w:val="20"/>
                <w:szCs w:val="20"/>
              </w:rPr>
            </w:pPr>
            <w:r>
              <w:rPr>
                <w:rFonts w:eastAsia="Times New Roman"/>
                <w:sz w:val="20"/>
                <w:szCs w:val="20"/>
              </w:rPr>
              <w:t> </w:t>
            </w:r>
          </w:p>
        </w:tc>
      </w:tr>
    </w:tbl>
    <w:p w14:paraId="4A1BE6D8"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B73C5A3" w14:textId="77777777" w:rsidR="00000000" w:rsidRDefault="007F5353">
      <w:pPr>
        <w:pStyle w:val="a3"/>
        <w:shd w:val="clear" w:color="auto" w:fill="FFFFFF"/>
        <w:spacing w:before="0" w:beforeAutospacing="0" w:after="0" w:afterAutospacing="0"/>
        <w:jc w:val="both"/>
        <w:rPr>
          <w:sz w:val="20"/>
          <w:szCs w:val="20"/>
        </w:rPr>
      </w:pPr>
      <w:r>
        <w:rPr>
          <w:i/>
          <w:iCs/>
          <w:sz w:val="20"/>
          <w:szCs w:val="20"/>
        </w:rPr>
        <w:t xml:space="preserve">Evaluation </w:t>
      </w:r>
      <w:r>
        <w:rPr>
          <w:i/>
          <w:iCs/>
          <w:sz w:val="20"/>
          <w:szCs w:val="20"/>
        </w:rPr>
        <w:t>of Disclosure Controls and Procedures</w:t>
      </w:r>
    </w:p>
    <w:p w14:paraId="1371B78A"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C9ADAE3" w14:textId="77777777" w:rsidR="00000000" w:rsidRDefault="007F5353">
      <w:pPr>
        <w:pStyle w:val="a3"/>
        <w:shd w:val="clear" w:color="auto" w:fill="FFFFFF"/>
        <w:spacing w:before="0" w:beforeAutospacing="0" w:after="0" w:afterAutospacing="0"/>
        <w:jc w:val="both"/>
        <w:rPr>
          <w:sz w:val="20"/>
          <w:szCs w:val="20"/>
        </w:rPr>
      </w:pPr>
      <w:r>
        <w:rPr>
          <w:sz w:val="20"/>
          <w:szCs w:val="20"/>
        </w:rPr>
        <w:t>Disclosure controls and procedures are designed to ensure that information required to be disclosed by us in our Exchange Act reports is recorded, processed, summarized, and reported within the time periods specified</w:t>
      </w:r>
      <w:r>
        <w:rPr>
          <w:sz w:val="20"/>
          <w:szCs w:val="20"/>
        </w:rPr>
        <w:t xml:space="preserve"> in the SEC’s rules and forms, and that such information is accumulated and communicated to our management, including our principal executive officer and principal financial officer or persons performing similar functions, as appropriate to allow timely de</w:t>
      </w:r>
      <w:r>
        <w:rPr>
          <w:sz w:val="20"/>
          <w:szCs w:val="20"/>
        </w:rPr>
        <w:t>cisions regarding required disclosure.</w:t>
      </w:r>
    </w:p>
    <w:p w14:paraId="2BCC0152"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4C5B6BDF" w14:textId="77777777" w:rsidR="00000000" w:rsidRDefault="007F5353">
      <w:pPr>
        <w:pStyle w:val="a3"/>
        <w:shd w:val="clear" w:color="auto" w:fill="FFFFFF"/>
        <w:spacing w:before="0" w:beforeAutospacing="0" w:after="0" w:afterAutospacing="0"/>
        <w:jc w:val="both"/>
        <w:rPr>
          <w:sz w:val="20"/>
          <w:szCs w:val="20"/>
        </w:rPr>
      </w:pPr>
      <w:r>
        <w:rPr>
          <w:sz w:val="20"/>
          <w:szCs w:val="20"/>
        </w:rPr>
        <w:t>Under the supervision and with the participation of our management, including our principal executive officer and principal financial and accounting officer, we conducted an evaluation of the effectiveness of our di</w:t>
      </w:r>
      <w:r>
        <w:rPr>
          <w:sz w:val="20"/>
          <w:szCs w:val="20"/>
        </w:rPr>
        <w:t>sclosure controls and procedures as of the end of the fiscal quarter ended June 30, 2022, as such term is defined in Rules 13a-15(e) and 15d-15(e) under the Exchange Act. Based on this evaluation, our principal executive officer and principal financial and</w:t>
      </w:r>
      <w:r>
        <w:rPr>
          <w:sz w:val="20"/>
          <w:szCs w:val="20"/>
        </w:rPr>
        <w:t xml:space="preserve"> accounting officer have concluded that during the period covered by this report, our disclosure controls and procedures were not effective at a reasonable assurance level and, accordingly, provided reasonable assurance that the information required to be </w:t>
      </w:r>
      <w:r>
        <w:rPr>
          <w:sz w:val="20"/>
          <w:szCs w:val="20"/>
        </w:rPr>
        <w:t>disclosed by us in reports filed under the Exchange Act is recorded, processed, summarized and reported within the time periods specified in the SEC’s rules and forms.</w:t>
      </w:r>
    </w:p>
    <w:p w14:paraId="6A4635FB"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291D493" w14:textId="77777777" w:rsidR="00000000" w:rsidRDefault="007F5353">
      <w:pPr>
        <w:pStyle w:val="a3"/>
        <w:shd w:val="clear" w:color="auto" w:fill="FFFFFF"/>
        <w:spacing w:before="0" w:beforeAutospacing="0" w:after="0" w:afterAutospacing="0"/>
        <w:jc w:val="both"/>
        <w:rPr>
          <w:sz w:val="20"/>
          <w:szCs w:val="20"/>
        </w:rPr>
      </w:pPr>
      <w:r>
        <w:rPr>
          <w:i/>
          <w:iCs/>
          <w:sz w:val="20"/>
          <w:szCs w:val="20"/>
        </w:rPr>
        <w:t>Changes in Internal Control over Financial Reporting</w:t>
      </w:r>
    </w:p>
    <w:p w14:paraId="4F94BE94"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18600FEE" w14:textId="77777777" w:rsidR="00000000" w:rsidRDefault="007F5353">
      <w:pPr>
        <w:pStyle w:val="a3"/>
        <w:shd w:val="clear" w:color="auto" w:fill="FFFFFF"/>
        <w:spacing w:before="0" w:beforeAutospacing="0" w:after="0" w:afterAutospacing="0"/>
        <w:jc w:val="both"/>
        <w:rPr>
          <w:sz w:val="20"/>
          <w:szCs w:val="20"/>
        </w:rPr>
      </w:pPr>
      <w:r>
        <w:rPr>
          <w:sz w:val="20"/>
          <w:szCs w:val="20"/>
        </w:rPr>
        <w:t>During the most recently comple</w:t>
      </w:r>
      <w:r>
        <w:rPr>
          <w:sz w:val="20"/>
          <w:szCs w:val="20"/>
        </w:rPr>
        <w:t>ted fiscal quarter ended June 30, 2022, there was no change in our internal control over financial reporting that has materially affected, or is reasonably likely to materially affect, our internal control over financial reporting.</w:t>
      </w:r>
    </w:p>
    <w:p w14:paraId="384FE0F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6B767D2E" w14:textId="77777777" w:rsidR="00000000" w:rsidRDefault="007F5353">
      <w:pPr>
        <w:pStyle w:val="a3"/>
        <w:shd w:val="clear" w:color="auto" w:fill="FFFFFF"/>
        <w:spacing w:before="0" w:beforeAutospacing="0" w:after="0" w:afterAutospacing="0"/>
        <w:jc w:val="center"/>
        <w:rPr>
          <w:sz w:val="20"/>
          <w:szCs w:val="20"/>
        </w:rPr>
      </w:pPr>
      <w:r>
        <w:rPr>
          <w:b/>
          <w:bCs/>
          <w:sz w:val="20"/>
          <w:szCs w:val="20"/>
          <w:shd w:val="clear" w:color="auto" w:fill="FFFFFF"/>
        </w:rPr>
        <w:t>PART II - OTHER INFORM</w:t>
      </w:r>
      <w:r>
        <w:rPr>
          <w:b/>
          <w:bCs/>
          <w:sz w:val="20"/>
          <w:szCs w:val="20"/>
          <w:shd w:val="clear" w:color="auto" w:fill="FFFFFF"/>
        </w:rPr>
        <w:t>ATION</w:t>
      </w:r>
    </w:p>
    <w:p w14:paraId="3BAD4DEA"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292DBC2" w14:textId="77777777" w:rsidR="00000000" w:rsidRDefault="007F5353">
      <w:pPr>
        <w:pStyle w:val="a3"/>
        <w:shd w:val="clear" w:color="auto" w:fill="FFFFFF"/>
        <w:spacing w:before="0" w:beforeAutospacing="0" w:after="0" w:afterAutospacing="0"/>
        <w:jc w:val="both"/>
        <w:rPr>
          <w:sz w:val="20"/>
          <w:szCs w:val="20"/>
        </w:rPr>
      </w:pPr>
      <w:r>
        <w:rPr>
          <w:b/>
          <w:bCs/>
          <w:sz w:val="20"/>
          <w:szCs w:val="20"/>
        </w:rPr>
        <w:t>Item 1. Legal Proceedings</w:t>
      </w:r>
    </w:p>
    <w:p w14:paraId="57055B78"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392FB11" w14:textId="77777777" w:rsidR="00000000" w:rsidRDefault="007F5353">
      <w:pPr>
        <w:pStyle w:val="a3"/>
        <w:shd w:val="clear" w:color="auto" w:fill="FFFFFF"/>
        <w:spacing w:before="0" w:beforeAutospacing="0" w:after="0" w:afterAutospacing="0"/>
        <w:jc w:val="both"/>
        <w:rPr>
          <w:sz w:val="20"/>
          <w:szCs w:val="20"/>
        </w:rPr>
      </w:pPr>
      <w:r>
        <w:rPr>
          <w:sz w:val="20"/>
          <w:szCs w:val="20"/>
        </w:rPr>
        <w:t>None.</w:t>
      </w:r>
    </w:p>
    <w:p w14:paraId="38B677F2"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4B243E4E" w14:textId="77777777" w:rsidR="00000000" w:rsidRDefault="007F5353">
      <w:pPr>
        <w:pStyle w:val="a3"/>
        <w:shd w:val="clear" w:color="auto" w:fill="FFFFFF"/>
        <w:spacing w:before="0" w:beforeAutospacing="0" w:after="0" w:afterAutospacing="0"/>
        <w:jc w:val="both"/>
        <w:rPr>
          <w:sz w:val="20"/>
          <w:szCs w:val="20"/>
        </w:rPr>
      </w:pPr>
      <w:r>
        <w:rPr>
          <w:b/>
          <w:bCs/>
          <w:sz w:val="20"/>
          <w:szCs w:val="20"/>
        </w:rPr>
        <w:t>Item 1A. Risk Factors</w:t>
      </w:r>
    </w:p>
    <w:p w14:paraId="48770370"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18CBB602"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of the date of this Quarterly Report on Form 10-Q, there have been no material changes to the risk factors disclosed in our final prospectus dated January 10, 2022 filed with the SEC, except we may disclose changes to such factors or disclose additional fa</w:t>
      </w:r>
      <w:r>
        <w:rPr>
          <w:sz w:val="20"/>
          <w:szCs w:val="20"/>
        </w:rPr>
        <w:t>ctors from time to time in our future filings with the SEC. Any of these factors could result in a significant or material adverse effect on our results of operations or financial condition. Additional risk factors not presently known to us or that we curr</w:t>
      </w:r>
      <w:r>
        <w:rPr>
          <w:sz w:val="20"/>
          <w:szCs w:val="20"/>
        </w:rPr>
        <w:t>ently deem immaterial may also impair our business or results of operations.</w:t>
      </w:r>
    </w:p>
    <w:p w14:paraId="5A1227CB"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58D7203" w14:textId="77777777" w:rsidR="00000000" w:rsidRDefault="007F5353">
      <w:pPr>
        <w:pStyle w:val="a3"/>
        <w:shd w:val="clear" w:color="auto" w:fill="FFFFFF"/>
        <w:spacing w:before="0" w:beforeAutospacing="0" w:after="0" w:afterAutospacing="0"/>
        <w:jc w:val="both"/>
        <w:rPr>
          <w:sz w:val="20"/>
          <w:szCs w:val="20"/>
        </w:rPr>
      </w:pPr>
      <w:r>
        <w:rPr>
          <w:b/>
          <w:bCs/>
          <w:sz w:val="20"/>
          <w:szCs w:val="20"/>
        </w:rPr>
        <w:t>Item 2. Unregistered Sale of Equity Securities and Use of Proceeds.</w:t>
      </w:r>
    </w:p>
    <w:p w14:paraId="1E5B99B6"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3B248C92" w14:textId="77777777" w:rsidR="00000000" w:rsidRDefault="007F5353">
      <w:pPr>
        <w:pStyle w:val="a3"/>
        <w:shd w:val="clear" w:color="auto" w:fill="FFFFFF"/>
        <w:spacing w:before="0" w:beforeAutospacing="0" w:after="0" w:afterAutospacing="0"/>
        <w:jc w:val="both"/>
        <w:rPr>
          <w:sz w:val="20"/>
          <w:szCs w:val="20"/>
        </w:rPr>
      </w:pPr>
      <w:r>
        <w:rPr>
          <w:i/>
          <w:iCs/>
          <w:sz w:val="20"/>
          <w:szCs w:val="20"/>
        </w:rPr>
        <w:t>Unregistered Sales of Equity Securities</w:t>
      </w:r>
    </w:p>
    <w:p w14:paraId="04319263"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7CC98F2B"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January 13, 2022, simultaneously with the consummation of the closing of the Initial Public Offering, the Company consummated the private placement of an aggregate of 446,358 units (the “Private Placement Units”) to Broad Capital LLC, the sponsor of the Co</w:t>
      </w:r>
      <w:r>
        <w:rPr>
          <w:sz w:val="20"/>
          <w:szCs w:val="20"/>
        </w:rPr>
        <w:t>mpany (the “Sponsor”), at a price of $10.00 per Private Placement Unit, generating total gross proceeds of $4,463,580 (the “Private Placement”). On February 10, 2022, the underwriters partially exercised the over-allotment option and purchased an additiona</w:t>
      </w:r>
      <w:r>
        <w:rPr>
          <w:sz w:val="20"/>
          <w:szCs w:val="20"/>
        </w:rPr>
        <w:t>l 159,069 Units, generating gross proceeds of $1,590,690 and forfeited the remainder of the option, which is 335,233 shares of common stock. The issuance of the Private Placement Units was made pursuant to the exemption from registration contained in Secti</w:t>
      </w:r>
      <w:r>
        <w:rPr>
          <w:sz w:val="20"/>
          <w:szCs w:val="20"/>
        </w:rPr>
        <w:t>on 4(a)(2) of the Securities Act. With the exercise of the overallotment, the Company consummated the Private Placement of an additional 4,772 Placement Units to Broad Capital LLC, a Delaware limited liability company (the “Sponsor”), generating gross proc</w:t>
      </w:r>
      <w:r>
        <w:rPr>
          <w:sz w:val="20"/>
          <w:szCs w:val="20"/>
        </w:rPr>
        <w:t>eeds of $47,720.</w:t>
      </w:r>
    </w:p>
    <w:p w14:paraId="5B864F18"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775691E" w14:textId="77777777">
        <w:trPr>
          <w:divId w:val="1157572736"/>
        </w:trPr>
        <w:tc>
          <w:tcPr>
            <w:tcW w:w="5000" w:type="pct"/>
            <w:hideMark/>
          </w:tcPr>
          <w:p w14:paraId="4A9529E7" w14:textId="77777777" w:rsidR="00000000" w:rsidRDefault="007F5353">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3895DB28" w14:textId="77777777">
        <w:tc>
          <w:tcPr>
            <w:tcW w:w="5000" w:type="pct"/>
            <w:hideMark/>
          </w:tcPr>
          <w:p w14:paraId="4E4E9ACF" w14:textId="77777777" w:rsidR="00000000" w:rsidRDefault="007F5353">
            <w:pPr>
              <w:jc w:val="center"/>
              <w:rPr>
                <w:rFonts w:eastAsia="Times New Roman"/>
                <w:sz w:val="20"/>
                <w:szCs w:val="20"/>
              </w:rPr>
            </w:pPr>
            <w:r>
              <w:rPr>
                <w:rFonts w:eastAsia="Times New Roman"/>
                <w:sz w:val="20"/>
                <w:szCs w:val="20"/>
              </w:rPr>
              <w:t> </w:t>
            </w:r>
          </w:p>
        </w:tc>
      </w:tr>
    </w:tbl>
    <w:p w14:paraId="68054CD8" w14:textId="77777777" w:rsidR="00000000" w:rsidRDefault="007F5353">
      <w:pPr>
        <w:pStyle w:val="a3"/>
        <w:spacing w:before="0" w:beforeAutospacing="0" w:after="0" w:afterAutospacing="0"/>
        <w:jc w:val="both"/>
        <w:rPr>
          <w:sz w:val="20"/>
          <w:szCs w:val="20"/>
        </w:rPr>
      </w:pPr>
      <w:r>
        <w:rPr>
          <w:i/>
          <w:iCs/>
          <w:sz w:val="20"/>
          <w:szCs w:val="20"/>
        </w:rPr>
        <w:t> </w:t>
      </w:r>
    </w:p>
    <w:p w14:paraId="2E61E6F7" w14:textId="77777777" w:rsidR="00000000" w:rsidRDefault="007F5353">
      <w:pPr>
        <w:pStyle w:val="a3"/>
        <w:shd w:val="clear" w:color="auto" w:fill="FFFFFF"/>
        <w:spacing w:before="0" w:beforeAutospacing="0" w:after="0" w:afterAutospacing="0"/>
        <w:jc w:val="both"/>
        <w:rPr>
          <w:sz w:val="20"/>
          <w:szCs w:val="20"/>
        </w:rPr>
      </w:pPr>
      <w:r>
        <w:rPr>
          <w:i/>
          <w:iCs/>
          <w:sz w:val="20"/>
          <w:szCs w:val="20"/>
        </w:rPr>
        <w:t>Use of Proceeds from the Public Offering</w:t>
      </w:r>
    </w:p>
    <w:p w14:paraId="7CE66C2A"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ED090AD" w14:textId="77777777" w:rsidR="00000000" w:rsidRDefault="007F5353">
      <w:pPr>
        <w:pStyle w:val="a3"/>
        <w:shd w:val="clear" w:color="auto" w:fill="FFFFFF"/>
        <w:spacing w:before="0" w:beforeAutospacing="0" w:after="0" w:afterAutospacing="0"/>
        <w:jc w:val="both"/>
        <w:rPr>
          <w:sz w:val="20"/>
          <w:szCs w:val="20"/>
        </w:rPr>
      </w:pPr>
      <w:r>
        <w:rPr>
          <w:sz w:val="20"/>
          <w:szCs w:val="20"/>
          <w:shd w:val="clear" w:color="auto" w:fill="FFFFFF"/>
        </w:rPr>
        <w:t>In connection with the closing and sale of the Over-Allotment Units and the additional private placement units (together, the “Over-Allotment Closing”), a total of $1,606,597 in proceed</w:t>
      </w:r>
      <w:r>
        <w:rPr>
          <w:sz w:val="20"/>
          <w:szCs w:val="20"/>
          <w:shd w:val="clear" w:color="auto" w:fill="FFFFFF"/>
        </w:rPr>
        <w:t>s from the Over-Allotment Closing (which amount includes $31,814 of the Underwriters’ deferred discount) was placed in a U.S.-based trust account established for the benefit of the Company’s public shareholders, maintained by Continental Stock Transfer &amp; T</w:t>
      </w:r>
      <w:r>
        <w:rPr>
          <w:sz w:val="20"/>
          <w:szCs w:val="20"/>
          <w:shd w:val="clear" w:color="auto" w:fill="FFFFFF"/>
        </w:rPr>
        <w:t xml:space="preserve">rust Company, acting as trustee. The proceeds held in the trust account may be invested by the trustee only in U.S. government securities with a maturity of 180 days or less or in money market funds investing solely in U.S. government treasury obligations </w:t>
      </w:r>
      <w:r>
        <w:rPr>
          <w:sz w:val="20"/>
          <w:szCs w:val="20"/>
          <w:shd w:val="clear" w:color="auto" w:fill="FFFFFF"/>
        </w:rPr>
        <w:t>and meeting certain conditions under Rule 2a-7 under the Investment Company Act.</w:t>
      </w:r>
    </w:p>
    <w:p w14:paraId="124B1BC9"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6675A6D0" w14:textId="77777777" w:rsidR="00000000" w:rsidRDefault="007F5353">
      <w:pPr>
        <w:pStyle w:val="a3"/>
        <w:shd w:val="clear" w:color="auto" w:fill="FFFFFF"/>
        <w:spacing w:before="0" w:beforeAutospacing="0" w:after="0" w:afterAutospacing="0"/>
        <w:jc w:val="both"/>
        <w:rPr>
          <w:sz w:val="20"/>
          <w:szCs w:val="20"/>
        </w:rPr>
      </w:pPr>
      <w:r>
        <w:rPr>
          <w:b/>
          <w:bCs/>
          <w:sz w:val="20"/>
          <w:szCs w:val="20"/>
        </w:rPr>
        <w:t>Item 3. Defaults Upon Senior Securities</w:t>
      </w:r>
    </w:p>
    <w:p w14:paraId="4A8D6DA0"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EB37AD4" w14:textId="77777777" w:rsidR="00000000" w:rsidRDefault="007F5353">
      <w:pPr>
        <w:pStyle w:val="a3"/>
        <w:shd w:val="clear" w:color="auto" w:fill="FFFFFF"/>
        <w:spacing w:before="0" w:beforeAutospacing="0" w:after="0" w:afterAutospacing="0"/>
        <w:jc w:val="both"/>
        <w:rPr>
          <w:sz w:val="20"/>
          <w:szCs w:val="20"/>
        </w:rPr>
      </w:pPr>
      <w:r>
        <w:rPr>
          <w:sz w:val="20"/>
          <w:szCs w:val="20"/>
        </w:rPr>
        <w:t>None.</w:t>
      </w:r>
    </w:p>
    <w:p w14:paraId="367BD97A"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4852FB94" w14:textId="77777777" w:rsidR="00000000" w:rsidRDefault="007F5353">
      <w:pPr>
        <w:pStyle w:val="a3"/>
        <w:shd w:val="clear" w:color="auto" w:fill="FFFFFF"/>
        <w:spacing w:before="0" w:beforeAutospacing="0" w:after="0" w:afterAutospacing="0"/>
        <w:jc w:val="both"/>
        <w:rPr>
          <w:sz w:val="20"/>
          <w:szCs w:val="20"/>
        </w:rPr>
      </w:pPr>
      <w:r>
        <w:rPr>
          <w:b/>
          <w:bCs/>
          <w:sz w:val="20"/>
          <w:szCs w:val="20"/>
        </w:rPr>
        <w:t>Item 4. Mine Safety Disclosures</w:t>
      </w:r>
    </w:p>
    <w:p w14:paraId="328A49F0"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7E43489C" w14:textId="77777777" w:rsidR="00000000" w:rsidRDefault="007F5353">
      <w:pPr>
        <w:pStyle w:val="a3"/>
        <w:shd w:val="clear" w:color="auto" w:fill="FFFFFF"/>
        <w:spacing w:before="0" w:beforeAutospacing="0" w:after="0" w:afterAutospacing="0"/>
        <w:jc w:val="both"/>
        <w:rPr>
          <w:sz w:val="20"/>
          <w:szCs w:val="20"/>
        </w:rPr>
      </w:pPr>
      <w:r>
        <w:rPr>
          <w:sz w:val="20"/>
          <w:szCs w:val="20"/>
        </w:rPr>
        <w:t>Not Applicable</w:t>
      </w:r>
    </w:p>
    <w:p w14:paraId="7645935C"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66333904" w14:textId="77777777" w:rsidR="00000000" w:rsidRDefault="007F5353">
      <w:pPr>
        <w:pStyle w:val="a3"/>
        <w:shd w:val="clear" w:color="auto" w:fill="FFFFFF"/>
        <w:spacing w:before="0" w:beforeAutospacing="0" w:after="0" w:afterAutospacing="0"/>
        <w:jc w:val="both"/>
        <w:rPr>
          <w:sz w:val="20"/>
          <w:szCs w:val="20"/>
        </w:rPr>
      </w:pPr>
      <w:r>
        <w:rPr>
          <w:b/>
          <w:bCs/>
          <w:sz w:val="20"/>
          <w:szCs w:val="20"/>
        </w:rPr>
        <w:t>Item 5. Other Information</w:t>
      </w:r>
    </w:p>
    <w:p w14:paraId="561F2D63"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051D0E21" w14:textId="77777777" w:rsidR="00000000" w:rsidRDefault="007F5353">
      <w:pPr>
        <w:pStyle w:val="a3"/>
        <w:shd w:val="clear" w:color="auto" w:fill="FFFFFF"/>
        <w:spacing w:before="0" w:beforeAutospacing="0" w:after="0" w:afterAutospacing="0"/>
        <w:jc w:val="both"/>
        <w:rPr>
          <w:sz w:val="20"/>
          <w:szCs w:val="20"/>
        </w:rPr>
      </w:pPr>
      <w:r>
        <w:rPr>
          <w:sz w:val="20"/>
          <w:szCs w:val="20"/>
        </w:rPr>
        <w:t>None.</w:t>
      </w:r>
    </w:p>
    <w:p w14:paraId="46B3AF53"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7659EADA" w14:textId="77777777" w:rsidR="00000000" w:rsidRDefault="007F5353">
      <w:pPr>
        <w:pStyle w:val="a3"/>
        <w:shd w:val="clear" w:color="auto" w:fill="FFFFFF"/>
        <w:spacing w:before="0" w:beforeAutospacing="0" w:after="0" w:afterAutospacing="0"/>
        <w:jc w:val="both"/>
        <w:rPr>
          <w:sz w:val="20"/>
          <w:szCs w:val="20"/>
        </w:rPr>
      </w:pPr>
      <w:r>
        <w:rPr>
          <w:b/>
          <w:bCs/>
          <w:sz w:val="20"/>
          <w:szCs w:val="20"/>
        </w:rPr>
        <w:t>Item 6. Exhibits</w:t>
      </w:r>
    </w:p>
    <w:p w14:paraId="72939604"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p w14:paraId="22EF1C27" w14:textId="77777777" w:rsidR="00000000" w:rsidRDefault="007F5353">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following exhibits are filed as part of, or incorporated by reference into, this Quarterly Report on Form 10-Q.</w:t>
      </w:r>
    </w:p>
    <w:p w14:paraId="4A17D205" w14:textId="77777777" w:rsidR="00000000" w:rsidRDefault="007F5353">
      <w:pPr>
        <w:pStyle w:val="a3"/>
        <w:shd w:val="clear" w:color="auto" w:fill="FFFFFF"/>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1080"/>
        <w:gridCol w:w="216"/>
        <w:gridCol w:w="7010"/>
      </w:tblGrid>
      <w:tr w:rsidR="00000000" w14:paraId="04DCC14C" w14:textId="77777777">
        <w:tc>
          <w:tcPr>
            <w:tcW w:w="1080" w:type="dxa"/>
            <w:tcBorders>
              <w:bottom w:val="single" w:sz="12" w:space="0" w:color="000000"/>
            </w:tcBorders>
            <w:shd w:val="clear" w:color="auto" w:fill="FFFFFF"/>
            <w:hideMark/>
          </w:tcPr>
          <w:p w14:paraId="0EE0D918" w14:textId="77777777" w:rsidR="00000000" w:rsidRDefault="007F5353">
            <w:pPr>
              <w:rPr>
                <w:rFonts w:eastAsia="Times New Roman"/>
                <w:sz w:val="20"/>
                <w:szCs w:val="20"/>
              </w:rPr>
            </w:pPr>
            <w:r>
              <w:rPr>
                <w:rFonts w:eastAsia="Times New Roman"/>
                <w:b/>
                <w:bCs/>
                <w:sz w:val="20"/>
                <w:szCs w:val="20"/>
              </w:rPr>
              <w:t>No.</w:t>
            </w:r>
          </w:p>
        </w:tc>
        <w:tc>
          <w:tcPr>
            <w:tcW w:w="216" w:type="dxa"/>
            <w:shd w:val="clear" w:color="auto" w:fill="FFFFFF"/>
            <w:hideMark/>
          </w:tcPr>
          <w:p w14:paraId="62F527F0" w14:textId="77777777" w:rsidR="00000000" w:rsidRDefault="007F535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hideMark/>
          </w:tcPr>
          <w:p w14:paraId="720A0132" w14:textId="77777777" w:rsidR="00000000" w:rsidRDefault="007F5353">
            <w:pPr>
              <w:jc w:val="both"/>
              <w:rPr>
                <w:rFonts w:eastAsia="Times New Roman"/>
                <w:sz w:val="20"/>
                <w:szCs w:val="20"/>
              </w:rPr>
            </w:pPr>
            <w:r>
              <w:rPr>
                <w:rFonts w:eastAsia="Times New Roman"/>
                <w:b/>
                <w:bCs/>
                <w:sz w:val="20"/>
                <w:szCs w:val="20"/>
              </w:rPr>
              <w:t>Description of Exhibits</w:t>
            </w:r>
          </w:p>
        </w:tc>
      </w:tr>
      <w:tr w:rsidR="00000000" w14:paraId="604DC43B" w14:textId="77777777">
        <w:tc>
          <w:tcPr>
            <w:tcW w:w="0" w:type="auto"/>
            <w:shd w:val="clear" w:color="auto" w:fill="auto"/>
            <w:vAlign w:val="center"/>
            <w:hideMark/>
          </w:tcPr>
          <w:p w14:paraId="23F023E7" w14:textId="77777777" w:rsidR="00000000" w:rsidRDefault="007F5353">
            <w:pPr>
              <w:pStyle w:val="a3"/>
              <w:spacing w:before="0" w:beforeAutospacing="0" w:after="0" w:afterAutospacing="0"/>
              <w:jc w:val="both"/>
              <w:rPr>
                <w:sz w:val="20"/>
                <w:szCs w:val="20"/>
              </w:rPr>
            </w:pPr>
            <w:r>
              <w:rPr>
                <w:sz w:val="20"/>
                <w:szCs w:val="20"/>
              </w:rPr>
              <w:t>31.1*</w:t>
            </w:r>
          </w:p>
        </w:tc>
        <w:tc>
          <w:tcPr>
            <w:tcW w:w="0" w:type="auto"/>
            <w:shd w:val="clear" w:color="auto" w:fill="auto"/>
            <w:vAlign w:val="center"/>
            <w:hideMark/>
          </w:tcPr>
          <w:p w14:paraId="4E9E1D9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22E257C4" w14:textId="77777777" w:rsidR="00000000" w:rsidRDefault="007F5353">
            <w:pPr>
              <w:jc w:val="both"/>
              <w:rPr>
                <w:rFonts w:eastAsia="Times New Roman"/>
                <w:sz w:val="20"/>
                <w:szCs w:val="20"/>
              </w:rPr>
            </w:pPr>
            <w:hyperlink r:id="rId5" w:history="1">
              <w:r>
                <w:rPr>
                  <w:rStyle w:val="a4"/>
                  <w:rFonts w:eastAsia="Times New Roman"/>
                  <w:sz w:val="20"/>
                  <w:szCs w:val="20"/>
                  <w:shd w:val="clear" w:color="auto" w:fill="FFFFFF"/>
                </w:rPr>
                <w:t>Certification of Principal Executive Officer Pursuant to Securities Exchange</w:t>
              </w:r>
              <w:r>
                <w:rPr>
                  <w:rStyle w:val="a4"/>
                  <w:rFonts w:eastAsia="Times New Roman"/>
                  <w:sz w:val="20"/>
                  <w:szCs w:val="20"/>
                  <w:shd w:val="clear" w:color="auto" w:fill="FFFFFF"/>
                </w:rPr>
                <w:t xml:space="preserve"> Act Rules 13a-14(a) and 15(d)-14(a), as adopted Pursuant to Section 302 of the Sarbanes-Oxley Act of 2002</w:t>
              </w:r>
            </w:hyperlink>
          </w:p>
        </w:tc>
      </w:tr>
      <w:tr w:rsidR="00000000" w14:paraId="287D55E6" w14:textId="77777777">
        <w:tc>
          <w:tcPr>
            <w:tcW w:w="0" w:type="auto"/>
            <w:shd w:val="clear" w:color="auto" w:fill="auto"/>
            <w:vAlign w:val="center"/>
            <w:hideMark/>
          </w:tcPr>
          <w:p w14:paraId="226DF6F5" w14:textId="77777777" w:rsidR="00000000" w:rsidRDefault="007F5353">
            <w:pPr>
              <w:rPr>
                <w:rFonts w:eastAsia="Times New Roman"/>
                <w:sz w:val="20"/>
                <w:szCs w:val="20"/>
              </w:rPr>
            </w:pPr>
            <w:r>
              <w:rPr>
                <w:rFonts w:eastAsia="Times New Roman"/>
                <w:sz w:val="20"/>
                <w:szCs w:val="20"/>
              </w:rPr>
              <w:t>31.2*</w:t>
            </w:r>
          </w:p>
        </w:tc>
        <w:tc>
          <w:tcPr>
            <w:tcW w:w="0" w:type="auto"/>
            <w:shd w:val="clear" w:color="auto" w:fill="auto"/>
            <w:vAlign w:val="center"/>
            <w:hideMark/>
          </w:tcPr>
          <w:p w14:paraId="6FA7E19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1685DD09" w14:textId="77777777" w:rsidR="00000000" w:rsidRDefault="007F5353">
            <w:pPr>
              <w:jc w:val="both"/>
              <w:rPr>
                <w:rFonts w:eastAsia="Times New Roman"/>
                <w:sz w:val="20"/>
                <w:szCs w:val="20"/>
              </w:rPr>
            </w:pPr>
            <w:hyperlink r:id="rId6" w:history="1">
              <w:r>
                <w:rPr>
                  <w:rStyle w:val="a4"/>
                  <w:rFonts w:eastAsia="Times New Roman"/>
                  <w:sz w:val="20"/>
                  <w:szCs w:val="20"/>
                  <w:shd w:val="clear" w:color="auto" w:fill="FFFFFF"/>
                </w:rPr>
                <w:t>Certification of Principal Financial Officer Pursuant to Securities Exchange Act Rules 13a-14(a) and 15(d)-14(a), as adopted Pursuant to Section 302 of the Sarbanes-Oxley Act of 2002</w:t>
              </w:r>
            </w:hyperlink>
          </w:p>
        </w:tc>
      </w:tr>
      <w:tr w:rsidR="00000000" w14:paraId="28CBB73E" w14:textId="77777777">
        <w:tc>
          <w:tcPr>
            <w:tcW w:w="0" w:type="auto"/>
            <w:shd w:val="clear" w:color="auto" w:fill="auto"/>
            <w:vAlign w:val="center"/>
            <w:hideMark/>
          </w:tcPr>
          <w:p w14:paraId="6B5511CC" w14:textId="77777777" w:rsidR="00000000" w:rsidRDefault="007F5353">
            <w:pPr>
              <w:rPr>
                <w:rFonts w:eastAsia="Times New Roman"/>
                <w:sz w:val="20"/>
                <w:szCs w:val="20"/>
              </w:rPr>
            </w:pPr>
            <w:r>
              <w:rPr>
                <w:rFonts w:eastAsia="Times New Roman"/>
                <w:sz w:val="20"/>
                <w:szCs w:val="20"/>
              </w:rPr>
              <w:t>32.1*</w:t>
            </w:r>
          </w:p>
        </w:tc>
        <w:tc>
          <w:tcPr>
            <w:tcW w:w="0" w:type="auto"/>
            <w:shd w:val="clear" w:color="auto" w:fill="auto"/>
            <w:vAlign w:val="center"/>
            <w:hideMark/>
          </w:tcPr>
          <w:p w14:paraId="3998B69F"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32A2C0D0" w14:textId="77777777" w:rsidR="00000000" w:rsidRDefault="007F5353">
            <w:pPr>
              <w:jc w:val="both"/>
              <w:rPr>
                <w:rFonts w:eastAsia="Times New Roman"/>
                <w:sz w:val="20"/>
                <w:szCs w:val="20"/>
              </w:rPr>
            </w:pPr>
            <w:hyperlink r:id="rId7" w:history="1">
              <w:r>
                <w:rPr>
                  <w:rStyle w:val="a4"/>
                  <w:rFonts w:eastAsia="Times New Roman"/>
                  <w:sz w:val="20"/>
                  <w:szCs w:val="20"/>
                  <w:shd w:val="clear" w:color="auto" w:fill="FFFFFF"/>
                </w:rPr>
                <w:t xml:space="preserve">Certification of Principal Executive </w:t>
              </w:r>
              <w:r>
                <w:rPr>
                  <w:rStyle w:val="a4"/>
                  <w:rFonts w:eastAsia="Times New Roman"/>
                  <w:sz w:val="20"/>
                  <w:szCs w:val="20"/>
                  <w:shd w:val="clear" w:color="auto" w:fill="FFFFFF"/>
                </w:rPr>
                <w:t>Officer Pursuant to 18 U.S.C. Section 1350, as adopted Pursuant to Section 906 of the Sarbanes-Oxley Act of 2002</w:t>
              </w:r>
            </w:hyperlink>
          </w:p>
        </w:tc>
      </w:tr>
      <w:tr w:rsidR="00000000" w14:paraId="0EBDE80D" w14:textId="77777777">
        <w:tc>
          <w:tcPr>
            <w:tcW w:w="0" w:type="auto"/>
            <w:shd w:val="clear" w:color="auto" w:fill="auto"/>
            <w:vAlign w:val="center"/>
            <w:hideMark/>
          </w:tcPr>
          <w:p w14:paraId="2A418A89" w14:textId="77777777" w:rsidR="00000000" w:rsidRDefault="007F5353">
            <w:pPr>
              <w:rPr>
                <w:rFonts w:eastAsia="Times New Roman"/>
                <w:sz w:val="20"/>
                <w:szCs w:val="20"/>
              </w:rPr>
            </w:pPr>
            <w:r>
              <w:rPr>
                <w:rFonts w:eastAsia="Times New Roman"/>
                <w:sz w:val="20"/>
                <w:szCs w:val="20"/>
              </w:rPr>
              <w:t>32.2*</w:t>
            </w:r>
          </w:p>
        </w:tc>
        <w:tc>
          <w:tcPr>
            <w:tcW w:w="0" w:type="auto"/>
            <w:shd w:val="clear" w:color="auto" w:fill="auto"/>
            <w:vAlign w:val="center"/>
            <w:hideMark/>
          </w:tcPr>
          <w:p w14:paraId="2F6C6869"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6CEE5849" w14:textId="77777777" w:rsidR="00000000" w:rsidRDefault="007F5353">
            <w:pPr>
              <w:jc w:val="both"/>
              <w:rPr>
                <w:rFonts w:eastAsia="Times New Roman"/>
                <w:sz w:val="20"/>
                <w:szCs w:val="20"/>
              </w:rPr>
            </w:pPr>
            <w:hyperlink r:id="rId8" w:history="1">
              <w:r>
                <w:rPr>
                  <w:rStyle w:val="a4"/>
                  <w:rFonts w:eastAsia="Times New Roman"/>
                  <w:sz w:val="20"/>
                  <w:szCs w:val="20"/>
                  <w:shd w:val="clear" w:color="auto" w:fill="FFFFFF"/>
                </w:rPr>
                <w:t>Certification of Principal Financial Officer Pursuant to 18 U.S.C. Section 1350, as adopted Pursuant to Sec</w:t>
              </w:r>
              <w:r>
                <w:rPr>
                  <w:rStyle w:val="a4"/>
                  <w:rFonts w:eastAsia="Times New Roman"/>
                  <w:sz w:val="20"/>
                  <w:szCs w:val="20"/>
                  <w:shd w:val="clear" w:color="auto" w:fill="FFFFFF"/>
                </w:rPr>
                <w:t>tion 906 of the Sarbanes-Oxley Act of 2002</w:t>
              </w:r>
            </w:hyperlink>
          </w:p>
        </w:tc>
      </w:tr>
      <w:tr w:rsidR="00000000" w14:paraId="2892CAE5" w14:textId="77777777">
        <w:tc>
          <w:tcPr>
            <w:tcW w:w="0" w:type="auto"/>
            <w:shd w:val="clear" w:color="auto" w:fill="auto"/>
            <w:vAlign w:val="center"/>
            <w:hideMark/>
          </w:tcPr>
          <w:p w14:paraId="267BF432" w14:textId="77777777" w:rsidR="00000000" w:rsidRDefault="007F5353">
            <w:pPr>
              <w:rPr>
                <w:rFonts w:eastAsia="Times New Roman"/>
                <w:sz w:val="20"/>
                <w:szCs w:val="20"/>
              </w:rPr>
            </w:pPr>
            <w:r>
              <w:rPr>
                <w:rFonts w:eastAsia="Times New Roman"/>
                <w:sz w:val="20"/>
                <w:szCs w:val="20"/>
              </w:rPr>
              <w:t>101.INS*</w:t>
            </w:r>
          </w:p>
        </w:tc>
        <w:tc>
          <w:tcPr>
            <w:tcW w:w="0" w:type="auto"/>
            <w:shd w:val="clear" w:color="auto" w:fill="auto"/>
            <w:vAlign w:val="center"/>
            <w:hideMark/>
          </w:tcPr>
          <w:p w14:paraId="7C53E1DA"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390C512C" w14:textId="77777777" w:rsidR="00000000" w:rsidRDefault="007F5353">
            <w:pPr>
              <w:jc w:val="both"/>
              <w:rPr>
                <w:rFonts w:eastAsia="Times New Roman"/>
                <w:sz w:val="20"/>
                <w:szCs w:val="20"/>
              </w:rPr>
            </w:pPr>
            <w:r>
              <w:rPr>
                <w:rFonts w:eastAsia="Times New Roman"/>
                <w:sz w:val="20"/>
                <w:szCs w:val="20"/>
                <w:shd w:val="clear" w:color="auto" w:fill="FFFFFF"/>
              </w:rPr>
              <w:t>Inline XBRL Instance Document</w:t>
            </w:r>
          </w:p>
        </w:tc>
      </w:tr>
      <w:tr w:rsidR="00000000" w14:paraId="00A355D0" w14:textId="77777777">
        <w:tc>
          <w:tcPr>
            <w:tcW w:w="0" w:type="auto"/>
            <w:shd w:val="clear" w:color="auto" w:fill="auto"/>
            <w:vAlign w:val="center"/>
            <w:hideMark/>
          </w:tcPr>
          <w:p w14:paraId="227E78BA" w14:textId="77777777" w:rsidR="00000000" w:rsidRDefault="007F5353">
            <w:pPr>
              <w:rPr>
                <w:rFonts w:eastAsia="Times New Roman"/>
                <w:sz w:val="20"/>
                <w:szCs w:val="20"/>
              </w:rPr>
            </w:pPr>
            <w:r>
              <w:rPr>
                <w:rFonts w:eastAsia="Times New Roman"/>
                <w:sz w:val="20"/>
                <w:szCs w:val="20"/>
              </w:rPr>
              <w:t>101.CAL*</w:t>
            </w:r>
          </w:p>
        </w:tc>
        <w:tc>
          <w:tcPr>
            <w:tcW w:w="0" w:type="auto"/>
            <w:shd w:val="clear" w:color="auto" w:fill="auto"/>
            <w:vAlign w:val="center"/>
            <w:hideMark/>
          </w:tcPr>
          <w:p w14:paraId="68EA40A0"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7DBE17C8" w14:textId="77777777" w:rsidR="00000000" w:rsidRDefault="007F5353">
            <w:pPr>
              <w:jc w:val="both"/>
              <w:rPr>
                <w:rFonts w:eastAsia="Times New Roman"/>
                <w:sz w:val="20"/>
                <w:szCs w:val="20"/>
              </w:rPr>
            </w:pPr>
            <w:r>
              <w:rPr>
                <w:rFonts w:eastAsia="Times New Roman"/>
                <w:sz w:val="20"/>
                <w:szCs w:val="20"/>
                <w:shd w:val="clear" w:color="auto" w:fill="FFFFFF"/>
              </w:rPr>
              <w:t>Inline XBRL Instance Document</w:t>
            </w:r>
          </w:p>
        </w:tc>
      </w:tr>
      <w:tr w:rsidR="00000000" w14:paraId="1744B55E" w14:textId="77777777">
        <w:tc>
          <w:tcPr>
            <w:tcW w:w="0" w:type="auto"/>
            <w:shd w:val="clear" w:color="auto" w:fill="auto"/>
            <w:vAlign w:val="center"/>
            <w:hideMark/>
          </w:tcPr>
          <w:p w14:paraId="151FAD4F" w14:textId="77777777" w:rsidR="00000000" w:rsidRDefault="007F5353">
            <w:pPr>
              <w:rPr>
                <w:rFonts w:eastAsia="Times New Roman"/>
                <w:sz w:val="20"/>
                <w:szCs w:val="20"/>
              </w:rPr>
            </w:pPr>
            <w:r>
              <w:rPr>
                <w:rFonts w:eastAsia="Times New Roman"/>
                <w:sz w:val="20"/>
                <w:szCs w:val="20"/>
              </w:rPr>
              <w:t>101.SCH*</w:t>
            </w:r>
          </w:p>
        </w:tc>
        <w:tc>
          <w:tcPr>
            <w:tcW w:w="0" w:type="auto"/>
            <w:shd w:val="clear" w:color="auto" w:fill="auto"/>
            <w:vAlign w:val="center"/>
            <w:hideMark/>
          </w:tcPr>
          <w:p w14:paraId="7B4871A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253C5990" w14:textId="77777777" w:rsidR="00000000" w:rsidRDefault="007F5353">
            <w:pPr>
              <w:jc w:val="both"/>
              <w:rPr>
                <w:rFonts w:eastAsia="Times New Roman"/>
                <w:sz w:val="20"/>
                <w:szCs w:val="20"/>
              </w:rPr>
            </w:pPr>
            <w:r>
              <w:rPr>
                <w:rFonts w:eastAsia="Times New Roman"/>
                <w:sz w:val="20"/>
                <w:szCs w:val="20"/>
                <w:shd w:val="clear" w:color="auto" w:fill="FFFFFF"/>
              </w:rPr>
              <w:t>Inline XBRL Taxonomy Extension Schema Document</w:t>
            </w:r>
          </w:p>
        </w:tc>
      </w:tr>
      <w:tr w:rsidR="00000000" w14:paraId="26C186A5" w14:textId="77777777">
        <w:tc>
          <w:tcPr>
            <w:tcW w:w="0" w:type="auto"/>
            <w:shd w:val="clear" w:color="auto" w:fill="auto"/>
            <w:vAlign w:val="center"/>
            <w:hideMark/>
          </w:tcPr>
          <w:p w14:paraId="41EE98A3" w14:textId="77777777" w:rsidR="00000000" w:rsidRDefault="007F5353">
            <w:pPr>
              <w:rPr>
                <w:rFonts w:eastAsia="Times New Roman"/>
                <w:sz w:val="20"/>
                <w:szCs w:val="20"/>
              </w:rPr>
            </w:pPr>
            <w:r>
              <w:rPr>
                <w:rFonts w:eastAsia="Times New Roman"/>
                <w:sz w:val="20"/>
                <w:szCs w:val="20"/>
              </w:rPr>
              <w:t>101.DEF*</w:t>
            </w:r>
          </w:p>
        </w:tc>
        <w:tc>
          <w:tcPr>
            <w:tcW w:w="0" w:type="auto"/>
            <w:shd w:val="clear" w:color="auto" w:fill="auto"/>
            <w:vAlign w:val="center"/>
            <w:hideMark/>
          </w:tcPr>
          <w:p w14:paraId="7962759C"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5146DE0D" w14:textId="77777777" w:rsidR="00000000" w:rsidRDefault="007F5353">
            <w:pPr>
              <w:jc w:val="both"/>
              <w:rPr>
                <w:rFonts w:eastAsia="Times New Roman"/>
                <w:sz w:val="20"/>
                <w:szCs w:val="20"/>
              </w:rPr>
            </w:pPr>
            <w:r>
              <w:rPr>
                <w:rFonts w:eastAsia="Times New Roman"/>
                <w:sz w:val="20"/>
                <w:szCs w:val="20"/>
                <w:shd w:val="clear" w:color="auto" w:fill="FFFFFF"/>
              </w:rPr>
              <w:t xml:space="preserve">Inline </w:t>
            </w:r>
            <w:r>
              <w:rPr>
                <w:rFonts w:eastAsia="Times New Roman"/>
                <w:sz w:val="20"/>
                <w:szCs w:val="20"/>
                <w:shd w:val="clear" w:color="auto" w:fill="FFFFFF"/>
              </w:rPr>
              <w:t>XBRL Taxonomy Extension Definition Linkbase Document</w:t>
            </w:r>
          </w:p>
        </w:tc>
      </w:tr>
      <w:tr w:rsidR="00000000" w14:paraId="23BC3D27" w14:textId="77777777">
        <w:tc>
          <w:tcPr>
            <w:tcW w:w="0" w:type="auto"/>
            <w:shd w:val="clear" w:color="auto" w:fill="auto"/>
            <w:vAlign w:val="center"/>
            <w:hideMark/>
          </w:tcPr>
          <w:p w14:paraId="69572D53" w14:textId="77777777" w:rsidR="00000000" w:rsidRDefault="007F5353">
            <w:pPr>
              <w:rPr>
                <w:rFonts w:eastAsia="Times New Roman"/>
                <w:sz w:val="20"/>
                <w:szCs w:val="20"/>
              </w:rPr>
            </w:pPr>
            <w:r>
              <w:rPr>
                <w:rFonts w:eastAsia="Times New Roman"/>
                <w:sz w:val="20"/>
                <w:szCs w:val="20"/>
              </w:rPr>
              <w:t>101.LAB*</w:t>
            </w:r>
          </w:p>
        </w:tc>
        <w:tc>
          <w:tcPr>
            <w:tcW w:w="0" w:type="auto"/>
            <w:shd w:val="clear" w:color="auto" w:fill="auto"/>
            <w:vAlign w:val="center"/>
            <w:hideMark/>
          </w:tcPr>
          <w:p w14:paraId="5072AAA2"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5A08EEC1" w14:textId="77777777" w:rsidR="00000000" w:rsidRDefault="007F5353">
            <w:pPr>
              <w:jc w:val="both"/>
              <w:rPr>
                <w:rFonts w:eastAsia="Times New Roman"/>
                <w:sz w:val="20"/>
                <w:szCs w:val="20"/>
              </w:rPr>
            </w:pPr>
            <w:r>
              <w:rPr>
                <w:rFonts w:eastAsia="Times New Roman"/>
                <w:sz w:val="20"/>
                <w:szCs w:val="20"/>
              </w:rPr>
              <w:t>Inline XBRL Taxonomy Extension Labels Linkbase Document</w:t>
            </w:r>
          </w:p>
        </w:tc>
      </w:tr>
      <w:tr w:rsidR="00000000" w14:paraId="4BADE2CE" w14:textId="77777777">
        <w:tc>
          <w:tcPr>
            <w:tcW w:w="0" w:type="auto"/>
            <w:shd w:val="clear" w:color="auto" w:fill="auto"/>
            <w:vAlign w:val="center"/>
            <w:hideMark/>
          </w:tcPr>
          <w:p w14:paraId="0782CF3F" w14:textId="77777777" w:rsidR="00000000" w:rsidRDefault="007F5353">
            <w:pPr>
              <w:rPr>
                <w:rFonts w:eastAsia="Times New Roman"/>
                <w:sz w:val="20"/>
                <w:szCs w:val="20"/>
              </w:rPr>
            </w:pPr>
            <w:r>
              <w:rPr>
                <w:rFonts w:eastAsia="Times New Roman"/>
                <w:sz w:val="20"/>
                <w:szCs w:val="20"/>
              </w:rPr>
              <w:t>101.PRE*</w:t>
            </w:r>
          </w:p>
        </w:tc>
        <w:tc>
          <w:tcPr>
            <w:tcW w:w="0" w:type="auto"/>
            <w:shd w:val="clear" w:color="auto" w:fill="auto"/>
            <w:vAlign w:val="center"/>
            <w:hideMark/>
          </w:tcPr>
          <w:p w14:paraId="405561B4"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26920A9D" w14:textId="77777777" w:rsidR="00000000" w:rsidRDefault="007F5353">
            <w:pPr>
              <w:jc w:val="both"/>
              <w:rPr>
                <w:rFonts w:eastAsia="Times New Roman"/>
                <w:sz w:val="20"/>
                <w:szCs w:val="20"/>
              </w:rPr>
            </w:pPr>
            <w:r>
              <w:rPr>
                <w:rFonts w:eastAsia="Times New Roman"/>
                <w:sz w:val="20"/>
                <w:szCs w:val="20"/>
              </w:rPr>
              <w:t>Inline XBRL Taxonomy Extension Presentation Linkbase Document</w:t>
            </w:r>
          </w:p>
        </w:tc>
      </w:tr>
      <w:tr w:rsidR="00000000" w14:paraId="23A4B5A5" w14:textId="77777777">
        <w:tc>
          <w:tcPr>
            <w:tcW w:w="0" w:type="auto"/>
            <w:shd w:val="clear" w:color="auto" w:fill="auto"/>
            <w:vAlign w:val="center"/>
            <w:hideMark/>
          </w:tcPr>
          <w:p w14:paraId="68E2D465" w14:textId="77777777" w:rsidR="00000000" w:rsidRDefault="007F5353">
            <w:pPr>
              <w:rPr>
                <w:rFonts w:eastAsia="Times New Roman"/>
                <w:sz w:val="20"/>
                <w:szCs w:val="20"/>
              </w:rPr>
            </w:pPr>
            <w:r>
              <w:rPr>
                <w:rFonts w:eastAsia="Times New Roman"/>
                <w:sz w:val="20"/>
                <w:szCs w:val="20"/>
              </w:rPr>
              <w:t>104</w:t>
            </w:r>
          </w:p>
        </w:tc>
        <w:tc>
          <w:tcPr>
            <w:tcW w:w="0" w:type="auto"/>
            <w:shd w:val="clear" w:color="auto" w:fill="auto"/>
            <w:vAlign w:val="center"/>
            <w:hideMark/>
          </w:tcPr>
          <w:p w14:paraId="60FB258B" w14:textId="77777777" w:rsidR="00000000" w:rsidRDefault="007F5353">
            <w:pPr>
              <w:rPr>
                <w:rFonts w:eastAsia="Times New Roman"/>
                <w:sz w:val="20"/>
                <w:szCs w:val="20"/>
              </w:rPr>
            </w:pPr>
            <w:r>
              <w:rPr>
                <w:rFonts w:eastAsia="Times New Roman"/>
                <w:sz w:val="20"/>
                <w:szCs w:val="20"/>
              </w:rPr>
              <w:t> </w:t>
            </w:r>
          </w:p>
        </w:tc>
        <w:tc>
          <w:tcPr>
            <w:tcW w:w="0" w:type="auto"/>
            <w:shd w:val="clear" w:color="auto" w:fill="auto"/>
            <w:vAlign w:val="center"/>
            <w:hideMark/>
          </w:tcPr>
          <w:p w14:paraId="1DDC3332" w14:textId="77777777" w:rsidR="00000000" w:rsidRDefault="007F5353">
            <w:pPr>
              <w:jc w:val="both"/>
              <w:rPr>
                <w:rFonts w:eastAsia="Times New Roman"/>
                <w:sz w:val="20"/>
                <w:szCs w:val="20"/>
              </w:rPr>
            </w:pPr>
            <w:r>
              <w:rPr>
                <w:rFonts w:eastAsia="Times New Roman"/>
                <w:sz w:val="20"/>
                <w:szCs w:val="20"/>
              </w:rPr>
              <w:t xml:space="preserve">Cover Page Interactive Data File (formatted as inline </w:t>
            </w:r>
            <w:r>
              <w:rPr>
                <w:rFonts w:eastAsia="Times New Roman"/>
                <w:sz w:val="20"/>
                <w:szCs w:val="20"/>
              </w:rPr>
              <w:t>XBRL and contained in Exhibit 101)</w:t>
            </w:r>
          </w:p>
        </w:tc>
      </w:tr>
    </w:tbl>
    <w:p w14:paraId="00D9426D" w14:textId="77777777" w:rsidR="00000000" w:rsidRDefault="007F5353">
      <w:pPr>
        <w:pStyle w:val="a3"/>
        <w:spacing w:before="0" w:beforeAutospacing="0" w:after="0" w:afterAutospacing="0"/>
        <w:ind w:firstLine="360"/>
        <w:jc w:val="both"/>
        <w:rPr>
          <w:sz w:val="20"/>
          <w:szCs w:val="20"/>
        </w:rPr>
      </w:pPr>
      <w:r>
        <w:rPr>
          <w:sz w:val="20"/>
          <w:szCs w:val="20"/>
        </w:rPr>
        <w:t> </w:t>
      </w:r>
    </w:p>
    <w:p w14:paraId="29D60E04" w14:textId="77777777" w:rsidR="00000000" w:rsidRDefault="007F5353">
      <w:pPr>
        <w:pStyle w:val="a3"/>
        <w:spacing w:before="0" w:beforeAutospacing="0" w:after="0" w:afterAutospacing="0"/>
        <w:ind w:firstLine="360"/>
        <w:jc w:val="both"/>
        <w:rPr>
          <w:sz w:val="20"/>
          <w:szCs w:val="20"/>
        </w:rPr>
      </w:pPr>
      <w:r>
        <w:rPr>
          <w:sz w:val="20"/>
          <w:szCs w:val="20"/>
        </w:rPr>
        <w:t>* Filed herewith</w:t>
      </w:r>
    </w:p>
    <w:p w14:paraId="13E46EB2" w14:textId="77777777" w:rsidR="00000000" w:rsidRDefault="007F5353">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9AA1CBA" w14:textId="77777777">
        <w:trPr>
          <w:divId w:val="172842202"/>
        </w:trPr>
        <w:tc>
          <w:tcPr>
            <w:tcW w:w="5000" w:type="pct"/>
            <w:hideMark/>
          </w:tcPr>
          <w:p w14:paraId="3D776D55" w14:textId="77777777" w:rsidR="00000000" w:rsidRDefault="007F5353">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313B9120" w14:textId="77777777">
        <w:tc>
          <w:tcPr>
            <w:tcW w:w="5000" w:type="pct"/>
            <w:hideMark/>
          </w:tcPr>
          <w:p w14:paraId="7E1CC842" w14:textId="77777777" w:rsidR="00000000" w:rsidRDefault="007F5353">
            <w:pPr>
              <w:jc w:val="center"/>
              <w:rPr>
                <w:rFonts w:eastAsia="Times New Roman"/>
                <w:sz w:val="20"/>
                <w:szCs w:val="20"/>
              </w:rPr>
            </w:pPr>
            <w:r>
              <w:rPr>
                <w:rFonts w:eastAsia="Times New Roman"/>
                <w:sz w:val="20"/>
                <w:szCs w:val="20"/>
              </w:rPr>
              <w:t> </w:t>
            </w:r>
          </w:p>
        </w:tc>
      </w:tr>
    </w:tbl>
    <w:p w14:paraId="553B49EC" w14:textId="77777777" w:rsidR="00000000" w:rsidRDefault="007F5353">
      <w:pPr>
        <w:pStyle w:val="a3"/>
        <w:spacing w:before="0" w:beforeAutospacing="0" w:after="0" w:afterAutospacing="0"/>
        <w:jc w:val="center"/>
        <w:rPr>
          <w:sz w:val="20"/>
          <w:szCs w:val="20"/>
        </w:rPr>
      </w:pPr>
      <w:r>
        <w:rPr>
          <w:b/>
          <w:bCs/>
          <w:sz w:val="20"/>
          <w:szCs w:val="20"/>
        </w:rPr>
        <w:t> </w:t>
      </w:r>
    </w:p>
    <w:p w14:paraId="5E8FBFA5" w14:textId="77777777" w:rsidR="00000000" w:rsidRDefault="007F5353">
      <w:pPr>
        <w:pStyle w:val="a3"/>
        <w:spacing w:before="0" w:beforeAutospacing="0" w:after="0" w:afterAutospacing="0"/>
        <w:ind w:left="-400"/>
        <w:jc w:val="center"/>
        <w:rPr>
          <w:sz w:val="20"/>
          <w:szCs w:val="20"/>
        </w:rPr>
      </w:pPr>
      <w:r>
        <w:rPr>
          <w:b/>
          <w:bCs/>
          <w:sz w:val="20"/>
          <w:szCs w:val="20"/>
        </w:rPr>
        <w:t>SIGNATURES</w:t>
      </w:r>
    </w:p>
    <w:p w14:paraId="4BB7FFC5" w14:textId="77777777" w:rsidR="00000000" w:rsidRDefault="007F5353">
      <w:pPr>
        <w:pStyle w:val="a3"/>
        <w:spacing w:before="0" w:beforeAutospacing="0" w:after="0" w:afterAutospacing="0"/>
        <w:jc w:val="center"/>
        <w:rPr>
          <w:sz w:val="20"/>
          <w:szCs w:val="20"/>
        </w:rPr>
      </w:pPr>
      <w:r>
        <w:rPr>
          <w:b/>
          <w:bCs/>
          <w:sz w:val="20"/>
          <w:szCs w:val="20"/>
        </w:rPr>
        <w:t> </w:t>
      </w:r>
    </w:p>
    <w:p w14:paraId="6CDC18CE" w14:textId="77777777" w:rsidR="00000000" w:rsidRDefault="007F5353">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14:paraId="52B09AC9"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14:paraId="720C12D2" w14:textId="77777777">
        <w:tc>
          <w:tcPr>
            <w:tcW w:w="0" w:type="auto"/>
            <w:hideMark/>
          </w:tcPr>
          <w:p w14:paraId="5C2EE5E9" w14:textId="77777777" w:rsidR="00000000" w:rsidRDefault="007F5353">
            <w:pPr>
              <w:rPr>
                <w:rFonts w:eastAsia="Times New Roman"/>
                <w:sz w:val="20"/>
                <w:szCs w:val="20"/>
              </w:rPr>
            </w:pPr>
            <w:r>
              <w:rPr>
                <w:rFonts w:eastAsia="Times New Roman"/>
                <w:sz w:val="20"/>
                <w:szCs w:val="20"/>
              </w:rPr>
              <w:t> </w:t>
            </w:r>
          </w:p>
        </w:tc>
        <w:tc>
          <w:tcPr>
            <w:tcW w:w="0" w:type="auto"/>
            <w:gridSpan w:val="2"/>
            <w:hideMark/>
          </w:tcPr>
          <w:p w14:paraId="0E371422" w14:textId="77777777" w:rsidR="00000000" w:rsidRDefault="007F5353">
            <w:pPr>
              <w:rPr>
                <w:rFonts w:eastAsia="Times New Roman"/>
                <w:sz w:val="20"/>
                <w:szCs w:val="20"/>
              </w:rPr>
            </w:pPr>
            <w:r>
              <w:rPr>
                <w:rFonts w:eastAsia="Times New Roman"/>
                <w:b/>
                <w:bCs/>
                <w:sz w:val="20"/>
                <w:szCs w:val="20"/>
              </w:rPr>
              <w:t>Broad Capital Acquisition Corp</w:t>
            </w:r>
          </w:p>
        </w:tc>
      </w:tr>
      <w:tr w:rsidR="00000000" w14:paraId="7C757297" w14:textId="77777777">
        <w:tc>
          <w:tcPr>
            <w:tcW w:w="0" w:type="auto"/>
            <w:hideMark/>
          </w:tcPr>
          <w:p w14:paraId="543B0483" w14:textId="77777777" w:rsidR="00000000" w:rsidRDefault="007F5353">
            <w:pPr>
              <w:rPr>
                <w:rFonts w:eastAsia="Times New Roman"/>
                <w:sz w:val="20"/>
                <w:szCs w:val="20"/>
              </w:rPr>
            </w:pPr>
            <w:r>
              <w:rPr>
                <w:rFonts w:eastAsia="Times New Roman"/>
                <w:sz w:val="20"/>
                <w:szCs w:val="20"/>
              </w:rPr>
              <w:t> </w:t>
            </w:r>
          </w:p>
        </w:tc>
        <w:tc>
          <w:tcPr>
            <w:tcW w:w="0" w:type="auto"/>
            <w:gridSpan w:val="2"/>
            <w:hideMark/>
          </w:tcPr>
          <w:p w14:paraId="77290A1A" w14:textId="77777777" w:rsidR="00000000" w:rsidRDefault="007F5353">
            <w:pPr>
              <w:rPr>
                <w:rFonts w:eastAsia="Times New Roman"/>
                <w:sz w:val="20"/>
                <w:szCs w:val="20"/>
              </w:rPr>
            </w:pPr>
            <w:r>
              <w:rPr>
                <w:rFonts w:eastAsia="Times New Roman"/>
                <w:sz w:val="20"/>
                <w:szCs w:val="20"/>
              </w:rPr>
              <w:t> </w:t>
            </w:r>
          </w:p>
        </w:tc>
      </w:tr>
      <w:tr w:rsidR="00000000" w14:paraId="0BEE7AD5" w14:textId="77777777">
        <w:tc>
          <w:tcPr>
            <w:tcW w:w="2500" w:type="pct"/>
            <w:hideMark/>
          </w:tcPr>
          <w:p w14:paraId="40BA0178" w14:textId="77777777" w:rsidR="00000000" w:rsidRDefault="007F5353">
            <w:pPr>
              <w:rPr>
                <w:rFonts w:eastAsia="Times New Roman"/>
                <w:sz w:val="20"/>
                <w:szCs w:val="20"/>
              </w:rPr>
            </w:pPr>
            <w:r>
              <w:rPr>
                <w:rFonts w:eastAsia="Times New Roman"/>
                <w:sz w:val="20"/>
                <w:szCs w:val="20"/>
              </w:rPr>
              <w:t>Date: August 8, 2022</w:t>
            </w:r>
          </w:p>
        </w:tc>
        <w:tc>
          <w:tcPr>
            <w:tcW w:w="150" w:type="pct"/>
            <w:hideMark/>
          </w:tcPr>
          <w:p w14:paraId="3AD720C0" w14:textId="77777777" w:rsidR="00000000" w:rsidRDefault="007F5353">
            <w:pPr>
              <w:rPr>
                <w:rFonts w:eastAsia="Times New Roman"/>
                <w:sz w:val="20"/>
                <w:szCs w:val="20"/>
              </w:rPr>
            </w:pPr>
            <w:r>
              <w:rPr>
                <w:rFonts w:eastAsia="Times New Roman"/>
                <w:sz w:val="20"/>
                <w:szCs w:val="20"/>
              </w:rPr>
              <w:t>By:</w:t>
            </w:r>
          </w:p>
        </w:tc>
        <w:tc>
          <w:tcPr>
            <w:tcW w:w="2350" w:type="pct"/>
            <w:tcBorders>
              <w:bottom w:val="single" w:sz="12" w:space="0" w:color="000000"/>
            </w:tcBorders>
            <w:hideMark/>
          </w:tcPr>
          <w:p w14:paraId="6A103C84" w14:textId="77777777" w:rsidR="00000000" w:rsidRDefault="007F5353">
            <w:pPr>
              <w:rPr>
                <w:rFonts w:eastAsia="Times New Roman"/>
                <w:sz w:val="20"/>
                <w:szCs w:val="20"/>
              </w:rPr>
            </w:pPr>
            <w:r>
              <w:rPr>
                <w:rFonts w:eastAsia="Times New Roman"/>
                <w:sz w:val="20"/>
                <w:szCs w:val="20"/>
              </w:rPr>
              <w:t xml:space="preserve">/s/ </w:t>
            </w:r>
            <w:r>
              <w:rPr>
                <w:rFonts w:eastAsia="Times New Roman"/>
                <w:i/>
                <w:iCs/>
                <w:sz w:val="20"/>
                <w:szCs w:val="20"/>
              </w:rPr>
              <w:t>Johann Tse</w:t>
            </w:r>
          </w:p>
        </w:tc>
      </w:tr>
      <w:tr w:rsidR="00000000" w14:paraId="623427A8" w14:textId="77777777">
        <w:tc>
          <w:tcPr>
            <w:tcW w:w="0" w:type="auto"/>
            <w:hideMark/>
          </w:tcPr>
          <w:p w14:paraId="56EAFFEA" w14:textId="77777777" w:rsidR="00000000" w:rsidRDefault="007F5353">
            <w:pPr>
              <w:rPr>
                <w:rFonts w:eastAsia="Times New Roman"/>
                <w:sz w:val="20"/>
                <w:szCs w:val="20"/>
              </w:rPr>
            </w:pPr>
            <w:r>
              <w:rPr>
                <w:rFonts w:eastAsia="Times New Roman"/>
                <w:sz w:val="20"/>
                <w:szCs w:val="20"/>
              </w:rPr>
              <w:t> </w:t>
            </w:r>
          </w:p>
        </w:tc>
        <w:tc>
          <w:tcPr>
            <w:tcW w:w="0" w:type="auto"/>
            <w:hideMark/>
          </w:tcPr>
          <w:p w14:paraId="1068993D" w14:textId="77777777" w:rsidR="00000000" w:rsidRDefault="007F5353">
            <w:pPr>
              <w:rPr>
                <w:rFonts w:eastAsia="Times New Roman"/>
                <w:sz w:val="20"/>
                <w:szCs w:val="20"/>
              </w:rPr>
            </w:pPr>
            <w:r>
              <w:rPr>
                <w:rFonts w:eastAsia="Times New Roman"/>
                <w:sz w:val="20"/>
                <w:szCs w:val="20"/>
              </w:rPr>
              <w:t> </w:t>
            </w:r>
          </w:p>
        </w:tc>
        <w:tc>
          <w:tcPr>
            <w:tcW w:w="0" w:type="auto"/>
            <w:hideMark/>
          </w:tcPr>
          <w:p w14:paraId="17CB7BD9" w14:textId="77777777" w:rsidR="00000000" w:rsidRDefault="007F5353">
            <w:pPr>
              <w:pStyle w:val="a3"/>
              <w:spacing w:before="0" w:beforeAutospacing="0" w:after="0" w:afterAutospacing="0"/>
              <w:jc w:val="both"/>
              <w:rPr>
                <w:sz w:val="20"/>
                <w:szCs w:val="20"/>
              </w:rPr>
            </w:pPr>
            <w:r>
              <w:rPr>
                <w:sz w:val="20"/>
                <w:szCs w:val="20"/>
              </w:rPr>
              <w:t>Johann Tse</w:t>
            </w:r>
          </w:p>
          <w:p w14:paraId="745B00A1" w14:textId="77777777" w:rsidR="00000000" w:rsidRDefault="007F5353">
            <w:pPr>
              <w:pStyle w:val="a3"/>
              <w:spacing w:before="0" w:beforeAutospacing="0" w:after="0" w:afterAutospacing="0"/>
              <w:rPr>
                <w:sz w:val="20"/>
                <w:szCs w:val="20"/>
              </w:rPr>
            </w:pPr>
            <w:r>
              <w:rPr>
                <w:sz w:val="20"/>
                <w:szCs w:val="20"/>
              </w:rPr>
              <w:t>Chief Executive Officer</w:t>
            </w:r>
          </w:p>
        </w:tc>
      </w:tr>
    </w:tbl>
    <w:p w14:paraId="05E24BF3" w14:textId="77777777" w:rsidR="00000000" w:rsidRDefault="007F535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B5849EA" w14:textId="77777777">
        <w:trPr>
          <w:divId w:val="1088191255"/>
        </w:trPr>
        <w:tc>
          <w:tcPr>
            <w:tcW w:w="5000" w:type="pct"/>
            <w:hideMark/>
          </w:tcPr>
          <w:p w14:paraId="55885CAD" w14:textId="77777777" w:rsidR="00000000" w:rsidRDefault="007F5353">
            <w:pPr>
              <w:jc w:val="center"/>
              <w:rPr>
                <w:rFonts w:eastAsia="Times New Roman"/>
                <w:sz w:val="20"/>
                <w:szCs w:val="20"/>
              </w:rPr>
            </w:pPr>
            <w:r>
              <w:rPr>
                <w:rFonts w:eastAsia="Times New Roman"/>
                <w:sz w:val="20"/>
                <w:szCs w:val="20"/>
              </w:rPr>
              <w:t>9</w:t>
            </w:r>
          </w:p>
        </w:tc>
      </w:tr>
    </w:tbl>
    <w:p w14:paraId="35187385" w14:textId="77777777" w:rsidR="00000000" w:rsidRDefault="007F5353">
      <w:pPr>
        <w:pStyle w:val="a3"/>
        <w:spacing w:before="0" w:beforeAutospacing="0" w:after="0" w:afterAutospacing="0"/>
        <w:jc w:val="both"/>
        <w:rPr>
          <w:sz w:val="20"/>
          <w:szCs w:val="20"/>
        </w:rPr>
      </w:pPr>
      <w:r>
        <w:rPr>
          <w:sz w:val="20"/>
          <w:szCs w:val="20"/>
        </w:rPr>
        <w:t> </w:t>
      </w:r>
    </w:p>
    <w:p w14:paraId="0614832C" w14:textId="77777777" w:rsidR="007F5353" w:rsidRDefault="007F5353">
      <w:pPr>
        <w:pStyle w:val="a3"/>
        <w:shd w:val="clear" w:color="auto" w:fill="FFFFFF"/>
        <w:spacing w:before="0" w:beforeAutospacing="0" w:after="0" w:afterAutospacing="0"/>
        <w:jc w:val="right"/>
        <w:rPr>
          <w:sz w:val="20"/>
          <w:szCs w:val="20"/>
        </w:rPr>
      </w:pPr>
      <w:r>
        <w:rPr>
          <w:sz w:val="20"/>
          <w:szCs w:val="20"/>
        </w:rPr>
        <w:t>  </w:t>
      </w:r>
    </w:p>
    <w:sectPr w:rsidR="007F535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F5353"/>
    <w:rsid w:val="007F5353"/>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fasb.org/srt/2022"/>
  <w:attachedSchema w:val="http://broadcapitalacquisitioncorp.com/2022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FAB5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967">
      <w:marLeft w:val="0"/>
      <w:marRight w:val="0"/>
      <w:marTop w:val="0"/>
      <w:marBottom w:val="120"/>
      <w:divBdr>
        <w:top w:val="none" w:sz="0" w:space="0" w:color="auto"/>
        <w:left w:val="none" w:sz="0" w:space="0" w:color="auto"/>
        <w:bottom w:val="single" w:sz="12" w:space="0" w:color="000000"/>
        <w:right w:val="none" w:sz="0" w:space="0" w:color="auto"/>
      </w:divBdr>
    </w:div>
    <w:div w:id="78840504">
      <w:marLeft w:val="0"/>
      <w:marRight w:val="0"/>
      <w:marTop w:val="0"/>
      <w:marBottom w:val="0"/>
      <w:divBdr>
        <w:top w:val="none" w:sz="0" w:space="0" w:color="auto"/>
        <w:left w:val="none" w:sz="0" w:space="0" w:color="auto"/>
        <w:bottom w:val="none" w:sz="0" w:space="0" w:color="auto"/>
        <w:right w:val="none" w:sz="0" w:space="0" w:color="auto"/>
      </w:divBdr>
      <w:divsChild>
        <w:div w:id="1967007340">
          <w:marLeft w:val="0"/>
          <w:marRight w:val="0"/>
          <w:marTop w:val="0"/>
          <w:marBottom w:val="0"/>
          <w:divBdr>
            <w:top w:val="single" w:sz="12" w:space="0" w:color="000000"/>
            <w:left w:val="none" w:sz="0" w:space="0" w:color="auto"/>
            <w:bottom w:val="single" w:sz="36" w:space="0" w:color="000000"/>
            <w:right w:val="none" w:sz="0" w:space="0" w:color="auto"/>
          </w:divBdr>
        </w:div>
      </w:divsChild>
    </w:div>
    <w:div w:id="172842202">
      <w:marLeft w:val="0"/>
      <w:marRight w:val="0"/>
      <w:marTop w:val="0"/>
      <w:marBottom w:val="120"/>
      <w:divBdr>
        <w:top w:val="none" w:sz="0" w:space="0" w:color="auto"/>
        <w:left w:val="none" w:sz="0" w:space="0" w:color="auto"/>
        <w:bottom w:val="single" w:sz="12" w:space="0" w:color="000000"/>
        <w:right w:val="none" w:sz="0" w:space="0" w:color="auto"/>
      </w:divBdr>
    </w:div>
    <w:div w:id="293022700">
      <w:marLeft w:val="0"/>
      <w:marRight w:val="0"/>
      <w:marTop w:val="0"/>
      <w:marBottom w:val="0"/>
      <w:divBdr>
        <w:top w:val="none" w:sz="0" w:space="0" w:color="auto"/>
        <w:left w:val="none" w:sz="0" w:space="0" w:color="auto"/>
        <w:bottom w:val="none" w:sz="0" w:space="0" w:color="auto"/>
        <w:right w:val="none" w:sz="0" w:space="0" w:color="auto"/>
      </w:divBdr>
      <w:divsChild>
        <w:div w:id="834421034">
          <w:marLeft w:val="0"/>
          <w:marRight w:val="0"/>
          <w:marTop w:val="0"/>
          <w:marBottom w:val="0"/>
          <w:divBdr>
            <w:top w:val="single" w:sz="12" w:space="0" w:color="000000"/>
            <w:left w:val="none" w:sz="0" w:space="0" w:color="auto"/>
            <w:bottom w:val="none" w:sz="0" w:space="0" w:color="auto"/>
            <w:right w:val="none" w:sz="0" w:space="0" w:color="auto"/>
          </w:divBdr>
        </w:div>
      </w:divsChild>
    </w:div>
    <w:div w:id="393547193">
      <w:marLeft w:val="0"/>
      <w:marRight w:val="0"/>
      <w:marTop w:val="0"/>
      <w:marBottom w:val="0"/>
      <w:divBdr>
        <w:top w:val="none" w:sz="0" w:space="0" w:color="auto"/>
        <w:left w:val="none" w:sz="0" w:space="0" w:color="auto"/>
        <w:bottom w:val="none" w:sz="0" w:space="0" w:color="auto"/>
        <w:right w:val="none" w:sz="0" w:space="0" w:color="auto"/>
      </w:divBdr>
      <w:divsChild>
        <w:div w:id="653485237">
          <w:marLeft w:val="0"/>
          <w:marRight w:val="0"/>
          <w:marTop w:val="0"/>
          <w:marBottom w:val="0"/>
          <w:divBdr>
            <w:top w:val="single" w:sz="12" w:space="0" w:color="000000"/>
            <w:left w:val="none" w:sz="0" w:space="0" w:color="auto"/>
            <w:bottom w:val="none" w:sz="0" w:space="0" w:color="auto"/>
            <w:right w:val="none" w:sz="0" w:space="0" w:color="auto"/>
          </w:divBdr>
        </w:div>
      </w:divsChild>
    </w:div>
    <w:div w:id="440494231">
      <w:marLeft w:val="0"/>
      <w:marRight w:val="0"/>
      <w:marTop w:val="0"/>
      <w:marBottom w:val="120"/>
      <w:divBdr>
        <w:top w:val="none" w:sz="0" w:space="0" w:color="auto"/>
        <w:left w:val="none" w:sz="0" w:space="0" w:color="auto"/>
        <w:bottom w:val="single" w:sz="12" w:space="0" w:color="000000"/>
        <w:right w:val="none" w:sz="0" w:space="0" w:color="auto"/>
      </w:divBdr>
    </w:div>
    <w:div w:id="538517540">
      <w:marLeft w:val="0"/>
      <w:marRight w:val="0"/>
      <w:marTop w:val="0"/>
      <w:marBottom w:val="120"/>
      <w:divBdr>
        <w:top w:val="none" w:sz="0" w:space="0" w:color="auto"/>
        <w:left w:val="none" w:sz="0" w:space="0" w:color="auto"/>
        <w:bottom w:val="single" w:sz="12" w:space="0" w:color="000000"/>
        <w:right w:val="none" w:sz="0" w:space="0" w:color="auto"/>
      </w:divBdr>
    </w:div>
    <w:div w:id="744033246">
      <w:marLeft w:val="0"/>
      <w:marRight w:val="0"/>
      <w:marTop w:val="0"/>
      <w:marBottom w:val="120"/>
      <w:divBdr>
        <w:top w:val="none" w:sz="0" w:space="0" w:color="auto"/>
        <w:left w:val="none" w:sz="0" w:space="0" w:color="auto"/>
        <w:bottom w:val="single" w:sz="12" w:space="0" w:color="000000"/>
        <w:right w:val="none" w:sz="0" w:space="0" w:color="auto"/>
      </w:divBdr>
    </w:div>
    <w:div w:id="790437767">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120"/>
      <w:divBdr>
        <w:top w:val="none" w:sz="0" w:space="0" w:color="auto"/>
        <w:left w:val="none" w:sz="0" w:space="0" w:color="auto"/>
        <w:bottom w:val="single" w:sz="12" w:space="0" w:color="000000"/>
        <w:right w:val="none" w:sz="0" w:space="0" w:color="auto"/>
      </w:divBdr>
    </w:div>
    <w:div w:id="886261697">
      <w:marLeft w:val="0"/>
      <w:marRight w:val="0"/>
      <w:marTop w:val="0"/>
      <w:marBottom w:val="120"/>
      <w:divBdr>
        <w:top w:val="none" w:sz="0" w:space="0" w:color="auto"/>
        <w:left w:val="none" w:sz="0" w:space="0" w:color="auto"/>
        <w:bottom w:val="single" w:sz="12" w:space="0" w:color="000000"/>
        <w:right w:val="none" w:sz="0" w:space="0" w:color="auto"/>
      </w:divBdr>
    </w:div>
    <w:div w:id="908031598">
      <w:marLeft w:val="0"/>
      <w:marRight w:val="0"/>
      <w:marTop w:val="0"/>
      <w:marBottom w:val="120"/>
      <w:divBdr>
        <w:top w:val="none" w:sz="0" w:space="0" w:color="auto"/>
        <w:left w:val="none" w:sz="0" w:space="0" w:color="auto"/>
        <w:bottom w:val="single" w:sz="12" w:space="0" w:color="000000"/>
        <w:right w:val="none" w:sz="0" w:space="0" w:color="auto"/>
      </w:divBdr>
    </w:div>
    <w:div w:id="921645548">
      <w:marLeft w:val="0"/>
      <w:marRight w:val="0"/>
      <w:marTop w:val="0"/>
      <w:marBottom w:val="120"/>
      <w:divBdr>
        <w:top w:val="none" w:sz="0" w:space="0" w:color="auto"/>
        <w:left w:val="none" w:sz="0" w:space="0" w:color="auto"/>
        <w:bottom w:val="single" w:sz="12" w:space="0" w:color="000000"/>
        <w:right w:val="none" w:sz="0" w:space="0" w:color="auto"/>
      </w:divBdr>
    </w:div>
    <w:div w:id="939676311">
      <w:marLeft w:val="0"/>
      <w:marRight w:val="0"/>
      <w:marTop w:val="0"/>
      <w:marBottom w:val="120"/>
      <w:divBdr>
        <w:top w:val="none" w:sz="0" w:space="0" w:color="auto"/>
        <w:left w:val="none" w:sz="0" w:space="0" w:color="auto"/>
        <w:bottom w:val="single" w:sz="12" w:space="0" w:color="000000"/>
        <w:right w:val="none" w:sz="0" w:space="0" w:color="auto"/>
      </w:divBdr>
    </w:div>
    <w:div w:id="988825299">
      <w:marLeft w:val="0"/>
      <w:marRight w:val="0"/>
      <w:marTop w:val="0"/>
      <w:marBottom w:val="120"/>
      <w:divBdr>
        <w:top w:val="none" w:sz="0" w:space="0" w:color="auto"/>
        <w:left w:val="none" w:sz="0" w:space="0" w:color="auto"/>
        <w:bottom w:val="single" w:sz="12" w:space="0" w:color="000000"/>
        <w:right w:val="none" w:sz="0" w:space="0" w:color="auto"/>
      </w:divBdr>
    </w:div>
    <w:div w:id="1039664080">
      <w:marLeft w:val="0"/>
      <w:marRight w:val="0"/>
      <w:marTop w:val="0"/>
      <w:marBottom w:val="120"/>
      <w:divBdr>
        <w:top w:val="none" w:sz="0" w:space="0" w:color="auto"/>
        <w:left w:val="none" w:sz="0" w:space="0" w:color="auto"/>
        <w:bottom w:val="single" w:sz="12" w:space="0" w:color="000000"/>
        <w:right w:val="none" w:sz="0" w:space="0" w:color="auto"/>
      </w:divBdr>
    </w:div>
    <w:div w:id="1088191255">
      <w:marLeft w:val="0"/>
      <w:marRight w:val="0"/>
      <w:marTop w:val="0"/>
      <w:marBottom w:val="120"/>
      <w:divBdr>
        <w:top w:val="none" w:sz="0" w:space="0" w:color="auto"/>
        <w:left w:val="none" w:sz="0" w:space="0" w:color="auto"/>
        <w:bottom w:val="single" w:sz="12" w:space="0" w:color="000000"/>
        <w:right w:val="none" w:sz="0" w:space="0" w:color="auto"/>
      </w:divBdr>
    </w:div>
    <w:div w:id="1107385706">
      <w:marLeft w:val="0"/>
      <w:marRight w:val="0"/>
      <w:marTop w:val="0"/>
      <w:marBottom w:val="0"/>
      <w:divBdr>
        <w:top w:val="none" w:sz="0" w:space="0" w:color="auto"/>
        <w:left w:val="none" w:sz="0" w:space="0" w:color="auto"/>
        <w:bottom w:val="none" w:sz="0" w:space="0" w:color="auto"/>
        <w:right w:val="none" w:sz="0" w:space="0" w:color="auto"/>
      </w:divBdr>
      <w:divsChild>
        <w:div w:id="287317553">
          <w:marLeft w:val="0"/>
          <w:marRight w:val="0"/>
          <w:marTop w:val="0"/>
          <w:marBottom w:val="0"/>
          <w:divBdr>
            <w:top w:val="single" w:sz="12" w:space="0" w:color="000000"/>
            <w:left w:val="none" w:sz="0" w:space="0" w:color="auto"/>
            <w:bottom w:val="none" w:sz="0" w:space="0" w:color="auto"/>
            <w:right w:val="none" w:sz="0" w:space="0" w:color="auto"/>
          </w:divBdr>
        </w:div>
      </w:divsChild>
    </w:div>
    <w:div w:id="1157572736">
      <w:marLeft w:val="0"/>
      <w:marRight w:val="0"/>
      <w:marTop w:val="0"/>
      <w:marBottom w:val="120"/>
      <w:divBdr>
        <w:top w:val="none" w:sz="0" w:space="0" w:color="auto"/>
        <w:left w:val="none" w:sz="0" w:space="0" w:color="auto"/>
        <w:bottom w:val="single" w:sz="12" w:space="0" w:color="000000"/>
        <w:right w:val="none" w:sz="0" w:space="0" w:color="auto"/>
      </w:divBdr>
    </w:div>
    <w:div w:id="1183783248">
      <w:marLeft w:val="0"/>
      <w:marRight w:val="0"/>
      <w:marTop w:val="0"/>
      <w:marBottom w:val="0"/>
      <w:divBdr>
        <w:top w:val="none" w:sz="0" w:space="0" w:color="auto"/>
        <w:left w:val="none" w:sz="0" w:space="0" w:color="auto"/>
        <w:bottom w:val="none" w:sz="0" w:space="0" w:color="auto"/>
        <w:right w:val="none" w:sz="0" w:space="0" w:color="auto"/>
      </w:divBdr>
      <w:divsChild>
        <w:div w:id="402261054">
          <w:marLeft w:val="0"/>
          <w:marRight w:val="0"/>
          <w:marTop w:val="0"/>
          <w:marBottom w:val="0"/>
          <w:divBdr>
            <w:top w:val="single" w:sz="12" w:space="0" w:color="000000"/>
            <w:left w:val="none" w:sz="0" w:space="0" w:color="auto"/>
            <w:bottom w:val="none" w:sz="0" w:space="0" w:color="auto"/>
            <w:right w:val="none" w:sz="0" w:space="0" w:color="auto"/>
          </w:divBdr>
        </w:div>
      </w:divsChild>
    </w:div>
    <w:div w:id="1237279382">
      <w:marLeft w:val="0"/>
      <w:marRight w:val="0"/>
      <w:marTop w:val="0"/>
      <w:marBottom w:val="120"/>
      <w:divBdr>
        <w:top w:val="none" w:sz="0" w:space="0" w:color="auto"/>
        <w:left w:val="none" w:sz="0" w:space="0" w:color="auto"/>
        <w:bottom w:val="single" w:sz="12" w:space="0" w:color="000000"/>
        <w:right w:val="none" w:sz="0" w:space="0" w:color="auto"/>
      </w:divBdr>
    </w:div>
    <w:div w:id="1323506616">
      <w:marLeft w:val="0"/>
      <w:marRight w:val="0"/>
      <w:marTop w:val="0"/>
      <w:marBottom w:val="120"/>
      <w:divBdr>
        <w:top w:val="none" w:sz="0" w:space="0" w:color="auto"/>
        <w:left w:val="none" w:sz="0" w:space="0" w:color="auto"/>
        <w:bottom w:val="single" w:sz="12" w:space="0" w:color="000000"/>
        <w:right w:val="none" w:sz="0" w:space="0" w:color="auto"/>
      </w:divBdr>
    </w:div>
    <w:div w:id="1565066501">
      <w:marLeft w:val="0"/>
      <w:marRight w:val="0"/>
      <w:marTop w:val="0"/>
      <w:marBottom w:val="120"/>
      <w:divBdr>
        <w:top w:val="none" w:sz="0" w:space="0" w:color="auto"/>
        <w:left w:val="none" w:sz="0" w:space="0" w:color="auto"/>
        <w:bottom w:val="single" w:sz="12" w:space="0" w:color="000000"/>
        <w:right w:val="none" w:sz="0" w:space="0" w:color="auto"/>
      </w:divBdr>
    </w:div>
    <w:div w:id="1662080122">
      <w:marLeft w:val="0"/>
      <w:marRight w:val="0"/>
      <w:marTop w:val="0"/>
      <w:marBottom w:val="0"/>
      <w:divBdr>
        <w:top w:val="none" w:sz="0" w:space="0" w:color="auto"/>
        <w:left w:val="none" w:sz="0" w:space="0" w:color="auto"/>
        <w:bottom w:val="none" w:sz="0" w:space="0" w:color="auto"/>
        <w:right w:val="none" w:sz="0" w:space="0" w:color="auto"/>
      </w:divBdr>
      <w:divsChild>
        <w:div w:id="557126890">
          <w:marLeft w:val="0"/>
          <w:marRight w:val="0"/>
          <w:marTop w:val="0"/>
          <w:marBottom w:val="0"/>
          <w:divBdr>
            <w:top w:val="single" w:sz="12" w:space="0" w:color="000000"/>
            <w:left w:val="none" w:sz="0" w:space="0" w:color="auto"/>
            <w:bottom w:val="none" w:sz="0" w:space="0" w:color="auto"/>
            <w:right w:val="none" w:sz="0" w:space="0" w:color="auto"/>
          </w:divBdr>
        </w:div>
      </w:divsChild>
    </w:div>
    <w:div w:id="1833524289">
      <w:marLeft w:val="0"/>
      <w:marRight w:val="0"/>
      <w:marTop w:val="0"/>
      <w:marBottom w:val="120"/>
      <w:divBdr>
        <w:top w:val="none" w:sz="0" w:space="0" w:color="auto"/>
        <w:left w:val="none" w:sz="0" w:space="0" w:color="auto"/>
        <w:bottom w:val="single" w:sz="12" w:space="0" w:color="000000"/>
        <w:right w:val="none" w:sz="0" w:space="0" w:color="auto"/>
      </w:divBdr>
    </w:div>
    <w:div w:id="1883319057">
      <w:marLeft w:val="0"/>
      <w:marRight w:val="0"/>
      <w:marTop w:val="0"/>
      <w:marBottom w:val="120"/>
      <w:divBdr>
        <w:top w:val="none" w:sz="0" w:space="0" w:color="auto"/>
        <w:left w:val="none" w:sz="0" w:space="0" w:color="auto"/>
        <w:bottom w:val="single" w:sz="12" w:space="0" w:color="000000"/>
        <w:right w:val="none" w:sz="0" w:space="0" w:color="auto"/>
      </w:divBdr>
    </w:div>
    <w:div w:id="1915510619">
      <w:marLeft w:val="0"/>
      <w:marRight w:val="0"/>
      <w:marTop w:val="0"/>
      <w:marBottom w:val="120"/>
      <w:divBdr>
        <w:top w:val="none" w:sz="0" w:space="0" w:color="auto"/>
        <w:left w:val="none" w:sz="0" w:space="0" w:color="auto"/>
        <w:bottom w:val="single" w:sz="12" w:space="0" w:color="000000"/>
        <w:right w:val="none" w:sz="0" w:space="0" w:color="auto"/>
      </w:divBdr>
    </w:div>
    <w:div w:id="1937470552">
      <w:marLeft w:val="0"/>
      <w:marRight w:val="0"/>
      <w:marTop w:val="0"/>
      <w:marBottom w:val="120"/>
      <w:divBdr>
        <w:top w:val="none" w:sz="0" w:space="0" w:color="auto"/>
        <w:left w:val="none" w:sz="0" w:space="0" w:color="auto"/>
        <w:bottom w:val="single" w:sz="12" w:space="0" w:color="000000"/>
        <w:right w:val="none" w:sz="0" w:space="0" w:color="auto"/>
      </w:divBdr>
    </w:div>
    <w:div w:id="2102870252">
      <w:marLeft w:val="0"/>
      <w:marRight w:val="0"/>
      <w:marTop w:val="0"/>
      <w:marBottom w:val="0"/>
      <w:divBdr>
        <w:top w:val="none" w:sz="0" w:space="0" w:color="auto"/>
        <w:left w:val="none" w:sz="0" w:space="0" w:color="auto"/>
        <w:bottom w:val="none" w:sz="0" w:space="0" w:color="auto"/>
        <w:right w:val="none" w:sz="0" w:space="0" w:color="auto"/>
      </w:divBdr>
      <w:divsChild>
        <w:div w:id="426538749">
          <w:marLeft w:val="0"/>
          <w:marRight w:val="0"/>
          <w:marTop w:val="0"/>
          <w:marBottom w:val="0"/>
          <w:divBdr>
            <w:top w:val="single" w:sz="36" w:space="0" w:color="000000"/>
            <w:left w:val="none" w:sz="0" w:space="0" w:color="auto"/>
            <w:bottom w:val="single" w:sz="12" w:space="0" w:color="000000"/>
            <w:right w:val="none" w:sz="0" w:space="0" w:color="auto"/>
          </w:divBdr>
        </w:div>
      </w:divsChild>
    </w:div>
    <w:div w:id="2103724737">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Broad%20Capital%20Acquisition%20Corp\form10-q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11961</Words>
  <Characters>68182</Characters>
  <Application>Microsoft Office Word</Application>
  <DocSecurity>0</DocSecurity>
  <Lines>568</Lines>
  <Paragraphs>159</Paragraphs>
  <ScaleCrop>false</ScaleCrop>
  <Company/>
  <LinksUpToDate>false</LinksUpToDate>
  <CharactersWithSpaces>79984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2024-01-04T15:33:00Z</dcterms:created>
  <dcterms:modified xsi:type="dcterms:W3CDTF">2024-01-04T15:33:00Z</dcterms:modified>
</cp:coreProperties>
</file>