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C17DB">
      <w:pPr>
        <w:divId w:val="1696072672"/>
        <w:rPr>
          <w:rFonts w:eastAsia="Times New Roman"/>
          <w:vanish/>
          <w:sz w:val="20"/>
          <w:szCs w:val="20"/>
        </w:rPr>
      </w:pPr>
      <w:r>
        <w:rPr>
          <w:rFonts w:eastAsia="Times New Roman"/>
          <w:vanish/>
          <w:sz w:val="20"/>
          <w:szCs w:val="20"/>
        </w:rPr>
        <w:t xml:space="preserve">0001865120 false Q3 2022 --12-31 0001865120 2022-01-01 2022-09-30 0001865120 </w:t>
      </w:r>
      <w:r>
        <w:rPr>
          <w:rFonts w:eastAsia="Times New Roman"/>
          <w:vanish/>
          <w:sz w:val="20"/>
          <w:szCs w:val="20"/>
        </w:rPr>
        <w:t>BRAC:UnitsEachConsistingOfOneShareOfCommonStockParValue0.000001PerShareAndOneRightToAcquire110OfOneShareOfCommonStockMember 2022-01-01 2022-09-30 0001865120 BRAC:CommonStockIncludedAsPartOfUnitsMember 2022-01-01 2022-09-30 0001865120 BRAC:RightsIncludedAsP</w:t>
      </w:r>
      <w:r>
        <w:rPr>
          <w:rFonts w:eastAsia="Times New Roman"/>
          <w:vanish/>
          <w:sz w:val="20"/>
          <w:szCs w:val="20"/>
        </w:rPr>
        <w:t>artOfUnitsMember 2022-01-01 2022-09-30 0001865120 2022-11-14 0001865120 2022-09-30 0001865120 2021-12-31 0001865120 2022-07-01 2022-09-30 0001865120 2021-04-16 2021-09-30 0001865120 us-gaap:CommonStockMember 2021-12-31 0001865120 us-gaap:AdditionalPaidInCa</w:t>
      </w:r>
      <w:r>
        <w:rPr>
          <w:rFonts w:eastAsia="Times New Roman"/>
          <w:vanish/>
          <w:sz w:val="20"/>
          <w:szCs w:val="20"/>
        </w:rPr>
        <w:t>pitalMember 2021-12-31 0001865120 us-gaap:RetainedEarningsMember 2021-12-31 0001865120 us-gaap:CommonStockMember 2022-03-31 0001865120 us-gaap:AdditionalPaidInCapitalMember 2022-03-31 0001865120 us-gaap:RetainedEarningsMember 2022-03-31 0001865120 2022-03-</w:t>
      </w:r>
      <w:r>
        <w:rPr>
          <w:rFonts w:eastAsia="Times New Roman"/>
          <w:vanish/>
          <w:sz w:val="20"/>
          <w:szCs w:val="20"/>
        </w:rPr>
        <w:t>31 0001865120 us-gaap:CommonStockMember 2022-06-30 0001865120 us-gaap:AdditionalPaidInCapitalMember 2022-06-30 0001865120 us-gaap:RetainedEarningsMember 2022-06-30 0001865120 2022-06-30 0001865120 us-gaap:CommonStockMember 2021-04-15 0001865120 us-gaap:Add</w:t>
      </w:r>
      <w:r>
        <w:rPr>
          <w:rFonts w:eastAsia="Times New Roman"/>
          <w:vanish/>
          <w:sz w:val="20"/>
          <w:szCs w:val="20"/>
        </w:rPr>
        <w:t>itionalPaidInCapitalMember 2021-04-15 0001865120 us-gaap:RetainedEarningsMember 2021-04-15 0001865120 2021-04-15 0001865120 us-gaap:CommonStockMember 2021-06-30 0001865120 us-gaap:AdditionalPaidInCapitalMember 2021-06-30 0001865120 us-gaap:RetainedEarnings</w:t>
      </w:r>
      <w:r>
        <w:rPr>
          <w:rFonts w:eastAsia="Times New Roman"/>
          <w:vanish/>
          <w:sz w:val="20"/>
          <w:szCs w:val="20"/>
        </w:rPr>
        <w:t xml:space="preserve">Member 2021-06-30 0001865120 2021-06-30 0001865120 us-gaap:CommonStockMember 2022-01-01 2022-03-31 0001865120 us-gaap:AdditionalPaidInCapitalMember 2022-01-01 2022-03-31 0001865120 us-gaap:RetainedEarningsMember 2022-01-01 2022-03-31 0001865120 2022-01-01 </w:t>
      </w:r>
      <w:r>
        <w:rPr>
          <w:rFonts w:eastAsia="Times New Roman"/>
          <w:vanish/>
          <w:sz w:val="20"/>
          <w:szCs w:val="20"/>
        </w:rPr>
        <w:t>2022-03-31 0001865120 us-gaap:CommonStockMember 2022-04-01 2022-06-30 0001865120 us-gaap:AdditionalPaidInCapitalMember 2022-04-01 2022-06-30 0001865120 us-gaap:RetainedEarningsMember 2022-04-01 2022-06-30 0001865120 2022-04-01 2022-06-30 0001865120 us-gaap</w:t>
      </w:r>
      <w:r>
        <w:rPr>
          <w:rFonts w:eastAsia="Times New Roman"/>
          <w:vanish/>
          <w:sz w:val="20"/>
          <w:szCs w:val="20"/>
        </w:rPr>
        <w:t>:CommonStockMember 2022-07-01 2022-09-30 0001865120 us-gaap:AdditionalPaidInCapitalMember 2022-07-01 2022-09-30 0001865120 us-gaap:RetainedEarningsMember 2022-07-01 2022-09-30 0001865120 us-gaap:CommonStockMember 2021-04-16 2021-06-30 0001865120 us-gaap:Ad</w:t>
      </w:r>
      <w:r>
        <w:rPr>
          <w:rFonts w:eastAsia="Times New Roman"/>
          <w:vanish/>
          <w:sz w:val="20"/>
          <w:szCs w:val="20"/>
        </w:rPr>
        <w:t>ditionalPaidInCapitalMember 2021-04-16 2021-06-30 0001865120 us-gaap:RetainedEarningsMember 2021-04-16 2021-06-30 0001865120 2021-04-16 2021-06-30 0001865120 us-gaap:CommonStockMember 2021-07-01 2021-09-30 0001865120 us-gaap:AdditionalPaidInCapitalMember 2</w:t>
      </w:r>
      <w:r>
        <w:rPr>
          <w:rFonts w:eastAsia="Times New Roman"/>
          <w:vanish/>
          <w:sz w:val="20"/>
          <w:szCs w:val="20"/>
        </w:rPr>
        <w:t>021-07-01 2021-09-30 0001865120 us-gaap:RetainedEarningsMember 2021-07-01 2021-09-30 0001865120 2021-07-01 2021-09-30 0001865120 us-gaap:CommonStockMember 2022-09-30 0001865120 us-gaap:AdditionalPaidInCapitalMember 2022-09-30 0001865120 us-gaap:RetainedEar</w:t>
      </w:r>
      <w:r>
        <w:rPr>
          <w:rFonts w:eastAsia="Times New Roman"/>
          <w:vanish/>
          <w:sz w:val="20"/>
          <w:szCs w:val="20"/>
        </w:rPr>
        <w:t>ningsMember 2022-09-30 0001865120 us-gaap:CommonStockMember 2021-09-30 0001865120 us-gaap:AdditionalPaidInCapitalMember 2021-09-30 0001865120 us-gaap:RetainedEarningsMember 2021-09-30 0001865120 2021-09-30 0001865120 us-gaap:IPOMember 2022-01-12 2022-01-13</w:t>
      </w:r>
      <w:r>
        <w:rPr>
          <w:rFonts w:eastAsia="Times New Roman"/>
          <w:vanish/>
          <w:sz w:val="20"/>
          <w:szCs w:val="20"/>
        </w:rPr>
        <w:t xml:space="preserve"> 0001865120 us-gaap:IPOMember 2022-01-13 0001865120 us-gaap:OverAllotmentOptionMember 2022-01-12 2022-01-13 0001865120 us-gaap:OverAllotmentOptionMember 2022-02-07 2022-02-10 0001865120 us-gaap:PrivatePlacementMember 2022-01-12 2022-01-13 0001865120 us-gaa</w:t>
      </w:r>
      <w:r>
        <w:rPr>
          <w:rFonts w:eastAsia="Times New Roman"/>
          <w:vanish/>
          <w:sz w:val="20"/>
          <w:szCs w:val="20"/>
        </w:rPr>
        <w:t>p:PrivatePlacementMember 2022-01-13 0001865120 BRAC:BroadCapitalLLCMember us-gaap:OverAllotmentOptionMember 2022-02-07 2022-02-10 0001865120 us-gaap:OverAllotmentOptionMember 2022-02-07 2022-02-09 0001865120 2022-02-07 2022-02-09 0001865120 2022-01-12 2022</w:t>
      </w:r>
      <w:r>
        <w:rPr>
          <w:rFonts w:eastAsia="Times New Roman"/>
          <w:vanish/>
          <w:sz w:val="20"/>
          <w:szCs w:val="20"/>
        </w:rPr>
        <w:t>-01-13 0001865120 2022-01-13 0001865120 BRAC:PostBusinessCombinationMember 2022-01-12 2022-01-13 0001865120 BRAC:TrustAccountMember 2022-01-13 0001865120 BRAC:TrustAccountMember 2022-01-12 2022-01-13 0001865120 2022-01-18 2022-01-19 0001865120 BRAC:BroadCa</w:t>
      </w:r>
      <w:r>
        <w:rPr>
          <w:rFonts w:eastAsia="Times New Roman"/>
          <w:vanish/>
          <w:sz w:val="20"/>
          <w:szCs w:val="20"/>
        </w:rPr>
        <w:t>pitalLLCMember us-gaap:OverAllotmentOptionMember 2022-02-10 0001865120 BRAC:SponsorMember 2021-05-06 2021-05-07 0001865120 BRAC:SponsorMember 2021-05-07 0001865120 BRAC:SponsorMember 2021-05-24 2021-05-25 0001865120 BRAC:FourIndependentDirectorsMember 2021</w:t>
      </w:r>
      <w:r>
        <w:rPr>
          <w:rFonts w:eastAsia="Times New Roman"/>
          <w:vanish/>
          <w:sz w:val="20"/>
          <w:szCs w:val="20"/>
        </w:rPr>
        <w:t>-05-24 2021-05-25 0001865120 2022-02-07 2022-02-10 0001865120 BRAC:InsiderSharesMember 2022-09-30 0001865120 BRAC:SponsorMember 2021-04-16 0001865120 BRAC:SponsorMember 2022-09-30 0001865120 BRAC:SponsorMember 2022-01-18 2022-01-19 0001865120 BRAC:SponsorM</w:t>
      </w:r>
      <w:r>
        <w:rPr>
          <w:rFonts w:eastAsia="Times New Roman"/>
          <w:vanish/>
          <w:sz w:val="20"/>
          <w:szCs w:val="20"/>
        </w:rPr>
        <w:t>ember 2022-01-01 2022-09-30 0001865120 BRAC:AdministrativeSupportAgreementMember 2022-01-01 2022-09-30 0001865120 BRAC:AdministrativeSupportAgreementMember 2021-04-16 2022-09-30 0001865120 BRAC:UnderwritingAgreementMember 2022-02-09 0001865120 BRAC:Underwr</w:t>
      </w:r>
      <w:r>
        <w:rPr>
          <w:rFonts w:eastAsia="Times New Roman"/>
          <w:vanish/>
          <w:sz w:val="20"/>
          <w:szCs w:val="20"/>
        </w:rPr>
        <w:t xml:space="preserve">itingAgreementMember 2022-02-07 2022-02-09 0001865120 us-gaap:OverAllotmentOptionMember 2022-02-10 iso4217:USD xbrli:shares iso4217:USD xbrli:shares xbrli:pure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divId w:val="507674439"/>
        <w:rPr>
          <w:rFonts w:eastAsia="Times New Roman"/>
          <w:sz w:val="2"/>
          <w:szCs w:val="2"/>
        </w:rPr>
      </w:pPr>
      <w:r>
        <w:rPr>
          <w:rFonts w:eastAsia="Times New Roman"/>
          <w:sz w:val="2"/>
          <w:szCs w:val="2"/>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36"/>
          <w:szCs w:val="36"/>
        </w:rPr>
        <w:t>UNITED STATES</w:t>
      </w:r>
    </w:p>
    <w:p w:rsidR="00000000" w:rsidRDefault="00BC17DB">
      <w:pPr>
        <w:pStyle w:val="a3"/>
        <w:spacing w:before="0" w:beforeAutospacing="0" w:after="0" w:afterAutospacing="0"/>
        <w:jc w:val="center"/>
        <w:rPr>
          <w:sz w:val="20"/>
          <w:szCs w:val="20"/>
        </w:rPr>
      </w:pPr>
      <w:r>
        <w:rPr>
          <w:b/>
          <w:bCs/>
          <w:sz w:val="36"/>
          <w:szCs w:val="36"/>
        </w:rPr>
        <w:t>SECURITIES AND EXCHANGE COMMISSION</w:t>
      </w:r>
    </w:p>
    <w:p w:rsidR="00000000" w:rsidRDefault="00BC17DB">
      <w:pPr>
        <w:pStyle w:val="a3"/>
        <w:spacing w:before="0" w:beforeAutospacing="0" w:after="0" w:afterAutospacing="0"/>
        <w:jc w:val="center"/>
        <w:rPr>
          <w:sz w:val="20"/>
          <w:szCs w:val="20"/>
        </w:rPr>
      </w:pPr>
      <w:r>
        <w:rPr>
          <w:b/>
          <w:bCs/>
        </w:rPr>
        <w:t>Washington, D.C. 20549</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divId w:val="213930801"/>
        <w:rPr>
          <w:rFonts w:eastAsia="Times New Roman"/>
          <w:sz w:val="2"/>
          <w:szCs w:val="2"/>
        </w:rPr>
      </w:pPr>
      <w:r>
        <w:rPr>
          <w:rFonts w:eastAsia="Times New Roman"/>
          <w:sz w:val="2"/>
          <w:szCs w:val="2"/>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divId w:val="177738728"/>
        <w:rPr>
          <w:rFonts w:eastAsia="Times New Roman"/>
          <w:sz w:val="2"/>
          <w:szCs w:val="2"/>
        </w:rPr>
      </w:pPr>
      <w:r>
        <w:rPr>
          <w:rFonts w:eastAsia="Times New Roman"/>
          <w:sz w:val="2"/>
          <w:szCs w:val="2"/>
        </w:rPr>
        <w:t> </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5814"/>
        <w:gridCol w:w="1246"/>
      </w:tblGrid>
      <w:tr w:rsidR="00000000">
        <w:tc>
          <w:tcPr>
            <w:tcW w:w="750" w:type="pct"/>
            <w:vAlign w:val="bottom"/>
            <w:hideMark/>
          </w:tcPr>
          <w:p w:rsidR="00000000" w:rsidRDefault="00BC17DB">
            <w:pPr>
              <w:jc w:val="center"/>
              <w:rPr>
                <w:rFonts w:eastAsia="Times New Roman"/>
                <w:sz w:val="20"/>
                <w:szCs w:val="20"/>
              </w:rPr>
            </w:pPr>
            <w:r>
              <w:rPr>
                <w:rFonts w:eastAsia="Times New Roman"/>
                <w:sz w:val="20"/>
                <w:szCs w:val="20"/>
              </w:rPr>
              <w:t>(Mark One)</w:t>
            </w:r>
          </w:p>
        </w:tc>
        <w:tc>
          <w:tcPr>
            <w:tcW w:w="3500" w:type="pct"/>
            <w:vAlign w:val="bottom"/>
            <w:hideMark/>
          </w:tcPr>
          <w:p w:rsidR="00000000" w:rsidRDefault="00BC17DB">
            <w:pPr>
              <w:jc w:val="center"/>
              <w:rPr>
                <w:rFonts w:eastAsia="Times New Roman"/>
                <w:sz w:val="20"/>
                <w:szCs w:val="20"/>
              </w:rPr>
            </w:pPr>
            <w:r>
              <w:rPr>
                <w:rFonts w:eastAsia="Times New Roman"/>
                <w:sz w:val="20"/>
                <w:szCs w:val="20"/>
              </w:rPr>
              <w:t> </w:t>
            </w:r>
          </w:p>
        </w:tc>
        <w:tc>
          <w:tcPr>
            <w:tcW w:w="750" w:type="pct"/>
            <w:vAlign w:val="bottom"/>
            <w:hideMark/>
          </w:tcPr>
          <w:p w:rsidR="00000000" w:rsidRDefault="00BC17DB">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BC17DB">
            <w:pPr>
              <w:jc w:val="cente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BC17DB">
            <w:pPr>
              <w:pStyle w:val="a3"/>
              <w:spacing w:before="0" w:beforeAutospacing="0" w:after="0" w:afterAutospacing="0"/>
              <w:jc w:val="center"/>
              <w:rPr>
                <w:sz w:val="20"/>
                <w:szCs w:val="20"/>
              </w:rPr>
            </w:pPr>
            <w:r>
              <w:rPr>
                <w:b/>
                <w:bCs/>
                <w:sz w:val="20"/>
                <w:szCs w:val="20"/>
              </w:rPr>
              <w:t>QUARTERLY REPORT PURSUANT TO SECTION 13 OR 15(d)</w:t>
            </w:r>
          </w:p>
          <w:p w:rsidR="00000000" w:rsidRDefault="00BC17DB">
            <w:pPr>
              <w:pStyle w:val="a3"/>
              <w:spacing w:before="0" w:beforeAutospacing="0" w:after="0" w:afterAutospacing="0"/>
              <w:jc w:val="center"/>
              <w:rPr>
                <w:sz w:val="20"/>
                <w:szCs w:val="20"/>
              </w:rPr>
            </w:pPr>
            <w:r>
              <w:rPr>
                <w:b/>
                <w:bCs/>
                <w:sz w:val="20"/>
                <w:szCs w:val="20"/>
              </w:rPr>
              <w:t>OF THE SECURITIES EXCHANGE ACT OF 1934</w:t>
            </w:r>
          </w:p>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September 30, 202</w:t>
            </w:r>
            <w:r>
              <w:rPr>
                <w:b/>
                <w:bCs/>
                <w:sz w:val="20"/>
                <w:szCs w:val="20"/>
              </w:rPr>
              <w:t>2</w:t>
            </w:r>
            <w:r>
              <w:rPr>
                <w:b/>
                <w:bCs/>
                <w:sz w:val="20"/>
                <w:szCs w:val="20"/>
              </w:rPr>
              <w:t xml:space="preserve"> </w:t>
            </w:r>
          </w:p>
        </w:tc>
        <w:tc>
          <w:tcPr>
            <w:tcW w:w="0" w:type="auto"/>
            <w:hideMark/>
          </w:tcPr>
          <w:p w:rsidR="00000000" w:rsidRDefault="00BC17DB">
            <w:pPr>
              <w:jc w:val="cente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center"/>
        <w:rPr>
          <w:sz w:val="20"/>
          <w:szCs w:val="20"/>
        </w:rPr>
      </w:pPr>
      <w:r>
        <w:rPr>
          <w:b/>
          <w:bCs/>
          <w:sz w:val="20"/>
          <w:szCs w:val="20"/>
        </w:rPr>
        <w:t>or</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5814"/>
        <w:gridCol w:w="1246"/>
      </w:tblGrid>
      <w:tr w:rsidR="00000000">
        <w:tc>
          <w:tcPr>
            <w:tcW w:w="750" w:type="pct"/>
            <w:hideMark/>
          </w:tcPr>
          <w:p w:rsidR="00000000" w:rsidRDefault="00BC17DB">
            <w:pPr>
              <w:jc w:val="center"/>
              <w:rPr>
                <w:rFonts w:eastAsia="Times New Roman"/>
                <w:sz w:val="20"/>
                <w:szCs w:val="20"/>
              </w:rPr>
            </w:pPr>
            <w:r>
              <w:rPr>
                <w:rFonts w:ascii="Segoe UI Symbol" w:eastAsia="Times New Roman" w:hAnsi="Segoe UI Symbol" w:cs="Segoe UI Symbol"/>
                <w:b/>
                <w:bCs/>
                <w:sz w:val="20"/>
                <w:szCs w:val="20"/>
              </w:rPr>
              <w:t>☐</w:t>
            </w:r>
          </w:p>
        </w:tc>
        <w:tc>
          <w:tcPr>
            <w:tcW w:w="3500" w:type="pct"/>
            <w:hideMark/>
          </w:tcPr>
          <w:p w:rsidR="00000000" w:rsidRDefault="00BC17DB">
            <w:pPr>
              <w:pStyle w:val="a3"/>
              <w:spacing w:before="0" w:beforeAutospacing="0" w:after="0" w:afterAutospacing="0"/>
              <w:jc w:val="center"/>
              <w:rPr>
                <w:sz w:val="20"/>
                <w:szCs w:val="20"/>
              </w:rPr>
            </w:pPr>
            <w:r>
              <w:rPr>
                <w:b/>
                <w:bCs/>
                <w:sz w:val="20"/>
                <w:szCs w:val="20"/>
              </w:rPr>
              <w:t xml:space="preserve">TRANSITION </w:t>
            </w:r>
            <w:r>
              <w:rPr>
                <w:b/>
                <w:bCs/>
                <w:sz w:val="20"/>
                <w:szCs w:val="20"/>
              </w:rPr>
              <w:t>REPORT PURSUANT TO SECTION 13 OR 15(d)</w:t>
            </w:r>
          </w:p>
          <w:p w:rsidR="00000000" w:rsidRDefault="00BC17DB">
            <w:pPr>
              <w:pStyle w:val="a3"/>
              <w:spacing w:before="0" w:beforeAutospacing="0" w:after="0" w:afterAutospacing="0"/>
              <w:jc w:val="center"/>
              <w:rPr>
                <w:sz w:val="20"/>
                <w:szCs w:val="20"/>
              </w:rPr>
            </w:pPr>
            <w:r>
              <w:rPr>
                <w:b/>
                <w:bCs/>
                <w:sz w:val="20"/>
                <w:szCs w:val="20"/>
              </w:rPr>
              <w:t>OF THE SECURITIES EXCHANGE ACT OF 1934</w:t>
            </w:r>
          </w:p>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center"/>
              <w:rPr>
                <w:sz w:val="20"/>
                <w:szCs w:val="20"/>
              </w:rPr>
            </w:pPr>
            <w:r>
              <w:rPr>
                <w:b/>
                <w:bCs/>
                <w:sz w:val="20"/>
                <w:szCs w:val="20"/>
              </w:rPr>
              <w:t xml:space="preserve">For the transition period from to </w:t>
            </w:r>
          </w:p>
        </w:tc>
        <w:tc>
          <w:tcPr>
            <w:tcW w:w="750" w:type="pct"/>
            <w:hideMark/>
          </w:tcPr>
          <w:p w:rsidR="00000000" w:rsidRDefault="00BC17DB">
            <w:pPr>
              <w:jc w:val="cente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shd w:val="clear" w:color="auto" w:fill="FFFFFF"/>
        </w:rPr>
        <w:t>001-4121</w:t>
      </w:r>
      <w:r>
        <w:rPr>
          <w:b/>
          <w:bCs/>
          <w:sz w:val="20"/>
          <w:szCs w:val="20"/>
          <w:shd w:val="clear" w:color="auto" w:fill="FFFFFF"/>
        </w:rPr>
        <w:t>2</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divId w:val="1122576922"/>
        <w:rPr>
          <w:rFonts w:eastAsia="Times New Roman"/>
          <w:sz w:val="2"/>
          <w:szCs w:val="2"/>
        </w:rPr>
      </w:pPr>
      <w:r>
        <w:rPr>
          <w:rFonts w:eastAsia="Times New Roman"/>
          <w:sz w:val="2"/>
          <w:szCs w:val="2"/>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36"/>
          <w:szCs w:val="36"/>
          <w:shd w:val="clear" w:color="auto" w:fill="FFFFFF"/>
        </w:rPr>
        <w:t>BROAD CAPITAL ACQUISITION COR</w:t>
      </w:r>
      <w:r>
        <w:rPr>
          <w:b/>
          <w:bCs/>
          <w:sz w:val="36"/>
          <w:szCs w:val="36"/>
          <w:shd w:val="clear" w:color="auto" w:fill="FFFFFF"/>
        </w:rPr>
        <w:t>P</w:t>
      </w:r>
    </w:p>
    <w:p w:rsidR="00000000" w:rsidRDefault="00BC17DB">
      <w:pPr>
        <w:pStyle w:val="a3"/>
        <w:spacing w:before="0" w:beforeAutospacing="0" w:after="0" w:afterAutospacing="0"/>
        <w:jc w:val="center"/>
        <w:rPr>
          <w:sz w:val="20"/>
          <w:szCs w:val="20"/>
        </w:rPr>
      </w:pPr>
      <w:r>
        <w:rPr>
          <w:sz w:val="20"/>
          <w:szCs w:val="20"/>
        </w:rPr>
        <w:t>(Exact name of registrant as specified in its charter)</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divId w:val="415397862"/>
        <w:rPr>
          <w:rFonts w:eastAsia="Times New Roman"/>
          <w:sz w:val="2"/>
          <w:szCs w:val="2"/>
        </w:rPr>
      </w:pPr>
      <w:r>
        <w:rPr>
          <w:rFonts w:eastAsia="Times New Roman"/>
          <w:sz w:val="2"/>
          <w:szCs w:val="2"/>
        </w:rPr>
        <w:t> </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BC17DB">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vAlign w:val="bottom"/>
            <w:hideMark/>
          </w:tcPr>
          <w:p w:rsidR="00000000" w:rsidRDefault="00BC17DB">
            <w:pPr>
              <w:rPr>
                <w:rFonts w:eastAsia="Times New Roman"/>
                <w:sz w:val="20"/>
                <w:szCs w:val="20"/>
              </w:rPr>
            </w:pPr>
            <w:r>
              <w:rPr>
                <w:rFonts w:eastAsia="Times New Roman"/>
                <w:sz w:val="20"/>
                <w:szCs w:val="20"/>
              </w:rPr>
              <w:t> </w:t>
            </w:r>
          </w:p>
        </w:tc>
        <w:tc>
          <w:tcPr>
            <w:tcW w:w="2450" w:type="pct"/>
            <w:hideMark/>
          </w:tcPr>
          <w:p w:rsidR="00000000" w:rsidRDefault="00BC17DB">
            <w:pPr>
              <w:jc w:val="center"/>
              <w:rPr>
                <w:rFonts w:eastAsia="Times New Roman"/>
                <w:sz w:val="20"/>
                <w:szCs w:val="20"/>
              </w:rPr>
            </w:pPr>
            <w:r>
              <w:rPr>
                <w:rFonts w:eastAsia="Times New Roman"/>
                <w:b/>
                <w:bCs/>
                <w:sz w:val="20"/>
                <w:szCs w:val="20"/>
                <w:shd w:val="clear" w:color="auto" w:fill="FFFFFF"/>
              </w:rPr>
              <w:t>86-338296</w:t>
            </w:r>
            <w:r>
              <w:rPr>
                <w:rFonts w:eastAsia="Times New Roman"/>
                <w:b/>
                <w:bCs/>
                <w:sz w:val="20"/>
                <w:szCs w:val="20"/>
                <w:shd w:val="clear" w:color="auto" w:fill="FFFFFF"/>
              </w:rPr>
              <w:t>7</w:t>
            </w:r>
          </w:p>
        </w:tc>
      </w:tr>
      <w:tr w:rsidR="00000000">
        <w:tc>
          <w:tcPr>
            <w:tcW w:w="0" w:type="auto"/>
            <w:hideMark/>
          </w:tcPr>
          <w:p w:rsidR="00000000" w:rsidRDefault="00BC17DB">
            <w:pPr>
              <w:pStyle w:val="a3"/>
              <w:spacing w:before="0" w:beforeAutospacing="0" w:after="0" w:afterAutospacing="0"/>
              <w:jc w:val="center"/>
              <w:rPr>
                <w:sz w:val="20"/>
                <w:szCs w:val="20"/>
              </w:rPr>
            </w:pPr>
            <w:r>
              <w:rPr>
                <w:sz w:val="20"/>
                <w:szCs w:val="20"/>
              </w:rPr>
              <w:t>(State or other jurisdiction of</w:t>
            </w:r>
          </w:p>
          <w:p w:rsidR="00000000" w:rsidRDefault="00BC17DB">
            <w:pPr>
              <w:pStyle w:val="a3"/>
              <w:spacing w:before="0" w:beforeAutospacing="0" w:after="0" w:afterAutospacing="0"/>
              <w:jc w:val="center"/>
              <w:rPr>
                <w:sz w:val="20"/>
                <w:szCs w:val="20"/>
              </w:rPr>
            </w:pPr>
            <w:r>
              <w:rPr>
                <w:sz w:val="20"/>
                <w:szCs w:val="20"/>
              </w:rPr>
              <w:t>incorporation or organ</w:t>
            </w:r>
            <w:r>
              <w:rPr>
                <w:sz w:val="20"/>
                <w:szCs w:val="20"/>
              </w:rPr>
              <w:t>ization)</w:t>
            </w:r>
          </w:p>
        </w:tc>
        <w:tc>
          <w:tcPr>
            <w:tcW w:w="0" w:type="auto"/>
            <w:vAlign w:val="bottom"/>
            <w:hideMark/>
          </w:tcPr>
          <w:p w:rsidR="00000000" w:rsidRDefault="00BC17DB">
            <w:pPr>
              <w:rPr>
                <w:rFonts w:eastAsia="Times New Roman"/>
                <w:sz w:val="20"/>
                <w:szCs w:val="20"/>
              </w:rPr>
            </w:pPr>
            <w:r>
              <w:rPr>
                <w:rFonts w:eastAsia="Times New Roman"/>
                <w:b/>
                <w:bCs/>
                <w:sz w:val="20"/>
                <w:szCs w:val="20"/>
              </w:rPr>
              <w:t> </w:t>
            </w:r>
          </w:p>
        </w:tc>
        <w:tc>
          <w:tcPr>
            <w:tcW w:w="0" w:type="auto"/>
            <w:hideMark/>
          </w:tcPr>
          <w:p w:rsidR="00000000" w:rsidRDefault="00BC17DB">
            <w:pPr>
              <w:pStyle w:val="a3"/>
              <w:spacing w:before="0" w:beforeAutospacing="0" w:after="0" w:afterAutospacing="0"/>
              <w:jc w:val="center"/>
              <w:rPr>
                <w:sz w:val="20"/>
                <w:szCs w:val="20"/>
              </w:rPr>
            </w:pPr>
            <w:r>
              <w:rPr>
                <w:sz w:val="20"/>
                <w:szCs w:val="20"/>
              </w:rPr>
              <w:t>(I.R.S. Employer</w:t>
            </w:r>
          </w:p>
          <w:p w:rsidR="00000000" w:rsidRDefault="00BC17DB">
            <w:pPr>
              <w:pStyle w:val="a3"/>
              <w:spacing w:before="0" w:beforeAutospacing="0" w:after="0" w:afterAutospacing="0"/>
              <w:jc w:val="center"/>
              <w:rPr>
                <w:sz w:val="20"/>
                <w:szCs w:val="20"/>
              </w:rPr>
            </w:pPr>
            <w:r>
              <w:rPr>
                <w:sz w:val="20"/>
                <w:szCs w:val="20"/>
              </w:rPr>
              <w:t>Identification No.)</w:t>
            </w:r>
          </w:p>
        </w:tc>
      </w:tr>
      <w:tr w:rsidR="00000000">
        <w:tc>
          <w:tcPr>
            <w:tcW w:w="0" w:type="auto"/>
            <w:vAlign w:val="center"/>
            <w:hideMark/>
          </w:tcPr>
          <w:p w:rsidR="00000000" w:rsidRDefault="00BC17DB">
            <w:pPr>
              <w:rPr>
                <w:rFonts w:eastAsia="Times New Roman"/>
                <w:sz w:val="20"/>
                <w:szCs w:val="20"/>
              </w:rPr>
            </w:pPr>
            <w:r>
              <w:rPr>
                <w:rFonts w:eastAsia="Times New Roman"/>
                <w:sz w:val="20"/>
                <w:szCs w:val="20"/>
              </w:rPr>
              <w:t> </w:t>
            </w:r>
          </w:p>
        </w:tc>
        <w:tc>
          <w:tcPr>
            <w:tcW w:w="0" w:type="auto"/>
            <w:vAlign w:val="center"/>
            <w:hideMark/>
          </w:tcPr>
          <w:p w:rsidR="00000000" w:rsidRDefault="00BC17DB">
            <w:pPr>
              <w:rPr>
                <w:rFonts w:eastAsia="Times New Roman"/>
                <w:sz w:val="20"/>
                <w:szCs w:val="20"/>
              </w:rPr>
            </w:pPr>
            <w:r>
              <w:rPr>
                <w:rFonts w:eastAsia="Times New Roman"/>
                <w:sz w:val="20"/>
                <w:szCs w:val="20"/>
              </w:rPr>
              <w:t> </w:t>
            </w:r>
          </w:p>
        </w:tc>
        <w:tc>
          <w:tcPr>
            <w:tcW w:w="0" w:type="auto"/>
            <w:vAlign w:val="center"/>
            <w:hideMark/>
          </w:tcPr>
          <w:p w:rsidR="00000000" w:rsidRDefault="00BC17DB">
            <w:pPr>
              <w:rPr>
                <w:rFonts w:eastAsia="Times New Roman"/>
                <w:sz w:val="20"/>
                <w:szCs w:val="20"/>
              </w:rPr>
            </w:pPr>
            <w:r>
              <w:rPr>
                <w:rFonts w:eastAsia="Times New Roman"/>
                <w:sz w:val="20"/>
                <w:szCs w:val="20"/>
              </w:rPr>
              <w:t> </w:t>
            </w:r>
          </w:p>
        </w:tc>
      </w:tr>
      <w:tr w:rsidR="00000000">
        <w:tc>
          <w:tcPr>
            <w:tcW w:w="0" w:type="auto"/>
            <w:hideMark/>
          </w:tcPr>
          <w:p w:rsidR="00000000" w:rsidRDefault="00BC17DB">
            <w:pPr>
              <w:jc w:val="center"/>
              <w:rPr>
                <w:rFonts w:eastAsia="Times New Roman"/>
                <w:sz w:val="20"/>
                <w:szCs w:val="20"/>
              </w:rPr>
            </w:pPr>
            <w:r>
              <w:rPr>
                <w:rFonts w:eastAsia="Times New Roman"/>
                <w:b/>
                <w:bCs/>
                <w:sz w:val="20"/>
                <w:szCs w:val="20"/>
                <w:shd w:val="clear" w:color="auto" w:fill="FFFFFF"/>
              </w:rPr>
              <w:t>5345 Annabel Lan</w:t>
            </w:r>
            <w:r>
              <w:rPr>
                <w:rFonts w:eastAsia="Times New Roman"/>
                <w:b/>
                <w:bCs/>
                <w:sz w:val="20"/>
                <w:szCs w:val="20"/>
                <w:shd w:val="clear" w:color="auto" w:fill="FFFFFF"/>
              </w:rPr>
              <w:t>e</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Plan</w:t>
            </w:r>
            <w:r>
              <w:rPr>
                <w:rFonts w:eastAsia="Times New Roman"/>
                <w:b/>
                <w:bCs/>
                <w:sz w:val="20"/>
                <w:szCs w:val="20"/>
                <w:shd w:val="clear" w:color="auto" w:fill="FFFFFF"/>
              </w:rPr>
              <w:t>o</w:t>
            </w:r>
            <w:r>
              <w:rPr>
                <w:rFonts w:eastAsia="Times New Roman"/>
                <w:b/>
                <w:bCs/>
                <w:sz w:val="20"/>
                <w:szCs w:val="20"/>
                <w:shd w:val="clear" w:color="auto" w:fill="FFFFFF"/>
              </w:rPr>
              <w:t>,</w:t>
            </w:r>
            <w:r>
              <w:rPr>
                <w:rFonts w:eastAsia="Times New Roman"/>
                <w:b/>
                <w:bCs/>
                <w:sz w:val="20"/>
                <w:szCs w:val="20"/>
                <w:shd w:val="clear" w:color="auto" w:fill="FFFFFF"/>
              </w:rPr>
              <w:t xml:space="preserve"> </w:t>
            </w:r>
            <w:r>
              <w:rPr>
                <w:rFonts w:eastAsia="Times New Roman"/>
                <w:b/>
                <w:bCs/>
                <w:sz w:val="20"/>
                <w:szCs w:val="20"/>
                <w:shd w:val="clear" w:color="auto" w:fill="FFFFFF"/>
              </w:rPr>
              <w:t>Texa</w:t>
            </w:r>
            <w:r>
              <w:rPr>
                <w:rFonts w:eastAsia="Times New Roman"/>
                <w:b/>
                <w:bCs/>
                <w:sz w:val="20"/>
                <w:szCs w:val="20"/>
                <w:shd w:val="clear" w:color="auto" w:fill="FFFFFF"/>
              </w:rPr>
              <w:t>s</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b/>
                <w:bCs/>
                <w:sz w:val="20"/>
                <w:szCs w:val="20"/>
              </w:rPr>
              <w:t>7509</w:t>
            </w:r>
            <w:r>
              <w:rPr>
                <w:rFonts w:eastAsia="Times New Roman"/>
                <w:b/>
                <w:bCs/>
                <w:sz w:val="20"/>
                <w:szCs w:val="20"/>
              </w:rPr>
              <w:t>3</w:t>
            </w:r>
          </w:p>
        </w:tc>
      </w:tr>
      <w:tr w:rsidR="00000000">
        <w:tc>
          <w:tcPr>
            <w:tcW w:w="0" w:type="auto"/>
            <w:hideMark/>
          </w:tcPr>
          <w:p w:rsidR="00000000" w:rsidRDefault="00BC17DB">
            <w:pPr>
              <w:jc w:val="center"/>
              <w:rPr>
                <w:rFonts w:eastAsia="Times New Roman"/>
                <w:sz w:val="20"/>
                <w:szCs w:val="20"/>
              </w:rPr>
            </w:pPr>
            <w:r>
              <w:rPr>
                <w:rFonts w:eastAsia="Times New Roman"/>
                <w:sz w:val="20"/>
                <w:szCs w:val="20"/>
              </w:rPr>
              <w:t>(Address of principal executive offices)</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hideMark/>
          </w:tcPr>
          <w:p w:rsidR="00000000" w:rsidRDefault="00BC17DB">
            <w:pPr>
              <w:jc w:val="center"/>
              <w:rPr>
                <w:rFonts w:eastAsia="Times New Roman"/>
                <w:sz w:val="20"/>
                <w:szCs w:val="20"/>
              </w:rPr>
            </w:pPr>
            <w:r>
              <w:rPr>
                <w:rFonts w:eastAsia="Times New Roman"/>
                <w:sz w:val="20"/>
                <w:szCs w:val="20"/>
              </w:rPr>
              <w:t>(Zip Code)</w:t>
            </w:r>
          </w:p>
        </w:tc>
      </w:tr>
    </w:tbl>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center"/>
        <w:rPr>
          <w:sz w:val="20"/>
          <w:szCs w:val="20"/>
        </w:rPr>
      </w:pPr>
      <w:r>
        <w:rPr>
          <w:b/>
          <w:bCs/>
          <w:sz w:val="20"/>
          <w:szCs w:val="20"/>
          <w:shd w:val="clear" w:color="auto" w:fill="FFFFFF"/>
        </w:rPr>
        <w:t>(469</w:t>
      </w:r>
      <w:r>
        <w:rPr>
          <w:b/>
          <w:bCs/>
          <w:sz w:val="20"/>
          <w:szCs w:val="20"/>
          <w:shd w:val="clear" w:color="auto" w:fill="FFFFFF"/>
        </w:rPr>
        <w:t>)</w:t>
      </w:r>
      <w:r>
        <w:rPr>
          <w:b/>
          <w:bCs/>
          <w:sz w:val="20"/>
          <w:szCs w:val="20"/>
          <w:shd w:val="clear" w:color="auto" w:fill="FFFFFF"/>
        </w:rPr>
        <w:t xml:space="preserve"> </w:t>
      </w:r>
      <w:r>
        <w:rPr>
          <w:b/>
          <w:bCs/>
          <w:sz w:val="20"/>
          <w:szCs w:val="20"/>
          <w:shd w:val="clear" w:color="auto" w:fill="FFFFFF"/>
        </w:rPr>
        <w:t>951-308</w:t>
      </w:r>
      <w:r>
        <w:rPr>
          <w:b/>
          <w:bCs/>
          <w:sz w:val="20"/>
          <w:szCs w:val="20"/>
          <w:shd w:val="clear" w:color="auto" w:fill="FFFFFF"/>
        </w:rPr>
        <w:t>8</w:t>
      </w:r>
    </w:p>
    <w:p w:rsidR="00000000" w:rsidRDefault="00BC17DB">
      <w:pPr>
        <w:pStyle w:val="a3"/>
        <w:spacing w:before="0" w:beforeAutospacing="0" w:after="0" w:afterAutospacing="0"/>
        <w:jc w:val="center"/>
        <w:rPr>
          <w:sz w:val="20"/>
          <w:szCs w:val="20"/>
        </w:rPr>
      </w:pPr>
      <w:r>
        <w:rPr>
          <w:sz w:val="20"/>
          <w:szCs w:val="20"/>
        </w:rPr>
        <w:t xml:space="preserve">(Registrant’s </w:t>
      </w:r>
      <w:r>
        <w:rPr>
          <w:sz w:val="20"/>
          <w:szCs w:val="20"/>
        </w:rPr>
        <w:t>telephone number, including area code)</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hd w:val="clear" w:color="auto" w:fill="FFFFFF"/>
        <w:spacing w:before="0" w:beforeAutospacing="0" w:after="0" w:afterAutospacing="0"/>
        <w:jc w:val="center"/>
        <w:rPr>
          <w:sz w:val="20"/>
          <w:szCs w:val="20"/>
        </w:rPr>
      </w:pPr>
      <w:r>
        <w:rPr>
          <w:b/>
          <w:bCs/>
          <w:sz w:val="20"/>
          <w:szCs w:val="20"/>
        </w:rPr>
        <w:t>Securities registered pursuant to Section 12(b) of the Act:</w:t>
      </w:r>
    </w:p>
    <w:p w:rsidR="00000000" w:rsidRDefault="00BC17DB">
      <w:pPr>
        <w:pStyle w:val="a3"/>
        <w:shd w:val="clear" w:color="auto" w:fill="FFFFFF"/>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166"/>
        <w:gridCol w:w="1495"/>
        <w:gridCol w:w="166"/>
        <w:gridCol w:w="3655"/>
      </w:tblGrid>
      <w:tr w:rsidR="00000000">
        <w:tc>
          <w:tcPr>
            <w:tcW w:w="1700" w:type="pct"/>
            <w:tcBorders>
              <w:bottom w:val="single" w:sz="12" w:space="0" w:color="000000"/>
            </w:tcBorders>
            <w:vAlign w:val="bottom"/>
            <w:hideMark/>
          </w:tcPr>
          <w:p w:rsidR="00000000" w:rsidRDefault="00BC17DB">
            <w:pPr>
              <w:jc w:val="center"/>
              <w:rPr>
                <w:rFonts w:eastAsia="Times New Roman"/>
                <w:sz w:val="20"/>
                <w:szCs w:val="20"/>
              </w:rPr>
            </w:pPr>
            <w:r>
              <w:rPr>
                <w:rFonts w:eastAsia="Times New Roman"/>
                <w:b/>
                <w:bCs/>
                <w:sz w:val="20"/>
                <w:szCs w:val="20"/>
              </w:rPr>
              <w:t>Title of each class</w:t>
            </w:r>
          </w:p>
        </w:tc>
        <w:tc>
          <w:tcPr>
            <w:tcW w:w="100" w:type="pct"/>
            <w:vAlign w:val="bottom"/>
            <w:hideMark/>
          </w:tcPr>
          <w:p w:rsidR="00000000" w:rsidRDefault="00BC17DB">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rsidR="00000000" w:rsidRDefault="00BC17DB">
            <w:pPr>
              <w:jc w:val="center"/>
              <w:rPr>
                <w:rFonts w:eastAsia="Times New Roman"/>
                <w:sz w:val="20"/>
                <w:szCs w:val="20"/>
              </w:rPr>
            </w:pPr>
            <w:r>
              <w:rPr>
                <w:rFonts w:eastAsia="Times New Roman"/>
                <w:b/>
                <w:bCs/>
                <w:sz w:val="20"/>
                <w:szCs w:val="20"/>
              </w:rPr>
              <w:t>Trading Symbol</w:t>
            </w:r>
          </w:p>
        </w:tc>
        <w:tc>
          <w:tcPr>
            <w:tcW w:w="100" w:type="pct"/>
            <w:vAlign w:val="bottom"/>
            <w:hideMark/>
          </w:tcPr>
          <w:p w:rsidR="00000000" w:rsidRDefault="00BC17DB">
            <w:pPr>
              <w:jc w:val="center"/>
              <w:rPr>
                <w:rFonts w:eastAsia="Times New Roman"/>
                <w:sz w:val="20"/>
                <w:szCs w:val="20"/>
              </w:rPr>
            </w:pPr>
            <w:r>
              <w:rPr>
                <w:rFonts w:eastAsia="Times New Roman"/>
                <w:sz w:val="20"/>
                <w:szCs w:val="20"/>
              </w:rPr>
              <w:t> </w:t>
            </w:r>
          </w:p>
        </w:tc>
        <w:tc>
          <w:tcPr>
            <w:tcW w:w="2200" w:type="pct"/>
            <w:tcBorders>
              <w:bottom w:val="single" w:sz="12" w:space="0" w:color="000000"/>
            </w:tcBorders>
            <w:vAlign w:val="bottom"/>
            <w:hideMark/>
          </w:tcPr>
          <w:p w:rsidR="00000000" w:rsidRDefault="00BC17DB">
            <w:pPr>
              <w:jc w:val="center"/>
              <w:rPr>
                <w:rFonts w:eastAsia="Times New Roman"/>
                <w:sz w:val="20"/>
                <w:szCs w:val="20"/>
              </w:rPr>
            </w:pPr>
            <w:r>
              <w:rPr>
                <w:rFonts w:eastAsia="Times New Roman"/>
                <w:b/>
                <w:bCs/>
                <w:sz w:val="20"/>
                <w:szCs w:val="20"/>
              </w:rPr>
              <w:t>Name of each exchange on which registered</w:t>
            </w:r>
          </w:p>
        </w:tc>
      </w:tr>
      <w:tr w:rsidR="00000000">
        <w:tc>
          <w:tcPr>
            <w:tcW w:w="0" w:type="auto"/>
            <w:vAlign w:val="bottom"/>
            <w:hideMark/>
          </w:tcPr>
          <w:p w:rsidR="00000000" w:rsidRDefault="00BC17DB">
            <w:pPr>
              <w:jc w:val="both"/>
              <w:rPr>
                <w:rFonts w:eastAsia="Times New Roman"/>
                <w:sz w:val="20"/>
                <w:szCs w:val="20"/>
              </w:rPr>
            </w:pPr>
            <w:r>
              <w:rPr>
                <w:rFonts w:eastAsia="Times New Roman"/>
                <w:sz w:val="20"/>
                <w:szCs w:val="20"/>
              </w:rPr>
              <w:t xml:space="preserve">Units, each consisting </w:t>
            </w:r>
            <w:r>
              <w:rPr>
                <w:rFonts w:eastAsia="Times New Roman"/>
                <w:sz w:val="20"/>
                <w:szCs w:val="20"/>
              </w:rPr>
              <w:t>of one share of common stock, par value $0.000001 per share, and one Right to acquire 1/10 of one share of common stoc</w:t>
            </w:r>
            <w:r>
              <w:rPr>
                <w:rFonts w:eastAsia="Times New Roman"/>
                <w:sz w:val="20"/>
                <w:szCs w:val="20"/>
              </w:rPr>
              <w:t>k</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BRAC</w:t>
            </w:r>
            <w:r>
              <w:rPr>
                <w:rFonts w:eastAsia="Times New Roman"/>
                <w:sz w:val="20"/>
                <w:szCs w:val="20"/>
              </w:rPr>
              <w:t>U</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tc>
          <w:tcPr>
            <w:tcW w:w="0" w:type="auto"/>
            <w:vAlign w:val="bottom"/>
            <w:hideMark/>
          </w:tcPr>
          <w:p w:rsidR="00000000" w:rsidRDefault="00BC17DB">
            <w:pPr>
              <w:jc w:val="both"/>
              <w:rPr>
                <w:rFonts w:eastAsia="Times New Roman"/>
                <w:sz w:val="20"/>
                <w:szCs w:val="20"/>
              </w:rPr>
            </w:pPr>
            <w:r>
              <w:rPr>
                <w:rFonts w:eastAsia="Times New Roman"/>
                <w:sz w:val="20"/>
                <w:szCs w:val="20"/>
              </w:rPr>
              <w:t>common stock included as part of the Unit</w:t>
            </w:r>
            <w:r>
              <w:rPr>
                <w:rFonts w:eastAsia="Times New Roman"/>
                <w:sz w:val="20"/>
                <w:szCs w:val="20"/>
              </w:rPr>
              <w:t>s</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BRA</w:t>
            </w:r>
            <w:r>
              <w:rPr>
                <w:rFonts w:eastAsia="Times New Roman"/>
                <w:sz w:val="20"/>
                <w:szCs w:val="20"/>
              </w:rPr>
              <w:t>C</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tc>
          <w:tcPr>
            <w:tcW w:w="0" w:type="auto"/>
            <w:vAlign w:val="bottom"/>
            <w:hideMark/>
          </w:tcPr>
          <w:p w:rsidR="00000000" w:rsidRDefault="00BC17DB">
            <w:pPr>
              <w:jc w:val="both"/>
              <w:rPr>
                <w:rFonts w:eastAsia="Times New Roman"/>
                <w:sz w:val="20"/>
                <w:szCs w:val="20"/>
              </w:rPr>
            </w:pPr>
            <w:r>
              <w:rPr>
                <w:rFonts w:eastAsia="Times New Roman"/>
                <w:sz w:val="20"/>
                <w:szCs w:val="20"/>
              </w:rPr>
              <w:t xml:space="preserve">Rights included </w:t>
            </w:r>
            <w:r>
              <w:rPr>
                <w:rFonts w:eastAsia="Times New Roman"/>
                <w:sz w:val="20"/>
                <w:szCs w:val="20"/>
              </w:rPr>
              <w:t>as part of the Unit</w:t>
            </w:r>
            <w:r>
              <w:rPr>
                <w:rFonts w:eastAsia="Times New Roman"/>
                <w:sz w:val="20"/>
                <w:szCs w:val="20"/>
              </w:rPr>
              <w:t>s</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BRAC</w:t>
            </w:r>
            <w:r>
              <w:rPr>
                <w:rFonts w:eastAsia="Times New Roman"/>
                <w:sz w:val="20"/>
                <w:szCs w:val="20"/>
              </w:rPr>
              <w:t>R</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jc w:val="cente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bl>
    <w:p w:rsidR="00000000" w:rsidRDefault="00BC17DB">
      <w:pPr>
        <w:pStyle w:val="a3"/>
        <w:shd w:val="clear" w:color="auto" w:fill="FFFFFF"/>
        <w:spacing w:before="0" w:beforeAutospacing="0" w:after="0" w:afterAutospacing="0"/>
        <w:jc w:val="center"/>
        <w:rPr>
          <w:sz w:val="20"/>
          <w:szCs w:val="20"/>
        </w:rPr>
      </w:pPr>
      <w:r>
        <w:rPr>
          <w:sz w:val="20"/>
          <w:szCs w:val="20"/>
        </w:rPr>
        <w:lastRenderedPageBreak/>
        <w:t> </w:t>
      </w:r>
    </w:p>
    <w:p w:rsidR="00000000" w:rsidRDefault="00BC17DB">
      <w:pPr>
        <w:pStyle w:val="a3"/>
        <w:shd w:val="clear" w:color="auto" w:fill="FFFFFF"/>
        <w:spacing w:before="0" w:beforeAutospacing="0" w:after="0" w:afterAutospacing="0"/>
        <w:jc w:val="center"/>
        <w:rPr>
          <w:sz w:val="20"/>
          <w:szCs w:val="20"/>
        </w:rPr>
      </w:pPr>
      <w:r>
        <w:rPr>
          <w:sz w:val="20"/>
          <w:szCs w:val="20"/>
        </w:rPr>
        <w:t>Securities registered pursuant to Section 12(g) of the Act: None</w:t>
      </w:r>
    </w:p>
    <w:p w:rsidR="00000000" w:rsidRDefault="00BC17DB">
      <w:pPr>
        <w:pStyle w:val="a3"/>
        <w:shd w:val="clear" w:color="auto" w:fill="FFFFFF"/>
        <w:spacing w:before="0" w:beforeAutospacing="0" w:after="0" w:afterAutospacing="0"/>
        <w:jc w:val="center"/>
        <w:rPr>
          <w:sz w:val="20"/>
          <w:szCs w:val="20"/>
        </w:rPr>
      </w:pPr>
      <w:r>
        <w:rPr>
          <w:sz w:val="20"/>
          <w:szCs w:val="20"/>
        </w:rPr>
        <w:t> </w:t>
      </w:r>
    </w:p>
    <w:p w:rsidR="00000000" w:rsidRDefault="00BC17DB">
      <w:pPr>
        <w:divId w:val="681247736"/>
        <w:rPr>
          <w:rFonts w:eastAsia="Times New Roman"/>
          <w:sz w:val="2"/>
          <w:szCs w:val="2"/>
        </w:rPr>
      </w:pPr>
      <w:r>
        <w:rPr>
          <w:rFonts w:eastAsia="Times New Roman"/>
          <w:sz w:val="2"/>
          <w:szCs w:val="2"/>
        </w:rPr>
        <w:t> </w:t>
      </w:r>
    </w:p>
    <w:p w:rsidR="00000000" w:rsidRDefault="00BC17DB">
      <w:pPr>
        <w:pStyle w:val="a3"/>
        <w:shd w:val="clear" w:color="auto" w:fill="FFFFFF"/>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Indicate by check mark whether the registrant has submitted electronically and posted on its corporate Web site, if any, every Interactive Data File required to be</w:t>
      </w:r>
      <w:r>
        <w:rPr>
          <w:sz w:val="20"/>
          <w:szCs w:val="20"/>
        </w:rPr>
        <w:t xml:space="preserve"> submitted and posted pursuant to Rule 405 of Regulation S-T (§232.405 of this chapter) during the preceding 12 months (or for such shorter period that the registrant was required to submit and post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Indicate by check mark whether </w:t>
      </w:r>
      <w:r>
        <w:rPr>
          <w:sz w:val="20"/>
          <w:szCs w:val="20"/>
        </w:rPr>
        <w:t>the registrant is a large accelerated filer, an accelerated filer, a non-accelerated filer, or a smaller reporting company. See the definitions of “large accelerated filer,” “accelerated filer,” “non-accelerated filer” and “smaller reporting company” in Ru</w:t>
      </w:r>
      <w:r>
        <w:rPr>
          <w:sz w:val="20"/>
          <w:szCs w:val="20"/>
        </w:rPr>
        <w:t>le 12b-2 of the Exchange Act.</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6480"/>
        <w:gridCol w:w="1106"/>
      </w:tblGrid>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0" w:type="auto"/>
            <w:vAlign w:val="bottom"/>
            <w:hideMark/>
          </w:tcPr>
          <w:p w:rsidR="00000000" w:rsidRDefault="00BC17DB">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720" w:type="dxa"/>
            <w:vAlign w:val="center"/>
            <w:hideMark/>
          </w:tcPr>
          <w:p w:rsidR="00000000" w:rsidRDefault="00BC17DB">
            <w:pPr>
              <w:rPr>
                <w:rFonts w:eastAsia="Times New Roman"/>
                <w:sz w:val="20"/>
                <w:szCs w:val="20"/>
              </w:rPr>
            </w:pPr>
            <w:r>
              <w:rPr>
                <w:rFonts w:eastAsia="Times New Roman"/>
                <w:sz w:val="20"/>
                <w:szCs w:val="20"/>
              </w:rPr>
              <w:t> </w:t>
            </w:r>
          </w:p>
        </w:tc>
        <w:tc>
          <w:tcPr>
            <w:tcW w:w="6480" w:type="dxa"/>
            <w:vAlign w:val="center"/>
            <w:hideMark/>
          </w:tcPr>
          <w:p w:rsidR="00000000" w:rsidRDefault="00BC17DB">
            <w:pPr>
              <w:rPr>
                <w:rFonts w:eastAsia="Times New Roman"/>
                <w:sz w:val="20"/>
                <w:szCs w:val="20"/>
              </w:rPr>
            </w:pPr>
            <w:r>
              <w:rPr>
                <w:rFonts w:eastAsia="Times New Roman"/>
                <w:sz w:val="20"/>
                <w:szCs w:val="20"/>
              </w:rPr>
              <w:t> </w:t>
            </w:r>
          </w:p>
        </w:tc>
        <w:tc>
          <w:tcPr>
            <w:tcW w:w="0" w:type="auto"/>
            <w:vAlign w:val="center"/>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r>
              <w:rPr>
                <w:rFonts w:eastAsia="Times New Roman"/>
                <w:sz w:val="20"/>
                <w:szCs w:val="20"/>
              </w:rPr>
              <w:t xml:space="preserve"> (Do not check if a smaller reporting company)</w:t>
            </w:r>
          </w:p>
        </w:tc>
        <w:tc>
          <w:tcPr>
            <w:tcW w:w="0" w:type="auto"/>
            <w:vAlign w:val="bottom"/>
            <w:hideMark/>
          </w:tcPr>
          <w:p w:rsidR="00000000" w:rsidRDefault="00BC17DB">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Act).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As of November 14, 2022, there were</w:t>
      </w:r>
      <w:r>
        <w:rPr>
          <w:sz w:val="20"/>
          <w:szCs w:val="20"/>
        </w:rPr>
        <w:t xml:space="preserve"> </w:t>
      </w:r>
      <w:r>
        <w:rPr>
          <w:sz w:val="20"/>
          <w:szCs w:val="20"/>
        </w:rPr>
        <w:t>13,149,96</w:t>
      </w:r>
      <w:r>
        <w:rPr>
          <w:sz w:val="20"/>
          <w:szCs w:val="20"/>
        </w:rPr>
        <w:t>6</w:t>
      </w:r>
      <w:r>
        <w:rPr>
          <w:sz w:val="20"/>
          <w:szCs w:val="20"/>
        </w:rPr>
        <w:t xml:space="preserve"> shares of common stock, par value $0.000001 per share, of the registrant issued and outstanding.</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divId w:val="104428782"/>
        <w:rPr>
          <w:rFonts w:eastAsia="Times New Roman"/>
          <w:sz w:val="2"/>
          <w:szCs w:val="2"/>
        </w:rPr>
      </w:pPr>
      <w:r>
        <w:rPr>
          <w:rFonts w:eastAsia="Times New Roman"/>
          <w:sz w:val="2"/>
          <w:szCs w:val="2"/>
        </w:rPr>
        <w:t> </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240183"/>
        </w:trPr>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divId w:val="1095051259"/>
        <w:rPr>
          <w:sz w:val="20"/>
          <w:szCs w:val="20"/>
        </w:rPr>
      </w:pPr>
      <w:r>
        <w:rPr>
          <w:sz w:val="20"/>
          <w:szCs w:val="20"/>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shd w:val="clear" w:color="auto" w:fill="FFFFFF"/>
        </w:rPr>
        <w:t>BROAD CAPITAL ACQUISITION CORP</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FORM 10-Q FOR THE QUARTER ENDED SEPTEMBER 30, 2022</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TABLE OF CONTENTS</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shd w:val="clear" w:color="auto" w:fill="CCEEFF"/>
            <w:vAlign w:val="bottom"/>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center"/>
              <w:rPr>
                <w:rFonts w:eastAsia="Times New Roman"/>
                <w:sz w:val="20"/>
                <w:szCs w:val="20"/>
              </w:rPr>
            </w:pPr>
            <w:hyperlink w:anchor="ak_001" w:history="1">
              <w:r>
                <w:rPr>
                  <w:rStyle w:val="a4"/>
                  <w:rFonts w:eastAsia="Times New Roman"/>
                  <w:sz w:val="20"/>
                  <w:szCs w:val="20"/>
                </w:rPr>
                <w:t>PART I. FINANCIAL INFORMATION</w:t>
              </w:r>
            </w:hyperlink>
          </w:p>
        </w:tc>
        <w:tc>
          <w:tcPr>
            <w:tcW w:w="720" w:type="dxa"/>
            <w:shd w:val="clear" w:color="auto" w:fill="CCEEFF"/>
            <w:vAlign w:val="bottom"/>
            <w:hideMark/>
          </w:tcPr>
          <w:p w:rsidR="00000000" w:rsidRDefault="00BC17DB">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1</w:t>
            </w:r>
          </w:p>
        </w:tc>
        <w:tc>
          <w:tcPr>
            <w:tcW w:w="0" w:type="auto"/>
            <w:shd w:val="clear" w:color="auto" w:fill="FFFFFF"/>
            <w:vAlign w:val="bottom"/>
            <w:hideMark/>
          </w:tcPr>
          <w:p w:rsidR="00000000" w:rsidRDefault="00BC17DB">
            <w:pPr>
              <w:jc w:val="both"/>
              <w:rPr>
                <w:rFonts w:eastAsia="Times New Roman"/>
                <w:sz w:val="20"/>
                <w:szCs w:val="20"/>
              </w:rPr>
            </w:pPr>
            <w:hyperlink w:anchor="ak_002" w:history="1">
              <w:r>
                <w:rPr>
                  <w:rStyle w:val="a4"/>
                  <w:rFonts w:eastAsia="Times New Roman"/>
                  <w:sz w:val="20"/>
                  <w:szCs w:val="20"/>
                </w:rPr>
                <w:t>Financial Statements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F-1</w:t>
            </w:r>
          </w:p>
        </w:tc>
      </w:tr>
      <w:tr w:rsidR="00000000">
        <w:tc>
          <w:tcPr>
            <w:tcW w:w="0" w:type="auto"/>
            <w:shd w:val="clear" w:color="auto" w:fill="CCEE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BC17DB">
            <w:pPr>
              <w:jc w:val="both"/>
              <w:rPr>
                <w:rFonts w:eastAsia="Times New Roman"/>
                <w:sz w:val="20"/>
                <w:szCs w:val="20"/>
              </w:rPr>
            </w:pPr>
            <w:hyperlink w:anchor="ak_003" w:history="1">
              <w:r>
                <w:rPr>
                  <w:rStyle w:val="a4"/>
                  <w:rFonts w:eastAsia="Times New Roman"/>
                  <w:sz w:val="20"/>
                  <w:szCs w:val="20"/>
                </w:rPr>
                <w:t>Balance Sheets as of September 30, 2022 and December 31, 2021</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BC17DB">
            <w:pPr>
              <w:jc w:val="both"/>
              <w:rPr>
                <w:rFonts w:eastAsia="Times New Roman"/>
                <w:sz w:val="20"/>
                <w:szCs w:val="20"/>
              </w:rPr>
            </w:pPr>
            <w:hyperlink w:anchor="ak_004" w:history="1">
              <w:r>
                <w:rPr>
                  <w:rStyle w:val="a4"/>
                  <w:rFonts w:eastAsia="Times New Roman"/>
                  <w:sz w:val="20"/>
                  <w:szCs w:val="20"/>
                </w:rPr>
                <w:t>Statements of Operations for the Three and Nine Months Ended September 30, 2022 and for the Period from April 16, 2021 (inception) through September 30, 2021</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F-2</w:t>
            </w:r>
          </w:p>
        </w:tc>
      </w:tr>
      <w:tr w:rsidR="00000000">
        <w:tc>
          <w:tcPr>
            <w:tcW w:w="0" w:type="auto"/>
            <w:shd w:val="clear" w:color="auto" w:fill="CCEE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BC17DB">
            <w:pPr>
              <w:jc w:val="both"/>
              <w:rPr>
                <w:rFonts w:eastAsia="Times New Roman"/>
                <w:sz w:val="20"/>
                <w:szCs w:val="20"/>
              </w:rPr>
            </w:pPr>
            <w:hyperlink w:anchor="ak_005" w:history="1">
              <w:r>
                <w:rPr>
                  <w:rStyle w:val="a4"/>
                  <w:rFonts w:eastAsia="Times New Roman"/>
                  <w:sz w:val="20"/>
                  <w:szCs w:val="20"/>
                </w:rPr>
                <w:t>Statements of Change sin Stockholders' Deficit for the Nine Mo</w:t>
              </w:r>
              <w:r>
                <w:rPr>
                  <w:rStyle w:val="a4"/>
                  <w:rFonts w:eastAsia="Times New Roman"/>
                  <w:sz w:val="20"/>
                  <w:szCs w:val="20"/>
                </w:rPr>
                <w:t>nths ended September 30, 2022 and for the period from April 16, 2021 (inception) through September 30, 2021</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BC17DB">
            <w:pPr>
              <w:jc w:val="both"/>
              <w:rPr>
                <w:rFonts w:eastAsia="Times New Roman"/>
                <w:sz w:val="20"/>
                <w:szCs w:val="20"/>
              </w:rPr>
            </w:pPr>
            <w:r>
              <w:rPr>
                <w:rFonts w:eastAsia="Times New Roman"/>
                <w:sz w:val="20"/>
                <w:szCs w:val="20"/>
              </w:rPr>
              <w:lastRenderedPageBreak/>
              <w:t> </w:t>
            </w:r>
          </w:p>
        </w:tc>
        <w:tc>
          <w:tcPr>
            <w:tcW w:w="0" w:type="auto"/>
            <w:shd w:val="clear" w:color="auto" w:fill="FFFFFF"/>
            <w:vAlign w:val="center"/>
            <w:hideMark/>
          </w:tcPr>
          <w:p w:rsidR="00000000" w:rsidRDefault="00BC17DB">
            <w:pPr>
              <w:jc w:val="both"/>
              <w:rPr>
                <w:rFonts w:eastAsia="Times New Roman"/>
                <w:sz w:val="20"/>
                <w:szCs w:val="20"/>
              </w:rPr>
            </w:pPr>
            <w:hyperlink w:anchor="ak_006" w:history="1">
              <w:r>
                <w:rPr>
                  <w:rStyle w:val="a4"/>
                  <w:rFonts w:eastAsia="Times New Roman"/>
                  <w:sz w:val="20"/>
                  <w:szCs w:val="20"/>
                </w:rPr>
                <w:t>Statements of Cash Flows for the Nine Months Ended September 30, 2022 and for the period from April 16, 2021 (in</w:t>
              </w:r>
              <w:r>
                <w:rPr>
                  <w:rStyle w:val="a4"/>
                  <w:rFonts w:eastAsia="Times New Roman"/>
                  <w:sz w:val="20"/>
                  <w:szCs w:val="20"/>
                </w:rPr>
                <w:t>ception) through September 30, 2021</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F-4</w:t>
            </w:r>
          </w:p>
        </w:tc>
      </w:tr>
      <w:tr w:rsidR="00000000">
        <w:tc>
          <w:tcPr>
            <w:tcW w:w="0" w:type="auto"/>
            <w:shd w:val="clear" w:color="auto" w:fill="CCEE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BC17DB">
            <w:pPr>
              <w:jc w:val="both"/>
              <w:rPr>
                <w:rFonts w:eastAsia="Times New Roman"/>
                <w:sz w:val="20"/>
                <w:szCs w:val="20"/>
              </w:rPr>
            </w:pPr>
            <w:hyperlink w:anchor="ak_007" w:history="1">
              <w:r>
                <w:rPr>
                  <w:rStyle w:val="a4"/>
                  <w:rFonts w:eastAsia="Times New Roman"/>
                  <w:sz w:val="20"/>
                  <w:szCs w:val="20"/>
                </w:rPr>
                <w:t>Notes to Financial Statements</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F-5</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2</w:t>
            </w:r>
          </w:p>
        </w:tc>
        <w:tc>
          <w:tcPr>
            <w:tcW w:w="0" w:type="auto"/>
            <w:shd w:val="clear" w:color="auto" w:fill="FFFFFF"/>
            <w:vAlign w:val="bottom"/>
            <w:hideMark/>
          </w:tcPr>
          <w:p w:rsidR="00000000" w:rsidRDefault="00BC17DB">
            <w:pPr>
              <w:jc w:val="both"/>
              <w:rPr>
                <w:rFonts w:eastAsia="Times New Roman"/>
                <w:sz w:val="20"/>
                <w:szCs w:val="20"/>
              </w:rPr>
            </w:pPr>
            <w:hyperlink w:anchor="Ha_00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3</w:t>
            </w:r>
          </w:p>
        </w:tc>
      </w:tr>
      <w:tr w:rsidR="00000000">
        <w:tc>
          <w:tcPr>
            <w:tcW w:w="0" w:type="auto"/>
            <w:shd w:val="clear" w:color="auto" w:fill="CCEEFF"/>
            <w:vAlign w:val="bottom"/>
            <w:hideMark/>
          </w:tcPr>
          <w:p w:rsidR="00000000" w:rsidRDefault="00BC17DB">
            <w:pPr>
              <w:jc w:val="both"/>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BC17DB">
            <w:pPr>
              <w:jc w:val="both"/>
              <w:rPr>
                <w:rFonts w:eastAsia="Times New Roman"/>
                <w:sz w:val="20"/>
                <w:szCs w:val="20"/>
              </w:rPr>
            </w:pPr>
            <w:hyperlink w:anchor="Ha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6</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4</w:t>
            </w:r>
          </w:p>
        </w:tc>
        <w:tc>
          <w:tcPr>
            <w:tcW w:w="0" w:type="auto"/>
            <w:shd w:val="clear" w:color="auto" w:fill="FFFFFF"/>
            <w:vAlign w:val="bottom"/>
            <w:hideMark/>
          </w:tcPr>
          <w:p w:rsidR="00000000" w:rsidRDefault="00BC17DB">
            <w:pPr>
              <w:jc w:val="both"/>
              <w:rPr>
                <w:rFonts w:eastAsia="Times New Roman"/>
                <w:sz w:val="20"/>
                <w:szCs w:val="20"/>
              </w:rPr>
            </w:pPr>
            <w:hyperlink w:anchor="Ha_003"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6</w:t>
            </w:r>
          </w:p>
        </w:tc>
      </w:tr>
      <w:tr w:rsidR="00000000">
        <w:tc>
          <w:tcPr>
            <w:tcW w:w="0" w:type="auto"/>
            <w:shd w:val="clear" w:color="auto" w:fill="CCEE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center"/>
              <w:rPr>
                <w:rFonts w:eastAsia="Times New Roman"/>
                <w:sz w:val="20"/>
                <w:szCs w:val="20"/>
              </w:rPr>
            </w:pPr>
            <w:hyperlink w:anchor="Ha_004" w:history="1">
              <w:r>
                <w:rPr>
                  <w:rStyle w:val="a4"/>
                  <w:rFonts w:eastAsia="Times New Roman"/>
                  <w:sz w:val="20"/>
                  <w:szCs w:val="20"/>
                </w:rPr>
                <w:t>PART II. OTHER INFORMATION</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1</w:t>
            </w:r>
          </w:p>
        </w:tc>
        <w:tc>
          <w:tcPr>
            <w:tcW w:w="0" w:type="auto"/>
            <w:shd w:val="clear" w:color="auto" w:fill="FFFFFF"/>
            <w:vAlign w:val="bottom"/>
            <w:hideMark/>
          </w:tcPr>
          <w:p w:rsidR="00000000" w:rsidRDefault="00BC17DB">
            <w:pPr>
              <w:jc w:val="both"/>
              <w:rPr>
                <w:rFonts w:eastAsia="Times New Roman"/>
                <w:sz w:val="20"/>
                <w:szCs w:val="20"/>
              </w:rPr>
            </w:pPr>
            <w:hyperlink w:anchor="Ha_005" w:history="1">
              <w:r>
                <w:rPr>
                  <w:rStyle w:val="a4"/>
                  <w:rFonts w:eastAsia="Times New Roman"/>
                  <w:sz w:val="20"/>
                  <w:szCs w:val="20"/>
                </w:rPr>
                <w:t>Legal Proceedings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7</w:t>
            </w:r>
          </w:p>
        </w:tc>
      </w:tr>
      <w:tr w:rsidR="00000000">
        <w:tc>
          <w:tcPr>
            <w:tcW w:w="0" w:type="auto"/>
            <w:shd w:val="clear" w:color="auto" w:fill="CCEEFF"/>
            <w:vAlign w:val="bottom"/>
            <w:hideMark/>
          </w:tcPr>
          <w:p w:rsidR="00000000" w:rsidRDefault="00BC17DB">
            <w:pPr>
              <w:jc w:val="both"/>
              <w:rPr>
                <w:rFonts w:eastAsia="Times New Roman"/>
                <w:sz w:val="20"/>
                <w:szCs w:val="20"/>
              </w:rPr>
            </w:pPr>
            <w:r>
              <w:rPr>
                <w:rFonts w:eastAsia="Times New Roman"/>
                <w:sz w:val="20"/>
                <w:szCs w:val="20"/>
              </w:rPr>
              <w:t>Item 1A</w:t>
            </w:r>
          </w:p>
        </w:tc>
        <w:tc>
          <w:tcPr>
            <w:tcW w:w="0" w:type="auto"/>
            <w:shd w:val="clear" w:color="auto" w:fill="CCEEFF"/>
            <w:vAlign w:val="bottom"/>
            <w:hideMark/>
          </w:tcPr>
          <w:p w:rsidR="00000000" w:rsidRDefault="00BC17DB">
            <w:pPr>
              <w:jc w:val="both"/>
              <w:rPr>
                <w:rFonts w:eastAsia="Times New Roman"/>
                <w:sz w:val="20"/>
                <w:szCs w:val="20"/>
              </w:rPr>
            </w:pPr>
            <w:hyperlink w:anchor="Ha_006" w:history="1">
              <w:r>
                <w:rPr>
                  <w:rStyle w:val="a4"/>
                  <w:rFonts w:eastAsia="Times New Roman"/>
                  <w:sz w:val="20"/>
                  <w:szCs w:val="20"/>
                </w:rPr>
                <w:t>Risk Factors</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7</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2</w:t>
            </w:r>
          </w:p>
        </w:tc>
        <w:tc>
          <w:tcPr>
            <w:tcW w:w="0" w:type="auto"/>
            <w:shd w:val="clear" w:color="auto" w:fill="FFFFFF"/>
            <w:vAlign w:val="bottom"/>
            <w:hideMark/>
          </w:tcPr>
          <w:p w:rsidR="00000000" w:rsidRDefault="00BC17DB">
            <w:pPr>
              <w:jc w:val="both"/>
              <w:rPr>
                <w:rFonts w:eastAsia="Times New Roman"/>
                <w:sz w:val="20"/>
                <w:szCs w:val="20"/>
              </w:rPr>
            </w:pPr>
            <w:hyperlink w:anchor="Ha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7</w:t>
            </w:r>
          </w:p>
        </w:tc>
      </w:tr>
      <w:tr w:rsidR="00000000">
        <w:tc>
          <w:tcPr>
            <w:tcW w:w="0" w:type="auto"/>
            <w:shd w:val="clear" w:color="auto" w:fill="CCEEFF"/>
            <w:vAlign w:val="bottom"/>
            <w:hideMark/>
          </w:tcPr>
          <w:p w:rsidR="00000000" w:rsidRDefault="00BC17DB">
            <w:pPr>
              <w:jc w:val="both"/>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BC17DB">
            <w:pPr>
              <w:jc w:val="both"/>
              <w:rPr>
                <w:rFonts w:eastAsia="Times New Roman"/>
                <w:sz w:val="20"/>
                <w:szCs w:val="20"/>
              </w:rPr>
            </w:pPr>
            <w:hyperlink w:anchor="Ha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8</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4</w:t>
            </w:r>
          </w:p>
        </w:tc>
        <w:tc>
          <w:tcPr>
            <w:tcW w:w="0" w:type="auto"/>
            <w:shd w:val="clear" w:color="auto" w:fill="FFFFFF"/>
            <w:vAlign w:val="bottom"/>
            <w:hideMark/>
          </w:tcPr>
          <w:p w:rsidR="00000000" w:rsidRDefault="00BC17DB">
            <w:pPr>
              <w:jc w:val="both"/>
              <w:rPr>
                <w:rFonts w:eastAsia="Times New Roman"/>
                <w:sz w:val="20"/>
                <w:szCs w:val="20"/>
              </w:rPr>
            </w:pPr>
            <w:hyperlink w:anchor="Ha_00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8</w:t>
            </w:r>
          </w:p>
        </w:tc>
      </w:tr>
      <w:tr w:rsidR="00000000">
        <w:tc>
          <w:tcPr>
            <w:tcW w:w="0" w:type="auto"/>
            <w:shd w:val="clear" w:color="auto" w:fill="CCEEFF"/>
            <w:vAlign w:val="bottom"/>
            <w:hideMark/>
          </w:tcPr>
          <w:p w:rsidR="00000000" w:rsidRDefault="00BC17DB">
            <w:pPr>
              <w:jc w:val="both"/>
              <w:rPr>
                <w:rFonts w:eastAsia="Times New Roman"/>
                <w:sz w:val="20"/>
                <w:szCs w:val="20"/>
              </w:rPr>
            </w:pPr>
            <w:r>
              <w:rPr>
                <w:rFonts w:eastAsia="Times New Roman"/>
                <w:sz w:val="20"/>
                <w:szCs w:val="20"/>
              </w:rPr>
              <w:t>Item 5</w:t>
            </w:r>
          </w:p>
        </w:tc>
        <w:tc>
          <w:tcPr>
            <w:tcW w:w="0" w:type="auto"/>
            <w:shd w:val="clear" w:color="auto" w:fill="CCEEFF"/>
            <w:vAlign w:val="bottom"/>
            <w:hideMark/>
          </w:tcPr>
          <w:p w:rsidR="00000000" w:rsidRDefault="00BC17DB">
            <w:pPr>
              <w:jc w:val="both"/>
              <w:rPr>
                <w:rFonts w:eastAsia="Times New Roman"/>
                <w:sz w:val="20"/>
                <w:szCs w:val="20"/>
              </w:rPr>
            </w:pPr>
            <w:hyperlink w:anchor="Ha_010" w:history="1">
              <w:r>
                <w:rPr>
                  <w:rStyle w:val="a4"/>
                  <w:rFonts w:eastAsia="Times New Roman"/>
                  <w:sz w:val="20"/>
                  <w:szCs w:val="20"/>
                </w:rPr>
                <w:t>Other Information</w:t>
              </w:r>
            </w:hyperlink>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8</w:t>
            </w:r>
          </w:p>
        </w:tc>
      </w:tr>
      <w:tr w:rsidR="00000000">
        <w:tc>
          <w:tcPr>
            <w:tcW w:w="0" w:type="auto"/>
            <w:shd w:val="clear" w:color="auto" w:fill="FFFFFF"/>
            <w:vAlign w:val="bottom"/>
            <w:hideMark/>
          </w:tcPr>
          <w:p w:rsidR="00000000" w:rsidRDefault="00BC17DB">
            <w:pPr>
              <w:jc w:val="both"/>
              <w:rPr>
                <w:rFonts w:eastAsia="Times New Roman"/>
                <w:sz w:val="20"/>
                <w:szCs w:val="20"/>
              </w:rPr>
            </w:pPr>
            <w:r>
              <w:rPr>
                <w:rFonts w:eastAsia="Times New Roman"/>
                <w:sz w:val="20"/>
                <w:szCs w:val="20"/>
              </w:rPr>
              <w:t>Item 6</w:t>
            </w:r>
          </w:p>
        </w:tc>
        <w:tc>
          <w:tcPr>
            <w:tcW w:w="0" w:type="auto"/>
            <w:shd w:val="clear" w:color="auto" w:fill="FFFFFF"/>
            <w:vAlign w:val="bottom"/>
            <w:hideMark/>
          </w:tcPr>
          <w:p w:rsidR="00000000" w:rsidRDefault="00BC17DB">
            <w:pPr>
              <w:jc w:val="both"/>
              <w:rPr>
                <w:rFonts w:eastAsia="Times New Roman"/>
                <w:sz w:val="20"/>
                <w:szCs w:val="20"/>
              </w:rPr>
            </w:pPr>
            <w:hyperlink w:anchor="Ha_011" w:history="1">
              <w:r>
                <w:rPr>
                  <w:rStyle w:val="a4"/>
                  <w:rFonts w:eastAsia="Times New Roman"/>
                  <w:sz w:val="20"/>
                  <w:szCs w:val="20"/>
                </w:rPr>
                <w:t>Exhibits</w:t>
              </w:r>
            </w:hyperlink>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8</w:t>
            </w:r>
          </w:p>
        </w:tc>
      </w:tr>
      <w:tr w:rsidR="00000000">
        <w:tc>
          <w:tcPr>
            <w:tcW w:w="0" w:type="auto"/>
            <w:shd w:val="clear" w:color="auto" w:fill="CCEE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cente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jc w:val="both"/>
              <w:rPr>
                <w:rFonts w:eastAsia="Times New Roman"/>
                <w:sz w:val="20"/>
                <w:szCs w:val="20"/>
              </w:rPr>
            </w:pPr>
            <w:hyperlink w:anchor="Ha_012" w:history="1">
              <w:r>
                <w:rPr>
                  <w:rStyle w:val="a4"/>
                  <w:rFonts w:eastAsia="Times New Roman"/>
                  <w:sz w:val="20"/>
                  <w:szCs w:val="20"/>
                </w:rPr>
                <w:t>Signatures</w:t>
              </w:r>
            </w:hyperlink>
          </w:p>
        </w:tc>
        <w:tc>
          <w:tcPr>
            <w:tcW w:w="0" w:type="auto"/>
            <w:shd w:val="clear" w:color="auto" w:fill="FFFFFF"/>
            <w:hideMark/>
          </w:tcPr>
          <w:p w:rsidR="00000000" w:rsidRDefault="00BC17DB">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center"/>
              <w:rPr>
                <w:rFonts w:eastAsia="Times New Roman"/>
                <w:sz w:val="20"/>
                <w:szCs w:val="20"/>
              </w:rPr>
            </w:pPr>
            <w:r>
              <w:rPr>
                <w:rFonts w:eastAsia="Times New Roman"/>
                <w:sz w:val="20"/>
                <w:szCs w:val="20"/>
              </w:rPr>
              <w:t>9</w:t>
            </w:r>
          </w:p>
        </w:tc>
      </w:tr>
    </w:tbl>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355982"/>
        </w:trPr>
        <w:tc>
          <w:tcPr>
            <w:tcW w:w="5000" w:type="pct"/>
            <w:hideMark/>
          </w:tcPr>
          <w:p w:rsidR="00000000" w:rsidRDefault="00BC17DB">
            <w:pPr>
              <w:jc w:val="center"/>
              <w:rPr>
                <w:rFonts w:eastAsia="Times New Roman"/>
                <w:sz w:val="20"/>
                <w:szCs w:val="20"/>
              </w:rPr>
            </w:pPr>
            <w:r>
              <w:rPr>
                <w:rFonts w:eastAsia="Times New Roman"/>
                <w:sz w:val="20"/>
                <w:szCs w:val="20"/>
              </w:rPr>
              <w:t>2</w:t>
            </w:r>
          </w:p>
        </w:tc>
      </w:tr>
    </w:tbl>
    <w:p w:rsidR="00000000" w:rsidRDefault="00BC17DB">
      <w:pPr>
        <w:pStyle w:val="a3"/>
        <w:spacing w:before="0" w:beforeAutospacing="0" w:after="0" w:afterAutospacing="0"/>
        <w:divId w:val="263415373"/>
        <w:rPr>
          <w:sz w:val="20"/>
          <w:szCs w:val="20"/>
        </w:rPr>
      </w:pPr>
      <w:r>
        <w:rPr>
          <w:sz w:val="20"/>
          <w:szCs w:val="20"/>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 xml:space="preserve">PART I — </w:t>
      </w:r>
      <w:r>
        <w:rPr>
          <w:b/>
          <w:bCs/>
          <w:sz w:val="20"/>
          <w:szCs w:val="20"/>
        </w:rPr>
        <w:t>FINANCIAL INFORMATION</w:t>
      </w:r>
    </w:p>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both"/>
        <w:rPr>
          <w:sz w:val="20"/>
          <w:szCs w:val="20"/>
        </w:rPr>
      </w:pPr>
      <w:r>
        <w:rPr>
          <w:sz w:val="20"/>
          <w:szCs w:val="20"/>
        </w:rPr>
        <w:t>Item 1. Financial Statements</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BROAD CAPITAL ACQUISITION CORP</w:t>
      </w:r>
    </w:p>
    <w:p w:rsidR="00000000" w:rsidRDefault="00BC17DB">
      <w:pPr>
        <w:pStyle w:val="a3"/>
        <w:spacing w:before="0" w:beforeAutospacing="0" w:after="0" w:afterAutospacing="0"/>
        <w:jc w:val="center"/>
        <w:rPr>
          <w:sz w:val="20"/>
          <w:szCs w:val="20"/>
        </w:rPr>
      </w:pPr>
      <w:r>
        <w:rPr>
          <w:b/>
          <w:bCs/>
          <w:sz w:val="20"/>
          <w:szCs w:val="20"/>
        </w:rPr>
        <w:t>BALANCE SHEETS</w:t>
      </w:r>
    </w:p>
    <w:p w:rsidR="00000000" w:rsidRDefault="00BC17DB">
      <w:pPr>
        <w:pStyle w:val="a3"/>
        <w:spacing w:before="0" w:beforeAutospacing="0" w:after="0" w:afterAutospacing="0"/>
        <w:jc w:val="center"/>
        <w:rPr>
          <w:sz w:val="20"/>
          <w:szCs w:val="20"/>
        </w:rPr>
      </w:pPr>
      <w:r>
        <w:rPr>
          <w:b/>
          <w:bCs/>
          <w:sz w:val="20"/>
          <w:szCs w:val="20"/>
        </w:rPr>
        <w:t>September 30, 2022</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Balance Sheets"/>
      </w:tblPr>
      <w:tblGrid>
        <w:gridCol w:w="5311"/>
        <w:gridCol w:w="161"/>
        <w:gridCol w:w="100"/>
        <w:gridCol w:w="1158"/>
        <w:gridCol w:w="78"/>
        <w:gridCol w:w="161"/>
        <w:gridCol w:w="101"/>
        <w:gridCol w:w="1158"/>
        <w:gridCol w:w="78"/>
      </w:tblGrid>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C17DB">
            <w:pPr>
              <w:pStyle w:val="a3"/>
              <w:spacing w:before="0" w:beforeAutospacing="0" w:after="0" w:afterAutospacing="0"/>
              <w:jc w:val="center"/>
              <w:rPr>
                <w:sz w:val="20"/>
                <w:szCs w:val="20"/>
              </w:rPr>
            </w:pPr>
            <w:r>
              <w:rPr>
                <w:b/>
                <w:bCs/>
                <w:sz w:val="20"/>
                <w:szCs w:val="20"/>
              </w:rPr>
              <w:t>September 30, 2022</w:t>
            </w:r>
          </w:p>
          <w:p w:rsidR="00000000" w:rsidRDefault="00BC17DB">
            <w:pPr>
              <w:pStyle w:val="a3"/>
              <w:spacing w:before="0" w:beforeAutospacing="0" w:after="0" w:afterAutospacing="0"/>
              <w:jc w:val="center"/>
              <w:rPr>
                <w:sz w:val="20"/>
                <w:szCs w:val="20"/>
              </w:rPr>
            </w:pPr>
            <w:r>
              <w:rPr>
                <w:b/>
                <w:bCs/>
                <w:sz w:val="20"/>
                <w:szCs w:val="20"/>
              </w:rPr>
              <w:t>(unaudited)</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C17DB">
            <w:pPr>
              <w:pStyle w:val="a3"/>
              <w:spacing w:before="0" w:beforeAutospacing="0" w:after="0" w:afterAutospacing="0"/>
              <w:jc w:val="center"/>
              <w:rPr>
                <w:sz w:val="20"/>
                <w:szCs w:val="20"/>
              </w:rPr>
            </w:pPr>
            <w:r>
              <w:rPr>
                <w:b/>
                <w:bCs/>
                <w:sz w:val="20"/>
                <w:szCs w:val="20"/>
              </w:rPr>
              <w:t>December 31, 2021</w:t>
            </w:r>
          </w:p>
          <w:p w:rsidR="00000000" w:rsidRDefault="00BC17DB">
            <w:pPr>
              <w:pStyle w:val="a3"/>
              <w:spacing w:before="0" w:beforeAutospacing="0" w:after="0" w:afterAutospacing="0"/>
              <w:jc w:val="center"/>
              <w:rPr>
                <w:sz w:val="20"/>
                <w:szCs w:val="20"/>
              </w:rPr>
            </w:pPr>
            <w:r>
              <w:rPr>
                <w:b/>
                <w:bCs/>
                <w:sz w:val="20"/>
                <w:szCs w:val="20"/>
              </w:rPr>
              <w:t>(audited)</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Current Assets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BC17DB">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529,566</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2,164</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Deferred offering costs</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287,601</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529,566</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289,765</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Cash and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103,233,186</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103,762,752</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289,765</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LIABILITIES AND SHAREHOLDERS’ EQUITY (DEFICIT)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130,000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151,503</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177,342</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Promissory note – related party</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133,357</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307,342</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284,860</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Deferred underwriter commission</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3,555,674</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3,863,016</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284,860</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Commitments and Contingencies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Common Stock subject to possible redemption;</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shares (at </w:t>
            </w:r>
            <w:r>
              <w:rPr>
                <w:rFonts w:eastAsia="Times New Roman"/>
                <w:sz w:val="20"/>
                <w:szCs w:val="20"/>
              </w:rPr>
              <w:t>$</w:t>
            </w:r>
            <w:r>
              <w:rPr>
                <w:rFonts w:eastAsia="Times New Roman"/>
                <w:sz w:val="20"/>
                <w:szCs w:val="20"/>
              </w:rPr>
              <w:t>10.1</w:t>
            </w:r>
            <w:r>
              <w:rPr>
                <w:rFonts w:eastAsia="Times New Roman"/>
                <w:sz w:val="20"/>
                <w:szCs w:val="20"/>
              </w:rPr>
              <w:t>4</w:t>
            </w:r>
            <w:r>
              <w:rPr>
                <w:rFonts w:eastAsia="Times New Roman"/>
                <w:sz w:val="20"/>
                <w:szCs w:val="20"/>
              </w:rPr>
              <w:t xml:space="preserve"> per share)</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103,033,186</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xml:space="preserve">Shareholders’ </w:t>
            </w:r>
            <w:r>
              <w:rPr>
                <w:rFonts w:eastAsia="Times New Roman"/>
                <w:b/>
                <w:bCs/>
                <w:sz w:val="20"/>
                <w:szCs w:val="20"/>
              </w:rPr>
              <w:t>Equity (Deficit)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xml:space="preserve">Preference Shares,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and outstanding</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0.00000</w:t>
            </w:r>
            <w:r>
              <w:rPr>
                <w:rFonts w:eastAsia="Times New Roman"/>
                <w:sz w:val="20"/>
                <w:szCs w:val="20"/>
              </w:rPr>
              <w:t>1</w:t>
            </w:r>
            <w:r>
              <w:rPr>
                <w:rFonts w:eastAsia="Times New Roman"/>
                <w:sz w:val="20"/>
                <w:szCs w:val="20"/>
              </w:rPr>
              <w:t xml:space="preserve"> par value,</w:t>
            </w:r>
            <w:r>
              <w:rPr>
                <w:rFonts w:eastAsia="Times New Roman"/>
                <w:sz w:val="20"/>
                <w:szCs w:val="20"/>
              </w:rPr>
              <w:t xml:space="preserve"> </w:t>
            </w:r>
            <w:r>
              <w:rPr>
                <w:rFonts w:eastAsia="Times New Roman"/>
                <w:sz w:val="20"/>
                <w:szCs w:val="20"/>
              </w:rPr>
              <w:t>100,000,00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2,990,89</w:t>
            </w:r>
            <w:r>
              <w:rPr>
                <w:rFonts w:eastAsia="Times New Roman"/>
                <w:sz w:val="20"/>
                <w:szCs w:val="20"/>
              </w:rPr>
              <w:t>7</w:t>
            </w:r>
            <w:r>
              <w:rPr>
                <w:rFonts w:eastAsia="Times New Roman"/>
                <w:sz w:val="20"/>
                <w:szCs w:val="20"/>
              </w:rPr>
              <w:t xml:space="preserve"> </w:t>
            </w:r>
            <w:r>
              <w:rPr>
                <w:rFonts w:eastAsia="Times New Roman"/>
                <w:sz w:val="20"/>
                <w:szCs w:val="20"/>
              </w:rPr>
              <w:t>issued and outstanding (excluding</w:t>
            </w:r>
            <w:r>
              <w:rPr>
                <w:rFonts w:eastAsia="Times New Roman"/>
                <w:sz w:val="20"/>
                <w:szCs w:val="20"/>
              </w:rPr>
              <w:t xml:space="preserve"> </w:t>
            </w:r>
            <w:r>
              <w:rPr>
                <w:rFonts w:eastAsia="Times New Roman"/>
                <w:sz w:val="20"/>
                <w:szCs w:val="20"/>
              </w:rPr>
              <w:t>10,159,06</w:t>
            </w:r>
            <w:r>
              <w:rPr>
                <w:rFonts w:eastAsia="Times New Roman"/>
                <w:sz w:val="20"/>
                <w:szCs w:val="20"/>
              </w:rPr>
              <w:t>9</w:t>
            </w:r>
            <w:r>
              <w:rPr>
                <w:rFonts w:eastAsia="Times New Roman"/>
                <w:sz w:val="20"/>
                <w:szCs w:val="20"/>
              </w:rPr>
              <w:t xml:space="preserve"> shares subject to possible redemption)</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24,997</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(3,133,453</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(20,095</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Total Shareholders’ Equity (Deficit)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r>
              <w:rPr>
                <w:rFonts w:eastAsia="Times New Roman"/>
                <w:b/>
                <w:bCs/>
                <w:sz w:val="20"/>
                <w:szCs w:val="20"/>
              </w:rPr>
              <w:t>3,133,450</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4,905</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Total Liabilities and Shareholders’ Equity (Deficit)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103,762,752</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289,765</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bl>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unaudited financial statements.</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11338610"/>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p w:rsidR="00000000" w:rsidRDefault="00BC17DB">
      <w:pPr>
        <w:pStyle w:val="a3"/>
        <w:spacing w:before="0" w:beforeAutospacing="0" w:after="0" w:afterAutospacing="0"/>
        <w:divId w:val="2086143938"/>
        <w:rPr>
          <w:sz w:val="20"/>
          <w:szCs w:val="20"/>
        </w:rPr>
      </w:pPr>
      <w:r>
        <w:rPr>
          <w:sz w:val="20"/>
          <w:szCs w:val="20"/>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BROAD CAPITAL ACQUISITION CORP</w:t>
      </w:r>
    </w:p>
    <w:p w:rsidR="00000000" w:rsidRDefault="00BC17DB">
      <w:pPr>
        <w:pStyle w:val="a3"/>
        <w:spacing w:before="0" w:beforeAutospacing="0" w:after="0" w:afterAutospacing="0"/>
        <w:jc w:val="center"/>
        <w:rPr>
          <w:sz w:val="20"/>
          <w:szCs w:val="20"/>
        </w:rPr>
      </w:pPr>
      <w:r>
        <w:rPr>
          <w:b/>
          <w:bCs/>
          <w:sz w:val="20"/>
          <w:szCs w:val="20"/>
        </w:rPr>
        <w:t>STATEMENTS OF OPERATIONS</w:t>
      </w:r>
    </w:p>
    <w:p w:rsidR="00000000" w:rsidRDefault="00BC17DB">
      <w:pPr>
        <w:pStyle w:val="a3"/>
        <w:spacing w:before="0" w:beforeAutospacing="0" w:after="0" w:afterAutospacing="0"/>
        <w:jc w:val="center"/>
        <w:rPr>
          <w:sz w:val="20"/>
          <w:szCs w:val="20"/>
        </w:rPr>
      </w:pPr>
      <w:r>
        <w:rPr>
          <w:b/>
          <w:bCs/>
          <w:sz w:val="20"/>
          <w:szCs w:val="20"/>
        </w:rPr>
        <w:t>(UNAUDITED)</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Operations (Unaudited)"/>
      </w:tblPr>
      <w:tblGrid>
        <w:gridCol w:w="4313"/>
        <w:gridCol w:w="160"/>
        <w:gridCol w:w="100"/>
        <w:gridCol w:w="992"/>
        <w:gridCol w:w="78"/>
        <w:gridCol w:w="161"/>
        <w:gridCol w:w="100"/>
        <w:gridCol w:w="992"/>
        <w:gridCol w:w="78"/>
        <w:gridCol w:w="161"/>
        <w:gridCol w:w="101"/>
        <w:gridCol w:w="992"/>
        <w:gridCol w:w="78"/>
      </w:tblGrid>
      <w:tr w:rsidR="00000000">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C17DB">
            <w:pPr>
              <w:pStyle w:val="a3"/>
              <w:spacing w:before="0" w:beforeAutospacing="0" w:after="0" w:afterAutospacing="0"/>
              <w:jc w:val="center"/>
              <w:rPr>
                <w:sz w:val="20"/>
                <w:szCs w:val="20"/>
              </w:rPr>
            </w:pPr>
            <w:r>
              <w:rPr>
                <w:b/>
                <w:bCs/>
                <w:sz w:val="20"/>
                <w:szCs w:val="20"/>
              </w:rPr>
              <w:t>For the Three Months Ended</w:t>
            </w:r>
          </w:p>
          <w:p w:rsidR="00000000" w:rsidRDefault="00BC17DB">
            <w:pPr>
              <w:pStyle w:val="a3"/>
              <w:spacing w:before="0" w:beforeAutospacing="0" w:after="0" w:afterAutospacing="0"/>
              <w:jc w:val="center"/>
              <w:rPr>
                <w:sz w:val="20"/>
                <w:szCs w:val="20"/>
              </w:rPr>
            </w:pPr>
            <w:r>
              <w:rPr>
                <w:b/>
                <w:bCs/>
                <w:sz w:val="20"/>
                <w:szCs w:val="20"/>
              </w:rPr>
              <w:t>September 30, 2022</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For the Nine Months Ended September 30, 2022</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For the Period from April 16, 2021 (Inception) Through September 30, 2021</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Formation and operating costs</w:t>
            </w:r>
          </w:p>
        </w:tc>
        <w:tc>
          <w:tcPr>
            <w:tcW w:w="10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(252,312</w:t>
            </w:r>
          </w:p>
        </w:tc>
        <w:tc>
          <w:tcPr>
            <w:tcW w:w="5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10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(829,034</w:t>
            </w:r>
          </w:p>
        </w:tc>
        <w:tc>
          <w:tcPr>
            <w:tcW w:w="5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10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(252,312</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(829,034</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Other Income</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478,182</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626,589</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225,870</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(202,445</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Weighted average shares outstanding of Common Stock</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13,485,199</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13,000,236</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Basic and diluted net loss per share of Common Stock</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0.02</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(0.02</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(0.00</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r>
    </w:tbl>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unaudited financial statements.</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03761407"/>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p w:rsidR="00000000" w:rsidRDefault="00BC17DB">
      <w:pPr>
        <w:pStyle w:val="a3"/>
        <w:spacing w:before="0" w:beforeAutospacing="0" w:after="0" w:afterAutospacing="0"/>
        <w:divId w:val="39979619"/>
        <w:rPr>
          <w:sz w:val="20"/>
          <w:szCs w:val="20"/>
        </w:rPr>
      </w:pPr>
      <w:r>
        <w:rPr>
          <w:sz w:val="20"/>
          <w:szCs w:val="20"/>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BROAD CAPITAL ACQUISITION CORP</w:t>
      </w:r>
    </w:p>
    <w:p w:rsidR="00000000" w:rsidRDefault="00BC17DB">
      <w:pPr>
        <w:pStyle w:val="a3"/>
        <w:spacing w:before="0" w:beforeAutospacing="0" w:after="0" w:afterAutospacing="0"/>
        <w:jc w:val="center"/>
        <w:rPr>
          <w:sz w:val="20"/>
          <w:szCs w:val="20"/>
        </w:rPr>
      </w:pPr>
      <w:r>
        <w:rPr>
          <w:b/>
          <w:bCs/>
          <w:sz w:val="20"/>
          <w:szCs w:val="20"/>
        </w:rPr>
        <w:t>STATEMENTS OF CHANGES IN STOCKHOLDERS’ EQUITY</w:t>
      </w:r>
    </w:p>
    <w:p w:rsidR="00000000" w:rsidRDefault="00BC17DB">
      <w:pPr>
        <w:pStyle w:val="a3"/>
        <w:spacing w:before="0" w:beforeAutospacing="0" w:after="0" w:afterAutospacing="0"/>
        <w:jc w:val="center"/>
        <w:rPr>
          <w:sz w:val="20"/>
          <w:szCs w:val="20"/>
        </w:rPr>
      </w:pPr>
      <w:r>
        <w:rPr>
          <w:b/>
          <w:bCs/>
          <w:sz w:val="20"/>
          <w:szCs w:val="20"/>
        </w:rPr>
        <w:t xml:space="preserve">FOR </w:t>
      </w:r>
      <w:r>
        <w:rPr>
          <w:b/>
          <w:bCs/>
          <w:sz w:val="20"/>
          <w:szCs w:val="20"/>
        </w:rPr>
        <w:t>THE PERIOD FROM INCEPTION THROUGH SEPTEMBER 30, 2021 AND</w:t>
      </w:r>
    </w:p>
    <w:p w:rsidR="00000000" w:rsidRDefault="00BC17DB">
      <w:pPr>
        <w:pStyle w:val="a3"/>
        <w:spacing w:before="0" w:beforeAutospacing="0" w:after="0" w:afterAutospacing="0"/>
        <w:jc w:val="center"/>
        <w:rPr>
          <w:sz w:val="20"/>
          <w:szCs w:val="20"/>
        </w:rPr>
      </w:pPr>
      <w:r>
        <w:rPr>
          <w:b/>
          <w:bCs/>
          <w:sz w:val="20"/>
          <w:szCs w:val="20"/>
        </w:rPr>
        <w:t>FOR THE NINE MONTHS ENDED SEPTEMBER 30, 2022</w:t>
      </w:r>
    </w:p>
    <w:p w:rsidR="00000000" w:rsidRDefault="00BC17DB">
      <w:pPr>
        <w:pStyle w:val="a3"/>
        <w:spacing w:before="0" w:beforeAutospacing="0" w:after="0" w:afterAutospacing="0"/>
        <w:jc w:val="center"/>
        <w:rPr>
          <w:sz w:val="20"/>
          <w:szCs w:val="20"/>
        </w:rPr>
      </w:pPr>
      <w:r>
        <w:rPr>
          <w:b/>
          <w:bCs/>
          <w:sz w:val="20"/>
          <w:szCs w:val="20"/>
        </w:rPr>
        <w:t>(UNAUDITED)</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Unaudited)"/>
      </w:tblPr>
      <w:tblGrid>
        <w:gridCol w:w="2487"/>
        <w:gridCol w:w="50"/>
        <w:gridCol w:w="50"/>
        <w:gridCol w:w="967"/>
        <w:gridCol w:w="67"/>
        <w:gridCol w:w="50"/>
        <w:gridCol w:w="101"/>
        <w:gridCol w:w="630"/>
        <w:gridCol w:w="67"/>
        <w:gridCol w:w="50"/>
        <w:gridCol w:w="100"/>
        <w:gridCol w:w="1067"/>
        <w:gridCol w:w="67"/>
        <w:gridCol w:w="50"/>
        <w:gridCol w:w="114"/>
        <w:gridCol w:w="1020"/>
        <w:gridCol w:w="67"/>
        <w:gridCol w:w="50"/>
        <w:gridCol w:w="118"/>
        <w:gridCol w:w="1067"/>
        <w:gridCol w:w="67"/>
      </w:tblGrid>
      <w:tr w:rsidR="00000000">
        <w:trPr>
          <w:hidden/>
        </w:trPr>
        <w:tc>
          <w:tcPr>
            <w:tcW w:w="0" w:type="auto"/>
            <w:vAlign w:val="bottom"/>
            <w:hideMark/>
          </w:tcPr>
          <w:p w:rsidR="00000000" w:rsidRDefault="00BC17DB">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vanish/>
                <w:sz w:val="20"/>
                <w:szCs w:val="20"/>
              </w:rPr>
            </w:pPr>
            <w:r>
              <w:rPr>
                <w:rFonts w:eastAsia="Times New Roman"/>
                <w:b/>
                <w:bCs/>
                <w:vanish/>
                <w:sz w:val="20"/>
                <w:szCs w:val="20"/>
              </w:rPr>
              <w:t>Shares</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vanish/>
                <w:sz w:val="20"/>
                <w:szCs w:val="20"/>
              </w:rPr>
            </w:pPr>
            <w:r>
              <w:rPr>
                <w:rFonts w:eastAsia="Times New Roman"/>
                <w:b/>
                <w:bCs/>
                <w:vanish/>
                <w:sz w:val="20"/>
                <w:szCs w:val="20"/>
              </w:rPr>
              <w:t>Amount</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vanish/>
                <w:sz w:val="20"/>
                <w:szCs w:val="20"/>
              </w:rPr>
            </w:pPr>
            <w:r>
              <w:rPr>
                <w:rFonts w:eastAsia="Times New Roman"/>
                <w:b/>
                <w:bCs/>
                <w:vanish/>
                <w:sz w:val="20"/>
                <w:szCs w:val="20"/>
              </w:rPr>
              <w:t>Capital</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vanish/>
                <w:sz w:val="20"/>
                <w:szCs w:val="20"/>
              </w:rPr>
            </w:pPr>
            <w:r>
              <w:rPr>
                <w:rFonts w:eastAsia="Times New Roman"/>
                <w:b/>
                <w:bCs/>
                <w:vanish/>
                <w:sz w:val="20"/>
                <w:szCs w:val="20"/>
              </w:rPr>
              <w:t>Deficit</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vanish/>
                <w:sz w:val="20"/>
                <w:szCs w:val="20"/>
              </w:rPr>
            </w:pPr>
            <w:r>
              <w:rPr>
                <w:rFonts w:eastAsia="Times New Roman"/>
                <w:b/>
                <w:bCs/>
                <w:vanish/>
                <w:sz w:val="20"/>
                <w:szCs w:val="20"/>
              </w:rPr>
              <w:t>(Deficit)</w:t>
            </w:r>
          </w:p>
        </w:tc>
        <w:tc>
          <w:tcPr>
            <w:tcW w:w="0" w:type="auto"/>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BC17DB">
            <w:pPr>
              <w:pStyle w:val="a3"/>
              <w:spacing w:before="0" w:beforeAutospacing="0" w:after="0" w:afterAutospacing="0"/>
              <w:jc w:val="center"/>
              <w:rPr>
                <w:sz w:val="20"/>
                <w:szCs w:val="20"/>
              </w:rPr>
            </w:pPr>
            <w:r>
              <w:rPr>
                <w:b/>
                <w:bCs/>
                <w:sz w:val="20"/>
                <w:szCs w:val="20"/>
              </w:rPr>
              <w:t>Additional</w:t>
            </w:r>
          </w:p>
          <w:p w:rsidR="00000000" w:rsidRDefault="00BC17DB">
            <w:pPr>
              <w:pStyle w:val="a3"/>
              <w:spacing w:before="0" w:beforeAutospacing="0" w:after="0" w:afterAutospacing="0"/>
              <w:jc w:val="center"/>
              <w:rPr>
                <w:sz w:val="20"/>
                <w:szCs w:val="20"/>
              </w:rPr>
            </w:pPr>
            <w:r>
              <w:rPr>
                <w:b/>
                <w:bCs/>
                <w:sz w:val="20"/>
                <w:szCs w:val="20"/>
              </w:rPr>
              <w:t>Paid-In</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C17DB">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BC17DB">
            <w:pPr>
              <w:pStyle w:val="a3"/>
              <w:spacing w:before="0" w:beforeAutospacing="0" w:after="0" w:afterAutospacing="0"/>
              <w:jc w:val="center"/>
              <w:rPr>
                <w:sz w:val="20"/>
                <w:szCs w:val="20"/>
              </w:rPr>
            </w:pPr>
            <w:r>
              <w:rPr>
                <w:b/>
                <w:bCs/>
                <w:sz w:val="20"/>
                <w:szCs w:val="20"/>
              </w:rPr>
              <w:t>Total</w:t>
            </w:r>
          </w:p>
          <w:p w:rsidR="00000000" w:rsidRDefault="00BC17DB">
            <w:pPr>
              <w:pStyle w:val="a3"/>
              <w:spacing w:before="0" w:beforeAutospacing="0" w:after="0" w:afterAutospacing="0"/>
              <w:jc w:val="center"/>
              <w:rPr>
                <w:sz w:val="20"/>
                <w:szCs w:val="20"/>
              </w:rPr>
            </w:pPr>
            <w:r>
              <w:rPr>
                <w:b/>
                <w:bCs/>
                <w:sz w:val="20"/>
                <w:szCs w:val="20"/>
              </w:rPr>
              <w:t>Stockholders’</w:t>
            </w:r>
            <w:r>
              <w:rPr>
                <w:b/>
                <w:bCs/>
                <w:sz w:val="20"/>
                <w:szCs w:val="20"/>
              </w:rPr>
              <w:br/>
              <w:t>Equity</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jc w:val="center"/>
              <w:rPr>
                <w:rFonts w:eastAsia="Times New Roman"/>
                <w:sz w:val="20"/>
                <w:szCs w:val="20"/>
              </w:rPr>
            </w:pPr>
            <w:r>
              <w:rPr>
                <w:rFonts w:eastAsia="Times New Roman"/>
                <w:sz w:val="20"/>
                <w:szCs w:val="20"/>
              </w:rPr>
              <w:lastRenderedPageBreak/>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17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Balance – December 31, 2021</w:t>
            </w:r>
          </w:p>
        </w:tc>
        <w:tc>
          <w:tcPr>
            <w:tcW w:w="10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2,875,000</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3</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24,997</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(20,095</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4,905</w:t>
            </w:r>
          </w:p>
        </w:tc>
        <w:tc>
          <w:tcPr>
            <w:tcW w:w="50" w:type="pct"/>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Sale of Units in Initial Public Offering</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10,159,069</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101,590,680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101,590,690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Common Stock subject to possible redemption</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(10,159,069</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(102,606,587</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(102,606,597</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Sale of Placement Units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451,130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4,511,300</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Offering and Underwriting costs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(2,449,040</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Deferred underwriting commission</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(3,555,674</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Forfeiture of Insider Shares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(335,233</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Re-classification</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(2,484,324</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(419,465</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(419,465</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b/>
                <w:bCs/>
                <w:sz w:val="20"/>
                <w:szCs w:val="20"/>
              </w:rPr>
              <w:t xml:space="preserve">Balance – </w:t>
            </w:r>
            <w:r>
              <w:rPr>
                <w:rFonts w:eastAsia="Times New Roman"/>
                <w:b/>
                <w:bCs/>
                <w:sz w:val="20"/>
                <w:szCs w:val="20"/>
              </w:rPr>
              <w:t>March 31, 2022</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2,990,897</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3</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(2,923,884</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(2,923,881</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(8,850</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(8,850</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b/>
                <w:bCs/>
                <w:sz w:val="20"/>
                <w:szCs w:val="20"/>
              </w:rPr>
              <w:t>Balance – June 30, 2022</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2,990,897</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3</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(2,932,734</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(2,932,731</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Net Income</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jc w:val="right"/>
              <w:rPr>
                <w:rFonts w:eastAsia="Times New Roman"/>
                <w:sz w:val="20"/>
                <w:szCs w:val="20"/>
              </w:rPr>
            </w:pPr>
            <w:r>
              <w:rPr>
                <w:rFonts w:eastAsia="Times New Roman"/>
                <w:sz w:val="20"/>
                <w:szCs w:val="20"/>
              </w:rPr>
              <w:t>225,870</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jc w:val="right"/>
              <w:rPr>
                <w:rFonts w:eastAsia="Times New Roman"/>
                <w:sz w:val="20"/>
                <w:szCs w:val="20"/>
              </w:rPr>
            </w:pPr>
            <w:r>
              <w:rPr>
                <w:rFonts w:eastAsia="Times New Roman"/>
                <w:sz w:val="20"/>
                <w:szCs w:val="20"/>
              </w:rPr>
              <w:t>225,870</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Remeasurement of common stock subject to redemption</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(426,589</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(426,589</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b/>
                <w:bCs/>
                <w:sz w:val="20"/>
                <w:szCs w:val="20"/>
              </w:rPr>
              <w:t>Balance – September 30, 2022</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2,990,897</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3</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(3,133,453</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(3,133,450</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w:t>
            </w:r>
          </w:p>
        </w:tc>
      </w:tr>
    </w:tbl>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39"/>
        <w:gridCol w:w="98"/>
        <w:gridCol w:w="50"/>
        <w:gridCol w:w="800"/>
        <w:gridCol w:w="50"/>
        <w:gridCol w:w="50"/>
        <w:gridCol w:w="101"/>
        <w:gridCol w:w="674"/>
        <w:gridCol w:w="50"/>
        <w:gridCol w:w="70"/>
        <w:gridCol w:w="101"/>
        <w:gridCol w:w="820"/>
        <w:gridCol w:w="50"/>
        <w:gridCol w:w="70"/>
        <w:gridCol w:w="114"/>
        <w:gridCol w:w="1020"/>
        <w:gridCol w:w="50"/>
        <w:gridCol w:w="71"/>
        <w:gridCol w:w="118"/>
        <w:gridCol w:w="1060"/>
        <w:gridCol w:w="50"/>
      </w:tblGrid>
      <w:tr w:rsidR="00000000">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BC17DB">
            <w:pPr>
              <w:pStyle w:val="a3"/>
              <w:spacing w:before="0" w:beforeAutospacing="0" w:after="0" w:afterAutospacing="0"/>
              <w:jc w:val="center"/>
              <w:rPr>
                <w:sz w:val="20"/>
                <w:szCs w:val="20"/>
              </w:rPr>
            </w:pPr>
            <w:r>
              <w:rPr>
                <w:b/>
                <w:bCs/>
                <w:sz w:val="20"/>
                <w:szCs w:val="20"/>
              </w:rPr>
              <w:t>Additional</w:t>
            </w:r>
          </w:p>
          <w:p w:rsidR="00000000" w:rsidRDefault="00BC17DB">
            <w:pPr>
              <w:pStyle w:val="a3"/>
              <w:spacing w:before="0" w:beforeAutospacing="0" w:after="0" w:afterAutospacing="0"/>
              <w:jc w:val="center"/>
              <w:rPr>
                <w:sz w:val="20"/>
                <w:szCs w:val="20"/>
              </w:rPr>
            </w:pPr>
            <w:r>
              <w:rPr>
                <w:b/>
                <w:bCs/>
                <w:sz w:val="20"/>
                <w:szCs w:val="20"/>
              </w:rPr>
              <w:t>Paid-In</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C17DB">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rsidR="00000000" w:rsidRDefault="00BC17DB">
            <w:pPr>
              <w:pStyle w:val="a3"/>
              <w:spacing w:before="0" w:beforeAutospacing="0" w:after="0" w:afterAutospacing="0"/>
              <w:jc w:val="center"/>
              <w:rPr>
                <w:b/>
                <w:bCs/>
                <w:sz w:val="20"/>
                <w:szCs w:val="20"/>
              </w:rPr>
            </w:pPr>
            <w:r>
              <w:rPr>
                <w:b/>
                <w:bCs/>
                <w:sz w:val="20"/>
                <w:szCs w:val="20"/>
              </w:rPr>
              <w:t>Total</w:t>
            </w:r>
          </w:p>
          <w:p w:rsidR="00000000" w:rsidRDefault="00BC17DB">
            <w:pPr>
              <w:pStyle w:val="a3"/>
              <w:spacing w:before="0" w:beforeAutospacing="0" w:after="0" w:afterAutospacing="0"/>
              <w:jc w:val="center"/>
              <w:rPr>
                <w:b/>
                <w:bCs/>
                <w:sz w:val="20"/>
                <w:szCs w:val="20"/>
              </w:rPr>
            </w:pPr>
            <w:r>
              <w:rPr>
                <w:b/>
                <w:bCs/>
                <w:sz w:val="20"/>
                <w:szCs w:val="20"/>
              </w:rPr>
              <w:t>Stockholders’</w:t>
            </w:r>
            <w:r>
              <w:rPr>
                <w:b/>
                <w:bCs/>
                <w:sz w:val="20"/>
                <w:szCs w:val="20"/>
              </w:rPr>
              <w:br/>
              <w:t>Equity</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Balance – April 16, 2021 (Inception)</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      </w:t>
            </w:r>
            <w:r>
              <w:rPr>
                <w:rFonts w:eastAsia="Times New Roman"/>
                <w:b/>
                <w:bCs/>
                <w:sz w:val="20"/>
                <w:szCs w:val="20"/>
              </w:rPr>
              <w:t> </w:t>
            </w: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        </w:t>
            </w:r>
            <w:r>
              <w:rPr>
                <w:rFonts w:eastAsia="Times New Roman"/>
                <w:b/>
                <w:bCs/>
                <w:sz w:val="20"/>
                <w:szCs w:val="20"/>
              </w:rPr>
              <w:t> </w:t>
            </w: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Beginning balance</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      </w:t>
            </w:r>
            <w:r>
              <w:rPr>
                <w:rFonts w:eastAsia="Times New Roman"/>
                <w:b/>
                <w:bCs/>
                <w:vanish/>
                <w:sz w:val="20"/>
                <w:szCs w:val="20"/>
              </w:rPr>
              <w:t> </w:t>
            </w:r>
            <w:r>
              <w:rPr>
                <w:rFonts w:eastAsia="Times New Roman"/>
                <w:b/>
                <w:bCs/>
                <w:vanish/>
                <w:sz w:val="20"/>
                <w:szCs w:val="20"/>
              </w:rPr>
              <w:t>-</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        </w:t>
            </w:r>
            <w:r>
              <w:rPr>
                <w:rFonts w:eastAsia="Times New Roman"/>
                <w:b/>
                <w:bCs/>
                <w:vanish/>
                <w:sz w:val="20"/>
                <w:szCs w:val="20"/>
              </w:rPr>
              <w:t> </w:t>
            </w:r>
            <w:r>
              <w:rPr>
                <w:rFonts w:eastAsia="Times New Roman"/>
                <w:b/>
                <w:bCs/>
                <w:vanish/>
                <w:sz w:val="20"/>
                <w:szCs w:val="20"/>
              </w:rPr>
              <w:t>-</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r>
      <w:tr w:rsidR="00000000">
        <w:tc>
          <w:tcPr>
            <w:tcW w:w="1750" w:type="pct"/>
            <w:shd w:val="clear" w:color="auto" w:fill="CCEEFF"/>
            <w:vAlign w:val="bottom"/>
            <w:hideMark/>
          </w:tcPr>
          <w:p w:rsidR="00000000" w:rsidRDefault="00BC17DB">
            <w:pPr>
              <w:rPr>
                <w:rFonts w:eastAsia="Times New Roman"/>
                <w:sz w:val="20"/>
                <w:szCs w:val="20"/>
              </w:rPr>
            </w:pPr>
            <w:r>
              <w:rPr>
                <w:rFonts w:eastAsia="Times New Roman"/>
                <w:sz w:val="20"/>
                <w:szCs w:val="20"/>
              </w:rPr>
              <w:t>Issuance of common stock to Sponsor</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2,875,000</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24,997</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BC17DB">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xml:space="preserve">Balance – </w:t>
            </w:r>
            <w:r>
              <w:rPr>
                <w:rFonts w:eastAsia="Times New Roman"/>
                <w:b/>
                <w:bCs/>
                <w:sz w:val="20"/>
                <w:szCs w:val="20"/>
              </w:rPr>
              <w:t>June 30, 2021</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2,875,000</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3</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24,997</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25,000</w:t>
            </w:r>
          </w:p>
        </w:tc>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Beginning balance</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2,875,000</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3</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24,997</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25,000</w:t>
            </w:r>
          </w:p>
        </w:tc>
        <w:tc>
          <w:tcPr>
            <w:tcW w:w="0" w:type="auto"/>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vanish/>
                <w:sz w:val="20"/>
                <w:szCs w:val="20"/>
              </w:rPr>
            </w:pPr>
            <w:r>
              <w:rPr>
                <w:rFonts w:eastAsia="Times New Roman"/>
                <w:vanish/>
                <w:sz w:val="20"/>
                <w:szCs w:val="20"/>
              </w:rPr>
              <w:t>Net Income (loss)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Balance – September 30, 2021</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2,875,000</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3</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24,997</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25,000</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rPr>
          <w:hidden/>
        </w:trPr>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Ending balance</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2,875,000</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3</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24,997</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b/>
                <w:bCs/>
                <w:vanish/>
                <w:sz w:val="20"/>
                <w:szCs w:val="20"/>
              </w:rPr>
            </w:pPr>
            <w:r>
              <w:rPr>
                <w:rFonts w:eastAsia="Times New Roman"/>
                <w:b/>
                <w:bCs/>
                <w:vanish/>
                <w:sz w:val="20"/>
                <w:szCs w:val="20"/>
              </w:rPr>
              <w:t> </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b/>
                <w:bCs/>
                <w:vanish/>
                <w:sz w:val="20"/>
                <w:szCs w:val="20"/>
              </w:rPr>
            </w:pPr>
            <w:r>
              <w:rPr>
                <w:rFonts w:eastAsia="Times New Roman"/>
                <w:b/>
                <w:bCs/>
                <w:vanish/>
                <w:sz w:val="20"/>
                <w:szCs w:val="20"/>
              </w:rPr>
              <w:t>25,000</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b/>
                <w:bCs/>
                <w:vanish/>
                <w:sz w:val="20"/>
                <w:szCs w:val="20"/>
              </w:rPr>
            </w:pPr>
            <w:r>
              <w:rPr>
                <w:rFonts w:eastAsia="Times New Roman"/>
                <w:b/>
                <w:bCs/>
                <w:vanish/>
                <w:sz w:val="20"/>
                <w:szCs w:val="20"/>
              </w:rPr>
              <w:t> </w:t>
            </w:r>
          </w:p>
        </w:tc>
      </w:tr>
    </w:tbl>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unaudited financial statements.</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9585847"/>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p w:rsidR="00000000" w:rsidRDefault="00BC17DB">
      <w:pPr>
        <w:pStyle w:val="a3"/>
        <w:spacing w:before="0" w:beforeAutospacing="0" w:after="0" w:afterAutospacing="0"/>
        <w:divId w:val="660351744"/>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BROAD CAPITAL ACQUISITION CORP</w:t>
      </w:r>
    </w:p>
    <w:p w:rsidR="00000000" w:rsidRDefault="00BC17DB">
      <w:pPr>
        <w:pStyle w:val="a3"/>
        <w:spacing w:before="0" w:beforeAutospacing="0" w:after="0" w:afterAutospacing="0"/>
        <w:jc w:val="center"/>
        <w:rPr>
          <w:sz w:val="20"/>
          <w:szCs w:val="20"/>
        </w:rPr>
      </w:pPr>
      <w:r>
        <w:rPr>
          <w:b/>
          <w:bCs/>
          <w:sz w:val="20"/>
          <w:szCs w:val="20"/>
        </w:rPr>
        <w:t>STATEMENTS OF CASH FLOWS</w:t>
      </w:r>
    </w:p>
    <w:p w:rsidR="00000000" w:rsidRDefault="00BC17DB">
      <w:pPr>
        <w:pStyle w:val="a3"/>
        <w:spacing w:before="0" w:beforeAutospacing="0" w:after="0" w:afterAutospacing="0"/>
        <w:jc w:val="center"/>
        <w:rPr>
          <w:sz w:val="20"/>
          <w:szCs w:val="20"/>
        </w:rPr>
      </w:pPr>
      <w:r>
        <w:rPr>
          <w:b/>
          <w:bCs/>
          <w:sz w:val="20"/>
          <w:szCs w:val="20"/>
        </w:rPr>
        <w:t>FOR THE NINE MONTHS ENDED SEPTEMBER 30, 2022</w:t>
      </w:r>
    </w:p>
    <w:p w:rsidR="00000000" w:rsidRDefault="00BC17DB">
      <w:pPr>
        <w:pStyle w:val="a3"/>
        <w:spacing w:before="0" w:beforeAutospacing="0" w:after="0" w:afterAutospacing="0"/>
        <w:jc w:val="center"/>
        <w:rPr>
          <w:sz w:val="20"/>
          <w:szCs w:val="20"/>
        </w:rPr>
      </w:pPr>
      <w:r>
        <w:rPr>
          <w:b/>
          <w:bCs/>
          <w:sz w:val="20"/>
          <w:szCs w:val="20"/>
        </w:rPr>
        <w:t>(UNAUDITED)</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ash Flows (Unaudited)"/>
      </w:tblPr>
      <w:tblGrid>
        <w:gridCol w:w="5311"/>
        <w:gridCol w:w="161"/>
        <w:gridCol w:w="100"/>
        <w:gridCol w:w="1158"/>
        <w:gridCol w:w="78"/>
        <w:gridCol w:w="161"/>
        <w:gridCol w:w="101"/>
        <w:gridCol w:w="1158"/>
        <w:gridCol w:w="78"/>
      </w:tblGrid>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jc w:val="cente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jc w:val="center"/>
              <w:rPr>
                <w:rFonts w:eastAsia="Times New Roman"/>
                <w:sz w:val="20"/>
                <w:szCs w:val="20"/>
              </w:rPr>
            </w:pPr>
            <w:r>
              <w:rPr>
                <w:rFonts w:eastAsia="Times New Roman"/>
                <w:sz w:val="20"/>
                <w:szCs w:val="20"/>
              </w:rPr>
              <w:t>For the Period from</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jc w:val="center"/>
              <w:rPr>
                <w:rFonts w:eastAsia="Times New Roman"/>
                <w:sz w:val="20"/>
                <w:szCs w:val="20"/>
              </w:rPr>
            </w:pPr>
            <w:r>
              <w:rPr>
                <w:rFonts w:eastAsia="Times New Roman"/>
                <w:sz w:val="20"/>
                <w:szCs w:val="20"/>
              </w:rPr>
              <w:t>April 16, 2021</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jc w:val="center"/>
              <w:rPr>
                <w:rFonts w:eastAsia="Times New Roman"/>
                <w:sz w:val="20"/>
                <w:szCs w:val="20"/>
              </w:rPr>
            </w:pPr>
            <w:r>
              <w:rPr>
                <w:rFonts w:eastAsia="Times New Roman"/>
                <w:sz w:val="20"/>
                <w:szCs w:val="20"/>
              </w:rPr>
              <w:t>Nine Months Ended</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vAlign w:val="bottom"/>
            <w:hideMark/>
          </w:tcPr>
          <w:p w:rsidR="00000000" w:rsidRDefault="00BC17DB">
            <w:pPr>
              <w:jc w:val="center"/>
              <w:rPr>
                <w:rFonts w:eastAsia="Times New Roman"/>
                <w:sz w:val="20"/>
                <w:szCs w:val="20"/>
              </w:rPr>
            </w:pPr>
            <w:r>
              <w:rPr>
                <w:rFonts w:eastAsia="Times New Roman"/>
                <w:sz w:val="20"/>
                <w:szCs w:val="20"/>
              </w:rPr>
              <w:t>(Inception) Through</w:t>
            </w:r>
          </w:p>
        </w:tc>
        <w:tc>
          <w:tcPr>
            <w:tcW w:w="0" w:type="auto"/>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sz w:val="20"/>
                <w:szCs w:val="20"/>
              </w:rPr>
            </w:pPr>
            <w:r>
              <w:rPr>
                <w:rFonts w:eastAsia="Times New Roman"/>
                <w:sz w:val="20"/>
                <w:szCs w:val="20"/>
              </w:rPr>
              <w:t>September 30, 2022</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BC17DB">
            <w:pPr>
              <w:jc w:val="center"/>
              <w:rPr>
                <w:rFonts w:eastAsia="Times New Roman"/>
                <w:sz w:val="20"/>
                <w:szCs w:val="20"/>
              </w:rPr>
            </w:pPr>
            <w:r>
              <w:rPr>
                <w:rFonts w:eastAsia="Times New Roman"/>
                <w:sz w:val="20"/>
                <w:szCs w:val="20"/>
              </w:rPr>
              <w:t>September 30, 2021</w:t>
            </w:r>
          </w:p>
        </w:tc>
        <w:tc>
          <w:tcPr>
            <w:tcW w:w="0" w:type="auto"/>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BC17DB">
            <w:pPr>
              <w:rPr>
                <w:rFonts w:eastAsia="Times New Roman"/>
                <w:sz w:val="20"/>
                <w:szCs w:val="20"/>
              </w:rPr>
            </w:pPr>
            <w:r>
              <w:rPr>
                <w:rFonts w:eastAsia="Times New Roman"/>
                <w:sz w:val="20"/>
                <w:szCs w:val="20"/>
              </w:rPr>
              <w:lastRenderedPageBreak/>
              <w:t>Net loss</w:t>
            </w:r>
          </w:p>
        </w:tc>
        <w:tc>
          <w:tcPr>
            <w:tcW w:w="100" w:type="pct"/>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C17DB">
            <w:pPr>
              <w:jc w:val="right"/>
              <w:rPr>
                <w:rFonts w:eastAsia="Times New Roman"/>
                <w:sz w:val="20"/>
                <w:szCs w:val="20"/>
              </w:rPr>
            </w:pPr>
            <w:r>
              <w:rPr>
                <w:rFonts w:eastAsia="Times New Roman"/>
                <w:sz w:val="20"/>
                <w:szCs w:val="20"/>
              </w:rPr>
              <w:t>(202,445</w:t>
            </w:r>
          </w:p>
        </w:tc>
        <w:tc>
          <w:tcPr>
            <w:tcW w:w="50" w:type="pct"/>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Adjustments to reconcile net loss to net cash used in operating activities: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(626,589</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Changes in operating assets and liabilities: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Account payables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177,342</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(21,327</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(673,019</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Investment of cash in Trust Account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(102,606,597</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(102,606,597</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Proceeds from issuance of common stock to Sponsor</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Proceeds from sale of Units, net of IPO costs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99,429,074</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Proceeds from sale of Placement Units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4,511,301</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Payment of deferred offering costs</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(109,901</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85,500</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Repayment of Promissory note – related party</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(133,357</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103,807,018</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599</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Net change in cash</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527,402</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599</w:t>
            </w:r>
          </w:p>
        </w:tc>
        <w:tc>
          <w:tcPr>
            <w:tcW w:w="0" w:type="auto"/>
            <w:shd w:val="clear" w:color="auto" w:fill="FFFFFF"/>
            <w:tcMar>
              <w:top w:w="0" w:type="dxa"/>
              <w:left w:w="0" w:type="dxa"/>
              <w:bottom w:w="3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Cash at the beginning of the period</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2,164</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Cash at the end of the period</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529,566</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b/>
                <w:bCs/>
                <w:sz w:val="20"/>
                <w:szCs w:val="20"/>
              </w:rPr>
            </w:pPr>
            <w:r>
              <w:rPr>
                <w:rFonts w:eastAsia="Times New Roman"/>
                <w:b/>
                <w:bCs/>
                <w:sz w:val="20"/>
                <w:szCs w:val="20"/>
              </w:rPr>
              <w:t>599</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C17DB">
            <w:pPr>
              <w:rPr>
                <w:rFonts w:eastAsia="Times New Roman"/>
                <w:b/>
                <w:bCs/>
                <w:sz w:val="20"/>
                <w:szCs w:val="20"/>
              </w:rPr>
            </w:pPr>
            <w:r>
              <w:rPr>
                <w:rFonts w:eastAsia="Times New Roman"/>
                <w:b/>
                <w:bCs/>
                <w:sz w:val="20"/>
                <w:szCs w:val="20"/>
              </w:rPr>
              <w:t>Supplemental disclosure of non-cash investing and financing activities:</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Subsequent remeasurement of Common Stock subject to redemption</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426,589</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Deferred offering costs</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C17DB">
            <w:pPr>
              <w:pStyle w:val="a3"/>
              <w:spacing w:before="0" w:beforeAutospacing="0" w:after="0" w:afterAutospacing="0"/>
              <w:rPr>
                <w:sz w:val="20"/>
                <w:szCs w:val="20"/>
              </w:rPr>
            </w:pPr>
            <w:r>
              <w:rPr>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149,210</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3,555,674</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102,606,597</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Deferred offering costs paid for by Promissory note – related party</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176</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C17DB">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C17D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 xml:space="preserve">The </w:t>
      </w:r>
      <w:r>
        <w:rPr>
          <w:b/>
          <w:bCs/>
          <w:sz w:val="20"/>
          <w:szCs w:val="20"/>
        </w:rPr>
        <w:t>accompanying notes are an integral part of these unaudited financial statements.</w:t>
      </w:r>
    </w:p>
    <w:p w:rsidR="00000000" w:rsidRDefault="00BC17D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49004932"/>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p w:rsidR="00000000" w:rsidRDefault="00BC17DB">
      <w:pPr>
        <w:pStyle w:val="a3"/>
        <w:spacing w:before="0" w:beforeAutospacing="0" w:after="0" w:afterAutospacing="0"/>
        <w:divId w:val="83378811"/>
        <w:rPr>
          <w:sz w:val="20"/>
          <w:szCs w:val="20"/>
        </w:rPr>
      </w:pPr>
      <w:r>
        <w:rPr>
          <w:sz w:val="20"/>
          <w:szCs w:val="20"/>
        </w:rPr>
        <w:t> </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BROAD CAPITAL ACQUISITION CORP</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center"/>
        <w:rPr>
          <w:sz w:val="20"/>
          <w:szCs w:val="20"/>
        </w:rPr>
      </w:pPr>
      <w:r>
        <w:rPr>
          <w:b/>
          <w:bCs/>
          <w:sz w:val="20"/>
          <w:szCs w:val="20"/>
        </w:rPr>
        <w:t>NOTES TO FINANCIAL STATEMENTS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DESCRIPTION OF ORGANIZATION, BUSINESS OPERATION</w:t>
      </w:r>
      <w:r>
        <w:rPr>
          <w:b/>
          <w:bCs/>
          <w:sz w:val="20"/>
          <w:szCs w:val="20"/>
        </w:rPr>
        <w:t>S</w:t>
      </w:r>
    </w:p>
    <w:p w:rsidR="00000000" w:rsidRDefault="00BC17DB">
      <w:pPr>
        <w:pStyle w:val="a3"/>
        <w:spacing w:before="0" w:beforeAutospacing="0" w:after="0" w:afterAutospacing="0"/>
        <w:ind w:firstLine="30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Broad Capital Acquisition Corp (the “Company”) is a blank check company incorporated in the State of Delaware on April 16, 2021. The Company was formed for the purpose of acquiring, engaging in a share exc</w:t>
      </w:r>
      <w:r>
        <w:rPr>
          <w:sz w:val="20"/>
          <w:szCs w:val="20"/>
        </w:rPr>
        <w:t>hange, share reconstruction and amalgamation with, purchasing all or substantially all of the assets of, entering into contractual arrangements with, or engaging in any other similar business combination with one or more businesses or entities (“Business C</w:t>
      </w:r>
      <w:r>
        <w:rPr>
          <w:sz w:val="20"/>
          <w:szCs w:val="20"/>
        </w:rPr>
        <w:t>ombination”). The Company is not limited to a particular industry or sector for purposes of consummating a Business Combination.</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As of September 30, 2022, the Company had not commenced any operations. All activity from the (inception) through December 31</w:t>
      </w:r>
      <w:r>
        <w:rPr>
          <w:sz w:val="20"/>
          <w:szCs w:val="20"/>
        </w:rPr>
        <w:t>, 2021 and the nine months ended September 30, 2022 relates to the Company’s formation, the Initial Public Offering (as defined below), and its pursuit of an initial Business Combination. The Company will not generate any operating revenues until after the</w:t>
      </w:r>
      <w:r>
        <w:rPr>
          <w:sz w:val="20"/>
          <w:szCs w:val="20"/>
        </w:rPr>
        <w:t xml:space="preserve"> completion of its initial Business Combination, at the earliest. The Company will generate non-operating income in the form of interest income on cash and cash equivalents from the proceeds derived from the Initial Public Offering. The Company has selecte</w:t>
      </w:r>
      <w:r>
        <w:rPr>
          <w:sz w:val="20"/>
          <w:szCs w:val="20"/>
        </w:rPr>
        <w:t>d December 31 as its fiscal year end. The Company is an early stage and emerging growth company and, as such, the Company is subject to all of the risks associated with early stage and emerging growth companies.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The Company’s sponsor is Broad Capital LLC</w:t>
      </w:r>
      <w:r>
        <w:rPr>
          <w:sz w:val="20"/>
          <w:szCs w:val="20"/>
        </w:rPr>
        <w:t>, a Delaware limited liability company (the “Sponsor”). The registration statement for the Company’s Initial Public Offering was declared effective on January 10, 2022. 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w:t>
      </w:r>
      <w:r>
        <w:rPr>
          <w:sz w:val="20"/>
          <w:szCs w:val="20"/>
        </w:rPr>
        <w:t xml:space="preserve"> (the “Units” and, with respect to the shares of common stock included in the Units being offered, the “Public Shares”), at </w:t>
      </w:r>
      <w:r>
        <w:rPr>
          <w:sz w:val="20"/>
          <w:szCs w:val="20"/>
        </w:rPr>
        <w:t>$</w:t>
      </w:r>
      <w:r>
        <w:rPr>
          <w:sz w:val="20"/>
          <w:szCs w:val="20"/>
        </w:rPr>
        <w:t>10.0</w:t>
      </w:r>
      <w:r>
        <w:rPr>
          <w:sz w:val="20"/>
          <w:szCs w:val="20"/>
        </w:rPr>
        <w:t>0</w:t>
      </w:r>
      <w:r>
        <w:rPr>
          <w:sz w:val="20"/>
          <w:szCs w:val="20"/>
        </w:rPr>
        <w:t xml:space="preserve"> per Unit, generating gross proceeds of </w:t>
      </w:r>
      <w:r>
        <w:rPr>
          <w:sz w:val="20"/>
          <w:szCs w:val="20"/>
        </w:rPr>
        <w:t>$</w:t>
      </w:r>
      <w:r>
        <w:rPr>
          <w:sz w:val="20"/>
          <w:szCs w:val="20"/>
        </w:rPr>
        <w:t>100,000,00</w:t>
      </w:r>
      <w:r>
        <w:rPr>
          <w:sz w:val="20"/>
          <w:szCs w:val="20"/>
        </w:rPr>
        <w:t>0</w:t>
      </w:r>
      <w:r>
        <w:rPr>
          <w:sz w:val="20"/>
          <w:szCs w:val="20"/>
        </w:rPr>
        <w:t xml:space="preserve"> (the “Initial Public Offering”), and incurring transaction costs of </w:t>
      </w:r>
      <w:r>
        <w:rPr>
          <w:sz w:val="20"/>
          <w:szCs w:val="20"/>
        </w:rPr>
        <w:t>$</w:t>
      </w:r>
      <w:r>
        <w:rPr>
          <w:sz w:val="20"/>
          <w:szCs w:val="20"/>
        </w:rPr>
        <w:t>6,91</w:t>
      </w:r>
      <w:r>
        <w:rPr>
          <w:sz w:val="20"/>
          <w:szCs w:val="20"/>
        </w:rPr>
        <w:t>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underwriting commissions (see Note 6). The Company granted the underwriter a 45-day option to purchase up to</w:t>
      </w:r>
      <w:r>
        <w:rPr>
          <w:sz w:val="20"/>
          <w:szCs w:val="20"/>
        </w:rPr>
        <w:t xml:space="preserve"> </w:t>
      </w:r>
      <w:r>
        <w:rPr>
          <w:sz w:val="20"/>
          <w:szCs w:val="20"/>
        </w:rPr>
        <w:t>1,500,00</w:t>
      </w:r>
      <w:r>
        <w:rPr>
          <w:sz w:val="20"/>
          <w:szCs w:val="20"/>
        </w:rPr>
        <w:t>0</w:t>
      </w:r>
      <w:r>
        <w:rPr>
          <w:sz w:val="20"/>
          <w:szCs w:val="20"/>
        </w:rPr>
        <w:t xml:space="preserve"> Units at the Initial Public Offering price to cover over-allotments, if any. On February 9, 2</w:t>
      </w:r>
      <w:r>
        <w:rPr>
          <w:sz w:val="20"/>
          <w:szCs w:val="20"/>
        </w:rPr>
        <w:t>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w:t>
      </w:r>
      <w:r>
        <w:rPr>
          <w:sz w:val="20"/>
          <w:szCs w:val="20"/>
        </w:rPr>
        <w:t>ption.</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Simultaneously with the consummation of the closing of the Initial Public Offering, the Company consummated the private placement of an aggregate of</w:t>
      </w:r>
      <w:r>
        <w:rPr>
          <w:sz w:val="20"/>
          <w:szCs w:val="20"/>
        </w:rPr>
        <w:t xml:space="preserve"> </w:t>
      </w:r>
      <w:r>
        <w:rPr>
          <w:sz w:val="20"/>
          <w:szCs w:val="20"/>
        </w:rPr>
        <w:t>446,35</w:t>
      </w:r>
      <w:r>
        <w:rPr>
          <w:sz w:val="20"/>
          <w:szCs w:val="20"/>
        </w:rPr>
        <w:t>8</w:t>
      </w:r>
      <w:r>
        <w:rPr>
          <w:sz w:val="20"/>
          <w:szCs w:val="20"/>
        </w:rPr>
        <w:t xml:space="preserve"> units (the “Placement Units”) to the Sponsor at a price of </w:t>
      </w:r>
      <w:r>
        <w:rPr>
          <w:sz w:val="20"/>
          <w:szCs w:val="20"/>
        </w:rPr>
        <w:t>$</w:t>
      </w:r>
      <w:r>
        <w:rPr>
          <w:sz w:val="20"/>
          <w:szCs w:val="20"/>
        </w:rPr>
        <w:t>10.0</w:t>
      </w:r>
      <w:r>
        <w:rPr>
          <w:sz w:val="20"/>
          <w:szCs w:val="20"/>
        </w:rPr>
        <w:t>0</w:t>
      </w:r>
      <w:r>
        <w:rPr>
          <w:sz w:val="20"/>
          <w:szCs w:val="20"/>
        </w:rPr>
        <w:t xml:space="preserve"> per Placement Unit, gene</w:t>
      </w:r>
      <w:r>
        <w:rPr>
          <w:sz w:val="20"/>
          <w:szCs w:val="20"/>
        </w:rPr>
        <w:t xml:space="preserve">rating total gross proceeds of </w:t>
      </w:r>
      <w:r>
        <w:rPr>
          <w:sz w:val="20"/>
          <w:szCs w:val="20"/>
        </w:rPr>
        <w:t>$</w:t>
      </w:r>
      <w:r>
        <w:rPr>
          <w:sz w:val="20"/>
          <w:szCs w:val="20"/>
        </w:rPr>
        <w:t>4,463,58</w:t>
      </w:r>
      <w:r>
        <w:rPr>
          <w:sz w:val="20"/>
          <w:szCs w:val="20"/>
        </w:rPr>
        <w:t>0</w:t>
      </w:r>
      <w:r>
        <w:rPr>
          <w:sz w:val="20"/>
          <w:szCs w:val="20"/>
        </w:rPr>
        <w:t xml:space="preserve"> (the “Private Placement”) (see Note 4). With the exercise of the Over-Allotment Units, the Company consummated the Private Placement of</w:t>
      </w:r>
      <w:r>
        <w:rPr>
          <w:sz w:val="20"/>
          <w:szCs w:val="20"/>
        </w:rPr>
        <w:t xml:space="preserve"> </w:t>
      </w:r>
      <w:r>
        <w:rPr>
          <w:sz w:val="20"/>
          <w:szCs w:val="20"/>
        </w:rPr>
        <w:t>4,77</w:t>
      </w:r>
      <w:r>
        <w:rPr>
          <w:sz w:val="20"/>
          <w:szCs w:val="20"/>
        </w:rPr>
        <w:t>2</w:t>
      </w:r>
      <w:r>
        <w:rPr>
          <w:sz w:val="20"/>
          <w:szCs w:val="20"/>
        </w:rPr>
        <w:t xml:space="preserve"> Placement Units to the Sponsor generating gross proceeds of </w:t>
      </w:r>
      <w:r>
        <w:rPr>
          <w:sz w:val="20"/>
          <w:szCs w:val="20"/>
        </w:rPr>
        <w:t>$</w:t>
      </w:r>
      <w:r>
        <w:rPr>
          <w:sz w:val="20"/>
          <w:szCs w:val="20"/>
        </w:rPr>
        <w:t>47,72</w:t>
      </w:r>
      <w:r>
        <w:rPr>
          <w:sz w:val="20"/>
          <w:szCs w:val="20"/>
        </w:rPr>
        <w:t>0</w:t>
      </w:r>
      <w:r>
        <w:rPr>
          <w:sz w:val="20"/>
          <w:szCs w:val="20"/>
        </w:rPr>
        <w:t>.</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On February 9, 2022, the underwriters partially exercised the over-allotment option and purchased an additional</w:t>
      </w:r>
      <w:r>
        <w:rPr>
          <w:sz w:val="20"/>
          <w:szCs w:val="20"/>
        </w:rPr>
        <w:t xml:space="preserve"> </w:t>
      </w:r>
      <w:r>
        <w:rPr>
          <w:sz w:val="20"/>
          <w:szCs w:val="20"/>
        </w:rPr>
        <w:t>159,06</w:t>
      </w:r>
      <w:r>
        <w:rPr>
          <w:sz w:val="20"/>
          <w:szCs w:val="20"/>
        </w:rPr>
        <w:t>9</w:t>
      </w:r>
      <w:r>
        <w:rPr>
          <w:sz w:val="20"/>
          <w:szCs w:val="20"/>
        </w:rPr>
        <w:t xml:space="preserve"> Units, generating gross proceeds of </w:t>
      </w:r>
      <w:r>
        <w:rPr>
          <w:sz w:val="20"/>
          <w:szCs w:val="20"/>
        </w:rPr>
        <w:t>$</w:t>
      </w:r>
      <w:r>
        <w:rPr>
          <w:sz w:val="20"/>
          <w:szCs w:val="20"/>
        </w:rPr>
        <w:t>1,590,69</w:t>
      </w:r>
      <w:r>
        <w:rPr>
          <w:sz w:val="20"/>
          <w:szCs w:val="20"/>
        </w:rPr>
        <w:t>0</w:t>
      </w:r>
      <w:r>
        <w:rPr>
          <w:sz w:val="20"/>
          <w:szCs w:val="20"/>
        </w:rPr>
        <w:t xml:space="preserve"> and forfeited the remainder of the option, which is</w:t>
      </w:r>
      <w:r>
        <w:rPr>
          <w:sz w:val="20"/>
          <w:szCs w:val="20"/>
        </w:rPr>
        <w:t xml:space="preserve"> </w:t>
      </w:r>
      <w:r>
        <w:rPr>
          <w:sz w:val="20"/>
          <w:szCs w:val="20"/>
        </w:rPr>
        <w:t>335,23</w:t>
      </w:r>
      <w:r>
        <w:rPr>
          <w:sz w:val="20"/>
          <w:szCs w:val="20"/>
        </w:rPr>
        <w:t>3</w:t>
      </w:r>
      <w:r>
        <w:rPr>
          <w:sz w:val="20"/>
          <w:szCs w:val="20"/>
        </w:rPr>
        <w:t xml:space="preserve"> shares of common stock. In co</w:t>
      </w:r>
      <w:r>
        <w:rPr>
          <w:sz w:val="20"/>
          <w:szCs w:val="20"/>
        </w:rPr>
        <w:t xml:space="preserve">nnection with the closing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(which amount includes </w:t>
      </w:r>
      <w:r>
        <w:rPr>
          <w:sz w:val="20"/>
          <w:szCs w:val="20"/>
        </w:rPr>
        <w:t>$</w:t>
      </w:r>
      <w:r>
        <w:rPr>
          <w:sz w:val="20"/>
          <w:szCs w:val="20"/>
        </w:rPr>
        <w:t>31,81</w:t>
      </w:r>
      <w:r>
        <w:rPr>
          <w:sz w:val="20"/>
          <w:szCs w:val="20"/>
        </w:rPr>
        <w:t>4</w:t>
      </w:r>
      <w:r>
        <w:rPr>
          <w:sz w:val="20"/>
          <w:szCs w:val="20"/>
        </w:rPr>
        <w:t xml:space="preserve"> of the Underwriters</w:t>
      </w:r>
      <w:r>
        <w:rPr>
          <w:sz w:val="20"/>
          <w:szCs w:val="20"/>
        </w:rPr>
        <w:t>’ deferred discount) was placed in a U.S.-based trust account established for the benefit of the Company’s public shareholders, maintained by Continental Stock Transfer &amp; Trust Company, acting as trustee.</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Following the closing of the Initial Public Offer</w:t>
      </w:r>
      <w:r>
        <w:rPr>
          <w:sz w:val="20"/>
          <w:szCs w:val="20"/>
        </w:rPr>
        <w:t xml:space="preserve">ing on January 13, 2022, an amount of </w:t>
      </w:r>
      <w:r>
        <w:rPr>
          <w:sz w:val="20"/>
          <w:szCs w:val="20"/>
        </w:rPr>
        <w:t>$</w:t>
      </w:r>
      <w:r>
        <w:rPr>
          <w:sz w:val="20"/>
          <w:szCs w:val="20"/>
        </w:rPr>
        <w:t>101,000,00</w:t>
      </w:r>
      <w:r>
        <w:rPr>
          <w:sz w:val="20"/>
          <w:szCs w:val="20"/>
        </w:rPr>
        <w:t>0</w:t>
      </w:r>
      <w:r>
        <w:rPr>
          <w:sz w:val="20"/>
          <w:szCs w:val="20"/>
        </w:rPr>
        <w:t xml:space="preserve"> (</w:t>
      </w:r>
      <w:r>
        <w:rPr>
          <w:sz w:val="20"/>
          <w:szCs w:val="20"/>
        </w:rPr>
        <w:t>$</w:t>
      </w:r>
      <w:r>
        <w:rPr>
          <w:sz w:val="20"/>
          <w:szCs w:val="20"/>
        </w:rPr>
        <w:t>10.1</w:t>
      </w:r>
      <w:r>
        <w:rPr>
          <w:sz w:val="20"/>
          <w:szCs w:val="20"/>
        </w:rPr>
        <w:t>0</w:t>
      </w:r>
      <w:r>
        <w:rPr>
          <w:sz w:val="20"/>
          <w:szCs w:val="20"/>
        </w:rPr>
        <w:t xml:space="preserve"> per Unit) from the net proceeds of the sale of the Units in the Initial Public Offering and a portion of the proceeds from the sale of the Placement Units was placed in a trust account (the “Trust </w:t>
      </w:r>
      <w:r>
        <w:rPr>
          <w:sz w:val="20"/>
          <w:szCs w:val="20"/>
        </w:rPr>
        <w:t>Account”), located in the United States and held as cash items or may be invested in U.S. government securities, within the meaning set forth in Section 2(a)(16) of the Investment Company Act, with a maturity of 185 days or less, or in any open-ended inves</w:t>
      </w:r>
      <w:r>
        <w:rPr>
          <w:sz w:val="20"/>
          <w:szCs w:val="20"/>
        </w:rPr>
        <w:t>tment company that holds itself out as a money market fund meeting the conditions of Rule 2a-7 of the Investment Company Act, as determined by the Company, until the earlier of: (i) the consummation of a Business Combination or (ii) the distribution of the</w:t>
      </w:r>
      <w:r>
        <w:rPr>
          <w:sz w:val="20"/>
          <w:szCs w:val="20"/>
        </w:rPr>
        <w:t xml:space="preserve"> funds in the Trust Account to the Company’s stockholders, as described below.</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59399560"/>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p w:rsidR="00000000" w:rsidRDefault="00BC17DB">
      <w:pPr>
        <w:pStyle w:val="a3"/>
        <w:spacing w:before="0" w:beforeAutospacing="0" w:after="0" w:afterAutospacing="0"/>
        <w:divId w:val="251857384"/>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The Company’s management has broad discretion with respect to the specific application of the net proceeds of the Initial Public Offering and the sale of Placement Un</w:t>
      </w:r>
      <w:r>
        <w:rPr>
          <w:sz w:val="20"/>
          <w:szCs w:val="20"/>
        </w:rPr>
        <w:t>its, although substantially all of the net proceeds are intended to be applied generally toward consummating a Business Combination. There is no assurance that the Company will be able to complete a Business Combination successfully. The Company must compl</w:t>
      </w:r>
      <w:r>
        <w:rPr>
          <w:sz w:val="20"/>
          <w:szCs w:val="20"/>
        </w:rPr>
        <w:t>ete one or more initial Business Combinations with one or more operating businesses or assets with a fair market value equal to at least</w:t>
      </w:r>
      <w:r>
        <w:rPr>
          <w:sz w:val="20"/>
          <w:szCs w:val="20"/>
        </w:rPr>
        <w:t xml:space="preserve"> </w:t>
      </w:r>
      <w:r>
        <w:rPr>
          <w:sz w:val="20"/>
          <w:szCs w:val="20"/>
        </w:rPr>
        <w:t>80</w:t>
      </w:r>
      <w:r>
        <w:rPr>
          <w:sz w:val="20"/>
          <w:szCs w:val="20"/>
        </w:rPr>
        <w:t>%</w:t>
      </w:r>
      <w:r>
        <w:rPr>
          <w:sz w:val="20"/>
          <w:szCs w:val="20"/>
        </w:rPr>
        <w:t xml:space="preserve"> of the value of the net assets held in the Trust Account (as defined below) (excluding the deferred underwriting co</w:t>
      </w:r>
      <w:r>
        <w:rPr>
          <w:sz w:val="20"/>
          <w:szCs w:val="20"/>
        </w:rPr>
        <w:t>mmissions and taxes payable on the interest earned on the Trust Account).</w:t>
      </w:r>
      <w:r>
        <w:rPr>
          <w:sz w:val="20"/>
          <w:szCs w:val="20"/>
        </w:rPr>
        <w:t xml:space="preserve"> </w:t>
      </w:r>
      <w:r>
        <w:rPr>
          <w:sz w:val="20"/>
          <w:szCs w:val="20"/>
        </w:rPr>
        <w:t>The Company will only complete a Business Combination if the post transaction company owns or acquires 50% or more of the outstanding voting securities of the target or otherwise acq</w:t>
      </w:r>
      <w:r>
        <w:rPr>
          <w:sz w:val="20"/>
          <w:szCs w:val="20"/>
        </w:rPr>
        <w:t>uires a controlling interest in the target business sufficient for it not to be required to register as an investment company under the Investment Company Act of 1940, as amended (the “Investment Company Act”)</w:t>
      </w:r>
      <w:r>
        <w:rPr>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Upon the closing of the Initial Public Offe</w:t>
      </w:r>
      <w:r>
        <w:rPr>
          <w:sz w:val="20"/>
          <w:szCs w:val="20"/>
        </w:rPr>
        <w:t xml:space="preserve">ring, management has agreed that an amount equal to at least </w:t>
      </w:r>
      <w:r>
        <w:rPr>
          <w:sz w:val="20"/>
          <w:szCs w:val="20"/>
        </w:rPr>
        <w:t>$</w:t>
      </w:r>
      <w:r>
        <w:rPr>
          <w:sz w:val="20"/>
          <w:szCs w:val="20"/>
        </w:rPr>
        <w:t>10.1</w:t>
      </w:r>
      <w:r>
        <w:rPr>
          <w:sz w:val="20"/>
          <w:szCs w:val="20"/>
        </w:rPr>
        <w:t>0</w:t>
      </w:r>
      <w:r>
        <w:rPr>
          <w:sz w:val="20"/>
          <w:szCs w:val="20"/>
        </w:rPr>
        <w:t xml:space="preserve"> per Unit sold in the Initial Public Offering, including proceeds of the Placement Units, will be held in a trust account (“Trust Account”), located in the United States and invested only i</w:t>
      </w:r>
      <w:r>
        <w:rPr>
          <w:sz w:val="20"/>
          <w:szCs w:val="20"/>
        </w:rPr>
        <w:t>n U.S. government securities, within the meaning set forth in Section 2(a)(16) of the Investment Company Act, with a maturity of 185 days or less or in any open-ended investment company that holds itself out as a money market fund selected by the Company m</w:t>
      </w:r>
      <w:r>
        <w:rPr>
          <w:sz w:val="20"/>
          <w:szCs w:val="20"/>
        </w:rPr>
        <w:t>eeting certain conditions of Rule 2a-7 of the Investment Company Act, as determined by the Company, until the earlier of: (i) the completion of a Business Combination and (ii) the distribution of the funds held in the Trust Account, as described below.</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w:t>
      </w:r>
      <w:r>
        <w:rPr>
          <w:sz w:val="20"/>
          <w:szCs w:val="20"/>
        </w:rPr>
        <w:t>he Company will provide the holders of the outstanding Public Shares (the “Public Shareholders”) with the opportunity to redeem all or a portion of their Public Shares either (i) in connection with a shareholders meeting called to approve the Business Comb</w:t>
      </w:r>
      <w:r>
        <w:rPr>
          <w:sz w:val="20"/>
          <w:szCs w:val="20"/>
        </w:rPr>
        <w:t>ination or (ii) by means of a tender offer in connection with the Business Combination. The decision as to whether the Company will seek shareholder approval of a Business Combination or conduct a tender offer will be made by the Company. The Public Shareh</w:t>
      </w:r>
      <w:r>
        <w:rPr>
          <w:sz w:val="20"/>
          <w:szCs w:val="20"/>
        </w:rPr>
        <w:t xml:space="preserve">olders will be entitled to redeem their Public Shares for a pro rata portion of the amount then in the Trust Account (initially anticipated to be </w:t>
      </w:r>
      <w:r>
        <w:rPr>
          <w:sz w:val="20"/>
          <w:szCs w:val="20"/>
        </w:rPr>
        <w:t>$</w:t>
      </w:r>
      <w:r>
        <w:rPr>
          <w:sz w:val="20"/>
          <w:szCs w:val="20"/>
        </w:rPr>
        <w:t>10.1</w:t>
      </w:r>
      <w:r>
        <w:rPr>
          <w:sz w:val="20"/>
          <w:szCs w:val="20"/>
        </w:rPr>
        <w:t>0</w:t>
      </w:r>
      <w:r>
        <w:rPr>
          <w:sz w:val="20"/>
          <w:szCs w:val="20"/>
        </w:rPr>
        <w:t xml:space="preserve"> per Public Share, plus any pro rata interest then in the Trust Account, net of taxes payable). The Publ</w:t>
      </w:r>
      <w:r>
        <w:rPr>
          <w:sz w:val="20"/>
          <w:szCs w:val="20"/>
        </w:rPr>
        <w:t>ic Shares subject to redemption will be recorded at a redemption value and classified as temporary equity upon the completion of the Initial Public Offering in accordance with the Accounting Standards Codification (“ASC”) Topic 480 “</w:t>
      </w:r>
      <w:r>
        <w:rPr>
          <w:i/>
          <w:iCs/>
          <w:sz w:val="20"/>
          <w:szCs w:val="20"/>
        </w:rPr>
        <w:t>Distinguishing Liabilit</w:t>
      </w:r>
      <w:r>
        <w:rPr>
          <w:i/>
          <w:iCs/>
          <w:sz w:val="20"/>
          <w:szCs w:val="20"/>
        </w:rPr>
        <w:t>ies from Equity</w:t>
      </w:r>
      <w:r>
        <w:rPr>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The Company will not redeem Public Shares in an amount that would cause its net tangible assets to be less than </w:t>
      </w:r>
      <w:r>
        <w:rPr>
          <w:sz w:val="20"/>
          <w:szCs w:val="20"/>
        </w:rPr>
        <w:t>$</w:t>
      </w:r>
      <w:r>
        <w:rPr>
          <w:sz w:val="20"/>
          <w:szCs w:val="20"/>
        </w:rPr>
        <w:t>5,000,00</w:t>
      </w:r>
      <w:r>
        <w:rPr>
          <w:sz w:val="20"/>
          <w:szCs w:val="20"/>
        </w:rPr>
        <w:t>1</w:t>
      </w:r>
      <w:r>
        <w:rPr>
          <w:sz w:val="20"/>
          <w:szCs w:val="20"/>
        </w:rPr>
        <w:t xml:space="preserve"> (so that it does not then become subject to the SEC’s “penny stock” rules) or any greater net tangible asset or c</w:t>
      </w:r>
      <w:r>
        <w:rPr>
          <w:sz w:val="20"/>
          <w:szCs w:val="20"/>
        </w:rPr>
        <w:t>ash requirement which may be contained in the agreement relating to the Business Combination. If the Company seeks shareholder approval of the Business Combination, the Company will proceed with a Business Combination if a majority of the outstanding share</w:t>
      </w:r>
      <w:r>
        <w:rPr>
          <w:sz w:val="20"/>
          <w:szCs w:val="20"/>
        </w:rPr>
        <w:t>s voted are voted in favor of the Business Combination, or such other vote as required by law or stock exchange rule. If a shareholder vote is not required by applicable law or stock exchange listing requirements and the Company does not decide to hold a s</w:t>
      </w:r>
      <w:r>
        <w:rPr>
          <w:sz w:val="20"/>
          <w:szCs w:val="20"/>
        </w:rPr>
        <w:t>hareholder vote for business or other reasons, the Company will, pursuant to its second amended and restated certificate of incorporation (the “Certificate of Incorporation”), conduct the redemptions pursuant to the tender offer rules of the U.S. Securitie</w:t>
      </w:r>
      <w:r>
        <w:rPr>
          <w:sz w:val="20"/>
          <w:szCs w:val="20"/>
        </w:rPr>
        <w:t>s and Exchange Commission (“SEC”) and file tender offer documents with the SEC prior to completing a Business Combination.</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If, however, shareholder approval of the transaction is required by applicable law or stock exchange listing requirements, or the C</w:t>
      </w:r>
      <w:r>
        <w:rPr>
          <w:sz w:val="20"/>
          <w:szCs w:val="20"/>
        </w:rPr>
        <w:t>ompany decides to obtain shareholder approval for business or other reasons, the Company will offer to redeem shares in conjunction with a proxy solicitation pursuant to the proxy rules and not pursuant to the tender offer rules. If the Company seeks share</w:t>
      </w:r>
      <w:r>
        <w:rPr>
          <w:sz w:val="20"/>
          <w:szCs w:val="20"/>
        </w:rPr>
        <w:t>holder approval in connection with a Business Combination, the Sponsor has agreed to vote its Insider shares (as defined in Note 5) and any Public Shares purchased during or after the Public Offering in favor of approving a Business Combination. Additional</w:t>
      </w:r>
      <w:r>
        <w:rPr>
          <w:sz w:val="20"/>
          <w:szCs w:val="20"/>
        </w:rPr>
        <w:t>ly, each Public Shareholder may elect to redeem their Public Shares without voting, and if they do vote, irrespective of whether they vote for or against the proposed transaction.</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8760215"/>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p w:rsidR="00000000" w:rsidRDefault="00BC17DB">
      <w:pPr>
        <w:pStyle w:val="a3"/>
        <w:spacing w:before="0" w:beforeAutospacing="0" w:after="0" w:afterAutospacing="0"/>
        <w:divId w:val="1353916401"/>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Notwithstanding </w:t>
      </w:r>
      <w:r>
        <w:rPr>
          <w:sz w:val="20"/>
          <w:szCs w:val="20"/>
        </w:rPr>
        <w:t xml:space="preserve">the foregoing, if the Company seeks shareholder approval of a Business Combination and it does not conduct redemptions pursuant to the tender offer rules, the Certificate of Incorporation will provide that a Public Shareholder, together with any affiliate </w:t>
      </w:r>
      <w:r>
        <w:rPr>
          <w:sz w:val="20"/>
          <w:szCs w:val="20"/>
        </w:rPr>
        <w:t>of such shareholder or any other person with whom such shareholder is acting in concert or as a “group” (as defined under Section 13 of the Securities Exchange Act of 1934, as amended (the “Exchange Act”)), will be restricted from redeeming its shares with</w:t>
      </w:r>
      <w:r>
        <w:rPr>
          <w:sz w:val="20"/>
          <w:szCs w:val="20"/>
        </w:rPr>
        <w:t xml:space="preserve"> respect to more than an aggregate of 20% of the Public Shares, without the prior consent of the Company.</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The holders of the Insider Shares have agreed (a) to waive their redemption rights with respect to the Insider Shares and Public Shares held by them</w:t>
      </w:r>
      <w:r>
        <w:rPr>
          <w:sz w:val="20"/>
          <w:szCs w:val="20"/>
        </w:rPr>
        <w:t xml:space="preserve"> in connection with the completion of a Business Combination and (b) not to propose an amendment to the Certificate of Incorporation (i) to modify the substance or timing of the Company’s obligation to allow redemptions in connection with a Business Combin</w:t>
      </w:r>
      <w:r>
        <w:rPr>
          <w:sz w:val="20"/>
          <w:szCs w:val="20"/>
        </w:rPr>
        <w:t>ation or to redeem</w:t>
      </w:r>
      <w:r>
        <w:rPr>
          <w:sz w:val="20"/>
          <w:szCs w:val="20"/>
        </w:rPr>
        <w:t xml:space="preserve"> </w:t>
      </w:r>
      <w:r>
        <w:rPr>
          <w:sz w:val="20"/>
          <w:szCs w:val="20"/>
        </w:rPr>
        <w:t>100</w:t>
      </w:r>
      <w:r>
        <w:rPr>
          <w:sz w:val="20"/>
          <w:szCs w:val="20"/>
        </w:rPr>
        <w:t>%</w:t>
      </w:r>
      <w:r>
        <w:rPr>
          <w:sz w:val="20"/>
          <w:szCs w:val="20"/>
        </w:rPr>
        <w:t xml:space="preserve"> of its Public Shares if the Company does not complete a Business Combination within the Combination Period (as defined below) or (ii) with respect to any other provision relating to shareholders’ rights or pre-business combination a</w:t>
      </w:r>
      <w:r>
        <w:rPr>
          <w:sz w:val="20"/>
          <w:szCs w:val="20"/>
        </w:rPr>
        <w:t>ctivity, unless the Company provides the Public Shareholders with the opportunity to redeem their Public Shares in conjunction with any such amendment.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If the Company has not completed a Business Combination within 12 months (or 15 months, or 18 months, </w:t>
      </w:r>
      <w:r>
        <w:rPr>
          <w:sz w:val="20"/>
          <w:szCs w:val="20"/>
        </w:rPr>
        <w:t>as applicable from the closing of the Initial Public Offering as provided in the Company’s registration statement (the “Combination Period”)), the Company will (i) cease all operations except for the purpose of winding up, (ii) as promptly as reasonably po</w:t>
      </w:r>
      <w:r>
        <w:rPr>
          <w:sz w:val="20"/>
          <w:szCs w:val="20"/>
        </w:rPr>
        <w:t>ssible but not more than ten business days thereafter, redeem the Public Shares, at a per-share price, payable in cash, equal to the aggregate amount then on deposit in the Trust Account, including interest earned on the funds held in the Trust Account and</w:t>
      </w:r>
      <w:r>
        <w:rPr>
          <w:sz w:val="20"/>
          <w:szCs w:val="20"/>
        </w:rPr>
        <w:t xml:space="preserve"> not previously released to pay taxes (less up to </w:t>
      </w:r>
      <w:r>
        <w:rPr>
          <w:sz w:val="20"/>
          <w:szCs w:val="20"/>
        </w:rPr>
        <w:t>$</w:t>
      </w:r>
      <w:r>
        <w:rPr>
          <w:sz w:val="20"/>
          <w:szCs w:val="20"/>
        </w:rPr>
        <w:t>100,00</w:t>
      </w:r>
      <w:r>
        <w:rPr>
          <w:sz w:val="20"/>
          <w:szCs w:val="20"/>
        </w:rPr>
        <w:t>0</w:t>
      </w:r>
      <w:r>
        <w:rPr>
          <w:sz w:val="20"/>
          <w:szCs w:val="20"/>
        </w:rPr>
        <w:t xml:space="preserve"> of interest to pay dissolution expenses), divided by the number of then outstanding Public Shares, which redemption will completely extinguish Public Shareholders’ rights as shareholders (including</w:t>
      </w:r>
      <w:r>
        <w:rPr>
          <w:sz w:val="20"/>
          <w:szCs w:val="20"/>
        </w:rPr>
        <w:t xml:space="preserve"> the right to receive further liquidating distributions, if any), and (iii) as promptly as reasonably possible following such redemption, subject to the approval of the Company’s remaining shareholders and the Company’s board of directors, dissolve and liq</w:t>
      </w:r>
      <w:r>
        <w:rPr>
          <w:sz w:val="20"/>
          <w:szCs w:val="20"/>
        </w:rPr>
        <w:t>uidate, subject in each case to the Company’s obligations under Delaware law to provide for claims of creditors and the requirements of other applicable law.</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The holders of the Insider Shares have agreed to waive their liquidation rights with respect to </w:t>
      </w:r>
      <w:r>
        <w:rPr>
          <w:sz w:val="20"/>
          <w:szCs w:val="20"/>
        </w:rPr>
        <w:t>the Insider shares if the Company fails to complete a Business Combination within the Combination Period. However, if the holders of Insider shares acquire Public Shares in or after the Initial Public Offering, such Public Shares will be entitled to liquid</w:t>
      </w:r>
      <w:r>
        <w:rPr>
          <w:sz w:val="20"/>
          <w:szCs w:val="20"/>
        </w:rPr>
        <w:t>ating distributions from the Trust Account if the Company fails to complete a Business Combination within the Combination Period. The underwriters have agreed to waive their rights to their deferred underwriting commission (see Note 6) held in the Trust Ac</w:t>
      </w:r>
      <w:r>
        <w:rPr>
          <w:sz w:val="20"/>
          <w:szCs w:val="20"/>
        </w:rPr>
        <w:t>count in the event the Company does not complete a Business Combination within the Combination Period and, in such event, such amounts will be included with the other funds held in the Trust Account that will be available to fund the redemption of the Publ</w:t>
      </w:r>
      <w:r>
        <w:rPr>
          <w:sz w:val="20"/>
          <w:szCs w:val="20"/>
        </w:rPr>
        <w:t>ic Shares.</w:t>
      </w:r>
      <w:r>
        <w:rPr>
          <w:sz w:val="20"/>
          <w:szCs w:val="20"/>
        </w:rPr>
        <w:t xml:space="preserve"> </w:t>
      </w:r>
      <w:r>
        <w:rPr>
          <w:sz w:val="20"/>
          <w:szCs w:val="20"/>
        </w:rPr>
        <w:t>In the event of such distribution, it is possible that the per share value of the assets remaining available for distribution will be less than the Initial Public Offering price per Unit ($10.00)</w:t>
      </w:r>
      <w:r>
        <w:rPr>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In order to protect the amounts held in the Tr</w:t>
      </w:r>
      <w:r>
        <w:rPr>
          <w:sz w:val="20"/>
          <w:szCs w:val="20"/>
        </w:rPr>
        <w:t>ust Account, the Sponsor has agreed to be liable to the Company if and to the extent any claims by a third party for services rendered or products sold to the Company, or a prospective target business with which the Company has discussed entering into a tr</w:t>
      </w:r>
      <w:r>
        <w:rPr>
          <w:sz w:val="20"/>
          <w:szCs w:val="20"/>
        </w:rPr>
        <w:t xml:space="preserve">ansaction agreement, reduce the amount of funds in the Trust Account to below (i) $10.10 per Public Share or (ii) such lesser amount per Public Share held in the Trust Account as of the date of the liquidation of the Trust Account, if less than $10.10 per </w:t>
      </w:r>
      <w:r>
        <w:rPr>
          <w:sz w:val="20"/>
          <w:szCs w:val="20"/>
        </w:rPr>
        <w:t>Public Share due to reductions in the value of the trust assets, in each case net of the amount of interest which may be withdrawn to pay taxes, except as to any claims by a third party who executed a waiver of any and all rights to seek access to the Trus</w:t>
      </w:r>
      <w:r>
        <w:rPr>
          <w:sz w:val="20"/>
          <w:szCs w:val="20"/>
        </w:rPr>
        <w:t xml:space="preserve">t Account and except as to any claims under the Company’s indemnity of the underwriters of the Initial Public Offering against certain liabilities, including liabilities under the Securities Act of 1933, as amended (the “Securities Act”). Moreover, in the </w:t>
      </w:r>
      <w:r>
        <w:rPr>
          <w:sz w:val="20"/>
          <w:szCs w:val="20"/>
        </w:rPr>
        <w:t>event that an executed waiver is deemed to be unenforceable against a third party, the Sponsor will not be responsible to the extent of any liability for such third-party claims</w:t>
      </w:r>
      <w:r>
        <w:rPr>
          <w:sz w:val="20"/>
          <w:szCs w:val="20"/>
        </w:rPr>
        <w:t>.</w:t>
      </w:r>
      <w:r>
        <w:rPr>
          <w:sz w:val="20"/>
          <w:szCs w:val="20"/>
        </w:rPr>
        <w:t xml:space="preserve"> The Company will seek to reduce the possibility that the Sponsor will have to</w:t>
      </w:r>
      <w:r>
        <w:rPr>
          <w:sz w:val="20"/>
          <w:szCs w:val="20"/>
        </w:rPr>
        <w:t xml:space="preserve"> indemnify the Trust Account due to claims of creditors by endeavoring to have all vendors, service providers (except for the Company’s independent registered accounting firm), prospective target businesses and other entities with which the Company does bu</w:t>
      </w:r>
      <w:r>
        <w:rPr>
          <w:sz w:val="20"/>
          <w:szCs w:val="20"/>
        </w:rPr>
        <w:t>siness, execute agreements with the Company waiving any right, title, interest or claim of any kind in or to monies held in the Trust Account.</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84904661"/>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p w:rsidR="00000000" w:rsidRDefault="00BC17DB">
      <w:pPr>
        <w:pStyle w:val="a3"/>
        <w:spacing w:before="0" w:beforeAutospacing="0" w:after="0" w:afterAutospacing="0"/>
        <w:divId w:val="1008873687"/>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BC17DB">
      <w:pPr>
        <w:pStyle w:val="a3"/>
        <w:shd w:val="clear" w:color="auto" w:fill="FFFFFF"/>
        <w:spacing w:before="0" w:beforeAutospacing="0" w:after="0" w:afterAutospacing="0"/>
        <w:ind w:firstLine="36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 xml:space="preserve">of September 30, 2022, the Company had </w:t>
      </w:r>
      <w:r>
        <w:rPr>
          <w:sz w:val="20"/>
          <w:szCs w:val="20"/>
        </w:rPr>
        <w:t>$</w:t>
      </w:r>
      <w:r>
        <w:rPr>
          <w:sz w:val="20"/>
          <w:szCs w:val="20"/>
        </w:rPr>
        <w:t>529,56</w:t>
      </w:r>
      <w:r>
        <w:rPr>
          <w:sz w:val="20"/>
          <w:szCs w:val="20"/>
        </w:rPr>
        <w:t>6</w:t>
      </w:r>
      <w:r>
        <w:rPr>
          <w:sz w:val="20"/>
          <w:szCs w:val="20"/>
        </w:rPr>
        <w:t xml:space="preserve"> of cash in its operating bank account.</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Company’s liquidity needs prior to the consummation of the Initial Public Offering were satisfied through the payment of </w:t>
      </w:r>
      <w:r>
        <w:rPr>
          <w:sz w:val="20"/>
          <w:szCs w:val="20"/>
        </w:rPr>
        <w:t>$</w:t>
      </w:r>
      <w:r>
        <w:rPr>
          <w:sz w:val="20"/>
          <w:szCs w:val="20"/>
        </w:rPr>
        <w:t>25,00</w:t>
      </w:r>
      <w:r>
        <w:rPr>
          <w:sz w:val="20"/>
          <w:szCs w:val="20"/>
        </w:rPr>
        <w:t>0</w:t>
      </w:r>
      <w:r>
        <w:rPr>
          <w:sz w:val="20"/>
          <w:szCs w:val="20"/>
        </w:rPr>
        <w:t xml:space="preserve"> from the Sponsor to cover for cert</w:t>
      </w:r>
      <w:r>
        <w:rPr>
          <w:sz w:val="20"/>
          <w:szCs w:val="20"/>
        </w:rPr>
        <w:t xml:space="preserve">ain offering costs on the Company’s behalf in exchange for issuance of Insider shares (as defined in Note 4). Following the Initial Public Offering of the Company on January 13, 2022, a total of </w:t>
      </w:r>
      <w:r>
        <w:rPr>
          <w:sz w:val="20"/>
          <w:szCs w:val="20"/>
        </w:rPr>
        <w:t>$</w:t>
      </w:r>
      <w:r>
        <w:rPr>
          <w:sz w:val="20"/>
          <w:szCs w:val="20"/>
        </w:rPr>
        <w:t>133,53</w:t>
      </w:r>
      <w:r>
        <w:rPr>
          <w:sz w:val="20"/>
          <w:szCs w:val="20"/>
        </w:rPr>
        <w:t>3</w:t>
      </w:r>
      <w:r>
        <w:rPr>
          <w:sz w:val="20"/>
          <w:szCs w:val="20"/>
        </w:rPr>
        <w:t xml:space="preserve"> under the promissory note was repaid on January 19, </w:t>
      </w:r>
      <w:r>
        <w:rPr>
          <w:sz w:val="20"/>
          <w:szCs w:val="20"/>
        </w:rPr>
        <w:t>2022. Subsequent to the consummation of the Initial Public Offering, the Company’s liquidity has been satisfied through the net proceeds from the consummation of the Initial Public Offering and the Private Placement held outside of the Trust Account. In ad</w:t>
      </w:r>
      <w:r>
        <w:rPr>
          <w:sz w:val="20"/>
          <w:szCs w:val="20"/>
        </w:rPr>
        <w:t>dition, in order to finance transaction costs in connection with a Business Combination, the Sponsor or an affiliate of the Sponsor, or certain of the Company’s officers and directors may, but are not obligated to, provide the Company Working Capital Loans</w:t>
      </w:r>
      <w:r>
        <w:rPr>
          <w:sz w:val="20"/>
          <w:szCs w:val="20"/>
        </w:rPr>
        <w:t xml:space="preserve"> (as defined in Note 4). As of September 30, 2022, there were no amounts outstanding under any Working Capital Loan.</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Based on the foregoing, management believes that the Company will have sufficient working capital and borrowing capacity to meet its need</w:t>
      </w:r>
      <w:r>
        <w:rPr>
          <w:sz w:val="20"/>
          <w:szCs w:val="20"/>
        </w:rPr>
        <w:t xml:space="preserve">s through the earlier of the consummation of a Business Combination or one year from this filing. Over this time period, the Company will be using the funds held outside of the Trust Account for paying existing accounts payable, identifying and evaluating </w:t>
      </w:r>
      <w:r>
        <w:rPr>
          <w:sz w:val="20"/>
          <w:szCs w:val="20"/>
        </w:rPr>
        <w:t>prospective initial Business Combination candidates, performing due diligence on prospective target businesses, paying for travel expenditures, selecting the target business to merge with or acquire, and structuring, negotiating and consummating the Busine</w:t>
      </w:r>
      <w:r>
        <w:rPr>
          <w:sz w:val="20"/>
          <w:szCs w:val="20"/>
        </w:rPr>
        <w:t>ss Combination.</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Going Concern Consideration</w:t>
      </w:r>
    </w:p>
    <w:p w:rsidR="00000000" w:rsidRDefault="00BC17DB">
      <w:pPr>
        <w:pStyle w:val="a3"/>
        <w:shd w:val="clear" w:color="auto" w:fill="FFFFFF"/>
        <w:spacing w:before="0" w:beforeAutospacing="0" w:after="0" w:afterAutospacing="0"/>
        <w:jc w:val="both"/>
        <w:rPr>
          <w:sz w:val="20"/>
          <w:szCs w:val="20"/>
        </w:rPr>
      </w:pPr>
      <w:r>
        <w:rPr>
          <w:b/>
          <w:bCs/>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 Company expects to incur significant costs in pursuit of its financing and acquisition plans. In connection with the Company’s assessment of going concern considerations in accordance with Accounting Stan</w:t>
      </w:r>
      <w:r>
        <w:rPr>
          <w:sz w:val="20"/>
          <w:szCs w:val="20"/>
        </w:rPr>
        <w:t>dards Update (“ASU”) 2014-15, “Disclosures of Uncertainties about an Entity’s Ability to Continue as a Going Concern,” management has determined that if the Company is unsuccessful in consummating an initial business combination within the prescribed perio</w:t>
      </w:r>
      <w:r>
        <w:rPr>
          <w:sz w:val="20"/>
          <w:szCs w:val="20"/>
        </w:rPr>
        <w:t xml:space="preserve">d of time from the closing of the Initial Public Offering, the requirement that the Company cease all operations, redeem the public shares and thereafter liquidate and dissolve raises substantial doubt about the ability to continue as a going concern. The </w:t>
      </w:r>
      <w:r>
        <w:rPr>
          <w:sz w:val="20"/>
          <w:szCs w:val="20"/>
        </w:rPr>
        <w:t>balance sheet does not include any adjustments that might result from the outcome of this uncertainty. Management has determined that the Company has funds that are sufficient to fund the working capital needs of the Company until the consummation of an in</w:t>
      </w:r>
      <w:r>
        <w:rPr>
          <w:sz w:val="20"/>
          <w:szCs w:val="20"/>
        </w:rPr>
        <w:t>itial business combination or the winding up of the Company as stipulated in the Company’s amended and restated memorandum of association. The accompanying financial statement has been prepared in conformity with generally accepted accounting principles in</w:t>
      </w:r>
      <w:r>
        <w:rPr>
          <w:sz w:val="20"/>
          <w:szCs w:val="20"/>
        </w:rPr>
        <w:t xml:space="preserve"> the United States of America (“GAAP”), which contemplate continuation of the Company as a going concern.</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8056748"/>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p w:rsidR="00000000" w:rsidRDefault="00BC17DB">
      <w:pPr>
        <w:pStyle w:val="a3"/>
        <w:spacing w:before="0" w:beforeAutospacing="0" w:after="0" w:afterAutospacing="0"/>
        <w:divId w:val="1601110095"/>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SUMMARY OF SIGNIFICANT ACCOUNTING POLICIE</w:t>
      </w:r>
      <w:r>
        <w:rPr>
          <w:b/>
          <w:bCs/>
          <w:sz w:val="20"/>
          <w:szCs w:val="20"/>
        </w:rPr>
        <w: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Basis of Presentatio</w:t>
      </w:r>
      <w:r>
        <w:rPr>
          <w:b/>
          <w:bCs/>
          <w:sz w:val="20"/>
          <w:szCs w:val="20"/>
        </w:rPr>
        <w:t>n</w:t>
      </w:r>
    </w:p>
    <w:p w:rsidR="00000000" w:rsidRDefault="00BC17DB">
      <w:pPr>
        <w:pStyle w:val="a3"/>
        <w:spacing w:before="0" w:beforeAutospacing="0" w:after="0" w:afterAutospacing="0"/>
        <w:ind w:firstLine="30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accompanying financial statements are presented in U.S. Dollars and conformity with accounting principles generally accepted in the United States of America (“GAAP”) and pursuant to the rules and regulations of the SEC.</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Emerging Growth Compan</w:t>
      </w:r>
      <w:r>
        <w:rPr>
          <w:b/>
          <w:bCs/>
          <w:sz w:val="20"/>
          <w:szCs w:val="20"/>
        </w:rPr>
        <w:t>y</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The Comp</w:t>
      </w:r>
      <w:r>
        <w:rPr>
          <w:sz w:val="20"/>
          <w:szCs w:val="20"/>
        </w:rPr>
        <w:t>any is an “emerging growth company,” as defined in Section 2(a) of the Securities Act, as modified by the Jumpstart Our Business Startups Act of 2012 (the “JOBS Act”), and it may take advantage of certain exemptions from various reporting requirements that</w:t>
      </w:r>
      <w:r>
        <w:rPr>
          <w:sz w:val="20"/>
          <w:szCs w:val="20"/>
        </w:rPr>
        <w:t xml:space="preserve"> are applicable to other public companies that are not emerging growth companies including, but not limited to, not being required to comply with the auditor attestation requirements of Section 404 of the Sarbanes-Oxley Act, reduced disclosure obligations </w:t>
      </w:r>
      <w:r>
        <w:rPr>
          <w:sz w:val="20"/>
          <w:szCs w:val="20"/>
        </w:rPr>
        <w:t>regarding executive compensation in its periodic reports and proxy statements, and exemptions from the requirements of holding a nonbinding advisory vote on executive compensation and stockholder approval of any golden parachute payments not previously app</w:t>
      </w:r>
      <w:r>
        <w:rPr>
          <w:sz w:val="20"/>
          <w:szCs w:val="20"/>
        </w:rPr>
        <w:t>roved.</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 a Securities Act registration s</w:t>
      </w:r>
      <w:r>
        <w:rPr>
          <w:sz w:val="20"/>
          <w:szCs w:val="20"/>
        </w:rPr>
        <w:t>tatement declared effective or do not have a class of securities registered under the Exchange Act) are required to comply with the new or revised financial accounting standards. The JOBS Act provides that a company can elect to opt out of the extended tra</w:t>
      </w:r>
      <w:r>
        <w:rPr>
          <w:sz w:val="20"/>
          <w:szCs w:val="20"/>
        </w:rPr>
        <w:t>nsition period and comply with the requirements that apply to non-emerging growth companies but any such election to opt out is irrevocable. The Company has elected not to opt out of such extended transition period which means that when a standard is issue</w:t>
      </w:r>
      <w:r>
        <w:rPr>
          <w:sz w:val="20"/>
          <w:szCs w:val="20"/>
        </w:rPr>
        <w:t>d or revised and it has different application dates for public or private companies, the Company, as an emerging growth company, can adopt the new or revised standard at the time private companies adopt the new or revised standard. This may make comparison</w:t>
      </w:r>
      <w:r>
        <w:rPr>
          <w:sz w:val="20"/>
          <w:szCs w:val="20"/>
        </w:rPr>
        <w:t xml:space="preserve"> of the Company’s financial statements with another public company which is neither an emerging growth company nor an emerging growth company which has opted out of using the extended transition period difficult or impossible because of the potential diffe</w:t>
      </w:r>
      <w:r>
        <w:rPr>
          <w:sz w:val="20"/>
          <w:szCs w:val="20"/>
        </w:rPr>
        <w:t>rences in accounting standards used.</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 preparation of financial statements in conformity with GAAP requires management to make estimates and assumptions that affect the reported amounts of assets and liabilities and disclosure of con</w:t>
      </w:r>
      <w:r>
        <w:rPr>
          <w:sz w:val="20"/>
          <w:szCs w:val="20"/>
        </w:rPr>
        <w:t>tingent assets and liabilities at the date of the financial statements and the reported amounts of revenues and expenses during the reporting period.</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Making estimates requires management to exercise significant judgment. It is at least reasonably possibl</w:t>
      </w:r>
      <w:r>
        <w:rPr>
          <w:sz w:val="20"/>
          <w:szCs w:val="20"/>
        </w:rPr>
        <w:t>e that the estimate of the effect of a condition, situation or set of circumstances that existed at the date of the financial statements, which management considered in formulating its estimate, could change in the near term due to one or more future confi</w:t>
      </w:r>
      <w:r>
        <w:rPr>
          <w:sz w:val="20"/>
          <w:szCs w:val="20"/>
        </w:rPr>
        <w:t>rming events. Accordingly, the actual results could differ significantly from those estimates.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Cash and Cash Equivalent</w:t>
      </w:r>
      <w:r>
        <w:rPr>
          <w:b/>
          <w:bCs/>
          <w:sz w:val="20"/>
          <w:szCs w:val="20"/>
        </w:rPr>
        <w:t>s</w:t>
      </w:r>
    </w:p>
    <w:p w:rsidR="00000000" w:rsidRDefault="00BC17DB">
      <w:pPr>
        <w:pStyle w:val="a3"/>
        <w:shd w:val="clear" w:color="auto" w:fill="FFFFFF"/>
        <w:spacing w:before="0" w:beforeAutospacing="0" w:after="0" w:afterAutospacing="0"/>
        <w:ind w:firstLine="36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 Company considers all short-term investments with an original maturity of three months or less when purchased to be cash equiva</w:t>
      </w:r>
      <w:r>
        <w:rPr>
          <w:sz w:val="20"/>
          <w:szCs w:val="20"/>
        </w:rPr>
        <w:t>lents. The Company had</w:t>
      </w:r>
      <w:r>
        <w:rPr>
          <w:sz w:val="20"/>
          <w:szCs w:val="20"/>
        </w:rPr>
        <w:t xml:space="preserve"> </w:t>
      </w:r>
      <w:r>
        <w:rPr>
          <w:sz w:val="20"/>
          <w:szCs w:val="20"/>
        </w:rPr>
        <w:t>n</w:t>
      </w:r>
      <w:r>
        <w:rPr>
          <w:sz w:val="20"/>
          <w:szCs w:val="20"/>
        </w:rPr>
        <w:t>o</w:t>
      </w:r>
      <w:r>
        <w:rPr>
          <w:sz w:val="20"/>
          <w:szCs w:val="20"/>
        </w:rPr>
        <w:t xml:space="preserve"> cash equivalents as of September 30, 2022.</w:t>
      </w:r>
    </w:p>
    <w:p w:rsidR="00000000" w:rsidRDefault="00BC17DB">
      <w:pPr>
        <w:pStyle w:val="a3"/>
        <w:shd w:val="clear" w:color="auto" w:fill="FFFFFF"/>
        <w:spacing w:before="0" w:beforeAutospacing="0" w:after="0" w:afterAutospacing="0"/>
        <w:ind w:firstLine="72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Marketable Securities Held in Trust Accoun</w:t>
      </w:r>
      <w:r>
        <w:rPr>
          <w:b/>
          <w:bCs/>
          <w:sz w:val="20"/>
          <w:szCs w:val="20"/>
        </w:rPr>
        <w:t>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As </w:t>
      </w:r>
      <w:r>
        <w:rPr>
          <w:sz w:val="20"/>
          <w:szCs w:val="20"/>
        </w:rPr>
        <w:t xml:space="preserve">of September 30, 2022, substantially all of the assets held in the Trust Account were held in government securities (United States Treasury Bills). As of September 30, 2022, the balance in the Trust Account was </w:t>
      </w:r>
      <w:r>
        <w:rPr>
          <w:sz w:val="20"/>
          <w:szCs w:val="20"/>
        </w:rPr>
        <w:t>$</w:t>
      </w:r>
      <w:r>
        <w:rPr>
          <w:sz w:val="20"/>
          <w:szCs w:val="20"/>
        </w:rPr>
        <w:t>103,233,18</w:t>
      </w:r>
      <w:r>
        <w:rPr>
          <w:sz w:val="20"/>
          <w:szCs w:val="20"/>
        </w:rPr>
        <w:t>6</w:t>
      </w:r>
      <w:r>
        <w:rPr>
          <w:sz w:val="20"/>
          <w:szCs w:val="20"/>
        </w:rPr>
        <w:t>.</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0951531"/>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p w:rsidR="00000000" w:rsidRDefault="00BC17DB">
      <w:pPr>
        <w:pStyle w:val="a3"/>
        <w:spacing w:before="0" w:beforeAutospacing="0" w:after="0" w:afterAutospacing="0"/>
        <w:divId w:val="619338731"/>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Deferred offering co</w:t>
      </w:r>
      <w:r>
        <w:rPr>
          <w:b/>
          <w:bCs/>
          <w:sz w:val="20"/>
          <w:szCs w:val="20"/>
        </w:rPr>
        <w:t>st</w:t>
      </w:r>
      <w:r>
        <w:rPr>
          <w:b/>
          <w:bCs/>
          <w:sz w:val="20"/>
          <w:szCs w:val="20"/>
        </w:rPr>
        <w:t>s</w:t>
      </w:r>
    </w:p>
    <w:p w:rsidR="00000000" w:rsidRDefault="00BC17DB">
      <w:pPr>
        <w:pStyle w:val="a3"/>
        <w:shd w:val="clear" w:color="auto" w:fill="FFFFFF"/>
        <w:spacing w:before="0" w:beforeAutospacing="0" w:after="0" w:afterAutospacing="0"/>
        <w:ind w:firstLine="36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Deferred offering costs consist of underwriting, legal, accounting and other expenses incurred through the balance sheet date that are directly related to the Proposed Offering and that will be charged to stockholders’ equity upon the completion of t</w:t>
      </w:r>
      <w:r>
        <w:rPr>
          <w:sz w:val="20"/>
          <w:szCs w:val="20"/>
        </w:rPr>
        <w:t>he Proposed Offering. Should the Proposed Offering have proved to be unsuccessful, these deferred costs, as well as additional expenses incurred, would have been charged to operations.</w:t>
      </w:r>
    </w:p>
    <w:p w:rsidR="00000000" w:rsidRDefault="00BC17DB">
      <w:pPr>
        <w:pStyle w:val="a3"/>
        <w:shd w:val="clear" w:color="auto" w:fill="FFFFFF"/>
        <w:spacing w:before="0" w:beforeAutospacing="0" w:after="0" w:afterAutospacing="0"/>
        <w:ind w:firstLine="709"/>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Income Taxe</w:t>
      </w:r>
      <w:r>
        <w:rPr>
          <w:b/>
          <w:bCs/>
          <w:sz w:val="20"/>
          <w:szCs w:val="20"/>
        </w:rPr>
        <w: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complies with the accounting and reporting requirements of ASC Topic 740, “Income Taxes,” which requires an asset and liability approach to financial accounting and reporting for income taxes. Deferred income tax assets and liabilities are computed</w:t>
      </w:r>
      <w:r>
        <w:rPr>
          <w:sz w:val="20"/>
          <w:szCs w:val="20"/>
        </w:rPr>
        <w:t xml:space="preserve"> for differences between the financial statement and tax bases of assets and liabilities that will result in future taxable or deductible amounts, based on enacted tax laws and rates applicable to the periods in which the differences are expected to affect</w:t>
      </w:r>
      <w:r>
        <w:rPr>
          <w:sz w:val="20"/>
          <w:szCs w:val="20"/>
        </w:rPr>
        <w:t xml:space="preserve"> taxable income. Valuation allowances are established, when necessary, to reduce deferred tax assets to the amount expected to be realized.</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ASC Topic 740 prescribes a recognition threshold and a measurement attribute for the financial statement recogniti</w:t>
      </w:r>
      <w:r>
        <w:rPr>
          <w:sz w:val="20"/>
          <w:szCs w:val="20"/>
        </w:rPr>
        <w:t xml:space="preserve">on and measurement of tax positions taken or expected to be taken in a tax return. For those benefits to be recognized, a tax position must be more-likely-than-not to be sustained upon examination by taxing authorities. The Company’s management determined </w:t>
      </w:r>
      <w:r>
        <w:rPr>
          <w:sz w:val="20"/>
          <w:szCs w:val="20"/>
        </w:rPr>
        <w:t>the United States is the Company’s only major tax jurisdiction. The Company recognizes accrued interest and penalties related to unrecognized tax benefits, if any, as income tax expense. There were</w:t>
      </w:r>
      <w:r>
        <w:rPr>
          <w:sz w:val="20"/>
          <w:szCs w:val="20"/>
        </w:rPr>
        <w:t xml:space="preserve"> </w:t>
      </w:r>
      <w:r>
        <w:rPr>
          <w:sz w:val="20"/>
          <w:szCs w:val="20"/>
        </w:rPr>
        <w:t>n</w:t>
      </w:r>
      <w:r>
        <w:rPr>
          <w:sz w:val="20"/>
          <w:szCs w:val="20"/>
        </w:rPr>
        <w:t>o</w:t>
      </w:r>
      <w:r>
        <w:rPr>
          <w:sz w:val="20"/>
          <w:szCs w:val="20"/>
        </w:rPr>
        <w:t xml:space="preserve"> unrecognized tax benefits as of September 30, 2022 and</w:t>
      </w:r>
      <w:r>
        <w:rPr>
          <w:sz w:val="20"/>
          <w:szCs w:val="20"/>
        </w:rPr>
        <w:t xml:space="preserve"> </w:t>
      </w:r>
      <w:r>
        <w:rPr>
          <w:sz w:val="20"/>
          <w:szCs w:val="20"/>
        </w:rPr>
        <w:t>n</w:t>
      </w:r>
      <w:r>
        <w:rPr>
          <w:sz w:val="20"/>
          <w:szCs w:val="20"/>
        </w:rPr>
        <w:t>o</w:t>
      </w:r>
      <w:r>
        <w:rPr>
          <w:sz w:val="20"/>
          <w:szCs w:val="20"/>
        </w:rPr>
        <w:t xml:space="preserve"> amounts accrued for interest and penalties. The Company is currently not aware of any issues under review that could result in significant payments, accruals or material deviation from its position. The Company is subject to income tax examinations by m</w:t>
      </w:r>
      <w:r>
        <w:rPr>
          <w:sz w:val="20"/>
          <w:szCs w:val="20"/>
        </w:rPr>
        <w:t>ajor taxing authorities since inception.</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The provision for income taxes was deemed to be de minimis for the nine months ended September 30, 2022.</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Net loss per shar</w:t>
      </w:r>
      <w:r>
        <w:rPr>
          <w:b/>
          <w:bCs/>
          <w:sz w:val="20"/>
          <w:szCs w:val="20"/>
        </w:rPr>
        <w:t>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 Company complies with accounting and disclosure requirements of ASC Topic 260, “E</w:t>
      </w:r>
      <w:r>
        <w:rPr>
          <w:sz w:val="20"/>
          <w:szCs w:val="20"/>
        </w:rPr>
        <w:t>arnings Per Share.” Net loss per share is computed by dividing net loss by the weighted average number of common stock outstanding during the period, excluding common stock subject to forfeiture. As of September 30, 2022, the Company did not have any dilut</w:t>
      </w:r>
      <w:r>
        <w:rPr>
          <w:sz w:val="20"/>
          <w:szCs w:val="20"/>
        </w:rPr>
        <w:t>ive securities and other contracts that could, potentially, be exercised or converted into common stock and then share in the earnings of the Company. As a result, diluted loss per share is the same as basic loss per share for the periods presented.</w:t>
      </w:r>
    </w:p>
    <w:p w:rsidR="00000000" w:rsidRDefault="00BC17DB">
      <w:pPr>
        <w:pStyle w:val="a3"/>
        <w:shd w:val="clear" w:color="auto" w:fill="FFFFFF"/>
        <w:spacing w:before="0" w:beforeAutospacing="0" w:after="0" w:afterAutospacing="0"/>
        <w:ind w:firstLine="708"/>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Conc</w:t>
      </w:r>
      <w:r>
        <w:rPr>
          <w:b/>
          <w:bCs/>
          <w:sz w:val="20"/>
          <w:szCs w:val="20"/>
        </w:rPr>
        <w:t>entration of Credit Ris</w:t>
      </w:r>
      <w:r>
        <w:rPr>
          <w:b/>
          <w:bCs/>
          <w:sz w:val="20"/>
          <w:szCs w:val="20"/>
        </w:rPr>
        <w:t>k</w:t>
      </w:r>
    </w:p>
    <w:p w:rsidR="00000000" w:rsidRDefault="00BC17DB">
      <w:pPr>
        <w:pStyle w:val="a3"/>
        <w:spacing w:before="0" w:beforeAutospacing="0" w:after="0" w:afterAutospacing="0"/>
        <w:ind w:firstLine="30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Financial instruments that potentially subject the Company to concentration of credit risk consist of a cash account in a financial institution which, at times may exceed the Federal depository insurance coverage of </w:t>
      </w:r>
      <w:r>
        <w:rPr>
          <w:sz w:val="20"/>
          <w:szCs w:val="20"/>
        </w:rPr>
        <w:t>$</w:t>
      </w:r>
      <w:r>
        <w:rPr>
          <w:sz w:val="20"/>
          <w:szCs w:val="20"/>
        </w:rPr>
        <w:t>250,00</w:t>
      </w:r>
      <w:r>
        <w:rPr>
          <w:sz w:val="20"/>
          <w:szCs w:val="20"/>
        </w:rPr>
        <w:t>0</w:t>
      </w:r>
      <w:r>
        <w:rPr>
          <w:sz w:val="20"/>
          <w:szCs w:val="20"/>
        </w:rPr>
        <w:t xml:space="preserve">. On </w:t>
      </w:r>
      <w:r>
        <w:rPr>
          <w:sz w:val="20"/>
          <w:szCs w:val="20"/>
        </w:rPr>
        <w:t>September 30, 2022, the Company had not experienced losses on this account and management believes the Company is not exposed to significant risks on such account.</w:t>
      </w:r>
    </w:p>
    <w:p w:rsidR="00000000" w:rsidRDefault="00BC17DB">
      <w:pPr>
        <w:pStyle w:val="a3"/>
        <w:shd w:val="clear" w:color="auto" w:fill="FFFFFF"/>
        <w:spacing w:before="0" w:beforeAutospacing="0" w:after="0" w:afterAutospacing="0"/>
        <w:ind w:firstLine="708"/>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Fair Value of Financial Instrument</w:t>
      </w:r>
      <w:r>
        <w:rPr>
          <w:b/>
          <w:bCs/>
          <w:sz w:val="20"/>
          <w:szCs w:val="20"/>
        </w:rPr>
        <w:t>s</w:t>
      </w:r>
    </w:p>
    <w:p w:rsidR="00000000" w:rsidRDefault="00BC17DB">
      <w:pPr>
        <w:pStyle w:val="a3"/>
        <w:shd w:val="clear" w:color="auto" w:fill="FFFFFF"/>
        <w:spacing w:before="0" w:beforeAutospacing="0" w:after="0" w:afterAutospacing="0"/>
        <w:ind w:firstLine="36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fair value of the Company’s assets and liabilities, which qualify as financial instruments under ASC Topic 820, “Fair Value Measurements and Disclosures,” approximates the carrying amounts represented in the accompanying balance sheet, primarily due to the</w:t>
      </w:r>
      <w:r>
        <w:rPr>
          <w:sz w:val="20"/>
          <w:szCs w:val="20"/>
        </w:rPr>
        <w:t>ir short-term nature.</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Recent Accounting Standard</w:t>
      </w:r>
      <w:r>
        <w:rPr>
          <w:b/>
          <w:bCs/>
          <w:sz w:val="20"/>
          <w:szCs w:val="20"/>
        </w:rPr>
        <w:t>s</w:t>
      </w:r>
    </w:p>
    <w:p w:rsidR="00000000" w:rsidRDefault="00BC17DB">
      <w:pPr>
        <w:pStyle w:val="a3"/>
        <w:shd w:val="clear" w:color="auto" w:fill="FFFFFF"/>
        <w:spacing w:before="0" w:beforeAutospacing="0" w:after="0" w:afterAutospacing="0"/>
        <w:ind w:firstLine="72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Company’s management does not believe that any recently issued, but not yet effective, accounting standards updates, if currently adopted, would have a material effect on the accompanying financial </w:t>
      </w:r>
      <w:r>
        <w:rPr>
          <w:sz w:val="20"/>
          <w:szCs w:val="20"/>
        </w:rPr>
        <w:t>statement.</w:t>
      </w:r>
    </w:p>
    <w:p w:rsidR="00000000" w:rsidRDefault="00BC17DB">
      <w:pPr>
        <w:pStyle w:val="a3"/>
        <w:spacing w:before="0" w:beforeAutospacing="0" w:after="0" w:afterAutospacing="0"/>
        <w:ind w:firstLine="30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Risks and Uncertaintie</w:t>
      </w:r>
      <w:r>
        <w:rPr>
          <w:b/>
          <w:bCs/>
          <w:sz w:val="20"/>
          <w:szCs w:val="20"/>
        </w:rPr>
        <w:t>s</w:t>
      </w:r>
    </w:p>
    <w:p w:rsidR="00000000" w:rsidRDefault="00BC17DB">
      <w:pPr>
        <w:pStyle w:val="a3"/>
        <w:shd w:val="clear" w:color="auto" w:fill="FFFFFF"/>
        <w:spacing w:before="0" w:beforeAutospacing="0" w:after="0" w:afterAutospacing="0"/>
        <w:ind w:firstLine="72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Management is currently evaluating the impact of the COVID-19 pandemic on the industry and has concluded that while it is reasonably possible that the virus could have a negative effect on the Company’s financial posi</w:t>
      </w:r>
      <w:r>
        <w:rPr>
          <w:sz w:val="20"/>
          <w:szCs w:val="20"/>
        </w:rPr>
        <w:t>tion, results of its operations, close of the Initial Public Offering, and/or search for a target company, the specific impact is not readily determinable as of the date of these financial statements. The financial statements do not include any adjustments</w:t>
      </w:r>
      <w:r>
        <w:rPr>
          <w:sz w:val="20"/>
          <w:szCs w:val="20"/>
        </w:rPr>
        <w:t xml:space="preserve"> that might result from the outcome of this uncertainty.</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71131684"/>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p w:rsidR="00000000" w:rsidRDefault="00BC17DB">
      <w:pPr>
        <w:pStyle w:val="a3"/>
        <w:spacing w:before="0" w:beforeAutospacing="0" w:after="0" w:afterAutospacing="0"/>
        <w:divId w:val="2112780085"/>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INITIAL PUBLIC OFFERIN</w:t>
      </w:r>
      <w:r>
        <w:rPr>
          <w:b/>
          <w:bCs/>
          <w:sz w:val="20"/>
          <w:szCs w:val="20"/>
        </w:rPr>
        <w:t>G</w:t>
      </w:r>
    </w:p>
    <w:p w:rsidR="00000000" w:rsidRDefault="00BC17DB">
      <w:pPr>
        <w:pStyle w:val="a3"/>
        <w:spacing w:before="0" w:beforeAutospacing="0" w:after="0" w:afterAutospacing="0"/>
        <w:ind w:firstLine="30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On January 13, 2022, the Company closed its Initial Public Offering of</w:t>
      </w:r>
      <w:r>
        <w:rPr>
          <w:sz w:val="20"/>
          <w:szCs w:val="20"/>
        </w:rPr>
        <w:t xml:space="preserve"> </w:t>
      </w:r>
      <w:r>
        <w:rPr>
          <w:sz w:val="20"/>
          <w:szCs w:val="20"/>
        </w:rPr>
        <w:t>10,000,00</w:t>
      </w:r>
      <w:r>
        <w:rPr>
          <w:sz w:val="20"/>
          <w:szCs w:val="20"/>
        </w:rPr>
        <w:t>0</w:t>
      </w:r>
      <w:r>
        <w:rPr>
          <w:sz w:val="20"/>
          <w:szCs w:val="20"/>
        </w:rPr>
        <w:t xml:space="preserve"> Units at </w:t>
      </w:r>
      <w:r>
        <w:rPr>
          <w:sz w:val="20"/>
          <w:szCs w:val="20"/>
        </w:rPr>
        <w:t>$</w:t>
      </w:r>
      <w:r>
        <w:rPr>
          <w:sz w:val="20"/>
          <w:szCs w:val="20"/>
        </w:rPr>
        <w:t>10.0</w:t>
      </w:r>
      <w:r>
        <w:rPr>
          <w:sz w:val="20"/>
          <w:szCs w:val="20"/>
        </w:rPr>
        <w:t>0</w:t>
      </w:r>
      <w:r>
        <w:rPr>
          <w:sz w:val="20"/>
          <w:szCs w:val="20"/>
        </w:rPr>
        <w:t xml:space="preserve"> </w:t>
      </w:r>
      <w:r>
        <w:rPr>
          <w:sz w:val="20"/>
          <w:szCs w:val="20"/>
        </w:rPr>
        <w:t xml:space="preserve">per Unit, generating gross proceeds of </w:t>
      </w:r>
      <w:r>
        <w:rPr>
          <w:sz w:val="20"/>
          <w:szCs w:val="20"/>
        </w:rPr>
        <w:t>$</w:t>
      </w:r>
      <w:r>
        <w:rPr>
          <w:sz w:val="20"/>
          <w:szCs w:val="20"/>
        </w:rPr>
        <w:t>100,000,00</w:t>
      </w:r>
      <w:r>
        <w:rPr>
          <w:sz w:val="20"/>
          <w:szCs w:val="20"/>
        </w:rPr>
        <w:t>0</w:t>
      </w:r>
      <w:r>
        <w:rPr>
          <w:sz w:val="20"/>
          <w:szCs w:val="20"/>
        </w:rPr>
        <w:t>.</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Each Unit consists of one share of common stock and one right to receive one-tenth (1/10) of one share of common stock upon the consummation of an initial business combination</w:t>
      </w:r>
      <w:r>
        <w:rPr>
          <w:sz w:val="20"/>
          <w:szCs w:val="20"/>
        </w:rPr>
        <w:t>.</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As of January 13, 2022</w:t>
      </w:r>
      <w:r>
        <w:rPr>
          <w:sz w:val="20"/>
          <w:szCs w:val="20"/>
        </w:rPr>
        <w:t xml:space="preserve">, the Company closed its Initial Public Offering and incurred transaction costs of approximately </w:t>
      </w:r>
      <w:r>
        <w:rPr>
          <w:sz w:val="20"/>
          <w:szCs w:val="20"/>
        </w:rPr>
        <w:t>$</w:t>
      </w:r>
      <w:r>
        <w:rPr>
          <w:sz w:val="20"/>
          <w:szCs w:val="20"/>
        </w:rPr>
        <w:t>6,917,22</w:t>
      </w:r>
      <w:r>
        <w:rPr>
          <w:sz w:val="20"/>
          <w:szCs w:val="20"/>
        </w:rPr>
        <w:t>6</w:t>
      </w:r>
      <w:r>
        <w:rPr>
          <w:sz w:val="20"/>
          <w:szCs w:val="20"/>
        </w:rPr>
        <w:t xml:space="preserve">, of which </w:t>
      </w:r>
      <w:r>
        <w:rPr>
          <w:sz w:val="20"/>
          <w:szCs w:val="20"/>
        </w:rPr>
        <w:t>$</w:t>
      </w:r>
      <w:r>
        <w:rPr>
          <w:sz w:val="20"/>
          <w:szCs w:val="20"/>
        </w:rPr>
        <w:t>3,500,00</w:t>
      </w:r>
      <w:r>
        <w:rPr>
          <w:sz w:val="20"/>
          <w:szCs w:val="20"/>
        </w:rPr>
        <w:t>0</w:t>
      </w:r>
      <w:r>
        <w:rPr>
          <w:sz w:val="20"/>
          <w:szCs w:val="20"/>
        </w:rPr>
        <w:t xml:space="preserve"> was for deferred underwriting commissions.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On February 9, 2022, the Underwriters partially exercised the over-allotment optio</w:t>
      </w:r>
      <w:r>
        <w:rPr>
          <w:sz w:val="20"/>
          <w:szCs w:val="20"/>
        </w:rPr>
        <w:t>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w:t>
      </w:r>
    </w:p>
    <w:p w:rsidR="00000000" w:rsidRDefault="00BC17DB">
      <w:pPr>
        <w:pStyle w:val="a3"/>
        <w:shd w:val="clear" w:color="auto" w:fill="FFFFFF"/>
        <w:spacing w:before="0" w:beforeAutospacing="0" w:after="0" w:afterAutospacing="0"/>
        <w:ind w:firstLine="72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PRIVATE PLACEMEN</w:t>
      </w:r>
      <w:r>
        <w:rPr>
          <w:b/>
          <w:bCs/>
          <w:sz w:val="20"/>
          <w:szCs w:val="20"/>
        </w:rPr>
        <w:t>T</w:t>
      </w:r>
    </w:p>
    <w:p w:rsidR="00000000" w:rsidRDefault="00BC17DB">
      <w:pPr>
        <w:pStyle w:val="a3"/>
        <w:spacing w:before="0" w:beforeAutospacing="0" w:after="0" w:afterAutospacing="0"/>
        <w:ind w:firstLine="30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Simultaneously with the closi</w:t>
      </w:r>
      <w:r>
        <w:rPr>
          <w:sz w:val="20"/>
          <w:szCs w:val="20"/>
        </w:rPr>
        <w:t>ng of the Initial Public Offering, the Sponsor purchased an aggregate of</w:t>
      </w:r>
      <w:r>
        <w:rPr>
          <w:sz w:val="20"/>
          <w:szCs w:val="20"/>
        </w:rPr>
        <w:t xml:space="preserve"> </w:t>
      </w:r>
      <w:r>
        <w:rPr>
          <w:sz w:val="20"/>
          <w:szCs w:val="20"/>
        </w:rPr>
        <w:t>446,35</w:t>
      </w:r>
      <w:r>
        <w:rPr>
          <w:sz w:val="20"/>
          <w:szCs w:val="20"/>
        </w:rPr>
        <w:t>8</w:t>
      </w:r>
      <w:r>
        <w:rPr>
          <w:sz w:val="20"/>
          <w:szCs w:val="20"/>
        </w:rPr>
        <w:t xml:space="preserve"> Placement Units at a price of </w:t>
      </w:r>
      <w:r>
        <w:rPr>
          <w:sz w:val="20"/>
          <w:szCs w:val="20"/>
        </w:rPr>
        <w:t>$</w:t>
      </w:r>
      <w:r>
        <w:rPr>
          <w:sz w:val="20"/>
          <w:szCs w:val="20"/>
        </w:rPr>
        <w:t>10.0</w:t>
      </w:r>
      <w:r>
        <w:rPr>
          <w:sz w:val="20"/>
          <w:szCs w:val="20"/>
        </w:rPr>
        <w:t>0</w:t>
      </w:r>
      <w:r>
        <w:rPr>
          <w:sz w:val="20"/>
          <w:szCs w:val="20"/>
        </w:rPr>
        <w:t xml:space="preserve"> per Placement Unit (</w:t>
      </w:r>
      <w:r>
        <w:rPr>
          <w:sz w:val="20"/>
          <w:szCs w:val="20"/>
        </w:rPr>
        <w:t>$</w:t>
      </w:r>
      <w:r>
        <w:rPr>
          <w:sz w:val="20"/>
          <w:szCs w:val="20"/>
        </w:rPr>
        <w:t>4,463,58</w:t>
      </w:r>
      <w:r>
        <w:rPr>
          <w:sz w:val="20"/>
          <w:szCs w:val="20"/>
        </w:rPr>
        <w:t>0</w:t>
      </w:r>
      <w:r>
        <w:rPr>
          <w:sz w:val="20"/>
          <w:szCs w:val="20"/>
        </w:rPr>
        <w:t xml:space="preserve"> in the aggregate).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proceeds from the sale of the Placement Units were added to the net proceeds from the Initial Public Offering held in the Trust Account. The Placement Units are identical to the Units sold in the Initial Public Offering. If the Company does not complete a </w:t>
      </w:r>
      <w:r>
        <w:rPr>
          <w:sz w:val="20"/>
          <w:szCs w:val="20"/>
        </w:rPr>
        <w:t>Business Combination within the Combination Period, the proceeds from the sale of the Placement Units will be used to fund the redemption of the Public Shares (subject to the requirements of applicable law) and the Placement Units will expire worthless.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Simultaneously with the closing of the Over-Allotment, the Company completed the private sale of an additional</w:t>
      </w:r>
      <w:r>
        <w:rPr>
          <w:sz w:val="20"/>
          <w:szCs w:val="20"/>
        </w:rPr>
        <w:t xml:space="preserve"> </w:t>
      </w:r>
      <w:r>
        <w:rPr>
          <w:sz w:val="20"/>
          <w:szCs w:val="20"/>
        </w:rPr>
        <w:t>4,77</w:t>
      </w:r>
      <w:r>
        <w:rPr>
          <w:sz w:val="20"/>
          <w:szCs w:val="20"/>
        </w:rPr>
        <w:t>2</w:t>
      </w:r>
      <w:r>
        <w:rPr>
          <w:sz w:val="20"/>
          <w:szCs w:val="20"/>
        </w:rPr>
        <w:t xml:space="preserve"> placement units at a purchase price of </w:t>
      </w:r>
      <w:r>
        <w:rPr>
          <w:sz w:val="20"/>
          <w:szCs w:val="20"/>
        </w:rPr>
        <w:t>$</w:t>
      </w:r>
      <w:r>
        <w:rPr>
          <w:sz w:val="20"/>
          <w:szCs w:val="20"/>
        </w:rPr>
        <w:t>10.0</w:t>
      </w:r>
      <w:r>
        <w:rPr>
          <w:sz w:val="20"/>
          <w:szCs w:val="20"/>
        </w:rPr>
        <w:t>0</w:t>
      </w:r>
      <w:r>
        <w:rPr>
          <w:sz w:val="20"/>
          <w:szCs w:val="20"/>
        </w:rPr>
        <w:t xml:space="preserve"> per placement unit, to the Company’s sponsor, Broad Capital LLC, generating additional gross </w:t>
      </w:r>
      <w:r>
        <w:rPr>
          <w:sz w:val="20"/>
          <w:szCs w:val="20"/>
        </w:rPr>
        <w:t xml:space="preserve">proceeds to the Company of </w:t>
      </w:r>
      <w:r>
        <w:rPr>
          <w:sz w:val="20"/>
          <w:szCs w:val="20"/>
        </w:rPr>
        <w:t>$</w:t>
      </w:r>
      <w:r>
        <w:rPr>
          <w:sz w:val="20"/>
          <w:szCs w:val="20"/>
        </w:rPr>
        <w:t>47,72</w:t>
      </w:r>
      <w:r>
        <w:rPr>
          <w:sz w:val="20"/>
          <w:szCs w:val="20"/>
        </w:rPr>
        <w:t>0</w:t>
      </w:r>
      <w:r>
        <w:rPr>
          <w:sz w:val="20"/>
          <w:szCs w:val="20"/>
        </w:rPr>
        <w: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In connection with the closing and sale of the Over-Allotment Units and the additional placement units (together, the “Over-Allotment Closing”), a total of </w:t>
      </w:r>
      <w:r>
        <w:rPr>
          <w:sz w:val="20"/>
          <w:szCs w:val="20"/>
        </w:rPr>
        <w:t>$</w:t>
      </w:r>
      <w:r>
        <w:rPr>
          <w:sz w:val="20"/>
          <w:szCs w:val="20"/>
        </w:rPr>
        <w:t>1,606,59</w:t>
      </w:r>
      <w:r>
        <w:rPr>
          <w:sz w:val="20"/>
          <w:szCs w:val="20"/>
        </w:rPr>
        <w:t>7</w:t>
      </w:r>
      <w:r>
        <w:rPr>
          <w:sz w:val="20"/>
          <w:szCs w:val="20"/>
        </w:rPr>
        <w:t xml:space="preserve"> in proceeds from the Over-Allotment Closing was pla</w:t>
      </w:r>
      <w:r>
        <w:rPr>
          <w:sz w:val="20"/>
          <w:szCs w:val="20"/>
        </w:rPr>
        <w:t>ced in a U.S.-based trust account established for the benefit of the Company’s public shareholders, maintained by Continental Stock Transfer &amp; Trust Company, acting as trustee.</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RELATED PARTY TRANSACTION</w:t>
      </w:r>
      <w:r>
        <w:rPr>
          <w:b/>
          <w:bCs/>
          <w:sz w:val="20"/>
          <w:szCs w:val="20"/>
        </w:rPr>
        <w: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Insider shares</w:t>
      </w:r>
    </w:p>
    <w:p w:rsidR="00000000" w:rsidRDefault="00BC17DB">
      <w:pPr>
        <w:pStyle w:val="a3"/>
        <w:shd w:val="clear" w:color="auto" w:fill="FFFFFF"/>
        <w:spacing w:before="0" w:beforeAutospacing="0" w:after="0" w:afterAutospacing="0"/>
        <w:ind w:firstLine="72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On May 7, 2021, the Spo</w:t>
      </w:r>
      <w:r>
        <w:rPr>
          <w:sz w:val="20"/>
          <w:szCs w:val="20"/>
        </w:rPr>
        <w:t>nsor purchased</w:t>
      </w:r>
      <w:r>
        <w:rPr>
          <w:sz w:val="20"/>
          <w:szCs w:val="20"/>
        </w:rPr>
        <w:t xml:space="preserve"> </w:t>
      </w:r>
      <w:r>
        <w:rPr>
          <w:sz w:val="20"/>
          <w:szCs w:val="20"/>
        </w:rPr>
        <w:t>2,875,00</w:t>
      </w:r>
      <w:r>
        <w:rPr>
          <w:sz w:val="20"/>
          <w:szCs w:val="20"/>
        </w:rPr>
        <w:t>0</w:t>
      </w:r>
      <w:r>
        <w:rPr>
          <w:sz w:val="20"/>
          <w:szCs w:val="20"/>
        </w:rPr>
        <w:t xml:space="preserve"> insider shares for an aggregate purchase price of </w:t>
      </w:r>
      <w:r>
        <w:rPr>
          <w:sz w:val="20"/>
          <w:szCs w:val="20"/>
        </w:rPr>
        <w:t>$</w:t>
      </w:r>
      <w:r>
        <w:rPr>
          <w:sz w:val="20"/>
          <w:szCs w:val="20"/>
        </w:rPr>
        <w:t>25,00</w:t>
      </w:r>
      <w:r>
        <w:rPr>
          <w:sz w:val="20"/>
          <w:szCs w:val="20"/>
        </w:rPr>
        <w:t>0</w:t>
      </w:r>
      <w:r>
        <w:rPr>
          <w:sz w:val="20"/>
          <w:szCs w:val="20"/>
        </w:rPr>
        <w:t>. The number of insider shares will equal, on an as-converted basis, approximately</w:t>
      </w:r>
      <w:r>
        <w:rPr>
          <w:sz w:val="20"/>
          <w:szCs w:val="20"/>
        </w:rPr>
        <w:t xml:space="preserve"> </w:t>
      </w:r>
      <w:r>
        <w:rPr>
          <w:sz w:val="20"/>
          <w:szCs w:val="20"/>
        </w:rPr>
        <w:t>20</w:t>
      </w:r>
      <w:r>
        <w:rPr>
          <w:sz w:val="20"/>
          <w:szCs w:val="20"/>
        </w:rPr>
        <w:t>%</w:t>
      </w:r>
      <w:r>
        <w:rPr>
          <w:sz w:val="20"/>
          <w:szCs w:val="20"/>
        </w:rPr>
        <w:t xml:space="preserve"> of the Company’s issued and outstanding shares of Common Stock after the Initial Public</w:t>
      </w:r>
      <w:r>
        <w:rPr>
          <w:sz w:val="20"/>
          <w:szCs w:val="20"/>
        </w:rPr>
        <w:t xml:space="preserve"> Offering.</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shd w:val="clear" w:color="auto" w:fill="FFFFFF"/>
        </w:rPr>
        <w:t>On May 25, 2021, the Sponsor transferred</w:t>
      </w:r>
      <w:r>
        <w:rPr>
          <w:sz w:val="20"/>
          <w:szCs w:val="20"/>
          <w:shd w:val="clear" w:color="auto" w:fill="FFFFFF"/>
        </w:rPr>
        <w:t xml:space="preserve"> </w:t>
      </w:r>
      <w:r>
        <w:rPr>
          <w:sz w:val="20"/>
          <w:szCs w:val="20"/>
          <w:shd w:val="clear" w:color="auto" w:fill="FFFFFF"/>
        </w:rPr>
        <w:t>80,00</w:t>
      </w:r>
      <w:r>
        <w:rPr>
          <w:sz w:val="20"/>
          <w:szCs w:val="20"/>
          <w:shd w:val="clear" w:color="auto" w:fill="FFFFFF"/>
        </w:rPr>
        <w:t>0</w:t>
      </w:r>
      <w:r>
        <w:rPr>
          <w:sz w:val="20"/>
          <w:szCs w:val="20"/>
          <w:shd w:val="clear" w:color="auto" w:fill="FFFFFF"/>
        </w:rPr>
        <w:t xml:space="preserve"> insider shares of Common Stock among our four independent directors, leaving</w:t>
      </w:r>
      <w:r>
        <w:rPr>
          <w:sz w:val="20"/>
          <w:szCs w:val="20"/>
          <w:shd w:val="clear" w:color="auto" w:fill="FFFFFF"/>
        </w:rPr>
        <w:t xml:space="preserve"> </w:t>
      </w:r>
      <w:r>
        <w:rPr>
          <w:sz w:val="20"/>
          <w:szCs w:val="20"/>
          <w:shd w:val="clear" w:color="auto" w:fill="FFFFFF"/>
        </w:rPr>
        <w:t>2,795,00</w:t>
      </w:r>
      <w:r>
        <w:rPr>
          <w:sz w:val="20"/>
          <w:szCs w:val="20"/>
          <w:shd w:val="clear" w:color="auto" w:fill="FFFFFF"/>
        </w:rPr>
        <w:t>0</w:t>
      </w:r>
      <w:r>
        <w:rPr>
          <w:sz w:val="20"/>
          <w:szCs w:val="20"/>
          <w:shd w:val="clear" w:color="auto" w:fill="FFFFFF"/>
        </w:rPr>
        <w:t xml:space="preserve"> insider shares held by our Sponsor.</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Due to the over-allotment option being partially exercised by the unde</w:t>
      </w:r>
      <w:r>
        <w:rPr>
          <w:sz w:val="20"/>
          <w:szCs w:val="20"/>
        </w:rPr>
        <w:t>rwriter on February 10, 2022 (see note 6), the Sponsor forfeited</w:t>
      </w:r>
      <w:r>
        <w:rPr>
          <w:sz w:val="20"/>
          <w:szCs w:val="20"/>
        </w:rPr>
        <w:t xml:space="preserve"> </w:t>
      </w:r>
      <w:r>
        <w:rPr>
          <w:sz w:val="20"/>
          <w:szCs w:val="20"/>
        </w:rPr>
        <w:t>335,23</w:t>
      </w:r>
      <w:r>
        <w:rPr>
          <w:sz w:val="20"/>
          <w:szCs w:val="20"/>
        </w:rPr>
        <w:t>3</w:t>
      </w:r>
      <w:r>
        <w:rPr>
          <w:sz w:val="20"/>
          <w:szCs w:val="20"/>
        </w:rPr>
        <w:t xml:space="preserve"> insider shares. As of September 30, 2022, there were</w:t>
      </w:r>
      <w:r>
        <w:rPr>
          <w:sz w:val="20"/>
          <w:szCs w:val="20"/>
        </w:rPr>
        <w:t xml:space="preserve"> </w:t>
      </w:r>
      <w:r>
        <w:rPr>
          <w:sz w:val="20"/>
          <w:szCs w:val="20"/>
        </w:rPr>
        <w:t>2,539,76</w:t>
      </w:r>
      <w:r>
        <w:rPr>
          <w:sz w:val="20"/>
          <w:szCs w:val="20"/>
        </w:rPr>
        <w:t>7</w:t>
      </w:r>
      <w:r>
        <w:rPr>
          <w:sz w:val="20"/>
          <w:szCs w:val="20"/>
        </w:rPr>
        <w:t xml:space="preserve"> insider shares issued and outstanding and</w:t>
      </w:r>
      <w:r>
        <w:rPr>
          <w:sz w:val="20"/>
          <w:szCs w:val="20"/>
        </w:rPr>
        <w:t xml:space="preserve"> </w:t>
      </w:r>
      <w:r>
        <w:rPr>
          <w:sz w:val="20"/>
          <w:szCs w:val="20"/>
        </w:rPr>
        <w:t>n</w:t>
      </w:r>
      <w:r>
        <w:rPr>
          <w:sz w:val="20"/>
          <w:szCs w:val="20"/>
        </w:rPr>
        <w:t>o</w:t>
      </w:r>
      <w:r>
        <w:rPr>
          <w:sz w:val="20"/>
          <w:szCs w:val="20"/>
        </w:rPr>
        <w:t xml:space="preserve"> further insider shares are subject to forfeiture.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 initial stockholder</w:t>
      </w:r>
      <w:r>
        <w:rPr>
          <w:sz w:val="20"/>
          <w:szCs w:val="20"/>
        </w:rPr>
        <w:t>s have agreed not to transfer, assign or sell any of the Common Stock (except to certain permitted transferees as disclosed herein) until, with respect to any of the Common Stock, the earlier of (i) six months after the date of the consummation of a Busine</w:t>
      </w:r>
      <w:r>
        <w:rPr>
          <w:sz w:val="20"/>
          <w:szCs w:val="20"/>
        </w:rPr>
        <w:t>ss Combination, or (ii) the date on which the closing price of the Company’s common stock equals or exceeds $12.00 per share (as adjusted for share subdivisions, share dividends, reorganizations and recapitalizations) for any 20 trading days within any 30-</w:t>
      </w:r>
      <w:r>
        <w:rPr>
          <w:sz w:val="20"/>
          <w:szCs w:val="20"/>
        </w:rPr>
        <w:t>trading day period commencing after a Business Combination, or earlier, if, subsequent to a Business Combination, the Company consummates a subsequent liquidation, merger, share exchange or other similar transaction which results in all of the Company’s st</w:t>
      </w:r>
      <w:r>
        <w:rPr>
          <w:sz w:val="20"/>
          <w:szCs w:val="20"/>
        </w:rPr>
        <w:t>ockholders having the right to exchange their Common Stock for cash, securities or other property</w:t>
      </w:r>
      <w:r>
        <w:rPr>
          <w:sz w:val="20"/>
          <w:szCs w:val="20"/>
        </w:rPr>
        <w:t>.</w:t>
      </w:r>
    </w:p>
    <w:p w:rsidR="00000000" w:rsidRDefault="00BC17DB">
      <w:pPr>
        <w:pStyle w:val="a3"/>
        <w:shd w:val="clear" w:color="auto" w:fill="FFFFFF"/>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83431670"/>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p w:rsidR="00000000" w:rsidRDefault="00BC17DB">
      <w:pPr>
        <w:pStyle w:val="a3"/>
        <w:spacing w:before="0" w:beforeAutospacing="0" w:after="0" w:afterAutospacing="0"/>
        <w:divId w:val="145783551"/>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rPr>
          <w:sz w:val="20"/>
          <w:szCs w:val="20"/>
        </w:rPr>
      </w:pPr>
      <w:r>
        <w:rPr>
          <w:b/>
          <w:bCs/>
          <w:sz w:val="20"/>
          <w:szCs w:val="20"/>
        </w:rPr>
        <w:t>Promissory Note – Related Party</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On </w:t>
      </w:r>
      <w:r>
        <w:rPr>
          <w:sz w:val="20"/>
          <w:szCs w:val="20"/>
        </w:rPr>
        <w:t xml:space="preserve">April 16, 2021, the Sponsor issued an unsecured promissory note to the Company, pursuant to which the Company may borrow up to an aggregate principal amount of </w:t>
      </w:r>
      <w:r>
        <w:rPr>
          <w:sz w:val="20"/>
          <w:szCs w:val="20"/>
        </w:rPr>
        <w:t>$</w:t>
      </w:r>
      <w:r>
        <w:rPr>
          <w:sz w:val="20"/>
          <w:szCs w:val="20"/>
        </w:rPr>
        <w:t>300,00</w:t>
      </w:r>
      <w:r>
        <w:rPr>
          <w:sz w:val="20"/>
          <w:szCs w:val="20"/>
        </w:rPr>
        <w:t>0</w:t>
      </w:r>
      <w:r>
        <w:rPr>
          <w:sz w:val="20"/>
          <w:szCs w:val="20"/>
        </w:rPr>
        <w:t>, to be used for payment of costs related to the Initial Public Offering. The note is no</w:t>
      </w:r>
      <w:r>
        <w:rPr>
          <w:sz w:val="20"/>
          <w:szCs w:val="20"/>
        </w:rPr>
        <w:t xml:space="preserve">n-interest bearing and payable on the earlier of (i) September 30, 2022 or (ii) the consummation of the Initial Public Offering pursuant to an Amendment to Promissory Note effective September 30, 2021. The Company had borrowed </w:t>
      </w:r>
      <w:r>
        <w:rPr>
          <w:sz w:val="20"/>
          <w:szCs w:val="20"/>
        </w:rPr>
        <w:t>$</w:t>
      </w:r>
      <w:r>
        <w:rPr>
          <w:sz w:val="20"/>
          <w:szCs w:val="20"/>
        </w:rPr>
        <w:t>133,35</w:t>
      </w:r>
      <w:r>
        <w:rPr>
          <w:sz w:val="20"/>
          <w:szCs w:val="20"/>
        </w:rPr>
        <w:t>7</w:t>
      </w:r>
      <w:r>
        <w:rPr>
          <w:sz w:val="20"/>
          <w:szCs w:val="20"/>
        </w:rPr>
        <w:t xml:space="preserve"> under the promissory</w:t>
      </w:r>
      <w:r>
        <w:rPr>
          <w:sz w:val="20"/>
          <w:szCs w:val="20"/>
        </w:rPr>
        <w:t xml:space="preserve"> note with the Sponsor. Following the closing of the Initial Public Offering on January 13, 2022, the Company repaid a total of </w:t>
      </w:r>
      <w:r>
        <w:rPr>
          <w:sz w:val="20"/>
          <w:szCs w:val="20"/>
        </w:rPr>
        <w:t>$</w:t>
      </w:r>
      <w:r>
        <w:rPr>
          <w:sz w:val="20"/>
          <w:szCs w:val="20"/>
        </w:rPr>
        <w:t>133,35</w:t>
      </w:r>
      <w:r>
        <w:rPr>
          <w:sz w:val="20"/>
          <w:szCs w:val="20"/>
        </w:rPr>
        <w:t>7</w:t>
      </w:r>
      <w:r>
        <w:rPr>
          <w:sz w:val="20"/>
          <w:szCs w:val="20"/>
        </w:rPr>
        <w:t xml:space="preserve"> under the promissory note on January 19, 2022.</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Related Party Loans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In order to finance transaction costs in connect</w:t>
      </w:r>
      <w:r>
        <w:rPr>
          <w:sz w:val="20"/>
          <w:szCs w:val="20"/>
        </w:rPr>
        <w:t>ion with a Business Combination, the Sponsor or an affiliate of the Sponsor, or certain of the Company’s officers and directors may, but are not obligated to, loan the Company funds as may be required (“Working Capital Loans”). Such Working Capital Loans w</w:t>
      </w:r>
      <w:r>
        <w:rPr>
          <w:sz w:val="20"/>
          <w:szCs w:val="20"/>
        </w:rPr>
        <w:t xml:space="preserve">ould be evidenced by promissory notes. The notes may be repaid upon completion of a Business Combination, without interest, or, at the lender’s discretion, up to </w:t>
      </w:r>
      <w:r>
        <w:rPr>
          <w:sz w:val="20"/>
          <w:szCs w:val="20"/>
        </w:rPr>
        <w:t>$</w:t>
      </w:r>
      <w:r>
        <w:rPr>
          <w:sz w:val="20"/>
          <w:szCs w:val="20"/>
        </w:rPr>
        <w:t>1,500,00</w:t>
      </w:r>
      <w:r>
        <w:rPr>
          <w:sz w:val="20"/>
          <w:szCs w:val="20"/>
        </w:rPr>
        <w:t>0</w:t>
      </w:r>
      <w:r>
        <w:rPr>
          <w:sz w:val="20"/>
          <w:szCs w:val="20"/>
        </w:rPr>
        <w:t xml:space="preserve"> of the notes may be converted upon completion of a Business Combination into units </w:t>
      </w:r>
      <w:r>
        <w:rPr>
          <w:sz w:val="20"/>
          <w:szCs w:val="20"/>
        </w:rPr>
        <w:t xml:space="preserve">at a price of </w:t>
      </w:r>
      <w:r>
        <w:rPr>
          <w:sz w:val="20"/>
          <w:szCs w:val="20"/>
        </w:rPr>
        <w:t>$</w:t>
      </w:r>
      <w:r>
        <w:rPr>
          <w:sz w:val="20"/>
          <w:szCs w:val="20"/>
        </w:rPr>
        <w:t>10.0</w:t>
      </w:r>
      <w:r>
        <w:rPr>
          <w:sz w:val="20"/>
          <w:szCs w:val="20"/>
        </w:rPr>
        <w:t>0</w:t>
      </w:r>
      <w:r>
        <w:rPr>
          <w:sz w:val="20"/>
          <w:szCs w:val="20"/>
        </w:rPr>
        <w:t xml:space="preserve"> per unit. Such units would be identical to the Placement Units. In the event that a Business Combination does not close, the Company may use a portion of proceeds held outside the Trust Account to repay the Working Capital Loans but no</w:t>
      </w:r>
      <w:r>
        <w:rPr>
          <w:sz w:val="20"/>
          <w:szCs w:val="20"/>
        </w:rPr>
        <w:t xml:space="preserve"> proceeds held in the Trust Account would be used to repay the Working Capital Loans. As of September 30, 2022, there were</w:t>
      </w:r>
      <w:r>
        <w:rPr>
          <w:sz w:val="20"/>
          <w:szCs w:val="20"/>
        </w:rPr>
        <w:t xml:space="preserve"> </w:t>
      </w:r>
      <w:r>
        <w:rPr>
          <w:sz w:val="20"/>
          <w:szCs w:val="20"/>
        </w:rPr>
        <w:t>n</w:t>
      </w:r>
      <w:r>
        <w:rPr>
          <w:sz w:val="20"/>
          <w:szCs w:val="20"/>
        </w:rPr>
        <w:t>o</w:t>
      </w:r>
      <w:r>
        <w:rPr>
          <w:sz w:val="20"/>
          <w:szCs w:val="20"/>
        </w:rPr>
        <w:t xml:space="preserve"> amounts outstanding under the Working Capital Loans.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Administrative Services Arrangement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Commencing on the date the Units were</w:t>
      </w:r>
      <w:r>
        <w:rPr>
          <w:sz w:val="20"/>
          <w:szCs w:val="20"/>
        </w:rPr>
        <w:t xml:space="preserve"> first listed on the Nasdaq, the Company agreed to pay the Sponsor </w:t>
      </w:r>
      <w:r>
        <w:rPr>
          <w:sz w:val="20"/>
          <w:szCs w:val="20"/>
        </w:rPr>
        <w:t>$</w:t>
      </w:r>
      <w:r>
        <w:rPr>
          <w:sz w:val="20"/>
          <w:szCs w:val="20"/>
        </w:rPr>
        <w:t>10,00</w:t>
      </w:r>
      <w:r>
        <w:rPr>
          <w:sz w:val="20"/>
          <w:szCs w:val="20"/>
        </w:rPr>
        <w:t>0</w:t>
      </w:r>
      <w:r>
        <w:rPr>
          <w:sz w:val="20"/>
          <w:szCs w:val="20"/>
        </w:rPr>
        <w:t xml:space="preserve"> per month for office space, utilities and secretarial and administrative support for up to 18 months. Upon completion of the Initial Business Combination or the Company’s liquidatio</w:t>
      </w:r>
      <w:r>
        <w:rPr>
          <w:sz w:val="20"/>
          <w:szCs w:val="20"/>
        </w:rPr>
        <w:t xml:space="preserve">n, the Company will cease paying these monthly fees. For the period April 16, 2021 (inception) through September 30, 2022, </w:t>
      </w:r>
      <w:r>
        <w:rPr>
          <w:sz w:val="20"/>
          <w:szCs w:val="20"/>
        </w:rPr>
        <w:t>$</w:t>
      </w:r>
      <w:r>
        <w:rPr>
          <w:sz w:val="20"/>
          <w:szCs w:val="20"/>
        </w:rPr>
        <w:t>80,00</w:t>
      </w:r>
      <w:r>
        <w:rPr>
          <w:sz w:val="20"/>
          <w:szCs w:val="20"/>
        </w:rPr>
        <w:t>0</w:t>
      </w:r>
      <w:r>
        <w:rPr>
          <w:sz w:val="20"/>
          <w:szCs w:val="20"/>
        </w:rPr>
        <w:t xml:space="preserve"> of expense was recorded and included in formation and operating costs in the statement of operations.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COMMITMENTS A</w:t>
      </w:r>
      <w:r>
        <w:rPr>
          <w:b/>
          <w:bCs/>
          <w:sz w:val="20"/>
          <w:szCs w:val="20"/>
        </w:rPr>
        <w:t>ND CONTINGENCIE</w:t>
      </w:r>
      <w:r>
        <w:rPr>
          <w:b/>
          <w:bCs/>
          <w:sz w:val="20"/>
          <w:szCs w:val="20"/>
        </w:rPr>
        <w: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Registration Rights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The </w:t>
      </w:r>
      <w:r>
        <w:rPr>
          <w:sz w:val="20"/>
          <w:szCs w:val="20"/>
        </w:rPr>
        <w:t>holders of the insider shares and Placement Units that may be issued upon conversion of Working Capital Loans (and any shares of Common Stock issuable upon the exercise of the Placement Units or units issued upon conversion of the Working Capital Loans and</w:t>
      </w:r>
      <w:r>
        <w:rPr>
          <w:sz w:val="20"/>
          <w:szCs w:val="20"/>
        </w:rPr>
        <w:t xml:space="preserve"> upon conversion of the Insider shares) will be entitled to registration rights pursuant to a registration rights agreement to be signed prior to or on the effective date of Initial Public Offering requiring the Company to register such securities for resa</w:t>
      </w:r>
      <w:r>
        <w:rPr>
          <w:sz w:val="20"/>
          <w:szCs w:val="20"/>
        </w:rPr>
        <w:t>le. The holders of these securities will be entitled to make up to three demands, excluding short form registration demands, that the Company register such securities. In addition, the holders have certain “piggy-back” registration rights with respect to r</w:t>
      </w:r>
      <w:r>
        <w:rPr>
          <w:sz w:val="20"/>
          <w:szCs w:val="20"/>
        </w:rPr>
        <w:t>egistration statements filed subsequent to completion of a Business Combination and rights to require the Company to register for resale such securities pursuant to Rule 415 under the Securities Act. However, the registration rights agreement provides that</w:t>
      </w:r>
      <w:r>
        <w:rPr>
          <w:sz w:val="20"/>
          <w:szCs w:val="20"/>
        </w:rPr>
        <w:t xml:space="preserve"> the Company will not be required to effect or permit any registration or cause any registration statement to become effective until the securities covered thereby are released from their lock-up restrictions. The Company will bear the expenses incurred in</w:t>
      </w:r>
      <w:r>
        <w:rPr>
          <w:sz w:val="20"/>
          <w:szCs w:val="20"/>
        </w:rPr>
        <w:t xml:space="preserve"> connection with the filing of any such registration statements.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Underwriting Agreement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On February 9, 2022, the Underwriters partially exercised the over-allotment option and on February 10, 2022, purchased an additional</w:t>
      </w:r>
      <w:r>
        <w:rPr>
          <w:sz w:val="20"/>
          <w:szCs w:val="20"/>
        </w:rPr>
        <w:t xml:space="preserve"> </w:t>
      </w:r>
      <w:r>
        <w:rPr>
          <w:sz w:val="20"/>
          <w:szCs w:val="20"/>
        </w:rPr>
        <w:t>159,06</w:t>
      </w:r>
      <w:r>
        <w:rPr>
          <w:sz w:val="20"/>
          <w:szCs w:val="20"/>
        </w:rPr>
        <w:t>9</w:t>
      </w:r>
      <w:r>
        <w:rPr>
          <w:sz w:val="20"/>
          <w:szCs w:val="20"/>
        </w:rPr>
        <w:t xml:space="preserve"> Units from the Company</w:t>
      </w:r>
      <w:r>
        <w:rPr>
          <w:sz w:val="20"/>
          <w:szCs w:val="20"/>
        </w:rPr>
        <w:t xml:space="preserve"> (the “Over-Allotment Units”), generating gross proceeds of </w:t>
      </w:r>
      <w:r>
        <w:rPr>
          <w:sz w:val="20"/>
          <w:szCs w:val="20"/>
        </w:rPr>
        <w:t>$</w:t>
      </w:r>
      <w:r>
        <w:rPr>
          <w:sz w:val="20"/>
          <w:szCs w:val="20"/>
        </w:rPr>
        <w:t>1,590,69</w:t>
      </w:r>
      <w:r>
        <w:rPr>
          <w:sz w:val="20"/>
          <w:szCs w:val="20"/>
        </w:rPr>
        <w:t>0</w:t>
      </w:r>
      <w:r>
        <w:rPr>
          <w:sz w:val="20"/>
          <w:szCs w:val="20"/>
        </w:rPr>
        <w:t>, and forfeited the remainder of the option, less the underwriting discounts and commissions.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The underwriters were entitled to a cash underwriting discount of </w:t>
      </w:r>
      <w:r>
        <w:rPr>
          <w:sz w:val="20"/>
          <w:szCs w:val="20"/>
        </w:rPr>
        <w:t>$</w:t>
      </w:r>
      <w:r>
        <w:rPr>
          <w:sz w:val="20"/>
          <w:szCs w:val="20"/>
        </w:rPr>
        <w:t>0.2</w:t>
      </w:r>
      <w:r>
        <w:rPr>
          <w:sz w:val="20"/>
          <w:szCs w:val="20"/>
        </w:rPr>
        <w:t>0</w:t>
      </w:r>
      <w:r>
        <w:rPr>
          <w:sz w:val="20"/>
          <w:szCs w:val="20"/>
        </w:rPr>
        <w:t xml:space="preserve"> per Unit, or </w:t>
      </w:r>
      <w:r>
        <w:rPr>
          <w:sz w:val="20"/>
          <w:szCs w:val="20"/>
        </w:rPr>
        <w:t>$</w:t>
      </w:r>
      <w:r>
        <w:rPr>
          <w:sz w:val="20"/>
          <w:szCs w:val="20"/>
        </w:rPr>
        <w:t>2,00</w:t>
      </w:r>
      <w:r>
        <w:rPr>
          <w:sz w:val="20"/>
          <w:szCs w:val="20"/>
        </w:rPr>
        <w:t>0,00</w:t>
      </w:r>
      <w:r>
        <w:rPr>
          <w:sz w:val="20"/>
          <w:szCs w:val="20"/>
        </w:rPr>
        <w:t>0</w:t>
      </w:r>
      <w:r>
        <w:rPr>
          <w:sz w:val="20"/>
          <w:szCs w:val="20"/>
        </w:rPr>
        <w:t xml:space="preserve"> in the aggregate (or </w:t>
      </w:r>
      <w:r>
        <w:rPr>
          <w:sz w:val="20"/>
          <w:szCs w:val="20"/>
        </w:rPr>
        <w:t>$</w:t>
      </w:r>
      <w:r>
        <w:rPr>
          <w:sz w:val="20"/>
          <w:szCs w:val="20"/>
        </w:rPr>
        <w:t>2,300,00</w:t>
      </w:r>
      <w:r>
        <w:rPr>
          <w:sz w:val="20"/>
          <w:szCs w:val="20"/>
        </w:rPr>
        <w:t>0</w:t>
      </w:r>
      <w:r>
        <w:rPr>
          <w:sz w:val="20"/>
          <w:szCs w:val="20"/>
        </w:rPr>
        <w:t xml:space="preserve"> in the aggregate if the underwriters’ over-allotment option is exercised in full), payable upon the closing of the Initial Public Offering. In addition, the underwriters were entitled to a deferred fee of </w:t>
      </w:r>
      <w:r>
        <w:rPr>
          <w:sz w:val="20"/>
          <w:szCs w:val="20"/>
        </w:rPr>
        <w:t>$</w:t>
      </w:r>
      <w:r>
        <w:rPr>
          <w:sz w:val="20"/>
          <w:szCs w:val="20"/>
        </w:rPr>
        <w:t>0.3</w:t>
      </w:r>
      <w:r>
        <w:rPr>
          <w:sz w:val="20"/>
          <w:szCs w:val="20"/>
        </w:rPr>
        <w:t>5</w:t>
      </w:r>
      <w:r>
        <w:rPr>
          <w:sz w:val="20"/>
          <w:szCs w:val="20"/>
        </w:rPr>
        <w:t xml:space="preserve"> per Uni</w:t>
      </w:r>
      <w:r>
        <w:rPr>
          <w:sz w:val="20"/>
          <w:szCs w:val="20"/>
        </w:rPr>
        <w:t xml:space="preserve">t, or </w:t>
      </w:r>
      <w:r>
        <w:rPr>
          <w:sz w:val="20"/>
          <w:szCs w:val="20"/>
        </w:rPr>
        <w:t>$</w:t>
      </w:r>
      <w:r>
        <w:rPr>
          <w:sz w:val="20"/>
          <w:szCs w:val="20"/>
        </w:rPr>
        <w:t>3,500,00</w:t>
      </w:r>
      <w:r>
        <w:rPr>
          <w:sz w:val="20"/>
          <w:szCs w:val="20"/>
        </w:rPr>
        <w:t>0</w:t>
      </w:r>
      <w:r>
        <w:rPr>
          <w:sz w:val="20"/>
          <w:szCs w:val="20"/>
        </w:rPr>
        <w:t xml:space="preserve"> in the aggregate (or </w:t>
      </w:r>
      <w:r>
        <w:rPr>
          <w:sz w:val="20"/>
          <w:szCs w:val="20"/>
        </w:rPr>
        <w:t>$</w:t>
      </w:r>
      <w:r>
        <w:rPr>
          <w:sz w:val="20"/>
          <w:szCs w:val="20"/>
        </w:rPr>
        <w:t>4,025,00</w:t>
      </w:r>
      <w:r>
        <w:rPr>
          <w:sz w:val="20"/>
          <w:szCs w:val="20"/>
        </w:rPr>
        <w:t>0</w:t>
      </w:r>
      <w:r>
        <w:rPr>
          <w:sz w:val="20"/>
          <w:szCs w:val="20"/>
        </w:rPr>
        <w:t xml:space="preserve"> in the aggregate if the underwriters’ over-allotment option is exercised in full). The deferred fee will become payable to the underwriters from the amounts held in the Trust Account solely in the event that</w:t>
      </w:r>
      <w:r>
        <w:rPr>
          <w:sz w:val="20"/>
          <w:szCs w:val="20"/>
        </w:rPr>
        <w:t xml:space="preserve"> the Company completes a Business Combination, subject to the terms of the underwriting agreement.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On February 10, 2022, the underwriters purchased an additional</w:t>
      </w:r>
      <w:r>
        <w:rPr>
          <w:sz w:val="20"/>
          <w:szCs w:val="20"/>
        </w:rPr>
        <w:t xml:space="preserve"> </w:t>
      </w:r>
      <w:r>
        <w:rPr>
          <w:sz w:val="20"/>
          <w:szCs w:val="20"/>
        </w:rPr>
        <w:t>159,06</w:t>
      </w:r>
      <w:r>
        <w:rPr>
          <w:sz w:val="20"/>
          <w:szCs w:val="20"/>
        </w:rPr>
        <w:t>9</w:t>
      </w:r>
      <w:r>
        <w:rPr>
          <w:sz w:val="20"/>
          <w:szCs w:val="20"/>
        </w:rPr>
        <w:t xml:space="preserve"> Option Units pursuant to the exercise of the over-allotment option. The Option Units</w:t>
      </w:r>
      <w:r>
        <w:rPr>
          <w:sz w:val="20"/>
          <w:szCs w:val="20"/>
        </w:rPr>
        <w:t xml:space="preserve"> were sold at an offering price of </w:t>
      </w:r>
      <w:r>
        <w:rPr>
          <w:sz w:val="20"/>
          <w:szCs w:val="20"/>
        </w:rPr>
        <w:t>$</w:t>
      </w:r>
      <w:r>
        <w:rPr>
          <w:sz w:val="20"/>
          <w:szCs w:val="20"/>
        </w:rPr>
        <w:t>10.0</w:t>
      </w:r>
      <w:r>
        <w:rPr>
          <w:sz w:val="20"/>
          <w:szCs w:val="20"/>
        </w:rPr>
        <w:t>0</w:t>
      </w:r>
      <w:r>
        <w:rPr>
          <w:sz w:val="20"/>
          <w:szCs w:val="20"/>
        </w:rPr>
        <w:t xml:space="preserve"> per Unit, generating additional gross proceeds to the Company of </w:t>
      </w:r>
      <w:r>
        <w:rPr>
          <w:sz w:val="20"/>
          <w:szCs w:val="20"/>
        </w:rPr>
        <w:t>$</w:t>
      </w:r>
      <w:r>
        <w:rPr>
          <w:sz w:val="20"/>
          <w:szCs w:val="20"/>
        </w:rPr>
        <w:t>1,590,69</w:t>
      </w:r>
      <w:r>
        <w:rPr>
          <w:sz w:val="20"/>
          <w:szCs w:val="20"/>
        </w:rPr>
        <w:t>0</w:t>
      </w:r>
      <w:r>
        <w:rPr>
          <w:sz w:val="20"/>
          <w:szCs w:val="20"/>
        </w:rPr>
        <w:t>.</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6702184"/>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p w:rsidR="00000000" w:rsidRDefault="00BC17DB">
      <w:pPr>
        <w:pStyle w:val="a3"/>
        <w:spacing w:before="0" w:beforeAutospacing="0" w:after="0" w:afterAutospacing="0"/>
        <w:divId w:val="1324695651"/>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STOCKHOLDERS’ EQUIT</w:t>
      </w:r>
      <w:r>
        <w:rPr>
          <w:b/>
          <w:bCs/>
          <w:sz w:val="20"/>
          <w:szCs w:val="20"/>
        </w:rPr>
        <w:t>Y</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ind w:firstLine="360"/>
        <w:jc w:val="both"/>
        <w:rPr>
          <w:sz w:val="20"/>
          <w:szCs w:val="20"/>
        </w:rPr>
      </w:pPr>
      <w:r>
        <w:rPr>
          <w:b/>
          <w:bCs/>
          <w:i/>
          <w:iCs/>
          <w:sz w:val="20"/>
          <w:szCs w:val="20"/>
        </w:rPr>
        <w:t>Common Stock</w:t>
      </w:r>
      <w:r>
        <w:rPr>
          <w:sz w:val="20"/>
          <w:szCs w:val="20"/>
        </w:rPr>
        <w:t xml:space="preserve"> — Our Certificate of Incorporation authorizes the Company to issue</w:t>
      </w:r>
      <w:r>
        <w:rPr>
          <w:sz w:val="20"/>
          <w:szCs w:val="20"/>
        </w:rPr>
        <w:t xml:space="preserve"> </w:t>
      </w:r>
      <w:r>
        <w:rPr>
          <w:sz w:val="20"/>
          <w:szCs w:val="20"/>
        </w:rPr>
        <w:t>100,000,00</w:t>
      </w:r>
      <w:r>
        <w:rPr>
          <w:sz w:val="20"/>
          <w:szCs w:val="20"/>
        </w:rPr>
        <w:t>0</w:t>
      </w:r>
      <w:r>
        <w:rPr>
          <w:sz w:val="20"/>
          <w:szCs w:val="20"/>
        </w:rPr>
        <w:t xml:space="preserve"> sh</w:t>
      </w:r>
      <w:r>
        <w:rPr>
          <w:sz w:val="20"/>
          <w:szCs w:val="20"/>
        </w:rPr>
        <w:t xml:space="preserve">ares of common stock with a par value of </w:t>
      </w:r>
      <w:r>
        <w:rPr>
          <w:sz w:val="20"/>
          <w:szCs w:val="20"/>
        </w:rPr>
        <w:t>$</w:t>
      </w:r>
      <w:r>
        <w:rPr>
          <w:sz w:val="20"/>
          <w:szCs w:val="20"/>
        </w:rPr>
        <w:t>0.00000</w:t>
      </w:r>
      <w:r>
        <w:rPr>
          <w:sz w:val="20"/>
          <w:szCs w:val="20"/>
        </w:rPr>
        <w:t>1</w:t>
      </w:r>
      <w:r>
        <w:rPr>
          <w:sz w:val="20"/>
          <w:szCs w:val="20"/>
        </w:rPr>
        <w:t xml:space="preserve"> per share. Holders of the Company’s common stock are entitled to one vote for each share. On September 30, 2022, there were</w:t>
      </w:r>
      <w:r>
        <w:rPr>
          <w:sz w:val="20"/>
          <w:szCs w:val="20"/>
        </w:rPr>
        <w:t xml:space="preserve"> </w:t>
      </w:r>
      <w:r>
        <w:rPr>
          <w:sz w:val="20"/>
          <w:szCs w:val="20"/>
        </w:rPr>
        <w:t>2,990,89</w:t>
      </w:r>
      <w:r>
        <w:rPr>
          <w:sz w:val="20"/>
          <w:szCs w:val="20"/>
        </w:rPr>
        <w:t>7</w:t>
      </w:r>
      <w:r>
        <w:rPr>
          <w:sz w:val="20"/>
          <w:szCs w:val="20"/>
        </w:rPr>
        <w:t xml:space="preserve"> (excluding</w:t>
      </w:r>
      <w:r>
        <w:rPr>
          <w:sz w:val="20"/>
          <w:szCs w:val="20"/>
        </w:rPr>
        <w:t xml:space="preserve"> </w:t>
      </w:r>
      <w:r>
        <w:rPr>
          <w:sz w:val="20"/>
          <w:szCs w:val="20"/>
        </w:rPr>
        <w:t>10,159,06</w:t>
      </w:r>
      <w:r>
        <w:rPr>
          <w:sz w:val="20"/>
          <w:szCs w:val="20"/>
        </w:rPr>
        <w:t>9</w:t>
      </w:r>
      <w:r>
        <w:rPr>
          <w:sz w:val="20"/>
          <w:szCs w:val="20"/>
        </w:rPr>
        <w:t xml:space="preserve"> shares subject to possible redemption) shares of </w:t>
      </w:r>
      <w:r>
        <w:rPr>
          <w:sz w:val="20"/>
          <w:szCs w:val="20"/>
        </w:rPr>
        <w:t>common stock issued and outstanding.</w:t>
      </w:r>
    </w:p>
    <w:p w:rsidR="00000000" w:rsidRDefault="00BC17DB">
      <w:pPr>
        <w:pStyle w:val="a3"/>
        <w:shd w:val="clear" w:color="auto" w:fill="FFFFFF"/>
        <w:spacing w:before="0" w:beforeAutospacing="0" w:after="0" w:afterAutospacing="0"/>
        <w:ind w:firstLine="360"/>
        <w:jc w:val="both"/>
        <w:rPr>
          <w:sz w:val="20"/>
          <w:szCs w:val="20"/>
        </w:rPr>
      </w:pPr>
      <w:r>
        <w:rPr>
          <w:sz w:val="20"/>
          <w:szCs w:val="20"/>
        </w:rPr>
        <w:t> </w:t>
      </w:r>
    </w:p>
    <w:p w:rsidR="00000000" w:rsidRDefault="00BC17DB">
      <w:pPr>
        <w:pStyle w:val="a3"/>
        <w:shd w:val="clear" w:color="auto" w:fill="FFFFFF"/>
        <w:spacing w:before="0" w:beforeAutospacing="0" w:after="0" w:afterAutospacing="0"/>
        <w:ind w:firstLine="360"/>
        <w:jc w:val="both"/>
        <w:rPr>
          <w:sz w:val="20"/>
          <w:szCs w:val="20"/>
        </w:rPr>
      </w:pPr>
      <w:r>
        <w:rPr>
          <w:b/>
          <w:bCs/>
          <w:i/>
          <w:iCs/>
          <w:sz w:val="20"/>
          <w:szCs w:val="20"/>
        </w:rPr>
        <w:t>Preferred Shares</w:t>
      </w:r>
      <w:r>
        <w:rPr>
          <w:sz w:val="20"/>
          <w:szCs w:val="20"/>
        </w:rPr>
        <w:t xml:space="preserve"> — The Company is authorized to issue</w:t>
      </w:r>
      <w:r>
        <w:rPr>
          <w:sz w:val="20"/>
          <w:szCs w:val="20"/>
        </w:rPr>
        <w:t xml:space="preserve"> </w:t>
      </w:r>
      <w:r>
        <w:rPr>
          <w:sz w:val="20"/>
          <w:szCs w:val="20"/>
        </w:rPr>
        <w:t>1,000,00</w:t>
      </w:r>
      <w:r>
        <w:rPr>
          <w:sz w:val="20"/>
          <w:szCs w:val="20"/>
        </w:rPr>
        <w:t>0</w:t>
      </w:r>
      <w:r>
        <w:rPr>
          <w:sz w:val="20"/>
          <w:szCs w:val="20"/>
        </w:rPr>
        <w:t xml:space="preserve"> shares of preferred stock with a par value of </w:t>
      </w:r>
      <w:r>
        <w:rPr>
          <w:sz w:val="20"/>
          <w:szCs w:val="20"/>
        </w:rPr>
        <w:t>$</w:t>
      </w:r>
      <w:r>
        <w:rPr>
          <w:sz w:val="20"/>
          <w:szCs w:val="20"/>
        </w:rPr>
        <w:t>0.00000</w:t>
      </w:r>
      <w:r>
        <w:rPr>
          <w:sz w:val="20"/>
          <w:szCs w:val="20"/>
        </w:rPr>
        <w:t>1</w:t>
      </w:r>
      <w:r>
        <w:rPr>
          <w:sz w:val="20"/>
          <w:szCs w:val="20"/>
        </w:rPr>
        <w:t xml:space="preserve"> per share </w:t>
      </w:r>
      <w:r>
        <w:rPr>
          <w:sz w:val="20"/>
          <w:szCs w:val="20"/>
        </w:rPr>
        <w:t>with such designation, rights and preferences as may be determined from time to time by the Company’s Board of Directors. On September 30, 2022, there were</w:t>
      </w:r>
      <w:r>
        <w:rPr>
          <w:sz w:val="20"/>
          <w:szCs w:val="20"/>
        </w:rPr>
        <w:t xml:space="preserve"> </w:t>
      </w:r>
      <w:r>
        <w:rPr>
          <w:sz w:val="20"/>
          <w:szCs w:val="20"/>
        </w:rPr>
        <w:t>n</w:t>
      </w:r>
      <w:r>
        <w:rPr>
          <w:sz w:val="20"/>
          <w:szCs w:val="20"/>
        </w:rPr>
        <w:t>o</w:t>
      </w:r>
      <w:r>
        <w:rPr>
          <w:sz w:val="20"/>
          <w:szCs w:val="20"/>
        </w:rPr>
        <w:t xml:space="preserve"> preferred shares issued or outstanding.</w:t>
      </w:r>
    </w:p>
    <w:p w:rsidR="00000000" w:rsidRDefault="00BC17DB">
      <w:pPr>
        <w:pStyle w:val="a3"/>
        <w:shd w:val="clear" w:color="auto" w:fill="FFFFFF"/>
        <w:spacing w:before="0" w:beforeAutospacing="0" w:after="0" w:afterAutospacing="0"/>
        <w:ind w:firstLine="360"/>
        <w:jc w:val="both"/>
        <w:rPr>
          <w:sz w:val="20"/>
          <w:szCs w:val="20"/>
        </w:rPr>
      </w:pPr>
      <w:r>
        <w:rPr>
          <w:sz w:val="20"/>
          <w:szCs w:val="20"/>
        </w:rPr>
        <w:t> </w:t>
      </w:r>
    </w:p>
    <w:p w:rsidR="00000000" w:rsidRDefault="00BC17DB">
      <w:pPr>
        <w:pStyle w:val="a3"/>
        <w:spacing w:before="0" w:beforeAutospacing="0" w:after="0" w:afterAutospacing="0"/>
        <w:ind w:firstLine="360"/>
        <w:jc w:val="both"/>
        <w:rPr>
          <w:sz w:val="20"/>
          <w:szCs w:val="20"/>
        </w:rPr>
      </w:pPr>
      <w:r>
        <w:rPr>
          <w:b/>
          <w:bCs/>
          <w:i/>
          <w:iCs/>
          <w:sz w:val="20"/>
          <w:szCs w:val="20"/>
        </w:rPr>
        <w:t xml:space="preserve">Rights </w:t>
      </w:r>
      <w:r>
        <w:rPr>
          <w:sz w:val="20"/>
          <w:szCs w:val="20"/>
        </w:rPr>
        <w:t>—</w:t>
      </w:r>
      <w:r>
        <w:rPr>
          <w:sz w:val="20"/>
          <w:szCs w:val="20"/>
        </w:rPr>
        <w:t xml:space="preserve"> </w:t>
      </w:r>
      <w:r>
        <w:rPr>
          <w:sz w:val="20"/>
          <w:szCs w:val="20"/>
        </w:rPr>
        <w:t>Except in cases where the Company is not the s</w:t>
      </w:r>
      <w:r>
        <w:rPr>
          <w:sz w:val="20"/>
          <w:szCs w:val="20"/>
        </w:rPr>
        <w:t>urviving company in a Business Combination, each holder of a Public Right will automatically receive one-tenth (1/10) of one share of common stock upon consummation of a Business Combination, even if the holder of a Public Right converted all shares held b</w:t>
      </w:r>
      <w:r>
        <w:rPr>
          <w:sz w:val="20"/>
          <w:szCs w:val="20"/>
        </w:rPr>
        <w:t>y him, her or it in connection with a Business Combination or an amendment to the Company’s Amended and Restated Certificate of Incorporation with respect to its pre-business combination activities. In the event that the Company will not be the surviving c</w:t>
      </w:r>
      <w:r>
        <w:rPr>
          <w:sz w:val="20"/>
          <w:szCs w:val="20"/>
        </w:rPr>
        <w:t>ompany upon completion of a Business Combination, each holder of a Public Right will be required to affirmatively convert his, her or its rights in order to receive the one-tenth (1/10) of a share underlying each Public Right upon consummation of the Busin</w:t>
      </w:r>
      <w:r>
        <w:rPr>
          <w:sz w:val="20"/>
          <w:szCs w:val="20"/>
        </w:rPr>
        <w:t>ess Combination</w:t>
      </w:r>
      <w:r>
        <w:rPr>
          <w:sz w:val="20"/>
          <w:szCs w:val="20"/>
        </w:rPr>
        <w:t>.</w:t>
      </w:r>
    </w:p>
    <w:p w:rsidR="00000000" w:rsidRDefault="00BC17DB">
      <w:pPr>
        <w:pStyle w:val="a3"/>
        <w:spacing w:before="0" w:beforeAutospacing="0" w:after="0" w:afterAutospacing="0"/>
        <w:ind w:firstLine="36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 Company will not issue fractional shares in connection with an exchange of Public Rights. Fractional shares will either be rounded down to the nearest whole share or otherwise addressed in accordance with the applicable provisions of</w:t>
      </w:r>
      <w:r>
        <w:rPr>
          <w:sz w:val="20"/>
          <w:szCs w:val="20"/>
        </w:rPr>
        <w:t xml:space="preserve"> the Delaware General Corporation Law. As a result, the holders of the Public Rights must hold rights in multiples of 10 in order to receive shares for all of the holders’ rights upon closing of a Business Combination.</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NOTE 8.</w:t>
      </w:r>
      <w:r>
        <w:rPr>
          <w:b/>
          <w:bCs/>
          <w:sz w:val="20"/>
          <w:szCs w:val="20"/>
        </w:rPr>
        <w:t xml:space="preserve"> </w:t>
      </w:r>
      <w:r>
        <w:rPr>
          <w:b/>
          <w:bCs/>
          <w:sz w:val="20"/>
          <w:szCs w:val="20"/>
        </w:rPr>
        <w:t>SUBSEQUENT EVENT</w:t>
      </w:r>
      <w:r>
        <w:rPr>
          <w:b/>
          <w:bCs/>
          <w:sz w:val="20"/>
          <w:szCs w:val="20"/>
        </w:rPr>
        <w: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In acco</w:t>
      </w:r>
      <w:r>
        <w:rPr>
          <w:sz w:val="20"/>
          <w:szCs w:val="20"/>
        </w:rPr>
        <w:t>rdance with ASC Topic 855, “Subsequent Events”, which establishes general standards of accounting for and disclosure of events that occur after the balance sheet date but before financial statements are issued, the Company has evaluated all events or trans</w:t>
      </w:r>
      <w:r>
        <w:rPr>
          <w:sz w:val="20"/>
          <w:szCs w:val="20"/>
        </w:rPr>
        <w:t>actions that occurred through the date the financial statements were available to issue.</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329547"/>
        </w:trPr>
        <w:tc>
          <w:tcPr>
            <w:tcW w:w="5000" w:type="pct"/>
            <w:hideMark/>
          </w:tcPr>
          <w:p w:rsidR="00000000" w:rsidRDefault="00BC17DB">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p w:rsidR="00000000" w:rsidRDefault="00BC17DB">
      <w:pPr>
        <w:pStyle w:val="a3"/>
        <w:spacing w:before="0" w:beforeAutospacing="0" w:after="0" w:afterAutospacing="0"/>
        <w:divId w:val="1504512268"/>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ITEM 2. MANAGEMENT’</w:t>
      </w:r>
      <w:r>
        <w:rPr>
          <w:b/>
          <w:bCs/>
          <w:sz w:val="20"/>
          <w:szCs w:val="20"/>
        </w:rPr>
        <w:t>S DISCUSSION AND ANALYSIS OF FINANCIAL CONDITION AND RESULTS OF OPERATIONS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References in this report (the “Quarterly Report”) to “we,” “us” or the “Company” refer to Broad Capital Acquisition Corp. References to our “management” or our “management team” </w:t>
      </w:r>
      <w:r>
        <w:rPr>
          <w:sz w:val="20"/>
          <w:szCs w:val="20"/>
        </w:rPr>
        <w:t>refer to our officers and directors, and references to the “Sponsor” refer to Broad Capital, LLC. The following discussion and analysis of the Company’s financial condition and results of operations should be read in conjunction with the financial statemen</w:t>
      </w:r>
      <w:r>
        <w:rPr>
          <w:sz w:val="20"/>
          <w:szCs w:val="20"/>
        </w:rPr>
        <w:t>ts and the notes thereto contained elsewhere in this Quarterly Report. Certain information contained in the discussion and analysis set forth below includes forward-looking statements that involve risks and uncertainties.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Special Note Regarding Forward-L</w:t>
      </w:r>
      <w:r>
        <w:rPr>
          <w:b/>
          <w:bCs/>
          <w:sz w:val="20"/>
          <w:szCs w:val="20"/>
        </w:rPr>
        <w:t>ooking Statements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This Quarterly Report on Form 10-Q includes “forward-looking statements” within the meaning of Section 27A of the Securities Act and Section 21E of the Exchange Act that are not historical facts, and involve risks and uncertainties that</w:t>
      </w:r>
      <w:r>
        <w:rPr>
          <w:sz w:val="20"/>
          <w:szCs w:val="20"/>
        </w:rPr>
        <w:t xml:space="preserve"> could cause actual results to differ materially from those expected and projected. All statements other than statements of historical fact included in this Form 10-Q including statements in this “Management’s Discussion and Analysis of Financial Condition</w:t>
      </w:r>
      <w:r>
        <w:rPr>
          <w:sz w:val="20"/>
          <w:szCs w:val="20"/>
        </w:rPr>
        <w:t xml:space="preserve"> and Results of Operations” regarding the Company’s financial position, business strategy and the plans and objectives of management for future operations, are forward-looking statements. Words such as “expect,” “believe,” “anticipate,” “intend,” “estimate</w:t>
      </w:r>
      <w:r>
        <w:rPr>
          <w:sz w:val="20"/>
          <w:szCs w:val="20"/>
        </w:rPr>
        <w:t>,” “seek” and variations and similar words and expressions are intended to identify such forward-looking statements. Such forward-looking statements relate to future events or future performance, but reflect management’s current beliefs, based on informati</w:t>
      </w:r>
      <w:r>
        <w:rPr>
          <w:sz w:val="20"/>
          <w:szCs w:val="20"/>
        </w:rPr>
        <w:t>on currently available. A number of factors could cause actual events, performance or results to differ materially from the events, performance and results discussed in the forward-looking statements. For information identifying important factors that coul</w:t>
      </w:r>
      <w:r>
        <w:rPr>
          <w:sz w:val="20"/>
          <w:szCs w:val="20"/>
        </w:rPr>
        <w:t>d cause actual results to differ materially from those anticipated in the forward-looking statements, please refer to the Risk Factors section of the Company’s Annual Report on Form 10-K for the year ending December 31, 2021 filed with the SEC on March 31,</w:t>
      </w:r>
      <w:r>
        <w:rPr>
          <w:sz w:val="20"/>
          <w:szCs w:val="20"/>
        </w:rPr>
        <w:t xml:space="preserve"> 2022. The Company’s securities filings can be accessed on the EDGAR section of the SEC’s website at www.sec.gov. Except as expressly required by applicable securities law, the Company disclaims any intention or obligation to update or revise any forward-l</w:t>
      </w:r>
      <w:r>
        <w:rPr>
          <w:sz w:val="20"/>
          <w:szCs w:val="20"/>
        </w:rPr>
        <w:t>ooking statements whether as a result of new information, future events or otherwise.</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Overview</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We are a blank check company incorporated as a Delaware corporation and formed for the purpose of effecting a merger, capital stock exchange, asset acquisiti</w:t>
      </w:r>
      <w:r>
        <w:rPr>
          <w:sz w:val="20"/>
          <w:szCs w:val="20"/>
        </w:rPr>
        <w:t>on, stock purchase, reorganization or similar business combination (“Business Combination”) with one or more businesses. We intend to effectuate our initial Business Combination using cash from the proceeds our initial public offering (“Initial Public Offe</w:t>
      </w:r>
      <w:r>
        <w:rPr>
          <w:sz w:val="20"/>
          <w:szCs w:val="20"/>
        </w:rPr>
        <w:t xml:space="preserve">ring”) and the private placement of the placement units (“Placement Units”), the proceeds of the sale of our shares in connection with our initial Business Combination (pursuant to backstop agreements we may enter into), shares issued to the owners of the </w:t>
      </w:r>
      <w:r>
        <w:rPr>
          <w:sz w:val="20"/>
          <w:szCs w:val="20"/>
        </w:rPr>
        <w:t>target, debt issued to banks or other lenders or the owners of the target, or a combination of the foregoing.</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The issuance of additional shares of common stock in connection with an initial Business Combination to the owners of the target or other invest</w:t>
      </w:r>
      <w:r>
        <w:rPr>
          <w:sz w:val="20"/>
          <w:szCs w:val="20"/>
        </w:rPr>
        <w:t>ors:</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BC17DB">
            <w:pPr>
              <w:jc w:val="both"/>
              <w:rPr>
                <w:rFonts w:eastAsia="Times New Roman"/>
                <w:sz w:val="20"/>
                <w:szCs w:val="20"/>
              </w:rPr>
            </w:pPr>
            <w:r>
              <w:rPr>
                <w:rFonts w:eastAsia="Times New Roman"/>
                <w:sz w:val="20"/>
                <w:szCs w:val="20"/>
              </w:rPr>
              <w:t> </w:t>
            </w:r>
          </w:p>
        </w:tc>
        <w:tc>
          <w:tcPr>
            <w:tcW w:w="360" w:type="dxa"/>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may significantly dilute the equity interest of investors in our Initial Public Offering, which dilution would increase if the anti-dilution provisions in the insider shares resulted in the issuance of common stock on a greater than one-to-one b</w:t>
            </w:r>
            <w:r>
              <w:rPr>
                <w:rFonts w:eastAsia="Times New Roman"/>
                <w:sz w:val="20"/>
                <w:szCs w:val="20"/>
              </w:rPr>
              <w:t>asis;</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 xml:space="preserve">may </w:t>
            </w:r>
            <w:r>
              <w:rPr>
                <w:rFonts w:eastAsia="Times New Roman"/>
                <w:sz w:val="20"/>
                <w:szCs w:val="20"/>
              </w:rPr>
              <w:t>subordinate the rights of holders of our common stock if preferred stock is issued with rights senior to those afforded our common stock;</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could cause a change in control if a substantial number of shares of our common stock is issued, which may affect</w:t>
            </w:r>
            <w:r>
              <w:rPr>
                <w:rFonts w:eastAsia="Times New Roman"/>
                <w:sz w:val="20"/>
                <w:szCs w:val="20"/>
              </w:rPr>
              <w:t>, among other things, our ability to use our net operating loss carry forwards, if any, and could result in the resignation or removal of our present officers and directors;</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may have the effect of delaying or preventing a change of control of us by di</w:t>
            </w:r>
            <w:r>
              <w:rPr>
                <w:rFonts w:eastAsia="Times New Roman"/>
                <w:sz w:val="20"/>
                <w:szCs w:val="20"/>
              </w:rPr>
              <w:t>luting the stock ownership or voting rights of a person seeking to obtain control of us; and</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may adversely affect prevailing market prices for our common stock and/or rights.</w:t>
            </w:r>
          </w:p>
        </w:tc>
      </w:tr>
    </w:tbl>
    <w:p w:rsidR="00000000" w:rsidRDefault="00BC17DB">
      <w:pPr>
        <w:pStyle w:val="a3"/>
        <w:spacing w:before="0" w:beforeAutospacing="0" w:after="0" w:afterAutospacing="0"/>
        <w:ind w:left="9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82790269"/>
        </w:trPr>
        <w:tc>
          <w:tcPr>
            <w:tcW w:w="5000" w:type="pct"/>
            <w:hideMark/>
          </w:tcPr>
          <w:p w:rsidR="00000000" w:rsidRDefault="00BC17DB">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Similarly, </w:t>
      </w:r>
      <w:r>
        <w:rPr>
          <w:sz w:val="20"/>
          <w:szCs w:val="20"/>
        </w:rPr>
        <w:t>if we issue debt securities or otherwise incur significant debt to banks or other lenders or the owners of a target, it could result in:</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hideMark/>
          </w:tcPr>
          <w:p w:rsidR="00000000" w:rsidRDefault="00BC17DB">
            <w:pPr>
              <w:jc w:val="both"/>
              <w:rPr>
                <w:rFonts w:eastAsia="Times New Roman"/>
                <w:sz w:val="20"/>
                <w:szCs w:val="20"/>
              </w:rPr>
            </w:pPr>
            <w:r>
              <w:rPr>
                <w:rFonts w:eastAsia="Times New Roman"/>
                <w:sz w:val="20"/>
                <w:szCs w:val="20"/>
              </w:rPr>
              <w:t> </w:t>
            </w:r>
          </w:p>
        </w:tc>
        <w:tc>
          <w:tcPr>
            <w:tcW w:w="360" w:type="dxa"/>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default and foreclosure on our assets if our operating revenues after an initial Business Combination are insuffi</w:t>
            </w:r>
            <w:r>
              <w:rPr>
                <w:rFonts w:eastAsia="Times New Roman"/>
                <w:sz w:val="20"/>
                <w:szCs w:val="20"/>
              </w:rPr>
              <w:t>cient to repay our debt obligations;</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acceleration of our obligations to repay the indebtedness even if we make all principal and interest payments when due if we breach certain covenants that require the maintenance of certain financial ratios or rese</w:t>
            </w:r>
            <w:r>
              <w:rPr>
                <w:rFonts w:eastAsia="Times New Roman"/>
                <w:sz w:val="20"/>
                <w:szCs w:val="20"/>
              </w:rPr>
              <w:t>rves without a waiver or renegotiation of that covenant;</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our immediate payment of all principal and accrued interest, if any, if the debt security is payable on demand;</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 xml:space="preserve">our </w:t>
            </w:r>
            <w:r>
              <w:rPr>
                <w:rFonts w:eastAsia="Times New Roman"/>
                <w:sz w:val="20"/>
                <w:szCs w:val="20"/>
              </w:rPr>
              <w:t>inability to obtain necessary additional financing if the debt security contains covenants restricting our ability to obtain such financing while the debt security is outstanding;</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our inability to pay dividends on our common stock;</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using a substa</w:t>
            </w:r>
            <w:r>
              <w:rPr>
                <w:rFonts w:eastAsia="Times New Roman"/>
                <w:sz w:val="20"/>
                <w:szCs w:val="20"/>
              </w:rPr>
              <w:t>ntial portion of our cash flow to pay principal and interest on our debt, which will reduce the funds available for dividends on our common stock if declared, our ability to pay expenses, make capital expenditures and acquisitions, and fund other general c</w:t>
            </w:r>
            <w:r>
              <w:rPr>
                <w:rFonts w:eastAsia="Times New Roman"/>
                <w:sz w:val="20"/>
                <w:szCs w:val="20"/>
              </w:rPr>
              <w:t>orporate purposes;</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limitations on our flexibility in planning for and reacting to changes in our business and in the industry in which we operate;</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increased vulnerability to adverse changes in general economic, industry and competitive conditions</w:t>
            </w:r>
            <w:r>
              <w:rPr>
                <w:rFonts w:eastAsia="Times New Roman"/>
                <w:sz w:val="20"/>
                <w:szCs w:val="20"/>
              </w:rPr>
              <w:t xml:space="preserve"> and adverse changes in government regulation;</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limitations on our ability to borrow additional amounts for expenses, capital expenditures, acquisitions, debt service requirements, and execution of our strategy; and</w:t>
            </w:r>
          </w:p>
        </w:tc>
      </w:tr>
      <w:tr w:rsidR="00000000">
        <w:tc>
          <w:tcPr>
            <w:tcW w:w="0" w:type="auto"/>
            <w:hideMark/>
          </w:tcPr>
          <w:p w:rsidR="00000000" w:rsidRDefault="00BC17DB">
            <w:pPr>
              <w:jc w:val="both"/>
              <w:rPr>
                <w:rFonts w:eastAsia="Times New Roman"/>
                <w:sz w:val="20"/>
                <w:szCs w:val="20"/>
              </w:rPr>
            </w:pPr>
            <w:r>
              <w:rPr>
                <w:rFonts w:eastAsia="Times New Roman"/>
                <w:sz w:val="20"/>
                <w:szCs w:val="20"/>
              </w:rPr>
              <w:t> </w:t>
            </w:r>
          </w:p>
        </w:tc>
        <w:tc>
          <w:tcPr>
            <w:tcW w:w="0" w:type="auto"/>
            <w:hideMark/>
          </w:tcPr>
          <w:p w:rsidR="00000000" w:rsidRDefault="00BC17DB">
            <w:pPr>
              <w:jc w:val="both"/>
              <w:rPr>
                <w:rFonts w:eastAsia="Times New Roman"/>
                <w:sz w:val="20"/>
                <w:szCs w:val="20"/>
              </w:rPr>
            </w:pPr>
            <w:r>
              <w:rPr>
                <w:rFonts w:eastAsia="Times New Roman"/>
                <w:sz w:val="20"/>
                <w:szCs w:val="20"/>
              </w:rPr>
              <w:t>●</w:t>
            </w:r>
          </w:p>
        </w:tc>
        <w:tc>
          <w:tcPr>
            <w:tcW w:w="0" w:type="auto"/>
            <w:hideMark/>
          </w:tcPr>
          <w:p w:rsidR="00000000" w:rsidRDefault="00BC17DB">
            <w:pPr>
              <w:jc w:val="both"/>
              <w:rPr>
                <w:rFonts w:eastAsia="Times New Roman"/>
                <w:sz w:val="20"/>
                <w:szCs w:val="20"/>
              </w:rPr>
            </w:pPr>
            <w:r>
              <w:rPr>
                <w:rFonts w:eastAsia="Times New Roman"/>
                <w:sz w:val="20"/>
                <w:szCs w:val="20"/>
              </w:rPr>
              <w:t>other purposes and other disadv</w:t>
            </w:r>
            <w:r>
              <w:rPr>
                <w:rFonts w:eastAsia="Times New Roman"/>
                <w:sz w:val="20"/>
                <w:szCs w:val="20"/>
              </w:rPr>
              <w:t>antages compared to our competitors who have less debt.</w:t>
            </w:r>
          </w:p>
        </w:tc>
      </w:tr>
    </w:tbl>
    <w:p w:rsidR="00000000" w:rsidRDefault="00BC17DB">
      <w:pPr>
        <w:pStyle w:val="a3"/>
        <w:spacing w:before="0" w:beforeAutospacing="0" w:after="0" w:afterAutospacing="0"/>
        <w:ind w:left="96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We </w:t>
      </w:r>
      <w:r>
        <w:rPr>
          <w:sz w:val="20"/>
          <w:szCs w:val="20"/>
        </w:rPr>
        <w:t>expect to continue to incur significant costs in the pursuit of our acquisition plans. We cannot assure you that our plans to complete our initial Business Combination will be successful.</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Results of Operations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We have neither engaged in any operations </w:t>
      </w:r>
      <w:r>
        <w:rPr>
          <w:sz w:val="20"/>
          <w:szCs w:val="20"/>
        </w:rPr>
        <w:t>nor generated any revenues to date. Our only activities since inception have been organizational activities and those necessary to prepare for our Initial Public Offering, described below, and identifying a target for our initial Business Combination. We d</w:t>
      </w:r>
      <w:r>
        <w:rPr>
          <w:sz w:val="20"/>
          <w:szCs w:val="20"/>
        </w:rPr>
        <w:t>o not expect to generate any operating revenues until after completion of our initial Business Combination. We generated non-operating income in the form of interest income on marketable securities held in the Trust Account of $478,182 and $626,589 for the</w:t>
      </w:r>
      <w:r>
        <w:rPr>
          <w:sz w:val="20"/>
          <w:szCs w:val="20"/>
        </w:rPr>
        <w:t xml:space="preserve"> three months ended September 30, 2022 and the nine months ended September 30, 2022 respectively. We incur expenses as a result of being a public company (for legal, financial reporting, accounting and auditing compliance), as well as for due diligence exp</w:t>
      </w:r>
      <w:r>
        <w:rPr>
          <w:sz w:val="20"/>
          <w:szCs w:val="20"/>
        </w:rPr>
        <w:t>enses in connection with completing our initial Business Combination and have a net income of $225,870 and a net loss of $202,445 for the three months ended September 30, 2022 and the nine months ended September 30, 2022.</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Liquidity and Capital Resources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On January 13, 2022, we consummated our Initial Public Offering of 10,000,000 Units at $10.00 per Unit, generating gross proceeds of $10,000,000 and incurring transaction costs of $6,917,226, of which $3,500,000 was for deferred underwriting commissions.</w:t>
      </w:r>
      <w:r>
        <w:rPr>
          <w:sz w:val="20"/>
          <w:szCs w:val="20"/>
        </w:rPr>
        <w:t xml:space="preserve"> On February 9, 2022, the Underwriters partially exercised the over-allotment option and on February 10, 2022, purchased an additional 159,069 Units from the Company (the “Over-Allotment Units”), generating gross proceeds of $1,590,690, and forfeited the r</w:t>
      </w:r>
      <w:r>
        <w:rPr>
          <w:sz w:val="20"/>
          <w:szCs w:val="20"/>
        </w:rPr>
        <w:t>emainder of the option.</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Simultaneously with the consummation of the closing of the Initial Public Offering, the Company consummated the private placement of an aggregate of 446,358 units (the “Placement Units”) to the Sponsor at a price of $10.00 per Pla</w:t>
      </w:r>
      <w:r>
        <w:rPr>
          <w:sz w:val="20"/>
          <w:szCs w:val="20"/>
        </w:rPr>
        <w:t>cement Unit, generating total gross proceeds of $4,463,580 (the “Private Placement”). With the exercise of the overallotment, the Company consummated the Private Placement of an additional 4,772 Placement Units to Broad Capital LLC, a Delaware limited liab</w:t>
      </w:r>
      <w:r>
        <w:rPr>
          <w:sz w:val="20"/>
          <w:szCs w:val="20"/>
        </w:rPr>
        <w:t>ility company (the “Sponsor”), generating gross proceeds of $47,720.</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We intend to use substantially all of the funds held in the trust account, including any amounts representing interest earned on the trust account (less deferred underwriting commission</w:t>
      </w:r>
      <w:r>
        <w:rPr>
          <w:sz w:val="20"/>
          <w:szCs w:val="20"/>
        </w:rPr>
        <w:t xml:space="preserve">s), to complete our initial business combination. We may withdraw interest to pay taxes. We estimate our annual franchise tax obligations, based on the number of shares of our common stock currently authorized and outstanding, to be $200,000, which is the </w:t>
      </w:r>
      <w:r>
        <w:rPr>
          <w:sz w:val="20"/>
          <w:szCs w:val="20"/>
        </w:rPr>
        <w:t>maximum amount of annual franchise taxes payable by us as a Delaware corporation per annum, which we may pay from funds from this IPO held outside of the trust account or from interest earned on the funds held in our trust account and released to us for th</w:t>
      </w:r>
      <w:r>
        <w:rPr>
          <w:sz w:val="20"/>
          <w:szCs w:val="20"/>
        </w:rPr>
        <w:t>is purpose. Our annual income tax obligations will depend on the amount of interest and other income earned on the amounts held in the trust account. We expect the interest earned on the amount in the trust account will be sufficient to pay our income taxe</w:t>
      </w:r>
      <w:r>
        <w:rPr>
          <w:sz w:val="20"/>
          <w:szCs w:val="20"/>
        </w:rPr>
        <w:t>s. To the extent that our capital stock or debt is used, in whole or in part, as consideration to complete our initial business combination, the remaining proceeds held in the trust account will be used as working capital to finance the operations of the t</w:t>
      </w:r>
      <w:r>
        <w:rPr>
          <w:sz w:val="20"/>
          <w:szCs w:val="20"/>
        </w:rPr>
        <w:t>arget business or businesses, make other acquisitions and pursue our growth strategies.</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4294223"/>
        </w:trPr>
        <w:tc>
          <w:tcPr>
            <w:tcW w:w="5000" w:type="pct"/>
            <w:hideMark/>
          </w:tcPr>
          <w:p w:rsidR="00000000" w:rsidRDefault="00BC17DB">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Prior </w:t>
      </w:r>
      <w:r>
        <w:rPr>
          <w:sz w:val="20"/>
          <w:szCs w:val="20"/>
        </w:rPr>
        <w:t>to the completion of our initial business combination, we will have available to us the approximately $650,000 of proceeds held outside the trust account. We will use these funds to identify and evaluate target businesses, perform business due diligence on</w:t>
      </w:r>
      <w:r>
        <w:rPr>
          <w:sz w:val="20"/>
          <w:szCs w:val="20"/>
        </w:rPr>
        <w:t xml:space="preserve"> prospective target businesses, travel to and from the offices, plants or similar locations of prospective target businesses or their or owners, review corporate documents and material agreements of prospective target businesses, and structure, negotiate a</w:t>
      </w:r>
      <w:r>
        <w:rPr>
          <w:sz w:val="20"/>
          <w:szCs w:val="20"/>
        </w:rPr>
        <w:t>nd complete an initial business combination.</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In order to fund working capital deficiencies or finance transaction costs in connection with an intended initial business combination, our sponsor or an affiliate of our chief executive officer or certain of </w:t>
      </w:r>
      <w:r>
        <w:rPr>
          <w:sz w:val="20"/>
          <w:szCs w:val="20"/>
        </w:rPr>
        <w:t>our officers and directors may, but are not obligated to, loan us funds on a non-interest bearing basis as may be required. If we complete our initial business combination, we will repay such loaned amounts. In the event that our initial business combinati</w:t>
      </w:r>
      <w:r>
        <w:rPr>
          <w:sz w:val="20"/>
          <w:szCs w:val="20"/>
        </w:rPr>
        <w:t>on does not close, we may use a portion of the working capital held outside the trust account to repay such loaned amounts but no proceeds from our trust account would be used for such repayment.</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Up to $1,500,000 of such loans may be convertible into uni</w:t>
      </w:r>
      <w:r>
        <w:rPr>
          <w:sz w:val="20"/>
          <w:szCs w:val="20"/>
        </w:rPr>
        <w:t>ts, at a price of $10.00 per unit at the option of the lender, upon consummation of our initial business combination. The units would be identical to the placement units. Other than as described above, the terms of such loans by our officers and directors,</w:t>
      </w:r>
      <w:r>
        <w:rPr>
          <w:sz w:val="20"/>
          <w:szCs w:val="20"/>
        </w:rPr>
        <w:t xml:space="preserve"> if any, have not been determined and no written agreements exist with respect to such loans. We do not expect to seek loans from parties other than our sponsor or an affiliate of our CEO as we do not believe third parties will be willing to loan such fund</w:t>
      </w:r>
      <w:r>
        <w:rPr>
          <w:sz w:val="20"/>
          <w:szCs w:val="20"/>
        </w:rPr>
        <w:t>s and provide a waiver against any and all rights to seek access to funds in our trust account.</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We expect our primary liquidity requirements during the 18-month period subsequent to our IPO to include approximately $390,000 for legal, accounting, due dil</w:t>
      </w:r>
      <w:r>
        <w:rPr>
          <w:sz w:val="20"/>
          <w:szCs w:val="20"/>
        </w:rPr>
        <w:t>igence, travel and other expenses associated with structuring, negotiating and documenting successful business combinations; $60,000 for legal and accounting fees related to regulatory reporting requirements; $180,000 for office space, utilities and secret</w:t>
      </w:r>
      <w:r>
        <w:rPr>
          <w:sz w:val="20"/>
          <w:szCs w:val="20"/>
        </w:rPr>
        <w:t>arial and administrative support; and approximately $20,000 for working capital that will be used for miscellaneous expenses and reserves.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These amounts are estimates and may differ materially from our actual expenses. In addition, we could use a portion</w:t>
      </w:r>
      <w:r>
        <w:rPr>
          <w:sz w:val="20"/>
          <w:szCs w:val="20"/>
        </w:rPr>
        <w:t xml:space="preserve"> of the funds not being placed in trust to pay commitment fees for financing, fees to consultants to assist us with our search for a target business or as a down payment or to fund a “no-shop” provision (a provision designed to keep target businesses from </w:t>
      </w:r>
      <w:r>
        <w:rPr>
          <w:sz w:val="20"/>
          <w:szCs w:val="20"/>
        </w:rPr>
        <w:t>“shopping” around for transactions with other companies or investors on terms more favorable to such target businesses) with respect to a particular proposed initial business combination, although we do not have any current intention to do so. If we entere</w:t>
      </w:r>
      <w:r>
        <w:rPr>
          <w:sz w:val="20"/>
          <w:szCs w:val="20"/>
        </w:rPr>
        <w:t xml:space="preserve">d into an agreement where we paid for the right to receive exclusivity from a target business, the amount that would be used as a down payment or to fund a “no-shop” provision would be determined based on the terms of the specific business combination and </w:t>
      </w:r>
      <w:r>
        <w:rPr>
          <w:sz w:val="20"/>
          <w:szCs w:val="20"/>
        </w:rPr>
        <w:t>the amount of our available funds at the time. Our forfeiture of such funds (whether as a result of our breach or otherwise) could result in our not having sufficient funds to continue searching for, or conducting due diligence with respect to, prospective</w:t>
      </w:r>
      <w:r>
        <w:rPr>
          <w:sz w:val="20"/>
          <w:szCs w:val="20"/>
        </w:rPr>
        <w:t xml:space="preserve"> target businesses.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We do not believe we will need to raise additional funds in order to meet the expenditures required for operating our business. However, if our estimates of the costs of identifying a target business, undertaking in-depth due diligenc</w:t>
      </w:r>
      <w:r>
        <w:rPr>
          <w:sz w:val="20"/>
          <w:szCs w:val="20"/>
        </w:rPr>
        <w:t>e and negotiating an initial business combination are less than the actual amount necessary to do so, we may have insufficient funds available to operate our business prior to our initial business combination. Moreover, we may need to obtain additional fin</w:t>
      </w:r>
      <w:r>
        <w:rPr>
          <w:sz w:val="20"/>
          <w:szCs w:val="20"/>
        </w:rPr>
        <w:t>ancing either to complete our initial business combination or because we become obligated to redeem a significant number of our public shares upon completion of our initial business combination, in which case we may issue additional securities or incur deb</w:t>
      </w:r>
      <w:r>
        <w:rPr>
          <w:sz w:val="20"/>
          <w:szCs w:val="20"/>
        </w:rPr>
        <w:t>t in connection with such business combination. In addition, we intend to target businesses larger than we could acquire with the net proceeds of the IPO and the sale of the placement units, and may as a result be required to seek additional financing to c</w:t>
      </w:r>
      <w:r>
        <w:rPr>
          <w:sz w:val="20"/>
          <w:szCs w:val="20"/>
        </w:rPr>
        <w:t>omplete such proposed initial business combination. Subject to compliance with applicable securities laws, we would only complete such financing simultaneously with the completion of our initial business combination. If we are unable to complete our initia</w:t>
      </w:r>
      <w:r>
        <w:rPr>
          <w:sz w:val="20"/>
          <w:szCs w:val="20"/>
        </w:rPr>
        <w:t xml:space="preserve">l business combination because we do not have sufficient funds available to us, we will be forced to cease operations and liquidate the trust account. In addition, following our initial business combination, if cash on hand is insufficient, we may need to </w:t>
      </w:r>
      <w:r>
        <w:rPr>
          <w:sz w:val="20"/>
          <w:szCs w:val="20"/>
        </w:rPr>
        <w:t>obtain additional financing in order to meet our obligations.</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8477937"/>
        </w:trPr>
        <w:tc>
          <w:tcPr>
            <w:tcW w:w="5000" w:type="pct"/>
            <w:hideMark/>
          </w:tcPr>
          <w:p w:rsidR="00000000" w:rsidRDefault="00BC17DB">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Going Concern</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In </w:t>
      </w:r>
      <w:r>
        <w:rPr>
          <w:sz w:val="20"/>
          <w:szCs w:val="20"/>
        </w:rPr>
        <w:t>connection with our assessment of going concern considerations in accordance with Financial Accounting Standard Board’s Accounting Standards Update (“ASU”) 2014-15, “Disclosures of Uncertainties about an Entity’s Ability to Continue as a Going Concern,” we</w:t>
      </w:r>
      <w:r>
        <w:rPr>
          <w:sz w:val="20"/>
          <w:szCs w:val="20"/>
        </w:rPr>
        <w:t xml:space="preserve"> have until January 13, 2023 to consummate a Business Combination subject to extension to July 13, 2023. It is uncertain that we will be able to consummate a Business Combination by this time. If a Business Combination is not consummated by this date, ther</w:t>
      </w:r>
      <w:r>
        <w:rPr>
          <w:sz w:val="20"/>
          <w:szCs w:val="20"/>
        </w:rPr>
        <w:t xml:space="preserve">e will be a mandatory liquidation and subsequent dissolution. Management has determined that the mandatory liquidation, should a Business Combination not occur, and potential subsequent dissolution raises substantial doubt about our ability to continue as </w:t>
      </w:r>
      <w:r>
        <w:rPr>
          <w:sz w:val="20"/>
          <w:szCs w:val="20"/>
        </w:rPr>
        <w:t>a going concern.</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Off-Balance Sheet Financing Arrangements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We have no obligations, assets or liabilities, which would be considered off-balance sheet arrangements as of September 30, 2022. We do not participate in transactions that create relationships </w:t>
      </w:r>
      <w:r>
        <w:rPr>
          <w:sz w:val="20"/>
          <w:szCs w:val="20"/>
        </w:rPr>
        <w:t>with unconsolidated entities or financial partnerships, often referred to as variable interest entities, which would have been established for the purpose of facilitating off-balance sheet arrangements. We have not entered into any off-balance sheet financ</w:t>
      </w:r>
      <w:r>
        <w:rPr>
          <w:sz w:val="20"/>
          <w:szCs w:val="20"/>
        </w:rPr>
        <w:t>ing arrangements, established any special purpose entities, guaranteed any debt or commitments of other entities, or purchased any non-financial assets.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Contractual Obligations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We do not have any long-term debt, capital lease obligations, operating lea</w:t>
      </w:r>
      <w:r>
        <w:rPr>
          <w:sz w:val="20"/>
          <w:szCs w:val="20"/>
        </w:rPr>
        <w:t>se obligations or long-term liabilities, other than an agreement to pay an affiliate of our Sponsor a monthly fee of $10,000 for office space, utilities and administrative support provided to the Company. We began incurring these fees on January 13, 2022 a</w:t>
      </w:r>
      <w:r>
        <w:rPr>
          <w:sz w:val="20"/>
          <w:szCs w:val="20"/>
        </w:rPr>
        <w:t>nd will continue to incur these fees monthly until the earlier of the completion of the initial Business Combination and the Company’s liquidation. For the period April 16, 2021 (inception) through September 30, 2022, $80,000 of expense was recorded and in</w:t>
      </w:r>
      <w:r>
        <w:rPr>
          <w:sz w:val="20"/>
          <w:szCs w:val="20"/>
        </w:rPr>
        <w:t>cluded in formation and operating costs in the statement of operations.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The underwriter is entitled to deferred commissions of $3,555,674 from the Units sold in the Initial Public Offering. The deferred commissions will become payable to the underwriter </w:t>
      </w:r>
      <w:r>
        <w:rPr>
          <w:sz w:val="20"/>
          <w:szCs w:val="20"/>
        </w:rPr>
        <w:t>from the amounts held in the Trust Account solely in the event that we complete a Business Combination, subject to the terms of the underwriting agreement.</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Critical Accounting Policies</w:t>
      </w:r>
    </w:p>
    <w:p w:rsidR="00000000" w:rsidRDefault="00BC17DB">
      <w:pPr>
        <w:pStyle w:val="a3"/>
        <w:spacing w:before="0" w:beforeAutospacing="0" w:after="0" w:afterAutospacing="0"/>
        <w:jc w:val="both"/>
        <w:rPr>
          <w:sz w:val="20"/>
          <w:szCs w:val="20"/>
        </w:rPr>
      </w:pPr>
      <w:r>
        <w:rPr>
          <w:b/>
          <w:bCs/>
          <w:sz w:val="20"/>
          <w:szCs w:val="20"/>
        </w:rPr>
        <w:t> </w:t>
      </w:r>
    </w:p>
    <w:p w:rsidR="00000000" w:rsidRDefault="00BC17DB">
      <w:pPr>
        <w:pStyle w:val="a3"/>
        <w:spacing w:before="0" w:beforeAutospacing="0" w:after="0" w:afterAutospacing="0"/>
        <w:jc w:val="both"/>
        <w:rPr>
          <w:sz w:val="20"/>
          <w:szCs w:val="20"/>
        </w:rPr>
      </w:pPr>
      <w:r>
        <w:rPr>
          <w:sz w:val="20"/>
          <w:szCs w:val="20"/>
        </w:rPr>
        <w:t xml:space="preserve">The preparation of financial statements and related disclosures in </w:t>
      </w:r>
      <w:r>
        <w:rPr>
          <w:sz w:val="20"/>
          <w:szCs w:val="20"/>
        </w:rPr>
        <w:t>conformity with accounting principles generally accepted in the United States of America requires management to make estimates and assumptions that affect the reported amounts of assets and liabilities, disclosure of contingent assets and liabilities at th</w:t>
      </w:r>
      <w:r>
        <w:rPr>
          <w:sz w:val="20"/>
          <w:szCs w:val="20"/>
        </w:rPr>
        <w:t>e date of the financial statements, and income and expenses during the periods reported. Actual results could materially differ from those estimates. We have not identified any critical accounting policies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Recent Accounting Pronouncements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Management do</w:t>
      </w:r>
      <w:r>
        <w:rPr>
          <w:sz w:val="20"/>
          <w:szCs w:val="20"/>
        </w:rPr>
        <w:t>es not believe that any recently issued, but not yet effective, accounting pronouncements, if currently adopted, would have a material effect on our condensed financial statements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 xml:space="preserve">ITEM </w:t>
      </w:r>
      <w:r>
        <w:rPr>
          <w:b/>
          <w:bCs/>
          <w:sz w:val="20"/>
          <w:szCs w:val="20"/>
        </w:rPr>
        <w:t>3. QUANTITATIVE AND QUALITATIVE DISCLOSURES ABOUT MARKET RISK</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Following the consummation of our Initial Public Offering, the net proceeds of our Initial Public Offering, including amounts in the Trust Account, have been invested in U.S. government treasu</w:t>
      </w:r>
      <w:r>
        <w:rPr>
          <w:sz w:val="20"/>
          <w:szCs w:val="20"/>
        </w:rPr>
        <w:t>ry bills, notes or bonds with a maturity of 185 days or less or in certain money market funds that invest solely in US treasuries. Due to the short-term nature of these investments, we do not believe that there will be an associated material exposure to in</w:t>
      </w:r>
      <w:r>
        <w:rPr>
          <w:sz w:val="20"/>
          <w:szCs w:val="20"/>
        </w:rPr>
        <w:t>terest rate risk.</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pacing w:before="0" w:beforeAutospacing="0" w:after="0" w:afterAutospacing="0"/>
        <w:jc w:val="both"/>
        <w:rPr>
          <w:sz w:val="20"/>
          <w:szCs w:val="20"/>
        </w:rPr>
      </w:pPr>
      <w:r>
        <w:rPr>
          <w:b/>
          <w:bCs/>
          <w:sz w:val="20"/>
          <w:szCs w:val="20"/>
        </w:rPr>
        <w:t>ITEM 4. CONTROLS AND PROCEDURES</w:t>
      </w:r>
    </w:p>
    <w:p w:rsidR="00000000" w:rsidRDefault="00BC17DB">
      <w:pPr>
        <w:pStyle w:val="a3"/>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Disclosure controls and procedures are controls and other procedures that are designed to ensure that information required to be disclosed in our reports filed or submitted under the Exchange Act is rec</w:t>
      </w:r>
      <w:r>
        <w:rPr>
          <w:sz w:val="20"/>
          <w:szCs w:val="20"/>
        </w:rPr>
        <w:t>orded, processed, summarized and reported within the time periods specified in the SEC’s rules and forms. Disclosure controls and procedures include, without limitation, controls and procedures designed to ensure that information required to be disclosed i</w:t>
      </w:r>
      <w:r>
        <w:rPr>
          <w:sz w:val="20"/>
          <w:szCs w:val="20"/>
        </w:rPr>
        <w:t>n our reports filed or submitted under the Exchange Act is accumulated and communicated to our management, including our Chief Executive Officer, to allow timely decisions regarding required disclosure.</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9580676"/>
        </w:trPr>
        <w:tc>
          <w:tcPr>
            <w:tcW w:w="5000" w:type="pct"/>
            <w:hideMark/>
          </w:tcPr>
          <w:p w:rsidR="00000000" w:rsidRDefault="00BC17DB">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both"/>
        <w:rPr>
          <w:sz w:val="20"/>
          <w:szCs w:val="20"/>
        </w:rPr>
      </w:pPr>
      <w:r>
        <w:rPr>
          <w:i/>
          <w:iCs/>
          <w:sz w:val="20"/>
          <w:szCs w:val="20"/>
        </w:rPr>
        <w:t> </w:t>
      </w:r>
    </w:p>
    <w:p w:rsidR="00000000" w:rsidRDefault="00BC17DB">
      <w:pPr>
        <w:pStyle w:val="a3"/>
        <w:shd w:val="clear" w:color="auto" w:fill="FFFFFF"/>
        <w:spacing w:before="0" w:beforeAutospacing="0" w:after="0" w:afterAutospacing="0"/>
        <w:jc w:val="both"/>
        <w:rPr>
          <w:sz w:val="20"/>
          <w:szCs w:val="20"/>
        </w:rPr>
      </w:pPr>
      <w:r>
        <w:rPr>
          <w:i/>
          <w:iCs/>
          <w:sz w:val="20"/>
          <w:szCs w:val="20"/>
        </w:rPr>
        <w:t>Evaluation of Disclosure Controls and Proc</w:t>
      </w:r>
      <w:r>
        <w:rPr>
          <w:i/>
          <w:iCs/>
          <w:sz w:val="20"/>
          <w:szCs w:val="20"/>
        </w:rPr>
        <w:t>edures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Disclosure controls and procedures are designed to ensure that information required to be disclosed by us in our Exchange Act reports is recorded, processed, summarized, and reported within the time periods specified in the SEC’s rules and forms, </w:t>
      </w:r>
      <w:r>
        <w:rPr>
          <w:sz w:val="20"/>
          <w:szCs w:val="20"/>
        </w:rPr>
        <w:t>and that such information is accumulated and communicated to our management, including our principal executive officer and principal financial officer or persons performing similar functions, as appropriate to allow timely decisions regarding required disc</w:t>
      </w:r>
      <w:r>
        <w:rPr>
          <w:sz w:val="20"/>
          <w:szCs w:val="20"/>
        </w:rPr>
        <w:t>losure.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Under the supervision and with the participation of our management, including our principal executive officer and principal financial and accounting officer, we conducted an evaluation of the effectiveness of our disclosure controls and procedure</w:t>
      </w:r>
      <w:r>
        <w:rPr>
          <w:sz w:val="20"/>
          <w:szCs w:val="20"/>
        </w:rPr>
        <w:t>s as of the end of the fiscal quarter ended September 30, 2022, as such term is defined in Rules 13a-15(e) and 15d-15(e) under the Exchange Act. Based on this evaluation, our principal executive officer and principal financial and accounting officer have c</w:t>
      </w:r>
      <w:r>
        <w:rPr>
          <w:sz w:val="20"/>
          <w:szCs w:val="20"/>
        </w:rPr>
        <w:t>oncluded that during the period covered by this report, our disclosure controls and procedures were not effective at a reasonable assurance level and, accordingly, provided reasonable assurance that the information required to be disclosed by us in reports</w:t>
      </w:r>
      <w:r>
        <w:rPr>
          <w:sz w:val="20"/>
          <w:szCs w:val="20"/>
        </w:rPr>
        <w:t xml:space="preserve"> filed under the Exchange Act is recorded, processed, summarized and reported within the time periods specified in the SEC’s rules and forms.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i/>
          <w:iCs/>
          <w:sz w:val="20"/>
          <w:szCs w:val="20"/>
        </w:rPr>
        <w:t>Changes in Internal Control over Financial Reporting</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most recently completed fiscal quarter ended September 30, 2022, there was no change in our internal control over financial reporting that has materially affected, or is reasonably likely to materially affect, our internal control over financial report</w:t>
      </w:r>
      <w:r>
        <w:rPr>
          <w:sz w:val="20"/>
          <w:szCs w:val="20"/>
        </w:rPr>
        <w:t>ing.</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center"/>
        <w:rPr>
          <w:sz w:val="20"/>
          <w:szCs w:val="20"/>
        </w:rPr>
      </w:pPr>
      <w:r>
        <w:rPr>
          <w:b/>
          <w:bCs/>
          <w:sz w:val="20"/>
          <w:szCs w:val="20"/>
          <w:shd w:val="clear" w:color="auto" w:fill="FFFFFF"/>
        </w:rPr>
        <w:t>PART II - OTHER INFORMATION</w:t>
      </w:r>
    </w:p>
    <w:p w:rsidR="00000000" w:rsidRDefault="00BC17DB">
      <w:pPr>
        <w:pStyle w:val="a3"/>
        <w:shd w:val="clear" w:color="auto" w:fill="FFFFFF"/>
        <w:spacing w:before="0" w:beforeAutospacing="0" w:after="0" w:afterAutospacing="0"/>
        <w:jc w:val="center"/>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1. Legal Proceedings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None.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1A. Risk Factors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of the date of this Quarterly Report on Form 10-Q, there have been no material changes to the risk factors disclosed in our final prospectus dated January 10, 2022 filed with the SEC, except we may disclose changes to such factors or disclose additional fa</w:t>
      </w:r>
      <w:r>
        <w:rPr>
          <w:sz w:val="20"/>
          <w:szCs w:val="20"/>
        </w:rPr>
        <w:t>ctors from time to time in our future filings with the SEC. Any of these factors could result in a significant or material adverse effect on our results of operations or financial condition. Additional risk factors not presently known to us or that we curr</w:t>
      </w:r>
      <w:r>
        <w:rPr>
          <w:sz w:val="20"/>
          <w:szCs w:val="20"/>
        </w:rPr>
        <w:t>ently deem immaterial may also impair our business or results of operations.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2. Unregistered Sale of Equity Securities and Use of Proceeds.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i/>
          <w:iCs/>
          <w:sz w:val="20"/>
          <w:szCs w:val="20"/>
        </w:rPr>
        <w:t>Unregistered Sales of Equity Securities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On January 13, 2022, simultaneously with the consummation of the </w:t>
      </w:r>
      <w:r>
        <w:rPr>
          <w:sz w:val="20"/>
          <w:szCs w:val="20"/>
        </w:rPr>
        <w:t>closing of the Initial Public Offering, the Company consummated the private placement of an aggregate of 446,358 units (the “Private Placement Units”) to Broad Capital LLC, the sponsor of the Company (the “Sponsor”), at a price of $10.00 per Private Placem</w:t>
      </w:r>
      <w:r>
        <w:rPr>
          <w:sz w:val="20"/>
          <w:szCs w:val="20"/>
        </w:rPr>
        <w:t>ent Unit, generating total gross proceeds of $4,463,580 (the “Private Placement”). On February 10, 2022, the underwriters partially exercised the over-allotment option and purchased an additional 159,069 Units, generating gross proceeds of $1,590,690 and f</w:t>
      </w:r>
      <w:r>
        <w:rPr>
          <w:sz w:val="20"/>
          <w:szCs w:val="20"/>
        </w:rPr>
        <w:t>orfeited the remainder of the option, which is 335,233 shares of common stock. The issuance of the Private Placement Units was made pursuant to the exemption from registration contained in Section 4(a)(2) of the Securities Act. With the exercise of the ove</w:t>
      </w:r>
      <w:r>
        <w:rPr>
          <w:sz w:val="20"/>
          <w:szCs w:val="20"/>
        </w:rPr>
        <w:t>rallotment, the Company consummated the Private Placement of an additional 4,772 Placement Units to Broad Capital LLC, a Delaware limited liability company (the “Sponsor”), generating gross proceeds of $47,720.</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i/>
          <w:iCs/>
          <w:sz w:val="20"/>
          <w:szCs w:val="20"/>
        </w:rPr>
        <w:t>Use of Proceeds from the Public Offering</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shd w:val="clear" w:color="auto" w:fill="FFFFFF"/>
        </w:rPr>
        <w:t>In connection with the closing and sale of the Over-Allotment Units and the additional private placement units (together, the “Over-Allotment Closing”), a total of $1,606,597 in proceeds from the Over-Allotment Closing (which amount includes $31,814 of the</w:t>
      </w:r>
      <w:r>
        <w:rPr>
          <w:sz w:val="20"/>
          <w:szCs w:val="20"/>
          <w:shd w:val="clear" w:color="auto" w:fill="FFFFFF"/>
        </w:rPr>
        <w:t xml:space="preserve"> Underwriters’ deferred discount) was placed in a U.S.-based trust account established for the benefit of the Company’s public shareholders, maintained by Continental Stock Transfer &amp; Trust Company, acting as trustee. The proceeds held in the trust account</w:t>
      </w:r>
      <w:r>
        <w:rPr>
          <w:sz w:val="20"/>
          <w:szCs w:val="20"/>
          <w:shd w:val="clear" w:color="auto" w:fill="FFFFFF"/>
        </w:rPr>
        <w:t xml:space="preserve"> may be invested by the trustee only in U.S. government securities with a maturity of 180 days or less or in money market funds investing solely in U.S. government treasury obligations and meeting certain conditions under Rule 2a-7 under the Investment Com</w:t>
      </w:r>
      <w:r>
        <w:rPr>
          <w:sz w:val="20"/>
          <w:szCs w:val="20"/>
          <w:shd w:val="clear" w:color="auto" w:fill="FFFFFF"/>
        </w:rPr>
        <w:t>pany Act.</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5250825"/>
        </w:trPr>
        <w:tc>
          <w:tcPr>
            <w:tcW w:w="5000" w:type="pct"/>
            <w:hideMark/>
          </w:tcPr>
          <w:p w:rsidR="00000000" w:rsidRDefault="00BC17DB">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both"/>
        <w:rPr>
          <w:sz w:val="20"/>
          <w:szCs w:val="20"/>
        </w:rPr>
      </w:pPr>
      <w:r>
        <w:rPr>
          <w:b/>
          <w:bCs/>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3. Defaults Upon Senior Securities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None.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4. Mine Safety Disclosures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Not Applicable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5. Other Information</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None.</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b/>
          <w:bCs/>
          <w:sz w:val="20"/>
          <w:szCs w:val="20"/>
        </w:rPr>
        <w:t>Item 6. Exhibits</w:t>
      </w:r>
    </w:p>
    <w:p w:rsidR="00000000" w:rsidRDefault="00BC17DB">
      <w:pPr>
        <w:pStyle w:val="a3"/>
        <w:shd w:val="clear" w:color="auto" w:fill="FFFFFF"/>
        <w:spacing w:before="0" w:beforeAutospacing="0" w:after="0" w:afterAutospacing="0"/>
        <w:jc w:val="both"/>
        <w:rPr>
          <w:sz w:val="20"/>
          <w:szCs w:val="20"/>
        </w:rPr>
      </w:pPr>
      <w:r>
        <w:rPr>
          <w:sz w:val="20"/>
          <w:szCs w:val="20"/>
        </w:rPr>
        <w:t> </w:t>
      </w:r>
    </w:p>
    <w:p w:rsidR="00000000" w:rsidRDefault="00BC17DB">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following exhibits are filed as part of, or incorporated by reference into, this Quarterly Report on Form 10-Q.</w:t>
      </w:r>
    </w:p>
    <w:p w:rsidR="00000000" w:rsidRDefault="00BC17DB">
      <w:pPr>
        <w:pStyle w:val="a3"/>
        <w:shd w:val="clear" w:color="auto" w:fill="FFFFFF"/>
        <w:spacing w:before="0" w:beforeAutospacing="0" w:after="0" w:afterAutospacing="0"/>
        <w:jc w:val="both"/>
        <w:rPr>
          <w:sz w:val="20"/>
          <w:szCs w:val="20"/>
        </w:rPr>
      </w:pPr>
      <w:r>
        <w:rPr>
          <w:sz w:val="20"/>
          <w:szCs w:val="20"/>
        </w:rPr>
        <w:t> </w:t>
      </w:r>
    </w:p>
    <w:tbl>
      <w:tblPr>
        <w:tblW w:w="5000" w:type="pct"/>
        <w:shd w:val="clear" w:color="auto" w:fill="FFFFFF"/>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shd w:val="clear" w:color="auto" w:fill="FFFFFF"/>
            <w:hideMark/>
          </w:tcPr>
          <w:p w:rsidR="00000000" w:rsidRDefault="00BC17DB">
            <w:pPr>
              <w:rPr>
                <w:rFonts w:eastAsia="Times New Roman"/>
                <w:sz w:val="20"/>
                <w:szCs w:val="20"/>
              </w:rPr>
            </w:pPr>
            <w:r>
              <w:rPr>
                <w:rFonts w:eastAsia="Times New Roman"/>
                <w:b/>
                <w:bCs/>
                <w:sz w:val="20"/>
                <w:szCs w:val="20"/>
              </w:rPr>
              <w:t>No.</w:t>
            </w:r>
          </w:p>
        </w:tc>
        <w:tc>
          <w:tcPr>
            <w:tcW w:w="144" w:type="dxa"/>
            <w:shd w:val="clear" w:color="auto" w:fill="FFFFFF"/>
            <w:tcMar>
              <w:top w:w="0" w:type="dxa"/>
              <w:left w:w="0" w:type="dxa"/>
              <w:bottom w:w="30" w:type="dxa"/>
              <w:right w:w="0" w:type="dxa"/>
            </w:tcMar>
            <w:hideMark/>
          </w:tcPr>
          <w:p w:rsidR="00000000" w:rsidRDefault="00BC17D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hideMark/>
          </w:tcPr>
          <w:p w:rsidR="00000000" w:rsidRDefault="00BC17DB">
            <w:pPr>
              <w:jc w:val="both"/>
              <w:rPr>
                <w:rFonts w:eastAsia="Times New Roman"/>
                <w:sz w:val="20"/>
                <w:szCs w:val="20"/>
              </w:rPr>
            </w:pPr>
            <w:r>
              <w:rPr>
                <w:rFonts w:eastAsia="Times New Roman"/>
                <w:b/>
                <w:bCs/>
                <w:sz w:val="20"/>
                <w:szCs w:val="20"/>
              </w:rPr>
              <w:t>Description of Exhibits</w:t>
            </w:r>
          </w:p>
        </w:tc>
      </w:tr>
      <w:tr w:rsidR="00000000">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rPr>
              <w:t>31.1*</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hyperlink r:id="rId5" w:history="1">
              <w:r>
                <w:rPr>
                  <w:rStyle w:val="a4"/>
                  <w:rFonts w:eastAsia="Times New Roman"/>
                  <w:sz w:val="20"/>
                  <w:szCs w:val="20"/>
                  <w:shd w:val="clear" w:color="auto" w:fill="FFFFFF"/>
                </w:rPr>
                <w:t>Certification of Principal Executive Officer Pursuant to Securities Exchange</w:t>
              </w:r>
              <w:r>
                <w:rPr>
                  <w:rStyle w:val="a4"/>
                  <w:rFonts w:eastAsia="Times New Roman"/>
                  <w:sz w:val="20"/>
                  <w:szCs w:val="20"/>
                  <w:shd w:val="clear" w:color="auto" w:fill="FFFFFF"/>
                </w:rPr>
                <w:t xml:space="preserve"> Act Rules 13a-14(a) and 15(d)-14(a), as adopted Pursuant to Section 302 of the Sarbanes-Oxley Act of 2002</w:t>
              </w:r>
            </w:hyperlink>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31.2*</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hyperlink r:id="rId6" w:history="1">
              <w:r>
                <w:rPr>
                  <w:rStyle w:val="a4"/>
                  <w:rFonts w:eastAsia="Times New Roman"/>
                  <w:sz w:val="20"/>
                  <w:szCs w:val="20"/>
                  <w:shd w:val="clear" w:color="auto" w:fill="FFFFFF"/>
                </w:rPr>
                <w:t>Certification of Principal Financial Officer Pursuant to Securities Exchange Act Rules 13a-14(a) and 15(d)-14(a),</w:t>
              </w:r>
              <w:r>
                <w:rPr>
                  <w:rStyle w:val="a4"/>
                  <w:rFonts w:eastAsia="Times New Roman"/>
                  <w:sz w:val="20"/>
                  <w:szCs w:val="20"/>
                  <w:shd w:val="clear" w:color="auto" w:fill="FFFFFF"/>
                </w:rPr>
                <w:t xml:space="preserve"> as adopted Pursuant to Section 302 of the Sarbanes-Oxley Act of 2002</w:t>
              </w:r>
            </w:hyperlink>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32.1*</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hyperlink r:id="rId7" w:history="1">
              <w:r>
                <w:rPr>
                  <w:rStyle w:val="a4"/>
                  <w:rFonts w:eastAsia="Times New Roman"/>
                  <w:sz w:val="20"/>
                  <w:szCs w:val="20"/>
                  <w:shd w:val="clear" w:color="auto" w:fill="FFFFFF"/>
                </w:rPr>
                <w:t>Certification of Principal Executive Officer Pursuant to 18 U.S.C. Section 1350, as adopted Pursuant to Section 906 of the Sarbanes-Oxley Act of 2002</w:t>
              </w:r>
            </w:hyperlink>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32.2*</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hyperlink r:id="rId8" w:history="1">
              <w:r>
                <w:rPr>
                  <w:rStyle w:val="a4"/>
                  <w:rFonts w:eastAsia="Times New Roman"/>
                  <w:sz w:val="20"/>
                  <w:szCs w:val="20"/>
                  <w:shd w:val="clear" w:color="auto" w:fill="FFFFFF"/>
                </w:rPr>
                <w:t>Certification of Principal Financial Officer Pursuant to 18 U.S.C. Section 1350, as adopted Pursuant to Section 906 of the Sarbanes-Oxley Act of 2002</w:t>
              </w:r>
            </w:hyperlink>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101.INS*</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shd w:val="clear" w:color="auto" w:fill="FFFFFF"/>
              </w:rPr>
              <w:t>Inline XBRL Instance Document</w:t>
            </w:r>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101.CAL*</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shd w:val="clear" w:color="auto" w:fill="FFFFFF"/>
              </w:rPr>
              <w:t>Inline XBRL Instance Document</w:t>
            </w:r>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101.SCH*</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shd w:val="clear" w:color="auto" w:fill="FFFFFF"/>
              </w:rPr>
              <w:t xml:space="preserve">Inline </w:t>
            </w:r>
            <w:r>
              <w:rPr>
                <w:rFonts w:eastAsia="Times New Roman"/>
                <w:sz w:val="20"/>
                <w:szCs w:val="20"/>
                <w:shd w:val="clear" w:color="auto" w:fill="FFFFFF"/>
              </w:rPr>
              <w:t>XBRL Taxonomy Extension Schema Document</w:t>
            </w:r>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101.DEF*</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shd w:val="clear" w:color="auto" w:fill="FFFFFF"/>
              </w:rPr>
              <w:t>Inline XBRL Taxonomy Extension Definition Linkbase Document</w:t>
            </w:r>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101.LAB*</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rPr>
              <w:t>Inline XBRL Taxonomy Extension Labels Linkbase Document</w:t>
            </w:r>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101.PRE*</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Presentation Linkbase Document</w:t>
            </w:r>
          </w:p>
        </w:tc>
      </w:tr>
      <w:tr w:rsidR="00000000">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104</w:t>
            </w:r>
          </w:p>
        </w:tc>
        <w:tc>
          <w:tcPr>
            <w:tcW w:w="0" w:type="auto"/>
            <w:shd w:val="clear" w:color="auto" w:fill="auto"/>
            <w:vAlign w:val="center"/>
            <w:hideMark/>
          </w:tcPr>
          <w:p w:rsidR="00000000" w:rsidRDefault="00BC17DB">
            <w:pPr>
              <w:rPr>
                <w:rFonts w:eastAsia="Times New Roman"/>
                <w:sz w:val="20"/>
                <w:szCs w:val="20"/>
              </w:rPr>
            </w:pPr>
            <w:r>
              <w:rPr>
                <w:rFonts w:eastAsia="Times New Roman"/>
                <w:sz w:val="20"/>
                <w:szCs w:val="20"/>
              </w:rPr>
              <w:t> </w:t>
            </w:r>
          </w:p>
        </w:tc>
        <w:tc>
          <w:tcPr>
            <w:tcW w:w="0" w:type="auto"/>
            <w:shd w:val="clear" w:color="auto" w:fill="auto"/>
            <w:vAlign w:val="center"/>
            <w:hideMark/>
          </w:tcPr>
          <w:p w:rsidR="00000000" w:rsidRDefault="00BC17DB">
            <w:pPr>
              <w:jc w:val="both"/>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BC17DB">
      <w:pPr>
        <w:pStyle w:val="a3"/>
        <w:spacing w:before="0" w:beforeAutospacing="0" w:after="0" w:afterAutospacing="0"/>
        <w:ind w:firstLine="360"/>
        <w:jc w:val="both"/>
        <w:rPr>
          <w:sz w:val="20"/>
          <w:szCs w:val="20"/>
        </w:rPr>
      </w:pPr>
      <w:r>
        <w:rPr>
          <w:sz w:val="20"/>
          <w:szCs w:val="20"/>
        </w:rPr>
        <w:t> </w:t>
      </w:r>
    </w:p>
    <w:p w:rsidR="00000000" w:rsidRDefault="00BC17DB">
      <w:pPr>
        <w:pStyle w:val="a3"/>
        <w:spacing w:before="0" w:beforeAutospacing="0" w:after="0" w:afterAutospacing="0"/>
        <w:ind w:firstLine="360"/>
        <w:jc w:val="both"/>
        <w:rPr>
          <w:sz w:val="20"/>
          <w:szCs w:val="20"/>
        </w:rPr>
      </w:pPr>
      <w:r>
        <w:rPr>
          <w:sz w:val="20"/>
          <w:szCs w:val="20"/>
        </w:rPr>
        <w:t>* Filed herewith</w:t>
      </w:r>
    </w:p>
    <w:p w:rsidR="00000000" w:rsidRDefault="00BC17DB">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0836637"/>
        </w:trPr>
        <w:tc>
          <w:tcPr>
            <w:tcW w:w="5000" w:type="pct"/>
            <w:hideMark/>
          </w:tcPr>
          <w:p w:rsidR="00000000" w:rsidRDefault="00BC17DB">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BC17DB">
            <w:pPr>
              <w:rPr>
                <w:rFonts w:eastAsia="Times New Roman"/>
                <w:sz w:val="20"/>
                <w:szCs w:val="20"/>
              </w:rPr>
            </w:pPr>
            <w:r>
              <w:rPr>
                <w:rFonts w:eastAsia="Times New Roman"/>
                <w:sz w:val="20"/>
                <w:szCs w:val="20"/>
              </w:rPr>
              <w:t> </w:t>
            </w:r>
          </w:p>
        </w:tc>
      </w:tr>
    </w:tbl>
    <w:p w:rsidR="00000000" w:rsidRDefault="00BC17DB">
      <w:pPr>
        <w:pStyle w:val="a3"/>
        <w:spacing w:before="0" w:beforeAutospacing="0" w:after="0" w:afterAutospacing="0"/>
        <w:jc w:val="center"/>
        <w:rPr>
          <w:sz w:val="20"/>
          <w:szCs w:val="20"/>
        </w:rPr>
      </w:pPr>
      <w:r>
        <w:rPr>
          <w:b/>
          <w:bCs/>
          <w:sz w:val="20"/>
          <w:szCs w:val="20"/>
        </w:rPr>
        <w:t> </w:t>
      </w:r>
    </w:p>
    <w:p w:rsidR="00000000" w:rsidRDefault="00BC17DB">
      <w:pPr>
        <w:pStyle w:val="a3"/>
        <w:spacing w:before="0" w:beforeAutospacing="0" w:after="0" w:afterAutospacing="0"/>
        <w:jc w:val="center"/>
        <w:rPr>
          <w:sz w:val="20"/>
          <w:szCs w:val="20"/>
        </w:rPr>
      </w:pPr>
      <w:r>
        <w:rPr>
          <w:b/>
          <w:bCs/>
          <w:sz w:val="20"/>
          <w:szCs w:val="20"/>
        </w:rPr>
        <w:t>SIGNATURES</w:t>
      </w:r>
    </w:p>
    <w:p w:rsidR="00000000" w:rsidRDefault="00BC17DB">
      <w:pPr>
        <w:pStyle w:val="a3"/>
        <w:spacing w:before="0" w:beforeAutospacing="0" w:after="0" w:afterAutospacing="0"/>
        <w:jc w:val="center"/>
        <w:rPr>
          <w:sz w:val="20"/>
          <w:szCs w:val="20"/>
        </w:rPr>
      </w:pPr>
      <w:r>
        <w:rPr>
          <w:sz w:val="20"/>
          <w:szCs w:val="20"/>
        </w:rPr>
        <w:t> </w:t>
      </w:r>
    </w:p>
    <w:p w:rsidR="00000000" w:rsidRDefault="00BC17DB">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BC17DB">
            <w:pPr>
              <w:rPr>
                <w:rFonts w:eastAsia="Times New Roman"/>
                <w:sz w:val="20"/>
                <w:szCs w:val="20"/>
              </w:rPr>
            </w:pPr>
            <w:r>
              <w:rPr>
                <w:rFonts w:eastAsia="Times New Roman"/>
                <w:sz w:val="20"/>
                <w:szCs w:val="20"/>
              </w:rPr>
              <w:t> </w:t>
            </w:r>
          </w:p>
        </w:tc>
        <w:tc>
          <w:tcPr>
            <w:tcW w:w="0" w:type="auto"/>
            <w:gridSpan w:val="2"/>
            <w:hideMark/>
          </w:tcPr>
          <w:p w:rsidR="00000000" w:rsidRDefault="00BC17DB">
            <w:pPr>
              <w:rPr>
                <w:rFonts w:eastAsia="Times New Roman"/>
                <w:sz w:val="20"/>
                <w:szCs w:val="20"/>
              </w:rPr>
            </w:pPr>
            <w:r>
              <w:rPr>
                <w:rFonts w:eastAsia="Times New Roman"/>
                <w:b/>
                <w:bCs/>
                <w:sz w:val="20"/>
                <w:szCs w:val="20"/>
              </w:rPr>
              <w:t>Broad Capital Acquisition Corp</w:t>
            </w:r>
          </w:p>
        </w:tc>
      </w:tr>
      <w:tr w:rsidR="00000000">
        <w:tc>
          <w:tcPr>
            <w:tcW w:w="0" w:type="auto"/>
            <w:hideMark/>
          </w:tcPr>
          <w:p w:rsidR="00000000" w:rsidRDefault="00BC17DB">
            <w:pPr>
              <w:rPr>
                <w:rFonts w:eastAsia="Times New Roman"/>
                <w:sz w:val="20"/>
                <w:szCs w:val="20"/>
              </w:rPr>
            </w:pPr>
            <w:r>
              <w:rPr>
                <w:rFonts w:eastAsia="Times New Roman"/>
                <w:sz w:val="20"/>
                <w:szCs w:val="20"/>
              </w:rPr>
              <w:t> </w:t>
            </w:r>
          </w:p>
        </w:tc>
        <w:tc>
          <w:tcPr>
            <w:tcW w:w="0" w:type="auto"/>
            <w:gridSpan w:val="2"/>
            <w:hideMark/>
          </w:tcPr>
          <w:p w:rsidR="00000000" w:rsidRDefault="00BC17DB">
            <w:pPr>
              <w:rPr>
                <w:rFonts w:eastAsia="Times New Roman"/>
                <w:sz w:val="20"/>
                <w:szCs w:val="20"/>
              </w:rPr>
            </w:pPr>
            <w:r>
              <w:rPr>
                <w:rFonts w:eastAsia="Times New Roman"/>
                <w:sz w:val="20"/>
                <w:szCs w:val="20"/>
              </w:rPr>
              <w:t> </w:t>
            </w:r>
          </w:p>
        </w:tc>
      </w:tr>
      <w:tr w:rsidR="00000000">
        <w:tc>
          <w:tcPr>
            <w:tcW w:w="2500" w:type="pct"/>
            <w:hideMark/>
          </w:tcPr>
          <w:p w:rsidR="00000000" w:rsidRDefault="00BC17DB">
            <w:pPr>
              <w:rPr>
                <w:rFonts w:eastAsia="Times New Roman"/>
                <w:sz w:val="20"/>
                <w:szCs w:val="20"/>
              </w:rPr>
            </w:pPr>
            <w:r>
              <w:rPr>
                <w:rFonts w:eastAsia="Times New Roman"/>
                <w:sz w:val="20"/>
                <w:szCs w:val="20"/>
              </w:rPr>
              <w:t>Date: November 14, 2022</w:t>
            </w:r>
          </w:p>
        </w:tc>
        <w:tc>
          <w:tcPr>
            <w:tcW w:w="150" w:type="pct"/>
            <w:hideMark/>
          </w:tcPr>
          <w:p w:rsidR="00000000" w:rsidRDefault="00BC17DB">
            <w:pPr>
              <w:rPr>
                <w:rFonts w:eastAsia="Times New Roman"/>
                <w:sz w:val="20"/>
                <w:szCs w:val="20"/>
              </w:rPr>
            </w:pPr>
            <w:r>
              <w:rPr>
                <w:rFonts w:eastAsia="Times New Roman"/>
                <w:sz w:val="20"/>
                <w:szCs w:val="20"/>
              </w:rPr>
              <w:t>By:</w:t>
            </w:r>
          </w:p>
        </w:tc>
        <w:tc>
          <w:tcPr>
            <w:tcW w:w="2350" w:type="pct"/>
            <w:tcBorders>
              <w:bottom w:val="single" w:sz="12" w:space="0" w:color="000000"/>
            </w:tcBorders>
            <w:hideMark/>
          </w:tcPr>
          <w:p w:rsidR="00000000" w:rsidRDefault="00BC17DB">
            <w:pPr>
              <w:rPr>
                <w:rFonts w:eastAsia="Times New Roman"/>
                <w:sz w:val="20"/>
                <w:szCs w:val="20"/>
              </w:rPr>
            </w:pPr>
            <w:r>
              <w:rPr>
                <w:rFonts w:eastAsia="Times New Roman"/>
                <w:sz w:val="20"/>
                <w:szCs w:val="20"/>
              </w:rPr>
              <w:t xml:space="preserve">/s/ </w:t>
            </w:r>
            <w:r>
              <w:rPr>
                <w:rFonts w:eastAsia="Times New Roman"/>
                <w:i/>
                <w:iCs/>
                <w:sz w:val="20"/>
                <w:szCs w:val="20"/>
              </w:rPr>
              <w:t>Joha</w:t>
            </w:r>
            <w:r>
              <w:rPr>
                <w:rFonts w:eastAsia="Times New Roman"/>
                <w:i/>
                <w:iCs/>
                <w:sz w:val="20"/>
                <w:szCs w:val="20"/>
              </w:rPr>
              <w:t>nn Tse</w:t>
            </w:r>
          </w:p>
        </w:tc>
      </w:tr>
      <w:tr w:rsidR="00000000">
        <w:tc>
          <w:tcPr>
            <w:tcW w:w="0" w:type="auto"/>
            <w:hideMark/>
          </w:tcPr>
          <w:p w:rsidR="00000000" w:rsidRDefault="00BC17DB">
            <w:pPr>
              <w:rPr>
                <w:rFonts w:eastAsia="Times New Roman"/>
                <w:sz w:val="20"/>
                <w:szCs w:val="20"/>
              </w:rPr>
            </w:pPr>
            <w:r>
              <w:rPr>
                <w:rFonts w:eastAsia="Times New Roman"/>
                <w:sz w:val="20"/>
                <w:szCs w:val="20"/>
              </w:rPr>
              <w:t> </w:t>
            </w:r>
          </w:p>
        </w:tc>
        <w:tc>
          <w:tcPr>
            <w:tcW w:w="0" w:type="auto"/>
            <w:hideMark/>
          </w:tcPr>
          <w:p w:rsidR="00000000" w:rsidRDefault="00BC17DB">
            <w:pPr>
              <w:rPr>
                <w:rFonts w:eastAsia="Times New Roman"/>
                <w:sz w:val="20"/>
                <w:szCs w:val="20"/>
              </w:rPr>
            </w:pPr>
            <w:r>
              <w:rPr>
                <w:rFonts w:eastAsia="Times New Roman"/>
                <w:sz w:val="20"/>
                <w:szCs w:val="20"/>
              </w:rPr>
              <w:t> </w:t>
            </w:r>
          </w:p>
        </w:tc>
        <w:tc>
          <w:tcPr>
            <w:tcW w:w="0" w:type="auto"/>
            <w:hideMark/>
          </w:tcPr>
          <w:p w:rsidR="00000000" w:rsidRDefault="00BC17DB">
            <w:pPr>
              <w:pStyle w:val="a3"/>
              <w:spacing w:before="0" w:beforeAutospacing="0" w:after="0" w:afterAutospacing="0"/>
              <w:jc w:val="both"/>
              <w:rPr>
                <w:sz w:val="20"/>
                <w:szCs w:val="20"/>
              </w:rPr>
            </w:pPr>
            <w:r>
              <w:rPr>
                <w:sz w:val="20"/>
                <w:szCs w:val="20"/>
              </w:rPr>
              <w:t>Johann Tse</w:t>
            </w:r>
          </w:p>
        </w:tc>
      </w:tr>
      <w:tr w:rsidR="00000000">
        <w:tc>
          <w:tcPr>
            <w:tcW w:w="0" w:type="auto"/>
            <w:hideMark/>
          </w:tcPr>
          <w:p w:rsidR="00000000" w:rsidRDefault="00BC17DB">
            <w:pPr>
              <w:rPr>
                <w:rFonts w:eastAsia="Times New Roman"/>
                <w:sz w:val="20"/>
                <w:szCs w:val="20"/>
              </w:rPr>
            </w:pPr>
            <w:r>
              <w:rPr>
                <w:rFonts w:eastAsia="Times New Roman"/>
                <w:sz w:val="20"/>
                <w:szCs w:val="20"/>
              </w:rPr>
              <w:t> </w:t>
            </w:r>
          </w:p>
        </w:tc>
        <w:tc>
          <w:tcPr>
            <w:tcW w:w="0" w:type="auto"/>
            <w:hideMark/>
          </w:tcPr>
          <w:p w:rsidR="00000000" w:rsidRDefault="00BC17DB">
            <w:pPr>
              <w:rPr>
                <w:rFonts w:eastAsia="Times New Roman"/>
                <w:sz w:val="20"/>
                <w:szCs w:val="20"/>
              </w:rPr>
            </w:pPr>
            <w:r>
              <w:rPr>
                <w:rFonts w:eastAsia="Times New Roman"/>
                <w:sz w:val="20"/>
                <w:szCs w:val="20"/>
              </w:rPr>
              <w:t> </w:t>
            </w:r>
          </w:p>
        </w:tc>
        <w:tc>
          <w:tcPr>
            <w:tcW w:w="0" w:type="auto"/>
            <w:hideMark/>
          </w:tcPr>
          <w:p w:rsidR="00000000" w:rsidRDefault="00BC17DB">
            <w:pPr>
              <w:rPr>
                <w:rFonts w:eastAsia="Times New Roman"/>
                <w:sz w:val="20"/>
                <w:szCs w:val="20"/>
              </w:rPr>
            </w:pPr>
            <w:r>
              <w:rPr>
                <w:rFonts w:eastAsia="Times New Roman"/>
                <w:sz w:val="20"/>
                <w:szCs w:val="20"/>
              </w:rPr>
              <w:t>Chief Executive Officer</w:t>
            </w:r>
          </w:p>
        </w:tc>
      </w:tr>
    </w:tbl>
    <w:p w:rsidR="00000000" w:rsidRDefault="00BC17D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0540185"/>
        </w:trPr>
        <w:tc>
          <w:tcPr>
            <w:tcW w:w="5000" w:type="pct"/>
            <w:hideMark/>
          </w:tcPr>
          <w:p w:rsidR="00000000" w:rsidRDefault="00BC17DB">
            <w:pPr>
              <w:jc w:val="center"/>
              <w:rPr>
                <w:rFonts w:eastAsia="Times New Roman"/>
                <w:sz w:val="20"/>
                <w:szCs w:val="20"/>
              </w:rPr>
            </w:pPr>
            <w:r>
              <w:rPr>
                <w:rFonts w:eastAsia="Times New Roman"/>
                <w:sz w:val="20"/>
                <w:szCs w:val="20"/>
              </w:rPr>
              <w:t>9</w:t>
            </w:r>
          </w:p>
        </w:tc>
      </w:tr>
    </w:tbl>
    <w:p w:rsidR="00BC17DB" w:rsidRDefault="00BC17DB">
      <w:pPr>
        <w:divId w:val="140540185"/>
        <w:rPr>
          <w:rFonts w:eastAsia="Times New Roman"/>
        </w:rPr>
      </w:pPr>
    </w:p>
    <w:sectPr w:rsidR="00BC17D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17DB"/>
    <w:rsid w:val="00BC17DB"/>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broadcapitalacquisitioncorp.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619">
      <w:marLeft w:val="0"/>
      <w:marRight w:val="0"/>
      <w:marTop w:val="120"/>
      <w:marBottom w:val="0"/>
      <w:divBdr>
        <w:top w:val="none" w:sz="0" w:space="0" w:color="auto"/>
        <w:left w:val="none" w:sz="0" w:space="0" w:color="auto"/>
        <w:bottom w:val="none" w:sz="0" w:space="0" w:color="auto"/>
        <w:right w:val="none" w:sz="0" w:space="0" w:color="auto"/>
      </w:divBdr>
    </w:div>
    <w:div w:id="54355982">
      <w:marLeft w:val="0"/>
      <w:marRight w:val="0"/>
      <w:marTop w:val="0"/>
      <w:marBottom w:val="120"/>
      <w:divBdr>
        <w:top w:val="none" w:sz="0" w:space="0" w:color="auto"/>
        <w:left w:val="none" w:sz="0" w:space="0" w:color="auto"/>
        <w:bottom w:val="single" w:sz="12" w:space="0" w:color="000000"/>
        <w:right w:val="none" w:sz="0" w:space="0" w:color="auto"/>
      </w:divBdr>
    </w:div>
    <w:div w:id="83378811">
      <w:marLeft w:val="0"/>
      <w:marRight w:val="0"/>
      <w:marTop w:val="120"/>
      <w:marBottom w:val="0"/>
      <w:divBdr>
        <w:top w:val="none" w:sz="0" w:space="0" w:color="auto"/>
        <w:left w:val="none" w:sz="0" w:space="0" w:color="auto"/>
        <w:bottom w:val="none" w:sz="0" w:space="0" w:color="auto"/>
        <w:right w:val="none" w:sz="0" w:space="0" w:color="auto"/>
      </w:divBdr>
    </w:div>
    <w:div w:id="112329547">
      <w:marLeft w:val="0"/>
      <w:marRight w:val="0"/>
      <w:marTop w:val="0"/>
      <w:marBottom w:val="120"/>
      <w:divBdr>
        <w:top w:val="none" w:sz="0" w:space="0" w:color="auto"/>
        <w:left w:val="none" w:sz="0" w:space="0" w:color="auto"/>
        <w:bottom w:val="single" w:sz="12" w:space="0" w:color="000000"/>
        <w:right w:val="none" w:sz="0" w:space="0" w:color="auto"/>
      </w:divBdr>
    </w:div>
    <w:div w:id="140540185">
      <w:marLeft w:val="0"/>
      <w:marRight w:val="0"/>
      <w:marTop w:val="0"/>
      <w:marBottom w:val="120"/>
      <w:divBdr>
        <w:top w:val="none" w:sz="0" w:space="0" w:color="auto"/>
        <w:left w:val="none" w:sz="0" w:space="0" w:color="auto"/>
        <w:bottom w:val="single" w:sz="12" w:space="0" w:color="000000"/>
        <w:right w:val="none" w:sz="0" w:space="0" w:color="auto"/>
      </w:divBdr>
    </w:div>
    <w:div w:id="142240183">
      <w:marLeft w:val="0"/>
      <w:marRight w:val="0"/>
      <w:marTop w:val="0"/>
      <w:marBottom w:val="120"/>
      <w:divBdr>
        <w:top w:val="none" w:sz="0" w:space="0" w:color="auto"/>
        <w:left w:val="none" w:sz="0" w:space="0" w:color="auto"/>
        <w:bottom w:val="single" w:sz="12" w:space="0" w:color="000000"/>
        <w:right w:val="none" w:sz="0" w:space="0" w:color="auto"/>
      </w:divBdr>
    </w:div>
    <w:div w:id="145783551">
      <w:marLeft w:val="0"/>
      <w:marRight w:val="0"/>
      <w:marTop w:val="120"/>
      <w:marBottom w:val="0"/>
      <w:divBdr>
        <w:top w:val="none" w:sz="0" w:space="0" w:color="auto"/>
        <w:left w:val="none" w:sz="0" w:space="0" w:color="auto"/>
        <w:bottom w:val="none" w:sz="0" w:space="0" w:color="auto"/>
        <w:right w:val="none" w:sz="0" w:space="0" w:color="auto"/>
      </w:divBdr>
    </w:div>
    <w:div w:id="218056748">
      <w:marLeft w:val="0"/>
      <w:marRight w:val="0"/>
      <w:marTop w:val="0"/>
      <w:marBottom w:val="120"/>
      <w:divBdr>
        <w:top w:val="none" w:sz="0" w:space="0" w:color="auto"/>
        <w:left w:val="none" w:sz="0" w:space="0" w:color="auto"/>
        <w:bottom w:val="single" w:sz="12" w:space="0" w:color="000000"/>
        <w:right w:val="none" w:sz="0" w:space="0" w:color="auto"/>
      </w:divBdr>
    </w:div>
    <w:div w:id="251857384">
      <w:marLeft w:val="0"/>
      <w:marRight w:val="0"/>
      <w:marTop w:val="120"/>
      <w:marBottom w:val="0"/>
      <w:divBdr>
        <w:top w:val="none" w:sz="0" w:space="0" w:color="auto"/>
        <w:left w:val="none" w:sz="0" w:space="0" w:color="auto"/>
        <w:bottom w:val="none" w:sz="0" w:space="0" w:color="auto"/>
        <w:right w:val="none" w:sz="0" w:space="0" w:color="auto"/>
      </w:divBdr>
    </w:div>
    <w:div w:id="263415373">
      <w:marLeft w:val="0"/>
      <w:marRight w:val="0"/>
      <w:marTop w:val="120"/>
      <w:marBottom w:val="0"/>
      <w:divBdr>
        <w:top w:val="none" w:sz="0" w:space="0" w:color="auto"/>
        <w:left w:val="none" w:sz="0" w:space="0" w:color="auto"/>
        <w:bottom w:val="none" w:sz="0" w:space="0" w:color="auto"/>
        <w:right w:val="none" w:sz="0" w:space="0" w:color="auto"/>
      </w:divBdr>
    </w:div>
    <w:div w:id="274294223">
      <w:marLeft w:val="0"/>
      <w:marRight w:val="0"/>
      <w:marTop w:val="0"/>
      <w:marBottom w:val="120"/>
      <w:divBdr>
        <w:top w:val="none" w:sz="0" w:space="0" w:color="auto"/>
        <w:left w:val="none" w:sz="0" w:space="0" w:color="auto"/>
        <w:bottom w:val="single" w:sz="12" w:space="0" w:color="000000"/>
        <w:right w:val="none" w:sz="0" w:space="0" w:color="auto"/>
      </w:divBdr>
    </w:div>
    <w:div w:id="486702184">
      <w:marLeft w:val="0"/>
      <w:marRight w:val="0"/>
      <w:marTop w:val="0"/>
      <w:marBottom w:val="120"/>
      <w:divBdr>
        <w:top w:val="none" w:sz="0" w:space="0" w:color="auto"/>
        <w:left w:val="none" w:sz="0" w:space="0" w:color="auto"/>
        <w:bottom w:val="single" w:sz="12" w:space="0" w:color="000000"/>
        <w:right w:val="none" w:sz="0" w:space="0" w:color="auto"/>
      </w:divBdr>
    </w:div>
    <w:div w:id="497044168">
      <w:marLeft w:val="0"/>
      <w:marRight w:val="0"/>
      <w:marTop w:val="0"/>
      <w:marBottom w:val="0"/>
      <w:divBdr>
        <w:top w:val="none" w:sz="0" w:space="0" w:color="auto"/>
        <w:left w:val="none" w:sz="0" w:space="0" w:color="auto"/>
        <w:bottom w:val="none" w:sz="0" w:space="0" w:color="auto"/>
        <w:right w:val="none" w:sz="0" w:space="0" w:color="auto"/>
      </w:divBdr>
      <w:divsChild>
        <w:div w:id="213930801">
          <w:marLeft w:val="0"/>
          <w:marRight w:val="0"/>
          <w:marTop w:val="0"/>
          <w:marBottom w:val="0"/>
          <w:divBdr>
            <w:top w:val="single" w:sz="12" w:space="0" w:color="000000"/>
            <w:left w:val="none" w:sz="0" w:space="0" w:color="auto"/>
            <w:bottom w:val="none" w:sz="0" w:space="0" w:color="auto"/>
            <w:right w:val="none" w:sz="0" w:space="0" w:color="auto"/>
          </w:divBdr>
        </w:div>
      </w:divsChild>
    </w:div>
    <w:div w:id="511338610">
      <w:marLeft w:val="0"/>
      <w:marRight w:val="0"/>
      <w:marTop w:val="0"/>
      <w:marBottom w:val="120"/>
      <w:divBdr>
        <w:top w:val="none" w:sz="0" w:space="0" w:color="auto"/>
        <w:left w:val="none" w:sz="0" w:space="0" w:color="auto"/>
        <w:bottom w:val="single" w:sz="12" w:space="0" w:color="000000"/>
        <w:right w:val="none" w:sz="0" w:space="0" w:color="auto"/>
      </w:divBdr>
    </w:div>
    <w:div w:id="619338731">
      <w:marLeft w:val="0"/>
      <w:marRight w:val="0"/>
      <w:marTop w:val="120"/>
      <w:marBottom w:val="0"/>
      <w:divBdr>
        <w:top w:val="none" w:sz="0" w:space="0" w:color="auto"/>
        <w:left w:val="none" w:sz="0" w:space="0" w:color="auto"/>
        <w:bottom w:val="none" w:sz="0" w:space="0" w:color="auto"/>
        <w:right w:val="none" w:sz="0" w:space="0" w:color="auto"/>
      </w:divBdr>
    </w:div>
    <w:div w:id="660351744">
      <w:marLeft w:val="0"/>
      <w:marRight w:val="0"/>
      <w:marTop w:val="120"/>
      <w:marBottom w:val="0"/>
      <w:divBdr>
        <w:top w:val="none" w:sz="0" w:space="0" w:color="auto"/>
        <w:left w:val="none" w:sz="0" w:space="0" w:color="auto"/>
        <w:bottom w:val="none" w:sz="0" w:space="0" w:color="auto"/>
        <w:right w:val="none" w:sz="0" w:space="0" w:color="auto"/>
      </w:divBdr>
    </w:div>
    <w:div w:id="839585847">
      <w:marLeft w:val="0"/>
      <w:marRight w:val="0"/>
      <w:marTop w:val="0"/>
      <w:marBottom w:val="120"/>
      <w:divBdr>
        <w:top w:val="none" w:sz="0" w:space="0" w:color="auto"/>
        <w:left w:val="none" w:sz="0" w:space="0" w:color="auto"/>
        <w:bottom w:val="single" w:sz="12" w:space="0" w:color="000000"/>
        <w:right w:val="none" w:sz="0" w:space="0" w:color="auto"/>
      </w:divBdr>
    </w:div>
    <w:div w:id="1008873687">
      <w:marLeft w:val="0"/>
      <w:marRight w:val="0"/>
      <w:marTop w:val="120"/>
      <w:marBottom w:val="0"/>
      <w:divBdr>
        <w:top w:val="none" w:sz="0" w:space="0" w:color="auto"/>
        <w:left w:val="none" w:sz="0" w:space="0" w:color="auto"/>
        <w:bottom w:val="none" w:sz="0" w:space="0" w:color="auto"/>
        <w:right w:val="none" w:sz="0" w:space="0" w:color="auto"/>
      </w:divBdr>
    </w:div>
    <w:div w:id="1059399560">
      <w:marLeft w:val="0"/>
      <w:marRight w:val="0"/>
      <w:marTop w:val="0"/>
      <w:marBottom w:val="120"/>
      <w:divBdr>
        <w:top w:val="none" w:sz="0" w:space="0" w:color="auto"/>
        <w:left w:val="none" w:sz="0" w:space="0" w:color="auto"/>
        <w:bottom w:val="single" w:sz="12" w:space="0" w:color="000000"/>
        <w:right w:val="none" w:sz="0" w:space="0" w:color="auto"/>
      </w:divBdr>
    </w:div>
    <w:div w:id="1095051259">
      <w:marLeft w:val="0"/>
      <w:marRight w:val="0"/>
      <w:marTop w:val="120"/>
      <w:marBottom w:val="0"/>
      <w:divBdr>
        <w:top w:val="none" w:sz="0" w:space="0" w:color="auto"/>
        <w:left w:val="none" w:sz="0" w:space="0" w:color="auto"/>
        <w:bottom w:val="none" w:sz="0" w:space="0" w:color="auto"/>
        <w:right w:val="none" w:sz="0" w:space="0" w:color="auto"/>
      </w:divBdr>
    </w:div>
    <w:div w:id="1184904661">
      <w:marLeft w:val="0"/>
      <w:marRight w:val="0"/>
      <w:marTop w:val="0"/>
      <w:marBottom w:val="120"/>
      <w:divBdr>
        <w:top w:val="none" w:sz="0" w:space="0" w:color="auto"/>
        <w:left w:val="none" w:sz="0" w:space="0" w:color="auto"/>
        <w:bottom w:val="single" w:sz="12" w:space="0" w:color="000000"/>
        <w:right w:val="none" w:sz="0" w:space="0" w:color="auto"/>
      </w:divBdr>
    </w:div>
    <w:div w:id="1187909746">
      <w:marLeft w:val="0"/>
      <w:marRight w:val="0"/>
      <w:marTop w:val="0"/>
      <w:marBottom w:val="0"/>
      <w:divBdr>
        <w:top w:val="none" w:sz="0" w:space="0" w:color="auto"/>
        <w:left w:val="none" w:sz="0" w:space="0" w:color="auto"/>
        <w:bottom w:val="none" w:sz="0" w:space="0" w:color="auto"/>
        <w:right w:val="none" w:sz="0" w:space="0" w:color="auto"/>
      </w:divBdr>
      <w:divsChild>
        <w:div w:id="177738728">
          <w:marLeft w:val="0"/>
          <w:marRight w:val="0"/>
          <w:marTop w:val="0"/>
          <w:marBottom w:val="0"/>
          <w:divBdr>
            <w:top w:val="single" w:sz="12" w:space="0" w:color="000000"/>
            <w:left w:val="none" w:sz="0" w:space="0" w:color="auto"/>
            <w:bottom w:val="none" w:sz="0" w:space="0" w:color="auto"/>
            <w:right w:val="none" w:sz="0" w:space="0" w:color="auto"/>
          </w:divBdr>
        </w:div>
      </w:divsChild>
    </w:div>
    <w:div w:id="1267621145">
      <w:marLeft w:val="0"/>
      <w:marRight w:val="0"/>
      <w:marTop w:val="0"/>
      <w:marBottom w:val="0"/>
      <w:divBdr>
        <w:top w:val="none" w:sz="0" w:space="0" w:color="auto"/>
        <w:left w:val="none" w:sz="0" w:space="0" w:color="auto"/>
        <w:bottom w:val="none" w:sz="0" w:space="0" w:color="auto"/>
        <w:right w:val="none" w:sz="0" w:space="0" w:color="auto"/>
      </w:divBdr>
      <w:divsChild>
        <w:div w:id="1122576922">
          <w:marLeft w:val="0"/>
          <w:marRight w:val="0"/>
          <w:marTop w:val="0"/>
          <w:marBottom w:val="0"/>
          <w:divBdr>
            <w:top w:val="single" w:sz="12" w:space="0" w:color="000000"/>
            <w:left w:val="none" w:sz="0" w:space="0" w:color="auto"/>
            <w:bottom w:val="none" w:sz="0" w:space="0" w:color="auto"/>
            <w:right w:val="none" w:sz="0" w:space="0" w:color="auto"/>
          </w:divBdr>
        </w:div>
      </w:divsChild>
    </w:div>
    <w:div w:id="1280836637">
      <w:marLeft w:val="0"/>
      <w:marRight w:val="0"/>
      <w:marTop w:val="0"/>
      <w:marBottom w:val="120"/>
      <w:divBdr>
        <w:top w:val="none" w:sz="0" w:space="0" w:color="auto"/>
        <w:left w:val="none" w:sz="0" w:space="0" w:color="auto"/>
        <w:bottom w:val="single" w:sz="12" w:space="0" w:color="000000"/>
        <w:right w:val="none" w:sz="0" w:space="0" w:color="auto"/>
      </w:divBdr>
    </w:div>
    <w:div w:id="1324695651">
      <w:marLeft w:val="0"/>
      <w:marRight w:val="0"/>
      <w:marTop w:val="120"/>
      <w:marBottom w:val="0"/>
      <w:divBdr>
        <w:top w:val="none" w:sz="0" w:space="0" w:color="auto"/>
        <w:left w:val="none" w:sz="0" w:space="0" w:color="auto"/>
        <w:bottom w:val="none" w:sz="0" w:space="0" w:color="auto"/>
        <w:right w:val="none" w:sz="0" w:space="0" w:color="auto"/>
      </w:divBdr>
    </w:div>
    <w:div w:id="1353916401">
      <w:marLeft w:val="0"/>
      <w:marRight w:val="0"/>
      <w:marTop w:val="120"/>
      <w:marBottom w:val="0"/>
      <w:divBdr>
        <w:top w:val="none" w:sz="0" w:space="0" w:color="auto"/>
        <w:left w:val="none" w:sz="0" w:space="0" w:color="auto"/>
        <w:bottom w:val="none" w:sz="0" w:space="0" w:color="auto"/>
        <w:right w:val="none" w:sz="0" w:space="0" w:color="auto"/>
      </w:divBdr>
    </w:div>
    <w:div w:id="1398477937">
      <w:marLeft w:val="0"/>
      <w:marRight w:val="0"/>
      <w:marTop w:val="0"/>
      <w:marBottom w:val="120"/>
      <w:divBdr>
        <w:top w:val="none" w:sz="0" w:space="0" w:color="auto"/>
        <w:left w:val="none" w:sz="0" w:space="0" w:color="auto"/>
        <w:bottom w:val="single" w:sz="12" w:space="0" w:color="000000"/>
        <w:right w:val="none" w:sz="0" w:space="0" w:color="auto"/>
      </w:divBdr>
    </w:div>
    <w:div w:id="1401636378">
      <w:marLeft w:val="0"/>
      <w:marRight w:val="0"/>
      <w:marTop w:val="0"/>
      <w:marBottom w:val="0"/>
      <w:divBdr>
        <w:top w:val="none" w:sz="0" w:space="0" w:color="auto"/>
        <w:left w:val="none" w:sz="0" w:space="0" w:color="auto"/>
        <w:bottom w:val="none" w:sz="0" w:space="0" w:color="auto"/>
        <w:right w:val="none" w:sz="0" w:space="0" w:color="auto"/>
      </w:divBdr>
      <w:divsChild>
        <w:div w:id="415397862">
          <w:marLeft w:val="0"/>
          <w:marRight w:val="0"/>
          <w:marTop w:val="0"/>
          <w:marBottom w:val="0"/>
          <w:divBdr>
            <w:top w:val="single" w:sz="12" w:space="0" w:color="000000"/>
            <w:left w:val="none" w:sz="0" w:space="0" w:color="auto"/>
            <w:bottom w:val="none" w:sz="0" w:space="0" w:color="auto"/>
            <w:right w:val="none" w:sz="0" w:space="0" w:color="auto"/>
          </w:divBdr>
        </w:div>
      </w:divsChild>
    </w:div>
    <w:div w:id="1435250825">
      <w:marLeft w:val="0"/>
      <w:marRight w:val="0"/>
      <w:marTop w:val="0"/>
      <w:marBottom w:val="120"/>
      <w:divBdr>
        <w:top w:val="none" w:sz="0" w:space="0" w:color="auto"/>
        <w:left w:val="none" w:sz="0" w:space="0" w:color="auto"/>
        <w:bottom w:val="single" w:sz="12" w:space="0" w:color="000000"/>
        <w:right w:val="none" w:sz="0" w:space="0" w:color="auto"/>
      </w:divBdr>
    </w:div>
    <w:div w:id="1458062117">
      <w:marLeft w:val="0"/>
      <w:marRight w:val="0"/>
      <w:marTop w:val="0"/>
      <w:marBottom w:val="0"/>
      <w:divBdr>
        <w:top w:val="none" w:sz="0" w:space="0" w:color="auto"/>
        <w:left w:val="none" w:sz="0" w:space="0" w:color="auto"/>
        <w:bottom w:val="none" w:sz="0" w:space="0" w:color="auto"/>
        <w:right w:val="none" w:sz="0" w:space="0" w:color="auto"/>
      </w:divBdr>
      <w:divsChild>
        <w:div w:id="681247736">
          <w:marLeft w:val="0"/>
          <w:marRight w:val="0"/>
          <w:marTop w:val="0"/>
          <w:marBottom w:val="0"/>
          <w:divBdr>
            <w:top w:val="single" w:sz="12" w:space="0" w:color="000000"/>
            <w:left w:val="none" w:sz="0" w:space="0" w:color="auto"/>
            <w:bottom w:val="none" w:sz="0" w:space="0" w:color="auto"/>
            <w:right w:val="none" w:sz="0" w:space="0" w:color="auto"/>
          </w:divBdr>
        </w:div>
      </w:divsChild>
    </w:div>
    <w:div w:id="1504512268">
      <w:marLeft w:val="0"/>
      <w:marRight w:val="0"/>
      <w:marTop w:val="120"/>
      <w:marBottom w:val="0"/>
      <w:divBdr>
        <w:top w:val="none" w:sz="0" w:space="0" w:color="auto"/>
        <w:left w:val="none" w:sz="0" w:space="0" w:color="auto"/>
        <w:bottom w:val="none" w:sz="0" w:space="0" w:color="auto"/>
        <w:right w:val="none" w:sz="0" w:space="0" w:color="auto"/>
      </w:divBdr>
    </w:div>
    <w:div w:id="1582790269">
      <w:marLeft w:val="0"/>
      <w:marRight w:val="0"/>
      <w:marTop w:val="0"/>
      <w:marBottom w:val="120"/>
      <w:divBdr>
        <w:top w:val="none" w:sz="0" w:space="0" w:color="auto"/>
        <w:left w:val="none" w:sz="0" w:space="0" w:color="auto"/>
        <w:bottom w:val="single" w:sz="12" w:space="0" w:color="000000"/>
        <w:right w:val="none" w:sz="0" w:space="0" w:color="auto"/>
      </w:divBdr>
    </w:div>
    <w:div w:id="1601110095">
      <w:marLeft w:val="0"/>
      <w:marRight w:val="0"/>
      <w:marTop w:val="120"/>
      <w:marBottom w:val="0"/>
      <w:divBdr>
        <w:top w:val="none" w:sz="0" w:space="0" w:color="auto"/>
        <w:left w:val="none" w:sz="0" w:space="0" w:color="auto"/>
        <w:bottom w:val="none" w:sz="0" w:space="0" w:color="auto"/>
        <w:right w:val="none" w:sz="0" w:space="0" w:color="auto"/>
      </w:divBdr>
    </w:div>
    <w:div w:id="1603761407">
      <w:marLeft w:val="0"/>
      <w:marRight w:val="0"/>
      <w:marTop w:val="0"/>
      <w:marBottom w:val="120"/>
      <w:divBdr>
        <w:top w:val="none" w:sz="0" w:space="0" w:color="auto"/>
        <w:left w:val="none" w:sz="0" w:space="0" w:color="auto"/>
        <w:bottom w:val="single" w:sz="12" w:space="0" w:color="000000"/>
        <w:right w:val="none" w:sz="0" w:space="0" w:color="auto"/>
      </w:divBdr>
    </w:div>
    <w:div w:id="1638760215">
      <w:marLeft w:val="0"/>
      <w:marRight w:val="0"/>
      <w:marTop w:val="0"/>
      <w:marBottom w:val="120"/>
      <w:divBdr>
        <w:top w:val="none" w:sz="0" w:space="0" w:color="auto"/>
        <w:left w:val="none" w:sz="0" w:space="0" w:color="auto"/>
        <w:bottom w:val="single" w:sz="12" w:space="0" w:color="000000"/>
        <w:right w:val="none" w:sz="0" w:space="0" w:color="auto"/>
      </w:divBdr>
    </w:div>
    <w:div w:id="1671131684">
      <w:marLeft w:val="0"/>
      <w:marRight w:val="0"/>
      <w:marTop w:val="0"/>
      <w:marBottom w:val="120"/>
      <w:divBdr>
        <w:top w:val="none" w:sz="0" w:space="0" w:color="auto"/>
        <w:left w:val="none" w:sz="0" w:space="0" w:color="auto"/>
        <w:bottom w:val="single" w:sz="12" w:space="0" w:color="000000"/>
        <w:right w:val="none" w:sz="0" w:space="0" w:color="auto"/>
      </w:divBdr>
    </w:div>
    <w:div w:id="1683431670">
      <w:marLeft w:val="0"/>
      <w:marRight w:val="0"/>
      <w:marTop w:val="0"/>
      <w:marBottom w:val="120"/>
      <w:divBdr>
        <w:top w:val="none" w:sz="0" w:space="0" w:color="auto"/>
        <w:left w:val="none" w:sz="0" w:space="0" w:color="auto"/>
        <w:bottom w:val="single" w:sz="12" w:space="0" w:color="000000"/>
        <w:right w:val="none" w:sz="0" w:space="0" w:color="auto"/>
      </w:divBdr>
    </w:div>
    <w:div w:id="1696072672">
      <w:marLeft w:val="0"/>
      <w:marRight w:val="0"/>
      <w:marTop w:val="0"/>
      <w:marBottom w:val="0"/>
      <w:divBdr>
        <w:top w:val="none" w:sz="0" w:space="0" w:color="auto"/>
        <w:left w:val="none" w:sz="0" w:space="0" w:color="auto"/>
        <w:bottom w:val="none" w:sz="0" w:space="0" w:color="auto"/>
        <w:right w:val="none" w:sz="0" w:space="0" w:color="auto"/>
      </w:divBdr>
    </w:div>
    <w:div w:id="1800951531">
      <w:marLeft w:val="0"/>
      <w:marRight w:val="0"/>
      <w:marTop w:val="0"/>
      <w:marBottom w:val="120"/>
      <w:divBdr>
        <w:top w:val="none" w:sz="0" w:space="0" w:color="auto"/>
        <w:left w:val="none" w:sz="0" w:space="0" w:color="auto"/>
        <w:bottom w:val="single" w:sz="12" w:space="0" w:color="000000"/>
        <w:right w:val="none" w:sz="0" w:space="0" w:color="auto"/>
      </w:divBdr>
    </w:div>
    <w:div w:id="1900361702">
      <w:marLeft w:val="0"/>
      <w:marRight w:val="0"/>
      <w:marTop w:val="0"/>
      <w:marBottom w:val="0"/>
      <w:divBdr>
        <w:top w:val="none" w:sz="0" w:space="0" w:color="auto"/>
        <w:left w:val="none" w:sz="0" w:space="0" w:color="auto"/>
        <w:bottom w:val="none" w:sz="0" w:space="0" w:color="auto"/>
        <w:right w:val="none" w:sz="0" w:space="0" w:color="auto"/>
      </w:divBdr>
      <w:divsChild>
        <w:div w:id="507674439">
          <w:marLeft w:val="0"/>
          <w:marRight w:val="0"/>
          <w:marTop w:val="0"/>
          <w:marBottom w:val="0"/>
          <w:divBdr>
            <w:top w:val="single" w:sz="36" w:space="0" w:color="000000"/>
            <w:left w:val="none" w:sz="0" w:space="0" w:color="auto"/>
            <w:bottom w:val="single" w:sz="12" w:space="0" w:color="000000"/>
            <w:right w:val="none" w:sz="0" w:space="0" w:color="auto"/>
          </w:divBdr>
        </w:div>
      </w:divsChild>
    </w:div>
    <w:div w:id="1949004932">
      <w:marLeft w:val="0"/>
      <w:marRight w:val="0"/>
      <w:marTop w:val="0"/>
      <w:marBottom w:val="120"/>
      <w:divBdr>
        <w:top w:val="none" w:sz="0" w:space="0" w:color="auto"/>
        <w:left w:val="none" w:sz="0" w:space="0" w:color="auto"/>
        <w:bottom w:val="single" w:sz="12" w:space="0" w:color="000000"/>
        <w:right w:val="none" w:sz="0" w:space="0" w:color="auto"/>
      </w:divBdr>
    </w:div>
    <w:div w:id="2019580676">
      <w:marLeft w:val="0"/>
      <w:marRight w:val="0"/>
      <w:marTop w:val="0"/>
      <w:marBottom w:val="120"/>
      <w:divBdr>
        <w:top w:val="none" w:sz="0" w:space="0" w:color="auto"/>
        <w:left w:val="none" w:sz="0" w:space="0" w:color="auto"/>
        <w:bottom w:val="single" w:sz="12" w:space="0" w:color="000000"/>
        <w:right w:val="none" w:sz="0" w:space="0" w:color="auto"/>
      </w:divBdr>
    </w:div>
    <w:div w:id="2086143938">
      <w:marLeft w:val="0"/>
      <w:marRight w:val="0"/>
      <w:marTop w:val="120"/>
      <w:marBottom w:val="0"/>
      <w:divBdr>
        <w:top w:val="none" w:sz="0" w:space="0" w:color="auto"/>
        <w:left w:val="none" w:sz="0" w:space="0" w:color="auto"/>
        <w:bottom w:val="none" w:sz="0" w:space="0" w:color="auto"/>
        <w:right w:val="none" w:sz="0" w:space="0" w:color="auto"/>
      </w:divBdr>
    </w:div>
    <w:div w:id="2112780085">
      <w:marLeft w:val="0"/>
      <w:marRight w:val="0"/>
      <w:marTop w:val="120"/>
      <w:marBottom w:val="0"/>
      <w:divBdr>
        <w:top w:val="none" w:sz="0" w:space="0" w:color="auto"/>
        <w:left w:val="none" w:sz="0" w:space="0" w:color="auto"/>
        <w:bottom w:val="none" w:sz="0" w:space="0" w:color="auto"/>
        <w:right w:val="none" w:sz="0" w:space="0" w:color="auto"/>
      </w:divBdr>
    </w:div>
    <w:div w:id="2145463699">
      <w:marLeft w:val="0"/>
      <w:marRight w:val="0"/>
      <w:marTop w:val="0"/>
      <w:marBottom w:val="0"/>
      <w:divBdr>
        <w:top w:val="none" w:sz="0" w:space="0" w:color="auto"/>
        <w:left w:val="none" w:sz="0" w:space="0" w:color="auto"/>
        <w:bottom w:val="none" w:sz="0" w:space="0" w:color="auto"/>
        <w:right w:val="none" w:sz="0" w:space="0" w:color="auto"/>
      </w:divBdr>
      <w:divsChild>
        <w:div w:id="104428782">
          <w:marLeft w:val="0"/>
          <w:marRight w:val="0"/>
          <w:marTop w:val="0"/>
          <w:marBottom w:val="0"/>
          <w:divBdr>
            <w:top w:val="single" w:sz="12" w:space="0" w:color="000000"/>
            <w:left w:val="none" w:sz="0" w:space="0" w:color="auto"/>
            <w:bottom w:val="single" w:sz="36" w:space="0" w:color="000000"/>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Broad%20Capital%20Acquisition%20Corp\form10-q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12211</Words>
  <Characters>69606</Characters>
  <Application>Microsoft Office Word</Application>
  <DocSecurity>0</DocSecurity>
  <Lines>580</Lines>
  <Paragraphs>163</Paragraphs>
  <ScaleCrop>false</ScaleCrop>
  <Company/>
  <LinksUpToDate>false</LinksUpToDate>
  <CharactersWithSpaces>81654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