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95D39">
      <w:pPr>
        <w:divId w:val="173497479"/>
        <w:rPr>
          <w:rFonts w:eastAsia="Times New Roman"/>
          <w:vanish/>
        </w:rPr>
      </w:pPr>
      <w:r>
        <w:rPr>
          <w:rFonts w:eastAsia="Times New Roman"/>
          <w:vanish/>
        </w:rPr>
        <w:t>false2020Q3000092762812/313.80.02500009276282020-01-012020-09-300000927628us-gaap:CommonStockMember2020-01-012020-09-300000927628us-gaap:SeriesFPreferredStockMember2020-01-012020-09-300000927628</w:t>
      </w:r>
      <w:r>
        <w:rPr>
          <w:rFonts w:eastAsia="Times New Roman"/>
          <w:vanish/>
        </w:rPr>
        <w:t>us-gaap:SeriesGPreferredStockMember2020-01-012020-09-300000927628us-gaap:SeriesHPreferredStockMember2020-01-012020-09-300000927628cof:SeriesIPreferredStockMember2020-01-012020-09-300000927628cof:SeriesJPreferredStockMember2020-01-012020-09-300000927628cof:</w:t>
      </w:r>
      <w:r>
        <w:rPr>
          <w:rFonts w:eastAsia="Times New Roman"/>
          <w:vanish/>
        </w:rPr>
        <w:t>SeriesKPreferredStockMemberMember2020-01-012020-09-300000927628cof:SeniorNotesDue2024Member2020-01-012020-09-300000927628cof:SeniorNotesDue2029Member2020-01-012020-09-30xbrli:shares00009276282020-09-30iso4217:USD00009276282020-07-012020-09-3000009276282019</w:t>
      </w:r>
      <w:r>
        <w:rPr>
          <w:rFonts w:eastAsia="Times New Roman"/>
          <w:vanish/>
        </w:rPr>
        <w:t>-07-012019-09-3000009276282019-01-012019-09-30iso4217:USDxbrli:shares00009276282019-12-310000927628srt:ParentCompanyMember2020-09-300000927628srt:ParentCompanyMember2019-12-310000927628us-gaap:VariableInterestEntityPrimaryBeneficiaryMember2020-09-300000927</w:t>
      </w:r>
      <w:r>
        <w:rPr>
          <w:rFonts w:eastAsia="Times New Roman"/>
          <w:vanish/>
        </w:rPr>
        <w:t>628us-gaap:VariableInterestEntityPrimaryBeneficiaryMember2019-12-310000927628us-gaap:PreferredStockMember2019-12-310000927628us-gaap:CommonStockMember2019-12-310000927628us-gaap:AdditionalPaidInCapitalMember2019-12-310000927628us-gaap:RetainedEarningsMembe</w:t>
      </w:r>
      <w:r>
        <w:rPr>
          <w:rFonts w:eastAsia="Times New Roman"/>
          <w:vanish/>
        </w:rPr>
        <w:t>r2019-12-310000927628us-gaap:AccumulatedOtherComprehensiveIncomeMember2019-12-310000927628us-gaap:TreasuryStockMember2019-12-310000927628us-gaap:RetainedEarningsMembersrt:CumulativeEffectPeriodOfAdoptionAdjustmentMember2019-12-310000927628us-gaap:Accumulat</w:t>
      </w:r>
      <w:r>
        <w:rPr>
          <w:rFonts w:eastAsia="Times New Roman"/>
          <w:vanish/>
        </w:rPr>
        <w:t>edOtherComprehensiveIncomeMembersrt:CumulativeEffectPeriodOfAdoptionAdjustmentMember2019-12-310000927628srt:CumulativeEffectPeriodOfAdoptionAdjustmentMember2019-12-310000927628us-gaap:RetainedEarningsMember2020-01-012020-03-310000927628us-gaap:AccumulatedO</w:t>
      </w:r>
      <w:r>
        <w:rPr>
          <w:rFonts w:eastAsia="Times New Roman"/>
          <w:vanish/>
        </w:rPr>
        <w:t>therComprehensiveIncomeMember2020-01-012020-03-3100009276282020-01-012020-03-310000927628us-gaap:CommonStockMember2020-01-012020-03-310000927628us-gaap:AdditionalPaidInCapitalMember2020-01-012020-03-310000927628us-gaap:TreasuryStockMember2020-01-012020-03-</w:t>
      </w:r>
      <w:r>
        <w:rPr>
          <w:rFonts w:eastAsia="Times New Roman"/>
          <w:vanish/>
        </w:rPr>
        <w:t>310000927628us-gaap:PreferredStockMember2020-01-012020-03-310000927628us-gaap:PreferredStockMember2020-03-310000927628us-gaap:CommonStockMember2020-03-310000927628us-gaap:AdditionalPaidInCapitalMember2020-03-310000927628us-gaap:RetainedEarningsMember2020-0</w:t>
      </w:r>
      <w:r>
        <w:rPr>
          <w:rFonts w:eastAsia="Times New Roman"/>
          <w:vanish/>
        </w:rPr>
        <w:t>3-310000927628us-gaap:AccumulatedOtherComprehensiveIncomeMember2020-03-310000927628us-gaap:TreasuryStockMember2020-03-3100009276282020-03-310000927628us-gaap:RetainedEarningsMember2020-04-012020-06-300000927628us-gaap:AccumulatedOtherComprehensiveIncomeMem</w:t>
      </w:r>
      <w:r>
        <w:rPr>
          <w:rFonts w:eastAsia="Times New Roman"/>
          <w:vanish/>
        </w:rPr>
        <w:t>ber2020-04-012020-06-3000009276282020-04-012020-06-300000927628us-gaap:CommonStockMember2020-04-012020-06-300000927628us-gaap:AdditionalPaidInCapitalMember2020-04-012020-06-300000927628us-gaap:TreasuryStockMember2020-04-012020-06-300000927628us-gaap:Prefer</w:t>
      </w:r>
      <w:r>
        <w:rPr>
          <w:rFonts w:eastAsia="Times New Roman"/>
          <w:vanish/>
        </w:rPr>
        <w:t>redStockMember2020-06-300000927628us-gaap:CommonStockMember2020-06-300000927628us-gaap:AdditionalPaidInCapitalMember2020-06-300000927628us-gaap:RetainedEarningsMember2020-06-300000927628us-gaap:AccumulatedOtherComprehensiveIncomeMember2020-06-300000927628u</w:t>
      </w:r>
      <w:r>
        <w:rPr>
          <w:rFonts w:eastAsia="Times New Roman"/>
          <w:vanish/>
        </w:rPr>
        <w:t>s-gaap:TreasuryStockMember2020-06-3000009276282020-06-300000927628us-gaap:RetainedEarningsMember2020-07-012020-09-300000927628us-gaap:AccumulatedOtherComprehensiveIncomeMember2020-07-012020-09-300000927628us-gaap:CommonStockMember2020-07-012020-09-30000092</w:t>
      </w:r>
      <w:r>
        <w:rPr>
          <w:rFonts w:eastAsia="Times New Roman"/>
          <w:vanish/>
        </w:rPr>
        <w:t>7628us-gaap:AdditionalPaidInCapitalMember2020-07-012020-09-300000927628us-gaap:TreasuryStockMember2020-07-012020-09-300000927628us-gaap:PreferredStockMember2020-07-012020-09-300000927628us-gaap:PreferredStockMember2020-09-300000927628us-gaap:CommonStockMem</w:t>
      </w:r>
      <w:r>
        <w:rPr>
          <w:rFonts w:eastAsia="Times New Roman"/>
          <w:vanish/>
        </w:rPr>
        <w:t>ber2020-09-300000927628us-gaap:AdditionalPaidInCapitalMember2020-09-300000927628us-gaap:RetainedEarningsMember2020-09-300000927628us-gaap:AccumulatedOtherComprehensiveIncomeMember2020-09-300000927628us-gaap:TreasuryStockMember2020-09-300000927628us-gaap:Pr</w:t>
      </w:r>
      <w:r>
        <w:rPr>
          <w:rFonts w:eastAsia="Times New Roman"/>
          <w:vanish/>
        </w:rPr>
        <w:t>eferredStockMember2018-12-310000927628us-gaap:CommonStockMember2018-12-310000927628us-gaap:AdditionalPaidInCapitalMember2018-12-310000927628us-gaap:RetainedEarningsMember2018-12-310000927628us-gaap:AccumulatedOtherComprehensiveIncomeMember2018-12-310000927</w:t>
      </w:r>
      <w:r>
        <w:rPr>
          <w:rFonts w:eastAsia="Times New Roman"/>
          <w:vanish/>
        </w:rPr>
        <w:t>628us-gaap:TreasuryStockMember2018-12-3100009276282018-12-310000927628us-gaap:RetainedEarningsMembersrt:CumulativeEffectPeriodOfAdoptionAdjustmentMember2018-12-310000927628srt:CumulativeEffectPeriodOfAdoptionAdjustmentMember2018-12-310000927628us-gaap:Reta</w:t>
      </w:r>
      <w:r>
        <w:rPr>
          <w:rFonts w:eastAsia="Times New Roman"/>
          <w:vanish/>
        </w:rPr>
        <w:t>inedEarningsMember2019-01-012019-03-310000927628us-gaap:AccumulatedOtherComprehensiveIncomeMember2019-01-012019-03-3100009276282019-01-012019-03-310000927628us-gaap:CommonStockMember2019-01-012019-03-310000927628us-gaap:AdditionalPaidInCapitalMember2019-01</w:t>
      </w:r>
      <w:r>
        <w:rPr>
          <w:rFonts w:eastAsia="Times New Roman"/>
          <w:vanish/>
        </w:rPr>
        <w:t>-012019-03-310000927628us-gaap:TreasuryStockMember2019-01-012019-03-310000927628us-gaap:PreferredStockMember2019-03-310000927628us-gaap:CommonStockMember2019-03-310000927628us-gaap:AdditionalPaidInCapitalMember2019-03-310000927628us-gaap:RetainedEarningsMe</w:t>
      </w:r>
      <w:r>
        <w:rPr>
          <w:rFonts w:eastAsia="Times New Roman"/>
          <w:vanish/>
        </w:rPr>
        <w:t>mber2019-03-310000927628us-gaap:AccumulatedOtherComprehensiveIncomeMember2019-03-310000927628us-gaap:TreasuryStockMember2019-03-3100009276282019-03-310000927628us-gaap:RetainedEarningsMember2019-04-012019-06-300000927628us-gaap:AccumulatedOtherComprehensiv</w:t>
      </w:r>
      <w:r>
        <w:rPr>
          <w:rFonts w:eastAsia="Times New Roman"/>
          <w:vanish/>
        </w:rPr>
        <w:t>eIncomeMember2019-04-012019-06-3000009276282019-04-012019-06-300000927628us-gaap:CommonStockMember2019-04-012019-06-300000927628us-gaap:AdditionalPaidInCapitalMember2019-04-012019-06-300000927628us-gaap:TreasuryStockMember2019-04-012019-06-300000927628us-g</w:t>
      </w:r>
      <w:r>
        <w:rPr>
          <w:rFonts w:eastAsia="Times New Roman"/>
          <w:vanish/>
        </w:rPr>
        <w:t>aap:PreferredStockMember2019-06-300000927628us-gaap:CommonStockMember2019-06-300000927628us-gaap:AdditionalPaidInCapitalMember2019-06-300000927628us-gaap:RetainedEarningsMember2019-06-300000927628us-gaap:AccumulatedOtherComprehensiveIncomeMember2019-06-300</w:t>
      </w:r>
      <w:r>
        <w:rPr>
          <w:rFonts w:eastAsia="Times New Roman"/>
          <w:vanish/>
        </w:rPr>
        <w:t>000927628us-gaap:TreasuryStockMember2019-06-3000009276282019-06-300000927628us-gaap:RetainedEarningsMember2019-07-012019-09-300000927628us-gaap:AccumulatedOtherComprehensiveIncomeMember2019-07-012019-09-300000927628us-gaap:CommonStockMember2019-07-012019-0</w:t>
      </w:r>
      <w:r>
        <w:rPr>
          <w:rFonts w:eastAsia="Times New Roman"/>
          <w:vanish/>
        </w:rPr>
        <w:t>9-300000927628us-gaap:AdditionalPaidInCapitalMember2019-07-012019-09-300000927628us-gaap:TreasuryStockMember2019-07-012019-09-300000927628us-gaap:PreferredStockMember2019-07-012019-09-300000927628us-gaap:PreferredStockMember2019-09-300000927628us-gaap:Comm</w:t>
      </w:r>
      <w:r>
        <w:rPr>
          <w:rFonts w:eastAsia="Times New Roman"/>
          <w:vanish/>
        </w:rPr>
        <w:t>onStockMember2019-09-300000927628us-gaap:AdditionalPaidInCapitalMember2019-09-300000927628us-gaap:RetainedEarningsMember2019-09-300000927628us-gaap:AccumulatedOtherComprehensiveIncomeMember2019-09-300000927628us-gaap:TreasuryStockMember2019-09-300000927628</w:t>
      </w:r>
      <w:r>
        <w:rPr>
          <w:rFonts w:eastAsia="Times New Roman"/>
          <w:vanish/>
        </w:rPr>
        <w:t>2019-09-30cof:Segment0000927628cof:CreditCardPortfolioSegmentMember2020-01-012020-09-300000927628us-gaap:ConsumerPortfolioSegmentMember2020-01-012020-09-300000927628cof:CreditCardPortfolioSegmentMembercof:PrivilegesRevokedMember2020-01-012020-09-3000009276</w:t>
      </w:r>
      <w:r>
        <w:rPr>
          <w:rFonts w:eastAsia="Times New Roman"/>
          <w:vanish/>
        </w:rPr>
        <w:t>28cof:ChapterSevenBankruptcyMembercof:CreditCardPortfolioSegmentMember2020-01-012020-09-300000927628cof:NotificationofDeathMembercof:CreditCardPortfolioSegmentMember2020-01-012020-09-300000927628us-gaap:ConsumerPortfolioSegmentMemberus-gaap:AutomobileLoanM</w:t>
      </w:r>
      <w:r>
        <w:rPr>
          <w:rFonts w:eastAsia="Times New Roman"/>
          <w:vanish/>
        </w:rPr>
        <w:t>ember2020-01-012020-09-300000927628us-gaap:ConsumerPortfolioSegmentMembersrt:MaximumMembercof:SmallBusinessBankingLoansMember2020-01-012020-09-300000927628us-gaap:ConsumerPortfolioSegmentMembercof:ChapterSevenBankruptcyMember2020-01-012020-09-300000927628u</w:t>
      </w:r>
      <w:r>
        <w:rPr>
          <w:rFonts w:eastAsia="Times New Roman"/>
          <w:vanish/>
        </w:rPr>
        <w:t>s-gaap:ConsumerPortfolioSegmentMembercof:OtherConsumerLoansMember2020-01-012020-09-300000927628us-gaap:ConsumerPortfolioSegmentMembercof:NotificationofDeathMember2020-01-012020-09-300000927628us-gaap:AllowanceForLoanAndLeaseLossesMemberus-gaap:AccountingSt</w:t>
      </w:r>
      <w:r>
        <w:rPr>
          <w:rFonts w:eastAsia="Times New Roman"/>
          <w:vanish/>
        </w:rPr>
        <w:t>andardsUpdate201613Member2020-01-010000927628us-gaap:AccountingStandardsUpdate201613Member2020-01-010000927628us-gaap:AllowanceForLoanAndLeaseLossesMember2020-01-01xbrli:pure0000927628cof:InvestmentSecuritiesPortfolioMemberus-gaap:USTreasuryAndGovernmentMe</w:t>
      </w:r>
      <w:r>
        <w:rPr>
          <w:rFonts w:eastAsia="Times New Roman"/>
          <w:vanish/>
        </w:rPr>
        <w:t>mber2019-12-312019-12-310000927628cof:InvestmentSecuritiesPortfolioMemberus-gaap:USTreasuryAndGovernmentMember2020-09-302020-09-300000927628srt:CumulativeEffectPeriodOfAdoptionAdjustmentMember2020-01-010000927628us-gaap:USTreasurySecuritiesMember2020-09-30</w:t>
      </w:r>
      <w:r>
        <w:rPr>
          <w:rFonts w:eastAsia="Times New Roman"/>
          <w:vanish/>
        </w:rPr>
        <w:t>0000927628cof:ResidentialMortgageBackedSecuritiesAgencyMember2020-09-300000927628cof:ResidentialMortgageBackedSecuritiesNonagencyMember2020-09-300000927628us-gaap:ResidentialMortgageBackedSecuritiesMember2020-09-300000927628cof:CommercialMortgageBackedSecu</w:t>
      </w:r>
      <w:r>
        <w:rPr>
          <w:rFonts w:eastAsia="Times New Roman"/>
          <w:vanish/>
        </w:rPr>
        <w:t>ritiesAgencyMember2020-09-300000927628us-gaap:OtherDebtSecuritiesMember2020-09-300000927628us-gaap:USTreasurySecuritiesMember2019-12-310000927628cof:ResidentialMortgageBackedSecuritiesAgencyMember2019-12-310000927628cof:ResidentialMortgageBackedSecuritiesN</w:t>
      </w:r>
      <w:r>
        <w:rPr>
          <w:rFonts w:eastAsia="Times New Roman"/>
          <w:vanish/>
        </w:rPr>
        <w:t>onagencyMember2019-12-310000927628us-gaap:ResidentialMortgageBackedSecuritiesMember2019-12-310000927628cof:CommercialMortgageBackedSecuritiesAgencyMember2019-12-310000927628us-gaap:OtherDebtSecuritiesMember2019-12-310000927628us-gaap:AssetBackedSecuritiesM</w:t>
      </w:r>
      <w:r>
        <w:rPr>
          <w:rFonts w:eastAsia="Times New Roman"/>
          <w:vanish/>
        </w:rPr>
        <w:t>ember2020-09-300000927628us-gaap:AssetBackedSecuritiesMember2019-12-31cof:Security0000927628us-gaap:ResidentialMortgageBackedSecuritiesMember2020-01-012020-09-300000927628cof:CommercialMortgageBackedSecuritiesAgencyMember2020-01-012020-09-300000927628us-ga</w:t>
      </w:r>
      <w:r>
        <w:rPr>
          <w:rFonts w:eastAsia="Times New Roman"/>
          <w:vanish/>
        </w:rPr>
        <w:t>ap:CollateralPledgedMember2020-09-300000927628us-gaap:CollateralPledgedMember2019-12-310000927628us-gaap:GeographicDistributionDomesticMembercof:CreditCardPortfolioSegmentMember2020-09-300000927628us-gaap:FinancingReceivables30To59DaysPastDueMemberus-gaap:</w:t>
      </w:r>
      <w:r>
        <w:rPr>
          <w:rFonts w:eastAsia="Times New Roman"/>
          <w:vanish/>
        </w:rPr>
        <w:t>GeographicDistributionDomesticMembercof:CreditCardPortfolioSegmentMember2020-09-300000927628us-gaap:FinancingReceivables60To89DaysPastDueMemberus-gaap:GeographicDistributionDomesticMembercof:CreditCardPortfolioSegmentMember2020-09-300000927628us-gaap:Finan</w:t>
      </w:r>
      <w:r>
        <w:rPr>
          <w:rFonts w:eastAsia="Times New Roman"/>
          <w:vanish/>
        </w:rPr>
        <w:t>cingReceivablesEqualToGreaterThan90DaysPastDueMemberus-gaap:GeographicDistributionDomesticMembercof:CreditCardPortfolioSegmentMember2020-09-300000927628cof:CreditCardPortfolioSegmentMemberus-gaap:GeographicDistributionForeignMember2020-09-300000927628us-ga</w:t>
      </w:r>
      <w:r>
        <w:rPr>
          <w:rFonts w:eastAsia="Times New Roman"/>
          <w:vanish/>
        </w:rPr>
        <w:t>ap:FinancingReceivables30To59DaysPastDueMembercof:CreditCardPortfolioSegmentMemberus-gaap:GeographicDistributionForeignMember2020-09-300000927628us-gaap:FinancingReceivables60To89DaysPastDueMembercof:CreditCardPortfolioSegmentMemberus-gaap:GeographicDistri</w:t>
      </w:r>
      <w:r>
        <w:rPr>
          <w:rFonts w:eastAsia="Times New Roman"/>
          <w:vanish/>
        </w:rPr>
        <w:t>butionForeignMember2020-09-300000927628us-gaap:FinancingReceivablesEqualToGreaterThan90DaysPastDueMembercof:CreditCardPortfolioSegmentMemberus-gaap:GeographicDistributionForeignMember2020-09-300000927628cof:CreditCardPortfolioSegmentMember2020-09-300000927</w:t>
      </w:r>
      <w:r>
        <w:rPr>
          <w:rFonts w:eastAsia="Times New Roman"/>
          <w:vanish/>
        </w:rPr>
        <w:t>628us-gaap:FinancingReceivables30To59DaysPastDueMembercof:CreditCardPortfolioSegmentMember2020-09-300000927628us-gaap:FinancingReceivables60To89DaysPastDueMembercof:CreditCardPortfolioSegmentMember2020-09-300000927628us-gaap:FinancingReceivablesEqualToGrea</w:t>
      </w:r>
      <w:r>
        <w:rPr>
          <w:rFonts w:eastAsia="Times New Roman"/>
          <w:vanish/>
        </w:rPr>
        <w:t>terThan90DaysPastDueMembercof:CreditCardPortfolioSegmentMember2020-09-300000927628us-gaap:ConsumerPortfolioSegmentMemberus-gaap:AutomobileLoanMember2020-09-300000927628us-gaap:FinancingReceivables30To59DaysPastDueMemberus-gaap:ConsumerPortfolioSegmentMembe</w:t>
      </w:r>
      <w:r>
        <w:rPr>
          <w:rFonts w:eastAsia="Times New Roman"/>
          <w:vanish/>
        </w:rPr>
        <w:t>rus-gaap:AutomobileLoanMember2020-09-300000927628us-gaap:ConsumerPortfolioSegmentMemberus-gaap:FinancingReceivables60To89DaysPastDueMemberus-gaap:AutomobileLoanMember2020-09-300000927628us-gaap:ConsumerPortfolioSegmentMemberus-gaap:FinancingReceivablesEqua</w:t>
      </w:r>
      <w:r>
        <w:rPr>
          <w:rFonts w:eastAsia="Times New Roman"/>
          <w:vanish/>
        </w:rPr>
        <w:t>lToGreaterThan90DaysPastDueMemberus-gaap:AutomobileLoanMember2020-09-300000927628us-gaap:ConsumerPortfolioSegmentMembercof:RetailBankingMember2020-09-300000927628us-gaap:FinancingReceivables30To59DaysPastDueMemberus-gaap:ConsumerPortfolioSegmentMembercof:R</w:t>
      </w:r>
      <w:r>
        <w:rPr>
          <w:rFonts w:eastAsia="Times New Roman"/>
          <w:vanish/>
        </w:rPr>
        <w:t>etailBankingMember2020-09-300000927628us-gaap:ConsumerPortfolioSegmentMemberus-gaap:FinancingReceivables60To89DaysPastDueMembercof:RetailBankingMember2020-09-300000927628us-gaap:ConsumerPortfolioSegmentMembercof:RetailBankingMemberus-gaap:FinancingReceivab</w:t>
      </w:r>
      <w:r>
        <w:rPr>
          <w:rFonts w:eastAsia="Times New Roman"/>
          <w:vanish/>
        </w:rPr>
        <w:t>lesEqualToGreaterThan90DaysPastDueMember2020-09-300000927628us-gaap:ConsumerPortfolioSegmentMember2020-09-300000927628us-gaap:FinancingReceivables30To59DaysPastDueMemberus-gaap:ConsumerPortfolioSegmentMember2020-09-300000927628us-gaap:ConsumerPortfolioSegm</w:t>
      </w:r>
      <w:r>
        <w:rPr>
          <w:rFonts w:eastAsia="Times New Roman"/>
          <w:vanish/>
        </w:rPr>
        <w:t>entMemberus-gaap:FinancingReceivables60To89DaysPastDueMember2020-09-300000927628us-gaap:ConsumerPortfolioSegmentMemberus-gaap:FinancingReceivablesEqualToGreaterThan90DaysPastDueMember2020-09-300000927628us-gaap:CommercialPortfolioSegmentMembercof:Commercia</w:t>
      </w:r>
      <w:r>
        <w:rPr>
          <w:rFonts w:eastAsia="Times New Roman"/>
          <w:vanish/>
        </w:rPr>
        <w:t>lAndMultifamilyRealEstateMember2020-09-300000927628us-gaap:FinancingReceivables30To59DaysPastDueMemberus-gaap:CommercialPortfolioSegmentMembercof:CommercialAndMultifamilyRealEstateMember2020-09-300000927628us-gaap:CommercialPortfolioSegmentMemberus-gaap:Fi</w:t>
      </w:r>
      <w:r>
        <w:rPr>
          <w:rFonts w:eastAsia="Times New Roman"/>
          <w:vanish/>
        </w:rPr>
        <w:t>nancingReceivables60To89DaysPastDueMembercof:CommercialAndMultifamilyRealEstateMember2020-09-300000927628us-gaap:CommercialPortfolioSegmentMemberus-gaap:FinancingReceivablesEqualToGreaterThan90DaysPastDueMembercof:CommercialAndMultifamilyRealEstateMember20</w:t>
      </w:r>
      <w:r>
        <w:rPr>
          <w:rFonts w:eastAsia="Times New Roman"/>
          <w:vanish/>
        </w:rPr>
        <w:t>20-09-300000927628us-gaap:CommercialPortfolioSegmentMembercof:CommercialAndIndustrialMember2020-09-300000927628us-gaap:FinancingReceivables30To59DaysPastDueMemberus-gaap:CommercialPortfolioSegmentMembercof:CommercialAndIndustrialMember2020-09-300000927628u</w:t>
      </w:r>
      <w:r>
        <w:rPr>
          <w:rFonts w:eastAsia="Times New Roman"/>
          <w:vanish/>
        </w:rPr>
        <w:t>s-gaap:CommercialPortfolioSegmentMemberus-gaap:FinancingReceivables60To89DaysPastDueMembercof:CommercialAndIndustrialMember2020-09-300000927628us-gaap:CommercialPortfolioSegmentMembercof:CommercialAndIndustrialMemberus-gaap:FinancingReceivablesEqualToGreat</w:t>
      </w:r>
      <w:r>
        <w:rPr>
          <w:rFonts w:eastAsia="Times New Roman"/>
          <w:vanish/>
        </w:rPr>
        <w:t>erThan90DaysPastDueMember2020-09-300000927628us-gaap:CommercialPortfolioSegmentMember2020-09-300000927628us-gaap:FinancingReceivables30To59DaysPastDueMemberus-gaap:CommercialPortfolioSegmentMember2020-09-300000927628us-gaap:CommercialPortfolioSegmentMember</w:t>
      </w:r>
      <w:r>
        <w:rPr>
          <w:rFonts w:eastAsia="Times New Roman"/>
          <w:vanish/>
        </w:rPr>
        <w:t>us-gaap:FinancingReceivables60To89DaysPastDueMember2020-09-300000927628us-gaap:CommercialPortfolioSegmentMemberus-gaap:FinancingReceivablesEqualToGreaterThan90DaysPastDueMember2020-09-300000927628us-gaap:FinancingReceivables30To59DaysPastDueMember2020-09-3</w:t>
      </w:r>
      <w:r>
        <w:rPr>
          <w:rFonts w:eastAsia="Times New Roman"/>
          <w:vanish/>
        </w:rPr>
        <w:t>00000927628us-gaap:FinancingReceivables60To89DaysPastDueMember2020-09-300000927628us-gaap:FinancingReceivablesEqualToGreaterThan90DaysPastDueMember2020-09-300000927628us-gaap:GeographicDistributionDomesticMembercof:CreditCardPortfolioSegmentMember2019-12-3</w:t>
      </w:r>
      <w:r>
        <w:rPr>
          <w:rFonts w:eastAsia="Times New Roman"/>
          <w:vanish/>
        </w:rPr>
        <w:t>10000927628us-gaap:FinancingReceivables30To59DaysPastDueMemberus-gaap:GeographicDistributionDomesticMembercof:CreditCardPortfolioSegmentMember2019-12-310000927628us-gaap:FinancingReceivables60To89DaysPastDueMemberus-gaap:GeographicDistributionDomesticMembe</w:t>
      </w:r>
      <w:r>
        <w:rPr>
          <w:rFonts w:eastAsia="Times New Roman"/>
          <w:vanish/>
        </w:rPr>
        <w:t>rcof:CreditCardPortfolioSegmentMember2019-12-310000927628us-gaap:FinancingReceivablesEqualToGreaterThan90DaysPastDueMemberus-gaap:GeographicDistributionDomesticMembercof:CreditCardPortfolioSegmentMember2019-12-310000927628us-gaap:FinancialAssetAcquiredWith</w:t>
      </w:r>
      <w:r>
        <w:rPr>
          <w:rFonts w:eastAsia="Times New Roman"/>
          <w:vanish/>
        </w:rPr>
        <w:t>CreditDeteriorationMemberus-gaap:GeographicDistributionDomesticMembercof:CreditCardPortfolioSegmentMember2019-12-310000927628cof:CreditCardPortfolioSegmentMemberus-gaap:GeographicDistributionForeignMember2019-12-310000927628us-gaap:FinancingReceivables30To</w:t>
      </w:r>
      <w:r>
        <w:rPr>
          <w:rFonts w:eastAsia="Times New Roman"/>
          <w:vanish/>
        </w:rPr>
        <w:t>59DaysPastDueMembercof:CreditCardPortfolioSegmentMemberus-gaap:GeographicDistributionForeignMember2019-12-310000927628us-gaap:FinancingReceivables60To89DaysPastDueMembercof:CreditCardPortfolioSegmentMemberus-gaap:GeographicDistributionForeignMember2019-12-</w:t>
      </w:r>
      <w:r>
        <w:rPr>
          <w:rFonts w:eastAsia="Times New Roman"/>
          <w:vanish/>
        </w:rPr>
        <w:t>310000927628us-gaap:FinancingReceivablesEqualToGreaterThan90DaysPastDueMembercof:CreditCardPortfolioSegmentMemberus-gaap:GeographicDistributionForeignMember2019-12-310000927628us-gaap:FinancialAssetAcquiredWithCreditDeteriorationMembercof:CreditCardPortfol</w:t>
      </w:r>
      <w:r>
        <w:rPr>
          <w:rFonts w:eastAsia="Times New Roman"/>
          <w:vanish/>
        </w:rPr>
        <w:t>ioSegmentMemberus-gaap:GeographicDistributionForeignMember2019-12-310000927628cof:CreditCardPortfolioSegmentMember2019-12-310000927628us-gaap:FinancingReceivables30To59DaysPastDueMembercof:CreditCardPortfolioSegmentMember2019-12-310000927628us-gaap:Financi</w:t>
      </w:r>
      <w:r>
        <w:rPr>
          <w:rFonts w:eastAsia="Times New Roman"/>
          <w:vanish/>
        </w:rPr>
        <w:t>ngReceivables60To89DaysPastDueMembercof:CreditCardPortfolioSegmentMember2019-12-310000927628us-gaap:FinancingReceivablesEqualToGreaterThan90DaysPastDueMembercof:CreditCardPortfolioSegmentMember2019-12-310000927628us-gaap:FinancialAssetAcquiredWithCreditDet</w:t>
      </w:r>
      <w:r>
        <w:rPr>
          <w:rFonts w:eastAsia="Times New Roman"/>
          <w:vanish/>
        </w:rPr>
        <w:t>eriorationMembercof:CreditCardPortfolioSegmentMember2019-12-310000927628us-gaap:ConsumerPortfolioSegmentMemberus-gaap:AutomobileLoanMember2019-12-310000927628us-gaap:FinancingReceivables30To59DaysPastDueMemberus-gaap:ConsumerPortfolioSegmentMemberus-gaap:A</w:t>
      </w:r>
      <w:r>
        <w:rPr>
          <w:rFonts w:eastAsia="Times New Roman"/>
          <w:vanish/>
        </w:rPr>
        <w:t>utomobileLoanMember2019-12-310000927628us-gaap:ConsumerPortfolioSegmentMemberus-gaap:FinancingReceivables60To89DaysPastDueMemberus-gaap:AutomobileLoanMember2019-12-310000927628us-gaap:ConsumerPortfolioSegmentMemberus-gaap:FinancingReceivablesEqualToGreater</w:t>
      </w:r>
      <w:r>
        <w:rPr>
          <w:rFonts w:eastAsia="Times New Roman"/>
          <w:vanish/>
        </w:rPr>
        <w:t>Than90DaysPastDueMemberus-gaap:AutomobileLoanMember2019-12-310000927628us-gaap:ConsumerPortfolioSegmentMemberus-gaap:FinancialAssetAcquiredWithCreditDeteriorationMemberus-gaap:AutomobileLoanMember2019-12-310000927628us-gaap:ConsumerPortfolioSegmentMemberco</w:t>
      </w:r>
      <w:r>
        <w:rPr>
          <w:rFonts w:eastAsia="Times New Roman"/>
          <w:vanish/>
        </w:rPr>
        <w:t>f:RetailBankingMember2019-12-310000927628us-gaap:FinancingReceivables30To59DaysPastDueMemberus-gaap:ConsumerPortfolioSegmentMembercof:RetailBankingMember2019-12-310000927628us-gaap:ConsumerPortfolioSegmentMemberus-gaap:FinancingReceivables60To89DaysPastDue</w:t>
      </w:r>
      <w:r>
        <w:rPr>
          <w:rFonts w:eastAsia="Times New Roman"/>
          <w:vanish/>
        </w:rPr>
        <w:t>Membercof:RetailBankingMember2019-12-310000927628us-gaap:ConsumerPortfolioSegmentMembercof:RetailBankingMemberus-gaap:FinancingReceivablesEqualToGreaterThan90DaysPastDueMember2019-12-310000927628us-gaap:ConsumerPortfolioSegmentMemberus-gaap:FinancialAssetA</w:t>
      </w:r>
      <w:r>
        <w:rPr>
          <w:rFonts w:eastAsia="Times New Roman"/>
          <w:vanish/>
        </w:rPr>
        <w:t>cquiredWithCreditDeteriorationMembercof:RetailBankingMember2019-12-310000927628us-gaap:ConsumerPortfolioSegmentMember2019-12-310000927628us-gaap:FinancingReceivables30To59DaysPastDueMemberus-gaap:ConsumerPortfolioSegmentMember2019-12-310000927628us-gaap:Co</w:t>
      </w:r>
      <w:r>
        <w:rPr>
          <w:rFonts w:eastAsia="Times New Roman"/>
          <w:vanish/>
        </w:rPr>
        <w:t>nsumerPortfolioSegmentMemberus-gaap:FinancingReceivables60To89DaysPastDueMember2019-12-310000927628us-gaap:ConsumerPortfolioSegmentMemberus-gaap:FinancingReceivablesEqualToGreaterThan90DaysPastDueMember2019-12-310000927628us-gaap:ConsumerPortfolioSegmentMe</w:t>
      </w:r>
      <w:r>
        <w:rPr>
          <w:rFonts w:eastAsia="Times New Roman"/>
          <w:vanish/>
        </w:rPr>
        <w:t>mberus-gaap:FinancialAssetAcquiredWithCreditDeteriorationMember2019-12-310000927628us-gaap:CommercialPortfolioSegmentMembercof:CommercialAndMultifamilyRealEstateMember2019-12-310000927628us-gaap:FinancingReceivables30To59DaysPastDueMemberus-gaap:Commercial</w:t>
      </w:r>
      <w:r>
        <w:rPr>
          <w:rFonts w:eastAsia="Times New Roman"/>
          <w:vanish/>
        </w:rPr>
        <w:t>PortfolioSegmentMembercof:CommercialAndMultifamilyRealEstateMember2019-12-310000927628us-gaap:CommercialPortfolioSegmentMemberus-gaap:FinancingReceivables60To89DaysPastDueMembercof:CommercialAndMultifamilyRealEstateMember2019-12-310000927628us-gaap:Commerc</w:t>
      </w:r>
      <w:r>
        <w:rPr>
          <w:rFonts w:eastAsia="Times New Roman"/>
          <w:vanish/>
        </w:rPr>
        <w:t>ialPortfolioSegmentMemberus-gaap:FinancingReceivablesEqualToGreaterThan90DaysPastDueMembercof:CommercialAndMultifamilyRealEstateMember2019-12-310000927628us-gaap:CommercialPortfolioSegmentMemberus-gaap:FinancialAssetAcquiredWithCreditDeteriorationMembercof</w:t>
      </w:r>
      <w:r>
        <w:rPr>
          <w:rFonts w:eastAsia="Times New Roman"/>
          <w:vanish/>
        </w:rPr>
        <w:t>:CommercialAndMultifamilyRealEstateMember2019-12-310000927628us-gaap:CommercialPortfolioSegmentMembercof:CommercialAndIndustrialMember2019-12-310000927628us-gaap:FinancingReceivables30To59DaysPastDueMemberus-gaap:CommercialPortfolioSegmentMembercof:Commerc</w:t>
      </w:r>
      <w:r>
        <w:rPr>
          <w:rFonts w:eastAsia="Times New Roman"/>
          <w:vanish/>
        </w:rPr>
        <w:t>ialAndIndustrialMember2019-12-310000927628us-gaap:CommercialPortfolioSegmentMemberus-gaap:FinancingReceivables60To89DaysPastDueMembercof:CommercialAndIndustrialMember2019-12-310000927628us-gaap:CommercialPortfolioSegmentMembercof:CommercialAndIndustrialMem</w:t>
      </w:r>
      <w:r>
        <w:rPr>
          <w:rFonts w:eastAsia="Times New Roman"/>
          <w:vanish/>
        </w:rPr>
        <w:t>berus-gaap:FinancingReceivablesEqualToGreaterThan90DaysPastDueMember2019-12-310000927628us-gaap:CommercialPortfolioSegmentMembercof:CommercialAndIndustrialMemberus-gaap:FinancialAssetAcquiredWithCreditDeteriorationMember2019-12-310000927628us-gaap:Commerci</w:t>
      </w:r>
      <w:r>
        <w:rPr>
          <w:rFonts w:eastAsia="Times New Roman"/>
          <w:vanish/>
        </w:rPr>
        <w:t>alPortfolioSegmentMember2019-12-310000927628us-gaap:FinancingReceivables30To59DaysPastDueMemberus-gaap:CommercialPortfolioSegmentMember2019-12-310000927628us-gaap:CommercialPortfolioSegmentMemberus-gaap:FinancingReceivables60To89DaysPastDueMember2019-12-31</w:t>
      </w:r>
      <w:r>
        <w:rPr>
          <w:rFonts w:eastAsia="Times New Roman"/>
          <w:vanish/>
        </w:rPr>
        <w:t>0000927628us-gaap:CommercialPortfolioSegmentMemberus-gaap:FinancingReceivablesEqualToGreaterThan90DaysPastDueMember2019-12-310000927628us-gaap:CommercialPortfolioSegmentMemberus-gaap:FinancialAssetAcquiredWithCreditDeteriorationMembercof:CommercialLendingM</w:t>
      </w:r>
      <w:r>
        <w:rPr>
          <w:rFonts w:eastAsia="Times New Roman"/>
          <w:vanish/>
        </w:rPr>
        <w:t>ember2019-12-310000927628us-gaap:FinancingReceivables30To59DaysPastDueMember2019-12-310000927628us-gaap:FinancingReceivables60To89DaysPastDueMember2019-12-310000927628us-gaap:FinancingReceivablesEqualToGreaterThan90DaysPastDueMember2019-12-310000927628us-g</w:t>
      </w:r>
      <w:r>
        <w:rPr>
          <w:rFonts w:eastAsia="Times New Roman"/>
          <w:vanish/>
        </w:rPr>
        <w:t>aap:FinancialAssetAcquiredWithCreditDeteriorationMember2019-12-310000927628cof:FinancialAssetCurrentAndLessThan30DaysPastDueMemberus-gaap:GeographicDistributionDomesticMembercof:CreditCardPortfolioSegmentMember2020-09-300000927628cof:FinancialAssetCurrentA</w:t>
      </w:r>
      <w:r>
        <w:rPr>
          <w:rFonts w:eastAsia="Times New Roman"/>
          <w:vanish/>
        </w:rPr>
        <w:t>ndLessThan30DaysPastDueMembercof:CreditCardPortfolioSegmentMemberus-gaap:GeographicDistributionForeignMember2020-09-300000927628us-gaap:ConsumerPortfolioSegmentMemberus-gaap:AutomobileLoanMembercof:FICOScoreGreaterThan660Member2020-09-300000927628us-gaap:C</w:t>
      </w:r>
      <w:r>
        <w:rPr>
          <w:rFonts w:eastAsia="Times New Roman"/>
          <w:vanish/>
        </w:rPr>
        <w:t>onsumerPortfolioSegmentMemberus-gaap:AutomobileLoanMembercof:FICOScoreGreaterThan660Member2019-12-310000927628cof:FICOScore621To660Memberus-gaap:ConsumerPortfolioSegmentMemberus-gaap:AutomobileLoanMember2020-09-300000927628cof:FICOScore621To660Memberus-gaa</w:t>
      </w:r>
      <w:r>
        <w:rPr>
          <w:rFonts w:eastAsia="Times New Roman"/>
          <w:vanish/>
        </w:rPr>
        <w:t>p:ConsumerPortfolioSegmentMemberus-gaap:AutomobileLoanMember2019-12-310000927628us-gaap:ConsumerPortfolioSegmentMembercof:FICOScoreLessThan620Memberus-gaap:AutomobileLoanMember2020-09-300000927628us-gaap:ConsumerPortfolioSegmentMembercof:FICOScoreLessThan6</w:t>
      </w:r>
      <w:r>
        <w:rPr>
          <w:rFonts w:eastAsia="Times New Roman"/>
          <w:vanish/>
        </w:rPr>
        <w:t>20Memberus-gaap:AutomobileLoanMember2019-12-310000927628us-gaap:ConsumerPortfolioSegmentMembercof:RetailBankingMembercof:FinancialAssetCurrentAndLessThan30DaysPastDueMember2020-09-300000927628us-gaap:ConsumerPortfolioSegmentMembercof:RetailBankingMembercof</w:t>
      </w:r>
      <w:r>
        <w:rPr>
          <w:rFonts w:eastAsia="Times New Roman"/>
          <w:vanish/>
        </w:rPr>
        <w:t>:FinancialAssetCurrentAndLessThan30DaysPastDueMember2019-12-310000927628us-gaap:CommercialPortfolioSegmentMember2020-01-012020-09-300000927628us-gaap:CommercialPortfolioSegmentMemberus-gaap:PassMembercof:CommercialAndMultifamilyRealEstateMember2020-09-3000</w:t>
      </w:r>
      <w:r>
        <w:rPr>
          <w:rFonts w:eastAsia="Times New Roman"/>
          <w:vanish/>
        </w:rPr>
        <w:t>00927628us-gaap:CommercialPortfolioSegmentMemberus-gaap:PerformingFinancingReceivableMemberus-gaap:CriticizedMembercof:CommercialAndMultifamilyRealEstateMember2020-09-300000927628us-gaap:CommercialPortfolioSegmentMemberus-gaap:CriticizedMemberus-gaap:Nonpe</w:t>
      </w:r>
      <w:r>
        <w:rPr>
          <w:rFonts w:eastAsia="Times New Roman"/>
          <w:vanish/>
        </w:rPr>
        <w:t>rformingFinancingReceivableMembercof:CommercialAndMultifamilyRealEstateMember2020-09-300000927628us-gaap:CommercialPortfolioSegmentMembercof:CommercialAndIndustrialMemberus-gaap:PassMember2020-09-300000927628us-gaap:CommercialPortfolioSegmentMemberus-gaap:</w:t>
      </w:r>
      <w:r>
        <w:rPr>
          <w:rFonts w:eastAsia="Times New Roman"/>
          <w:vanish/>
        </w:rPr>
        <w:t>PerformingFinancingReceivableMembercof:CommercialAndIndustrialMemberus-gaap:CriticizedMember2020-09-300000927628us-gaap:CommercialPortfolioSegmentMembercof:CommercialAndIndustrialMemberus-gaap:CriticizedMemberus-gaap:NonperformingFinancingReceivableMember2</w:t>
      </w:r>
      <w:r>
        <w:rPr>
          <w:rFonts w:eastAsia="Times New Roman"/>
          <w:vanish/>
        </w:rPr>
        <w:t>020-09-300000927628us-gaap:CommercialPortfolioSegmentMemberus-gaap:PassMembercof:CommercialAndMultifamilyRealEstateMember2019-12-310000927628us-gaap:CommercialPortfolioSegmentMembercof:CommercialAndIndustrialMemberus-gaap:PassMember2019-12-310000927628us-g</w:t>
      </w:r>
      <w:r>
        <w:rPr>
          <w:rFonts w:eastAsia="Times New Roman"/>
          <w:vanish/>
        </w:rPr>
        <w:t>aap:CommercialPortfolioSegmentMemberus-gaap:PassMember2019-12-310000927628us-gaap:CommercialPortfolioSegmentMemberus-gaap:PerformingFinancingReceivableMemberus-gaap:CriticizedMembercof:CommercialAndMultifamilyRealEstateMember2019-12-310000927628us-gaap:Com</w:t>
      </w:r>
      <w:r>
        <w:rPr>
          <w:rFonts w:eastAsia="Times New Roman"/>
          <w:vanish/>
        </w:rPr>
        <w:t>mercialPortfolioSegmentMemberus-gaap:PerformingFinancingReceivableMembercof:CommercialAndIndustrialMemberus-gaap:CriticizedMember2019-12-310000927628us-gaap:CommercialPortfolioSegmentMemberus-gaap:PerformingFinancingReceivableMemberus-gaap:CriticizedMember</w:t>
      </w:r>
      <w:r>
        <w:rPr>
          <w:rFonts w:eastAsia="Times New Roman"/>
          <w:vanish/>
        </w:rPr>
        <w:t>2019-12-310000927628us-gaap:CommercialPortfolioSegmentMemberus-gaap:CriticizedMemberus-gaap:NonperformingFinancingReceivableMembercof:CommercialAndMultifamilyRealEstateMember2019-12-310000927628us-gaap:CommercialPortfolioSegmentMembercof:CommercialAndIndus</w:t>
      </w:r>
      <w:r>
        <w:rPr>
          <w:rFonts w:eastAsia="Times New Roman"/>
          <w:vanish/>
        </w:rPr>
        <w:t>trialMemberus-gaap:CriticizedMemberus-gaap:NonperformingFinancingReceivableMember2019-12-310000927628us-gaap:CommercialPortfolioSegmentMemberus-gaap:CriticizedMemberus-gaap:NonperformingFinancingReceivableMember2019-12-310000927628us-gaap:CommercialPortfol</w:t>
      </w:r>
      <w:r>
        <w:rPr>
          <w:rFonts w:eastAsia="Times New Roman"/>
          <w:vanish/>
        </w:rPr>
        <w:t>ioSegmentMemberus-gaap:FinancialAssetAcquiredWithCreditDeteriorationMember2019-12-310000927628us-gaap:GeographicDistributionDomesticMembercof:CreditCardPortfolioSegmentMember2020-07-012020-09-300000927628us-gaap:GeographicDistributionDomesticMembercof:Cred</w:t>
      </w:r>
      <w:r>
        <w:rPr>
          <w:rFonts w:eastAsia="Times New Roman"/>
          <w:vanish/>
        </w:rPr>
        <w:t>itCardPortfolioSegmentMember2020-01-012020-09-300000927628us-gaap:PerformingFinancingReceivableMembercof:CreditCardandConsumerPortfoliosMember2020-09-300000927628us-gaap:PerformingFinancingReceivableMembercof:CreditCardandConsumerPortfoliosMember2019-12-31</w:t>
      </w:r>
      <w:r>
        <w:rPr>
          <w:rFonts w:eastAsia="Times New Roman"/>
          <w:vanish/>
        </w:rPr>
        <w:t>0000927628us-gaap:PerformingFinancingReceivableMemberus-gaap:CommercialPortfolioSegmentMember2020-09-300000927628us-gaap:PerformingFinancingReceivableMemberus-gaap:CommercialPortfolioSegmentMember2019-12-310000927628us-gaap:ContractualInterestRateReduction</w:t>
      </w:r>
      <w:r>
        <w:rPr>
          <w:rFonts w:eastAsia="Times New Roman"/>
          <w:vanish/>
        </w:rPr>
        <w:t>Memberus-gaap:GeographicDistributionDomesticMembercof:CreditCardPortfolioSegmentMember2020-07-012020-09-300000927628us-gaap:ExtendedMaturityMemberus-gaap:GeographicDistributionDomesticMembercof:CreditCardPortfolioSegmentMember2020-07-012020-09-300000927628</w:t>
      </w:r>
      <w:r>
        <w:rPr>
          <w:rFonts w:eastAsia="Times New Roman"/>
          <w:vanish/>
        </w:rPr>
        <w:t>us-gaap:PrincipalForgivenessMemberus-gaap:GeographicDistributionDomesticMembercof:CreditCardPortfolioSegmentMember2020-07-012020-09-300000927628cof:CreditCardPortfolioSegmentMemberus-gaap:GeographicDistributionForeignMember2020-07-012020-09-300000927628us-</w:t>
      </w:r>
      <w:r>
        <w:rPr>
          <w:rFonts w:eastAsia="Times New Roman"/>
          <w:vanish/>
        </w:rPr>
        <w:t>gaap:ContractualInterestRateReductionMembercof:CreditCardPortfolioSegmentMemberus-gaap:GeographicDistributionForeignMember2020-07-012020-09-300000927628us-gaap:ExtendedMaturityMembercof:CreditCardPortfolioSegmentMemberus-gaap:GeographicDistributionForeignM</w:t>
      </w:r>
      <w:r>
        <w:rPr>
          <w:rFonts w:eastAsia="Times New Roman"/>
          <w:vanish/>
        </w:rPr>
        <w:t>ember2020-07-012020-09-300000927628us-gaap:PrincipalForgivenessMembercof:CreditCardPortfolioSegmentMemberus-gaap:GeographicDistributionForeignMember2020-07-012020-09-300000927628cof:CreditCardPortfolioSegmentMember2020-07-012020-09-300000927628us-gaap:Cont</w:t>
      </w:r>
      <w:r>
        <w:rPr>
          <w:rFonts w:eastAsia="Times New Roman"/>
          <w:vanish/>
        </w:rPr>
        <w:t>ractualInterestRateReductionMembercof:CreditCardPortfolioSegmentMember2020-07-012020-09-300000927628us-gaap:ExtendedMaturityMembercof:CreditCardPortfolioSegmentMember2020-07-012020-09-300000927628us-gaap:PrincipalForgivenessMembercof:CreditCardPortfolioSeg</w:t>
      </w:r>
      <w:r>
        <w:rPr>
          <w:rFonts w:eastAsia="Times New Roman"/>
          <w:vanish/>
        </w:rPr>
        <w:t>mentMember2020-07-012020-09-300000927628us-gaap:ConsumerPortfolioSegmentMemberus-gaap:AutomobileLoanMember2020-07-012020-09-300000927628us-gaap:ConsumerPortfolioSegmentMemberus-gaap:ContractualInterestRateReductionMemberus-gaap:AutomobileLoanMember2020-07-</w:t>
      </w:r>
      <w:r>
        <w:rPr>
          <w:rFonts w:eastAsia="Times New Roman"/>
          <w:vanish/>
        </w:rPr>
        <w:t>012020-09-300000927628us-gaap:ConsumerPortfolioSegmentMemberus-gaap:ExtendedMaturityMemberus-gaap:AutomobileLoanMember2020-07-012020-09-300000927628us-gaap:ConsumerPortfolioSegmentMemberus-gaap:PrincipalForgivenessMemberus-gaap:AutomobileLoanMember2020-07-</w:t>
      </w:r>
      <w:r>
        <w:rPr>
          <w:rFonts w:eastAsia="Times New Roman"/>
          <w:vanish/>
        </w:rPr>
        <w:t>012020-09-300000927628us-gaap:ConsumerPortfolioSegmentMembercof:RetailBankingMember2020-07-012020-09-300000927628us-gaap:ConsumerPortfolioSegmentMemberus-gaap:ContractualInterestRateReductionMembercof:RetailBankingMember2020-07-012020-09-300000927628us-gaa</w:t>
      </w:r>
      <w:r>
        <w:rPr>
          <w:rFonts w:eastAsia="Times New Roman"/>
          <w:vanish/>
        </w:rPr>
        <w:t>p:ConsumerPortfolioSegmentMemberus-gaap:ExtendedMaturityMembercof:RetailBankingMember2020-07-012020-09-300000927628us-gaap:ConsumerPortfolioSegmentMemberus-gaap:PrincipalForgivenessMembercof:RetailBankingMember2020-07-012020-09-300000927628us-gaap:Consumer</w:t>
      </w:r>
      <w:r>
        <w:rPr>
          <w:rFonts w:eastAsia="Times New Roman"/>
          <w:vanish/>
        </w:rPr>
        <w:t>PortfolioSegmentMember2020-07-012020-09-300000927628us-gaap:ConsumerPortfolioSegmentMemberus-gaap:ContractualInterestRateReductionMember2020-07-012020-09-300000927628us-gaap:ConsumerPortfolioSegmentMemberus-gaap:ExtendedMaturityMember2020-07-012020-09-3000</w:t>
      </w:r>
      <w:r>
        <w:rPr>
          <w:rFonts w:eastAsia="Times New Roman"/>
          <w:vanish/>
        </w:rPr>
        <w:t>00927628us-gaap:ConsumerPortfolioSegmentMemberus-gaap:PrincipalForgivenessMember2020-07-012020-09-300000927628us-gaap:CommercialPortfolioSegmentMembercof:CommercialAndMultifamilyRealEstateMember2020-07-012020-09-300000927628us-gaap:CommercialPortfolioSegme</w:t>
      </w:r>
      <w:r>
        <w:rPr>
          <w:rFonts w:eastAsia="Times New Roman"/>
          <w:vanish/>
        </w:rPr>
        <w:t>ntMemberus-gaap:ContractualInterestRateReductionMembercof:CommercialAndMultifamilyRealEstateMember2020-07-012020-09-300000927628us-gaap:CommercialPortfolioSegmentMemberus-gaap:ExtendedMaturityMembercof:CommercialAndMultifamilyRealEstateMember2020-07-012020</w:t>
      </w:r>
      <w:r>
        <w:rPr>
          <w:rFonts w:eastAsia="Times New Roman"/>
          <w:vanish/>
        </w:rPr>
        <w:t>-09-300000927628us-gaap:PrincipalForgivenessMemberus-gaap:CommercialPortfolioSegmentMembercof:CommercialAndMultifamilyRealEstateMember2020-07-012020-09-300000927628us-gaap:CommercialPortfolioSegmentMembercof:CommercialAndIndustrialMember2020-07-012020-09-3</w:t>
      </w:r>
      <w:r>
        <w:rPr>
          <w:rFonts w:eastAsia="Times New Roman"/>
          <w:vanish/>
        </w:rPr>
        <w:t>00000927628us-gaap:CommercialPortfolioSegmentMembercof:CommercialAndIndustrialMemberus-gaap:ContractualInterestRateReductionMember2020-07-012020-09-300000927628us-gaap:CommercialPortfolioSegmentMemberus-gaap:ExtendedMaturityMembercof:CommercialAndIndustria</w:t>
      </w:r>
      <w:r>
        <w:rPr>
          <w:rFonts w:eastAsia="Times New Roman"/>
          <w:vanish/>
        </w:rPr>
        <w:t>lMember2020-07-012020-09-300000927628us-gaap:PrincipalForgivenessMemberus-gaap:CommercialPortfolioSegmentMembercof:CommercialAndIndustrialMember2020-07-012020-09-300000927628us-gaap:CommercialPortfolioSegmentMember2020-07-012020-09-300000927628us-gaap:Comm</w:t>
      </w:r>
      <w:r>
        <w:rPr>
          <w:rFonts w:eastAsia="Times New Roman"/>
          <w:vanish/>
        </w:rPr>
        <w:t>ercialPortfolioSegmentMemberus-gaap:ContractualInterestRateReductionMember2020-07-012020-09-300000927628us-gaap:CommercialPortfolioSegmentMemberus-gaap:ExtendedMaturityMember2020-07-012020-09-300000927628us-gaap:PrincipalForgivenessMemberus-gaap:Commercial</w:t>
      </w:r>
      <w:r>
        <w:rPr>
          <w:rFonts w:eastAsia="Times New Roman"/>
          <w:vanish/>
        </w:rPr>
        <w:t>PortfolioSegmentMember2020-07-012020-09-300000927628us-gaap:ContractualInterestRateReductionMember2020-07-012020-09-300000927628us-gaap:ExtendedMaturityMember2020-07-012020-09-300000927628us-gaap:PrincipalForgivenessMember2020-07-012020-09-300000927628us-g</w:t>
      </w:r>
      <w:r>
        <w:rPr>
          <w:rFonts w:eastAsia="Times New Roman"/>
          <w:vanish/>
        </w:rPr>
        <w:t>aap:ContractualInterestRateReductionMemberus-gaap:GeographicDistributionDomesticMembercof:CreditCardPortfolioSegmentMember2020-01-012020-09-300000927628us-gaap:ExtendedMaturityMemberus-gaap:GeographicDistributionDomesticMembercof:CreditCardPortfolioSegment</w:t>
      </w:r>
      <w:r>
        <w:rPr>
          <w:rFonts w:eastAsia="Times New Roman"/>
          <w:vanish/>
        </w:rPr>
        <w:t>Member2020-01-012020-09-300000927628us-gaap:PrincipalForgivenessMemberus-gaap:GeographicDistributionDomesticMembercof:CreditCardPortfolioSegmentMember2020-01-012020-09-300000927628cof:CreditCardPortfolioSegmentMemberus-gaap:GeographicDistributionForeignMem</w:t>
      </w:r>
      <w:r>
        <w:rPr>
          <w:rFonts w:eastAsia="Times New Roman"/>
          <w:vanish/>
        </w:rPr>
        <w:t>ber2020-01-012020-09-300000927628us-gaap:ContractualInterestRateReductionMembercof:CreditCardPortfolioSegmentMemberus-gaap:GeographicDistributionForeignMember2020-01-012020-09-300000927628us-gaap:ExtendedMaturityMembercof:CreditCardPortfolioSegmentMemberus</w:t>
      </w:r>
      <w:r>
        <w:rPr>
          <w:rFonts w:eastAsia="Times New Roman"/>
          <w:vanish/>
        </w:rPr>
        <w:t>-gaap:GeographicDistributionForeignMember2020-01-012020-09-300000927628us-gaap:PrincipalForgivenessMembercof:CreditCardPortfolioSegmentMemberus-gaap:GeographicDistributionForeignMember2020-01-012020-09-300000927628us-gaap:ContractualInterestRateReductionMe</w:t>
      </w:r>
      <w:r>
        <w:rPr>
          <w:rFonts w:eastAsia="Times New Roman"/>
          <w:vanish/>
        </w:rPr>
        <w:t>mbercof:CreditCardPortfolioSegmentMember2020-01-012020-09-300000927628us-gaap:ExtendedMaturityMembercof:CreditCardPortfolioSegmentMember2020-01-012020-09-300000927628us-gaap:PrincipalForgivenessMembercof:CreditCardPortfolioSegmentMember2020-01-012020-09-30</w:t>
      </w:r>
      <w:r>
        <w:rPr>
          <w:rFonts w:eastAsia="Times New Roman"/>
          <w:vanish/>
        </w:rPr>
        <w:t>0000927628us-gaap:ConsumerPortfolioSegmentMemberus-gaap:ContractualInterestRateReductionMemberus-gaap:AutomobileLoanMember2020-01-012020-09-300000927628us-gaap:ConsumerPortfolioSegmentMemberus-gaap:ExtendedMaturityMemberus-gaap:AutomobileLoanMember2020-01-</w:t>
      </w:r>
      <w:r>
        <w:rPr>
          <w:rFonts w:eastAsia="Times New Roman"/>
          <w:vanish/>
        </w:rPr>
        <w:t>012020-09-300000927628us-gaap:ConsumerPortfolioSegmentMemberus-gaap:PrincipalForgivenessMemberus-gaap:AutomobileLoanMember2020-01-012020-09-300000927628us-gaap:ConsumerPortfolioSegmentMembercof:RetailBankingMember2020-01-012020-09-300000927628us-gaap:Consu</w:t>
      </w:r>
      <w:r>
        <w:rPr>
          <w:rFonts w:eastAsia="Times New Roman"/>
          <w:vanish/>
        </w:rPr>
        <w:t>merPortfolioSegmentMemberus-gaap:ContractualInterestRateReductionMembercof:RetailBankingMember2020-01-012020-09-300000927628us-gaap:ConsumerPortfolioSegmentMemberus-gaap:ExtendedMaturityMembercof:RetailBankingMember2020-01-012020-09-300000927628us-gaap:Con</w:t>
      </w:r>
      <w:r>
        <w:rPr>
          <w:rFonts w:eastAsia="Times New Roman"/>
          <w:vanish/>
        </w:rPr>
        <w:t>sumerPortfolioSegmentMemberus-gaap:PrincipalForgivenessMembercof:RetailBankingMember2020-01-012020-09-300000927628us-gaap:ConsumerPortfolioSegmentMemberus-gaap:ContractualInterestRateReductionMember2020-01-012020-09-300000927628us-gaap:ConsumerPortfolioSeg</w:t>
      </w:r>
      <w:r>
        <w:rPr>
          <w:rFonts w:eastAsia="Times New Roman"/>
          <w:vanish/>
        </w:rPr>
        <w:t>mentMemberus-gaap:ExtendedMaturityMember2020-01-012020-09-300000927628us-gaap:ConsumerPortfolioSegmentMemberus-gaap:PrincipalForgivenessMember2020-01-012020-09-300000927628us-gaap:CommercialPortfolioSegmentMembercof:CommercialAndMultifamilyRealEstateMember</w:t>
      </w:r>
      <w:r>
        <w:rPr>
          <w:rFonts w:eastAsia="Times New Roman"/>
          <w:vanish/>
        </w:rPr>
        <w:t>2020-01-012020-09-300000927628us-gaap:CommercialPortfolioSegmentMemberus-gaap:ContractualInterestRateReductionMembercof:CommercialAndMultifamilyRealEstateMember2020-01-012020-09-300000927628us-gaap:CommercialPortfolioSegmentMemberus-gaap:ExtendedMaturityMe</w:t>
      </w:r>
      <w:r>
        <w:rPr>
          <w:rFonts w:eastAsia="Times New Roman"/>
          <w:vanish/>
        </w:rPr>
        <w:t>mbercof:CommercialAndMultifamilyRealEstateMember2020-01-012020-09-300000927628us-gaap:PrincipalForgivenessMemberus-gaap:CommercialPortfolioSegmentMembercof:CommercialAndMultifamilyRealEstateMember2020-01-012020-09-300000927628us-gaap:CommercialPortfolioSeg</w:t>
      </w:r>
      <w:r>
        <w:rPr>
          <w:rFonts w:eastAsia="Times New Roman"/>
          <w:vanish/>
        </w:rPr>
        <w:t>mentMembercof:CommercialAndIndustrialMember2020-01-012020-09-300000927628us-gaap:CommercialPortfolioSegmentMembercof:CommercialAndIndustrialMemberus-gaap:ContractualInterestRateReductionMember2020-01-012020-09-300000927628us-gaap:CommercialPortfolioSegment</w:t>
      </w:r>
      <w:r>
        <w:rPr>
          <w:rFonts w:eastAsia="Times New Roman"/>
          <w:vanish/>
        </w:rPr>
        <w:t>Memberus-gaap:ExtendedMaturityMembercof:CommercialAndIndustrialMember2020-01-012020-09-300000927628us-gaap:PrincipalForgivenessMemberus-gaap:CommercialPortfolioSegmentMembercof:CommercialAndIndustrialMember2020-01-012020-09-300000927628us-gaap:CommercialPo</w:t>
      </w:r>
      <w:r>
        <w:rPr>
          <w:rFonts w:eastAsia="Times New Roman"/>
          <w:vanish/>
        </w:rPr>
        <w:t>rtfolioSegmentMemberus-gaap:ContractualInterestRateReductionMember2020-01-012020-09-300000927628us-gaap:CommercialPortfolioSegmentMemberus-gaap:ExtendedMaturityMember2020-01-012020-09-300000927628us-gaap:PrincipalForgivenessMemberus-gaap:CommercialPortfoli</w:t>
      </w:r>
      <w:r>
        <w:rPr>
          <w:rFonts w:eastAsia="Times New Roman"/>
          <w:vanish/>
        </w:rPr>
        <w:t>oSegmentMember2020-01-012020-09-300000927628us-gaap:ContractualInterestRateReductionMember2020-01-012020-09-300000927628us-gaap:ExtendedMaturityMember2020-01-012020-09-300000927628us-gaap:PrincipalForgivenessMember2020-01-012020-09-300000927628us-gaap:Geog</w:t>
      </w:r>
      <w:r>
        <w:rPr>
          <w:rFonts w:eastAsia="Times New Roman"/>
          <w:vanish/>
        </w:rPr>
        <w:t>raphicDistributionDomesticMembercof:CreditCardPortfolioSegmentMember2019-07-012019-09-300000927628us-gaap:ContractualInterestRateReductionMemberus-gaap:GeographicDistributionDomesticMembercof:CreditCardPortfolioSegmentMember2019-07-012019-09-300000927628us</w:t>
      </w:r>
      <w:r>
        <w:rPr>
          <w:rFonts w:eastAsia="Times New Roman"/>
          <w:vanish/>
        </w:rPr>
        <w:t>-gaap:ExtendedMaturityMemberus-gaap:GeographicDistributionDomesticMembercof:CreditCardPortfolioSegmentMember2019-07-012019-09-300000927628us-gaap:PrincipalForgivenessMemberus-gaap:GeographicDistributionDomesticMembercof:CreditCardPortfolioSegmentMember2019</w:t>
      </w:r>
      <w:r>
        <w:rPr>
          <w:rFonts w:eastAsia="Times New Roman"/>
          <w:vanish/>
        </w:rPr>
        <w:t>-07-012019-09-300000927628cof:CreditCardPortfolioSegmentMemberus-gaap:GeographicDistributionForeignMember2019-07-012019-09-300000927628us-gaap:ContractualInterestRateReductionMembercof:CreditCardPortfolioSegmentMemberus-gaap:GeographicDistributionForeignMe</w:t>
      </w:r>
      <w:r>
        <w:rPr>
          <w:rFonts w:eastAsia="Times New Roman"/>
          <w:vanish/>
        </w:rPr>
        <w:t>mber2019-07-012019-09-300000927628us-gaap:ExtendedMaturityMembercof:CreditCardPortfolioSegmentMemberus-gaap:GeographicDistributionForeignMember2019-07-012019-09-300000927628us-gaap:PrincipalForgivenessMembercof:CreditCardPortfolioSegmentMemberus-gaap:Geogr</w:t>
      </w:r>
      <w:r>
        <w:rPr>
          <w:rFonts w:eastAsia="Times New Roman"/>
          <w:vanish/>
        </w:rPr>
        <w:t>aphicDistributionForeignMember2019-07-012019-09-300000927628cof:CreditCardPortfolioSegmentMember2019-07-012019-09-300000927628us-gaap:ContractualInterestRateReductionMembercof:CreditCardPortfolioSegmentMember2019-07-012019-09-300000927628us-gaap:ExtendedMa</w:t>
      </w:r>
      <w:r>
        <w:rPr>
          <w:rFonts w:eastAsia="Times New Roman"/>
          <w:vanish/>
        </w:rPr>
        <w:t>turityMembercof:CreditCardPortfolioSegmentMember2019-07-012019-09-300000927628us-gaap:PrincipalForgivenessMembercof:CreditCardPortfolioSegmentMember2019-07-012019-09-300000927628us-gaap:ConsumerPortfolioSegmentMemberus-gaap:AutomobileLoanMember2019-07-0120</w:t>
      </w:r>
      <w:r>
        <w:rPr>
          <w:rFonts w:eastAsia="Times New Roman"/>
          <w:vanish/>
        </w:rPr>
        <w:t>19-09-300000927628us-gaap:ConsumerPortfolioSegmentMemberus-gaap:ContractualInterestRateReductionMemberus-gaap:AutomobileLoanMember2019-07-012019-09-300000927628us-gaap:ConsumerPortfolioSegmentMemberus-gaap:ExtendedMaturityMemberus-gaap:AutomobileLoanMember</w:t>
      </w:r>
      <w:r>
        <w:rPr>
          <w:rFonts w:eastAsia="Times New Roman"/>
          <w:vanish/>
        </w:rPr>
        <w:t>2019-07-012019-09-300000927628us-gaap:ConsumerPortfolioSegmentMemberus-gaap:PrincipalForgivenessMemberus-gaap:AutomobileLoanMember2019-07-012019-09-300000927628us-gaap:ConsumerPortfolioSegmentMembercof:RetailBankingMember2019-07-012019-09-300000927628us-ga</w:t>
      </w:r>
      <w:r>
        <w:rPr>
          <w:rFonts w:eastAsia="Times New Roman"/>
          <w:vanish/>
        </w:rPr>
        <w:t>ap:ConsumerPortfolioSegmentMemberus-gaap:ContractualInterestRateReductionMembercof:RetailBankingMember2019-07-012019-09-300000927628us-gaap:ConsumerPortfolioSegmentMemberus-gaap:ExtendedMaturityMembercof:RetailBankingMember2019-07-012019-09-300000927628us-</w:t>
      </w:r>
      <w:r>
        <w:rPr>
          <w:rFonts w:eastAsia="Times New Roman"/>
          <w:vanish/>
        </w:rPr>
        <w:t>gaap:ConsumerPortfolioSegmentMemberus-gaap:PrincipalForgivenessMembercof:RetailBankingMember2019-07-012019-09-300000927628us-gaap:ConsumerPortfolioSegmentMember2019-07-012019-09-300000927628us-gaap:ConsumerPortfolioSegmentMemberus-gaap:ContractualInterestR</w:t>
      </w:r>
      <w:r>
        <w:rPr>
          <w:rFonts w:eastAsia="Times New Roman"/>
          <w:vanish/>
        </w:rPr>
        <w:t>ateReductionMember2019-07-012019-09-300000927628us-gaap:ConsumerPortfolioSegmentMemberus-gaap:ExtendedMaturityMember2019-07-012019-09-300000927628us-gaap:ConsumerPortfolioSegmentMemberus-gaap:PrincipalForgivenessMember2019-07-012019-09-300000927628us-gaap:</w:t>
      </w:r>
      <w:r>
        <w:rPr>
          <w:rFonts w:eastAsia="Times New Roman"/>
          <w:vanish/>
        </w:rPr>
        <w:t>CommercialPortfolioSegmentMembercof:CommercialAndIndustrialMember2019-07-012019-09-300000927628us-gaap:CommercialPortfolioSegmentMembercof:CommercialAndIndustrialMemberus-gaap:ContractualInterestRateReductionMember2019-07-012019-09-300000927628us-gaap:Comm</w:t>
      </w:r>
      <w:r>
        <w:rPr>
          <w:rFonts w:eastAsia="Times New Roman"/>
          <w:vanish/>
        </w:rPr>
        <w:t>ercialPortfolioSegmentMemberus-gaap:ExtendedMaturityMembercof:CommercialAndIndustrialMember2019-07-012019-09-300000927628us-gaap:PrincipalForgivenessMemberus-gaap:CommercialPortfolioSegmentMembercof:CommercialAndIndustrialMember2019-07-012019-09-3000009276</w:t>
      </w:r>
      <w:r>
        <w:rPr>
          <w:rFonts w:eastAsia="Times New Roman"/>
          <w:vanish/>
        </w:rPr>
        <w:t>28us-gaap:CommercialPortfolioSegmentMember2019-07-012019-09-300000927628us-gaap:CommercialPortfolioSegmentMemberus-gaap:ContractualInterestRateReductionMember2019-07-012019-09-300000927628us-gaap:CommercialPortfolioSegmentMemberus-gaap:ExtendedMaturityMemb</w:t>
      </w:r>
      <w:r>
        <w:rPr>
          <w:rFonts w:eastAsia="Times New Roman"/>
          <w:vanish/>
        </w:rPr>
        <w:t>er2019-07-012019-09-300000927628us-gaap:PrincipalForgivenessMemberus-gaap:CommercialPortfolioSegmentMember2019-07-012019-09-300000927628us-gaap:ContractualInterestRateReductionMember2019-07-012019-09-300000927628us-gaap:ExtendedMaturityMember2019-07-012019</w:t>
      </w:r>
      <w:r>
        <w:rPr>
          <w:rFonts w:eastAsia="Times New Roman"/>
          <w:vanish/>
        </w:rPr>
        <w:t>-09-300000927628us-gaap:PrincipalForgivenessMember2019-07-012019-09-300000927628us-gaap:GeographicDistributionDomesticMembercof:CreditCardPortfolioSegmentMember2019-01-012019-09-300000927628us-gaap:ContractualInterestRateReductionMemberus-gaap:GeographicDi</w:t>
      </w:r>
      <w:r>
        <w:rPr>
          <w:rFonts w:eastAsia="Times New Roman"/>
          <w:vanish/>
        </w:rPr>
        <w:t>stributionDomesticMembercof:CreditCardPortfolioSegmentMember2019-01-012019-09-300000927628us-gaap:ExtendedMaturityMemberus-gaap:GeographicDistributionDomesticMembercof:CreditCardPortfolioSegmentMember2019-01-012019-09-300000927628us-gaap:PrincipalForgivene</w:t>
      </w:r>
      <w:r>
        <w:rPr>
          <w:rFonts w:eastAsia="Times New Roman"/>
          <w:vanish/>
        </w:rPr>
        <w:t>ssMemberus-gaap:GeographicDistributionDomesticMembercof:CreditCardPortfolioSegmentMember2019-01-012019-09-300000927628cof:CreditCardPortfolioSegmentMemberus-gaap:GeographicDistributionForeignMember2019-01-012019-09-300000927628us-gaap:ContractualInterestRa</w:t>
      </w:r>
      <w:r>
        <w:rPr>
          <w:rFonts w:eastAsia="Times New Roman"/>
          <w:vanish/>
        </w:rPr>
        <w:t>teReductionMembercof:CreditCardPortfolioSegmentMemberus-gaap:GeographicDistributionForeignMember2019-01-012019-09-300000927628us-gaap:ExtendedMaturityMembercof:CreditCardPortfolioSegmentMemberus-gaap:GeographicDistributionForeignMember2019-01-012019-09-300</w:t>
      </w:r>
      <w:r>
        <w:rPr>
          <w:rFonts w:eastAsia="Times New Roman"/>
          <w:vanish/>
        </w:rPr>
        <w:t>000927628us-gaap:PrincipalForgivenessMembercof:CreditCardPortfolioSegmentMemberus-gaap:GeographicDistributionForeignMember2019-01-012019-09-300000927628cof:CreditCardPortfolioSegmentMember2019-01-012019-09-300000927628us-gaap:ContractualInterestRateReducti</w:t>
      </w:r>
      <w:r>
        <w:rPr>
          <w:rFonts w:eastAsia="Times New Roman"/>
          <w:vanish/>
        </w:rPr>
        <w:t>onMembercof:CreditCardPortfolioSegmentMember2019-01-012019-09-300000927628us-gaap:ExtendedMaturityMembercof:CreditCardPortfolioSegmentMember2019-01-012019-09-300000927628us-gaap:PrincipalForgivenessMembercof:CreditCardPortfolioSegmentMember2019-01-012019-0</w:t>
      </w:r>
      <w:r>
        <w:rPr>
          <w:rFonts w:eastAsia="Times New Roman"/>
          <w:vanish/>
        </w:rPr>
        <w:t>9-300000927628us-gaap:ConsumerPortfolioSegmentMemberus-gaap:AutomobileLoanMember2019-01-012019-09-300000927628us-gaap:ConsumerPortfolioSegmentMemberus-gaap:ContractualInterestRateReductionMemberus-gaap:AutomobileLoanMember2019-01-012019-09-300000927628us-g</w:t>
      </w:r>
      <w:r>
        <w:rPr>
          <w:rFonts w:eastAsia="Times New Roman"/>
          <w:vanish/>
        </w:rPr>
        <w:t>aap:ConsumerPortfolioSegmentMemberus-gaap:ExtendedMaturityMemberus-gaap:AutomobileLoanMember2019-01-012019-09-300000927628us-gaap:ConsumerPortfolioSegmentMemberus-gaap:PrincipalForgivenessMemberus-gaap:AutomobileLoanMember2019-01-012019-09-300000927628us-g</w:t>
      </w:r>
      <w:r>
        <w:rPr>
          <w:rFonts w:eastAsia="Times New Roman"/>
          <w:vanish/>
        </w:rPr>
        <w:t>aap:ConsumerPortfolioSegmentMembercof:RetailBankingMember2019-01-012019-09-300000927628us-gaap:ConsumerPortfolioSegmentMemberus-gaap:ContractualInterestRateReductionMembercof:RetailBankingMember2019-01-012019-09-300000927628us-gaap:ConsumerPortfolioSegment</w:t>
      </w:r>
      <w:r>
        <w:rPr>
          <w:rFonts w:eastAsia="Times New Roman"/>
          <w:vanish/>
        </w:rPr>
        <w:t>Memberus-gaap:ExtendedMaturityMembercof:RetailBankingMember2019-01-012019-09-300000927628us-gaap:ConsumerPortfolioSegmentMemberus-gaap:PrincipalForgivenessMembercof:RetailBankingMember2019-01-012019-09-300000927628us-gaap:ConsumerPortfolioSegmentMember2019</w:t>
      </w:r>
      <w:r>
        <w:rPr>
          <w:rFonts w:eastAsia="Times New Roman"/>
          <w:vanish/>
        </w:rPr>
        <w:t>-01-012019-09-300000927628us-gaap:ConsumerPortfolioSegmentMemberus-gaap:ContractualInterestRateReductionMember2019-01-012019-09-300000927628us-gaap:ConsumerPortfolioSegmentMemberus-gaap:ExtendedMaturityMember2019-01-012019-09-300000927628us-gaap:ConsumerPo</w:t>
      </w:r>
      <w:r>
        <w:rPr>
          <w:rFonts w:eastAsia="Times New Roman"/>
          <w:vanish/>
        </w:rPr>
        <w:t>rtfolioSegmentMemberus-gaap:PrincipalForgivenessMember2019-01-012019-09-300000927628us-gaap:CommercialPortfolioSegmentMembercof:CommercialAndMultifamilyRealEstateMember2019-01-012019-09-300000927628us-gaap:CommercialPortfolioSegmentMemberus-gaap:Contractua</w:t>
      </w:r>
      <w:r>
        <w:rPr>
          <w:rFonts w:eastAsia="Times New Roman"/>
          <w:vanish/>
        </w:rPr>
        <w:t>lInterestRateReductionMembercof:CommercialAndMultifamilyRealEstateMember2019-01-012019-09-300000927628us-gaap:CommercialPortfolioSegmentMemberus-gaap:ExtendedMaturityMembercof:CommercialAndMultifamilyRealEstateMember2019-01-012019-09-300000927628us-gaap:Pr</w:t>
      </w:r>
      <w:r>
        <w:rPr>
          <w:rFonts w:eastAsia="Times New Roman"/>
          <w:vanish/>
        </w:rPr>
        <w:t>incipalForgivenessMemberus-gaap:CommercialPortfolioSegmentMembercof:CommercialAndMultifamilyRealEstateMember2019-01-012019-09-300000927628us-gaap:CommercialPortfolioSegmentMembercof:CommercialAndIndustrialMember2019-01-012019-09-300000927628us-gaap:Commerc</w:t>
      </w:r>
      <w:r>
        <w:rPr>
          <w:rFonts w:eastAsia="Times New Roman"/>
          <w:vanish/>
        </w:rPr>
        <w:t>ialPortfolioSegmentMembercof:CommercialAndIndustrialMemberus-gaap:ContractualInterestRateReductionMember2019-01-012019-09-300000927628us-gaap:CommercialPortfolioSegmentMemberus-gaap:ExtendedMaturityMembercof:CommercialAndIndustrialMember2019-01-012019-09-3</w:t>
      </w:r>
      <w:r>
        <w:rPr>
          <w:rFonts w:eastAsia="Times New Roman"/>
          <w:vanish/>
        </w:rPr>
        <w:t>00000927628us-gaap:PrincipalForgivenessMemberus-gaap:CommercialPortfolioSegmentMembercof:CommercialAndIndustrialMember2019-01-012019-09-300000927628us-gaap:CommercialPortfolioSegmentMembercof:CommercialLendingMember2019-01-012019-09-300000927628us-gaap:Com</w:t>
      </w:r>
      <w:r>
        <w:rPr>
          <w:rFonts w:eastAsia="Times New Roman"/>
          <w:vanish/>
        </w:rPr>
        <w:t>mercialPortfolioSegmentMemberus-gaap:ContractualInterestRateReductionMembercof:CommercialLendingMember2019-01-012019-09-300000927628us-gaap:CommercialPortfolioSegmentMemberus-gaap:ExtendedMaturityMembercof:CommercialLendingMember2019-01-012019-09-300000927</w:t>
      </w:r>
      <w:r>
        <w:rPr>
          <w:rFonts w:eastAsia="Times New Roman"/>
          <w:vanish/>
        </w:rPr>
        <w:t>628us-gaap:PrincipalForgivenessMemberus-gaap:CommercialPortfolioSegmentMembercof:CommercialLendingMember2019-01-012019-09-300000927628cof:SmallTicketRealEstateMemberus-gaap:CommercialPortfolioSegmentMember2019-01-012019-09-300000927628cof:SmallTicketRealEs</w:t>
      </w:r>
      <w:r>
        <w:rPr>
          <w:rFonts w:eastAsia="Times New Roman"/>
          <w:vanish/>
        </w:rPr>
        <w:t>tateMemberus-gaap:CommercialPortfolioSegmentMemberus-gaap:ContractualInterestRateReductionMember2019-01-012019-09-300000927628cof:SmallTicketRealEstateMemberus-gaap:CommercialPortfolioSegmentMemberus-gaap:ExtendedMaturityMember2019-01-012019-09-30000092762</w:t>
      </w:r>
      <w:r>
        <w:rPr>
          <w:rFonts w:eastAsia="Times New Roman"/>
          <w:vanish/>
        </w:rPr>
        <w:t>8cof:SmallTicketRealEstateMemberus-gaap:PrincipalForgivenessMemberus-gaap:CommercialPortfolioSegmentMember2019-01-012019-09-300000927628us-gaap:CommercialPortfolioSegmentMember2019-01-012019-09-300000927628us-gaap:CommercialPortfolioSegmentMemberus-gaap:Co</w:t>
      </w:r>
      <w:r>
        <w:rPr>
          <w:rFonts w:eastAsia="Times New Roman"/>
          <w:vanish/>
        </w:rPr>
        <w:t>ntractualInterestRateReductionMember2019-01-012019-09-300000927628us-gaap:CommercialPortfolioSegmentMemberus-gaap:ExtendedMaturityMember2019-01-012019-09-300000927628us-gaap:PrincipalForgivenessMemberus-gaap:CommercialPortfolioSegmentMember2019-01-012019-0</w:t>
      </w:r>
      <w:r>
        <w:rPr>
          <w:rFonts w:eastAsia="Times New Roman"/>
          <w:vanish/>
        </w:rPr>
        <w:t>9-300000927628us-gaap:ContractualInterestRateReductionMember2019-01-012019-09-300000927628us-gaap:ExtendedMaturityMember2019-01-012019-09-300000927628us-gaap:PrincipalForgivenessMember2019-01-012019-09-30cof:Contract0000927628cof:FederalHomeLoanbanksMember</w:t>
      </w:r>
      <w:r>
        <w:rPr>
          <w:rFonts w:eastAsia="Times New Roman"/>
          <w:vanish/>
        </w:rPr>
        <w:t>2020-09-300000927628cof:FederalHomeLoanbanksMember2019-12-310000927628cof:FederalReserveDiscountWindowMember2020-09-300000927628cof:FederalReserveDiscountWindowMember2019-12-310000927628us-gaap:AllowanceForLoanAndLeaseLossesMember2020-01-012020-09-30000092</w:t>
      </w:r>
      <w:r>
        <w:rPr>
          <w:rFonts w:eastAsia="Times New Roman"/>
          <w:vanish/>
        </w:rPr>
        <w:t>7628us-gaap:AllowanceForLoanAndLeaseLossesMember2020-09-300000927628us-gaap:AllowanceForLoanAndLeaseLossesMembercof:CreditCardPortfolioSegmentMember2020-06-300000927628us-gaap:AllowanceForLoanAndLeaseLossesMemberus-gaap:ConsumerPortfolioSegmentMember2020-0</w:t>
      </w:r>
      <w:r>
        <w:rPr>
          <w:rFonts w:eastAsia="Times New Roman"/>
          <w:vanish/>
        </w:rPr>
        <w:t>6-300000927628us-gaap:AllowanceForLoanAndLeaseLossesMemberus-gaap:CommercialPortfolioSegmentMember2020-06-300000927628us-gaap:AllowanceForLoanAndLeaseLossesMember2020-06-300000927628us-gaap:AllowanceForLoanAndLeaseLossesMembercof:CreditCardPortfolioSegment</w:t>
      </w:r>
      <w:r>
        <w:rPr>
          <w:rFonts w:eastAsia="Times New Roman"/>
          <w:vanish/>
        </w:rPr>
        <w:t>Member2020-07-012020-09-300000927628us-gaap:AllowanceForLoanAndLeaseLossesMemberus-gaap:ConsumerPortfolioSegmentMember2020-07-012020-09-300000927628us-gaap:AllowanceForLoanAndLeaseLossesMemberus-gaap:CommercialPortfolioSegmentMember2020-07-012020-09-300000</w:t>
      </w:r>
      <w:r>
        <w:rPr>
          <w:rFonts w:eastAsia="Times New Roman"/>
          <w:vanish/>
        </w:rPr>
        <w:t>927628us-gaap:AllowanceForLoanAndLeaseLossesMember2020-07-012020-09-300000927628us-gaap:AllowanceForLoanAndLeaseLossesMembercof:CreditCardPortfolioSegmentMember2020-09-300000927628us-gaap:AllowanceForLoanAndLeaseLossesMemberus-gaap:ConsumerPortfolioSegment</w:t>
      </w:r>
      <w:r>
        <w:rPr>
          <w:rFonts w:eastAsia="Times New Roman"/>
          <w:vanish/>
        </w:rPr>
        <w:t>Member2020-09-300000927628us-gaap:AllowanceForLoanAndLeaseLossesMemberus-gaap:CommercialPortfolioSegmentMember2020-09-300000927628cof:CreditCardPortfolioSegmentMemberus-gaap:UnfundedLoanCommitmentMember2020-06-300000927628us-gaap:ConsumerPortfolioSegmentMe</w:t>
      </w:r>
      <w:r>
        <w:rPr>
          <w:rFonts w:eastAsia="Times New Roman"/>
          <w:vanish/>
        </w:rPr>
        <w:t>mberus-gaap:UnfundedLoanCommitmentMember2020-06-300000927628us-gaap:CommercialPortfolioSegmentMemberus-gaap:UnfundedLoanCommitmentMember2020-06-300000927628us-gaap:UnfundedLoanCommitmentMember2020-06-300000927628cof:CreditCardPortfolioSegmentMemberus-gaap:</w:t>
      </w:r>
      <w:r>
        <w:rPr>
          <w:rFonts w:eastAsia="Times New Roman"/>
          <w:vanish/>
        </w:rPr>
        <w:t>UnfundedLoanCommitmentMember2020-07-012020-09-300000927628us-gaap:ConsumerPortfolioSegmentMemberus-gaap:UnfundedLoanCommitmentMember2020-07-012020-09-300000927628us-gaap:CommercialPortfolioSegmentMemberus-gaap:UnfundedLoanCommitmentMember2020-07-012020-09-</w:t>
      </w:r>
      <w:r>
        <w:rPr>
          <w:rFonts w:eastAsia="Times New Roman"/>
          <w:vanish/>
        </w:rPr>
        <w:t>300000927628us-gaap:UnfundedLoanCommitmentMember2020-07-012020-09-300000927628cof:CreditCardPortfolioSegmentMemberus-gaap:UnfundedLoanCommitmentMember2020-09-300000927628us-gaap:ConsumerPortfolioSegmentMemberus-gaap:UnfundedLoanCommitmentMember2020-09-3000</w:t>
      </w:r>
      <w:r>
        <w:rPr>
          <w:rFonts w:eastAsia="Times New Roman"/>
          <w:vanish/>
        </w:rPr>
        <w:t>00927628us-gaap:CommercialPortfolioSegmentMemberus-gaap:UnfundedLoanCommitmentMember2020-09-300000927628us-gaap:UnfundedLoanCommitmentMember2020-09-300000927628cof:CreditCardPortfolioSegmentMembercof:CombinedAllowanceAndUnfundedReserveMember2020-09-3000009</w:t>
      </w:r>
      <w:r>
        <w:rPr>
          <w:rFonts w:eastAsia="Times New Roman"/>
          <w:vanish/>
        </w:rPr>
        <w:t>27628us-gaap:ConsumerPortfolioSegmentMembercof:CombinedAllowanceAndUnfundedReserveMember2020-09-300000927628us-gaap:CommercialPortfolioSegmentMembercof:CombinedAllowanceAndUnfundedReserveMember2020-09-300000927628cof:CombinedAllowanceAndUnfundedReserveMemb</w:t>
      </w:r>
      <w:r>
        <w:rPr>
          <w:rFonts w:eastAsia="Times New Roman"/>
          <w:vanish/>
        </w:rPr>
        <w:t>er2020-09-300000927628us-gaap:AllowanceForLoanAndLeaseLossesMembercof:CreditCardPortfolioSegmentMember2019-12-310000927628us-gaap:AllowanceForLoanAndLeaseLossesMemberus-gaap:ConsumerPortfolioSegmentMember2019-12-310000927628us-gaap:AllowanceForLoanAndLease</w:t>
      </w:r>
      <w:r>
        <w:rPr>
          <w:rFonts w:eastAsia="Times New Roman"/>
          <w:vanish/>
        </w:rPr>
        <w:t>LossesMemberus-gaap:CommercialPortfolioSegmentMember2019-12-310000927628us-gaap:AllowanceForLoanAndLeaseLossesMember2019-12-310000927628us-gaap:AllowanceForLoanAndLeaseLossesMembercof:CreditCardPortfolioSegmentMembersrt:CumulativeEffectPeriodOfAdoptionAdju</w:t>
      </w:r>
      <w:r>
        <w:rPr>
          <w:rFonts w:eastAsia="Times New Roman"/>
          <w:vanish/>
        </w:rPr>
        <w:t>stmentMember2019-12-310000927628us-gaap:AllowanceForLoanAndLeaseLossesMemberus-gaap:ConsumerPortfolioSegmentMembersrt:CumulativeEffectPeriodOfAdoptionAdjustmentMember2019-12-310000927628us-gaap:AllowanceForLoanAndLeaseLossesMemberus-gaap:CommercialPortfoli</w:t>
      </w:r>
      <w:r>
        <w:rPr>
          <w:rFonts w:eastAsia="Times New Roman"/>
          <w:vanish/>
        </w:rPr>
        <w:t>oSegmentMembersrt:CumulativeEffectPeriodOfAdoptionAdjustmentMember2019-12-310000927628us-gaap:AllowanceForLoanAndLeaseLossesMembersrt:CumulativeEffectPeriodOfAdoptionAdjustmentMember2019-12-310000927628us-gaap:AllowanceForLoanAndLeaseLossesMembercof:Credit</w:t>
      </w:r>
      <w:r>
        <w:rPr>
          <w:rFonts w:eastAsia="Times New Roman"/>
          <w:vanish/>
        </w:rPr>
        <w:t>CardPortfolioSegmentMemberus-gaap:ReclassificationOtherMember2019-12-310000927628us-gaap:AllowanceForLoanAndLeaseLossesMemberus-gaap:ConsumerPortfolioSegmentMemberus-gaap:ReclassificationOtherMember2019-12-310000927628us-gaap:AllowanceForLoanAndLeaseLosses</w:t>
      </w:r>
      <w:r>
        <w:rPr>
          <w:rFonts w:eastAsia="Times New Roman"/>
          <w:vanish/>
        </w:rPr>
        <w:t>Memberus-gaap:CommercialPortfolioSegmentMemberus-gaap:ReclassificationOtherMember2019-12-310000927628us-gaap:AllowanceForLoanAndLeaseLossesMemberus-gaap:ReclassificationOtherMember2019-12-310000927628us-gaap:AllowanceForLoanAndLeaseLossesMembercof:CreditCa</w:t>
      </w:r>
      <w:r>
        <w:rPr>
          <w:rFonts w:eastAsia="Times New Roman"/>
          <w:vanish/>
        </w:rPr>
        <w:t>rdPortfolioSegmentMembersrt:CumulativeEffectPeriodOfAdoptionAdjustedBalanceMember2019-12-310000927628us-gaap:AllowanceForLoanAndLeaseLossesMemberus-gaap:ConsumerPortfolioSegmentMembersrt:CumulativeEffectPeriodOfAdoptionAdjustedBalanceMember2019-12-31000092</w:t>
      </w:r>
      <w:r>
        <w:rPr>
          <w:rFonts w:eastAsia="Times New Roman"/>
          <w:vanish/>
        </w:rPr>
        <w:t>7628us-gaap:AllowanceForLoanAndLeaseLossesMemberus-gaap:CommercialPortfolioSegmentMembersrt:CumulativeEffectPeriodOfAdoptionAdjustedBalanceMember2019-12-310000927628us-gaap:AllowanceForLoanAndLeaseLossesMembersrt:CumulativeEffectPeriodOfAdoptionAdjustedBal</w:t>
      </w:r>
      <w:r>
        <w:rPr>
          <w:rFonts w:eastAsia="Times New Roman"/>
          <w:vanish/>
        </w:rPr>
        <w:t>anceMember2019-12-310000927628us-gaap:AllowanceForLoanAndLeaseLossesMembercof:CreditCardPortfolioSegmentMember2020-01-012020-09-300000927628us-gaap:AllowanceForLoanAndLeaseLossesMemberus-gaap:ConsumerPortfolioSegmentMember2020-01-012020-09-300000927628us-g</w:t>
      </w:r>
      <w:r>
        <w:rPr>
          <w:rFonts w:eastAsia="Times New Roman"/>
          <w:vanish/>
        </w:rPr>
        <w:t>aap:AllowanceForLoanAndLeaseLossesMemberus-gaap:CommercialPortfolioSegmentMember2020-01-012020-09-300000927628cof:CreditCardPortfolioSegmentMemberus-gaap:UnfundedLoanCommitmentMember2019-12-310000927628us-gaap:ConsumerPortfolioSegmentMemberus-gaap:Unfunded</w:t>
      </w:r>
      <w:r>
        <w:rPr>
          <w:rFonts w:eastAsia="Times New Roman"/>
          <w:vanish/>
        </w:rPr>
        <w:t>LoanCommitmentMember2019-12-310000927628us-gaap:CommercialPortfolioSegmentMemberus-gaap:UnfundedLoanCommitmentMember2019-12-310000927628us-gaap:UnfundedLoanCommitmentMember2019-12-310000927628cof:CreditCardPortfolioSegmentMembersrt:CumulativeEffectPeriodOf</w:t>
      </w:r>
      <w:r>
        <w:rPr>
          <w:rFonts w:eastAsia="Times New Roman"/>
          <w:vanish/>
        </w:rPr>
        <w:t>AdoptionAdjustmentMemberus-gaap:UnfundedLoanCommitmentMember2019-12-310000927628us-gaap:ConsumerPortfolioSegmentMembersrt:CumulativeEffectPeriodOfAdoptionAdjustmentMemberus-gaap:UnfundedLoanCommitmentMember2019-12-310000927628us-gaap:CommercialPortfolioSeg</w:t>
      </w:r>
      <w:r>
        <w:rPr>
          <w:rFonts w:eastAsia="Times New Roman"/>
          <w:vanish/>
        </w:rPr>
        <w:t>mentMembersrt:CumulativeEffectPeriodOfAdoptionAdjustmentMemberus-gaap:UnfundedLoanCommitmentMember2019-12-310000927628srt:CumulativeEffectPeriodOfAdoptionAdjustmentMemberus-gaap:UnfundedLoanCommitmentMember2019-12-310000927628cof:CreditCardPortfolioSegment</w:t>
      </w:r>
      <w:r>
        <w:rPr>
          <w:rFonts w:eastAsia="Times New Roman"/>
          <w:vanish/>
        </w:rPr>
        <w:t>Membersrt:CumulativeEffectPeriodOfAdoptionAdjustedBalanceMemberus-gaap:UnfundedLoanCommitmentMember2019-12-310000927628us-gaap:ConsumerPortfolioSegmentMembersrt:CumulativeEffectPeriodOfAdoptionAdjustedBalanceMemberus-gaap:UnfundedLoanCommitmentMember2019-1</w:t>
      </w:r>
      <w:r>
        <w:rPr>
          <w:rFonts w:eastAsia="Times New Roman"/>
          <w:vanish/>
        </w:rPr>
        <w:t>2-310000927628us-gaap:CommercialPortfolioSegmentMembersrt:CumulativeEffectPeriodOfAdoptionAdjustedBalanceMemberus-gaap:UnfundedLoanCommitmentMember2019-12-310000927628srt:CumulativeEffectPeriodOfAdoptionAdjustedBalanceMemberus-gaap:UnfundedLoanCommitmentMe</w:t>
      </w:r>
      <w:r>
        <w:rPr>
          <w:rFonts w:eastAsia="Times New Roman"/>
          <w:vanish/>
        </w:rPr>
        <w:t>mber2019-12-310000927628cof:CreditCardPortfolioSegmentMemberus-gaap:UnfundedLoanCommitmentMember2020-01-012020-09-300000927628us-gaap:ConsumerPortfolioSegmentMemberus-gaap:UnfundedLoanCommitmentMember2020-01-012020-09-300000927628us-gaap:CommercialPortfoli</w:t>
      </w:r>
      <w:r>
        <w:rPr>
          <w:rFonts w:eastAsia="Times New Roman"/>
          <w:vanish/>
        </w:rPr>
        <w:t>oSegmentMemberus-gaap:UnfundedLoanCommitmentMember2020-01-012020-09-300000927628us-gaap:UnfundedLoanCommitmentMember2020-01-012020-09-300000927628us-gaap:AllowanceForLoanAndLeaseLossesMembercof:CreditCardPortfolioSegmentMember2019-06-300000927628us-gaap:Al</w:t>
      </w:r>
      <w:r>
        <w:rPr>
          <w:rFonts w:eastAsia="Times New Roman"/>
          <w:vanish/>
        </w:rPr>
        <w:t>lowanceForLoanAndLeaseLossesMemberus-gaap:ConsumerPortfolioSegmentMember2019-06-300000927628us-gaap:AllowanceForLoanAndLeaseLossesMemberus-gaap:CommercialPortfolioSegmentMember2019-06-300000927628us-gaap:AllowanceForLoanAndLeaseLossesMember2019-06-30000092</w:t>
      </w:r>
      <w:r>
        <w:rPr>
          <w:rFonts w:eastAsia="Times New Roman"/>
          <w:vanish/>
        </w:rPr>
        <w:t>7628us-gaap:AllowanceForLoanAndLeaseLossesMembercof:CreditCardPortfolioSegmentMember2019-07-012019-09-300000927628us-gaap:AllowanceForLoanAndLeaseLossesMemberus-gaap:ConsumerPortfolioSegmentMember2019-07-012019-09-300000927628us-gaap:AllowanceForLoanAndLea</w:t>
      </w:r>
      <w:r>
        <w:rPr>
          <w:rFonts w:eastAsia="Times New Roman"/>
          <w:vanish/>
        </w:rPr>
        <w:t>seLossesMemberus-gaap:CommercialPortfolioSegmentMember2019-07-012019-09-300000927628us-gaap:AllowanceForLoanAndLeaseLossesMember2019-07-012019-09-300000927628us-gaap:AllowanceForLoanAndLeaseLossesMembercof:CreditCardPortfolioSegmentMember2019-09-3000009276</w:t>
      </w:r>
      <w:r>
        <w:rPr>
          <w:rFonts w:eastAsia="Times New Roman"/>
          <w:vanish/>
        </w:rPr>
        <w:t>28us-gaap:AllowanceForLoanAndLeaseLossesMemberus-gaap:ConsumerPortfolioSegmentMember2019-09-300000927628us-gaap:AllowanceForLoanAndLeaseLossesMemberus-gaap:CommercialPortfolioSegmentMember2019-09-300000927628us-gaap:AllowanceForLoanAndLeaseLossesMember2019</w:t>
      </w:r>
      <w:r>
        <w:rPr>
          <w:rFonts w:eastAsia="Times New Roman"/>
          <w:vanish/>
        </w:rPr>
        <w:t>-09-300000927628cof:CreditCardPortfolioSegmentMemberus-gaap:UnfundedLoanCommitmentMember2019-06-300000927628us-gaap:ConsumerPortfolioSegmentMemberus-gaap:UnfundedLoanCommitmentMember2019-06-300000927628us-gaap:CommercialPortfolioSegmentMemberus-gaap:Unfund</w:t>
      </w:r>
      <w:r>
        <w:rPr>
          <w:rFonts w:eastAsia="Times New Roman"/>
          <w:vanish/>
        </w:rPr>
        <w:t>edLoanCommitmentMember2019-06-300000927628us-gaap:UnfundedLoanCommitmentMember2019-06-300000927628cof:CreditCardPortfolioSegmentMemberus-gaap:UnfundedLoanCommitmentMember2019-07-012019-09-300000927628us-gaap:ConsumerPortfolioSegmentMemberus-gaap:UnfundedLo</w:t>
      </w:r>
      <w:r>
        <w:rPr>
          <w:rFonts w:eastAsia="Times New Roman"/>
          <w:vanish/>
        </w:rPr>
        <w:t>anCommitmentMember2019-07-012019-09-300000927628us-gaap:CommercialPortfolioSegmentMemberus-gaap:UnfundedLoanCommitmentMember2019-07-012019-09-300000927628us-gaap:UnfundedLoanCommitmentMember2019-07-012019-09-300000927628cof:CreditCardPortfolioSegmentMember</w:t>
      </w:r>
      <w:r>
        <w:rPr>
          <w:rFonts w:eastAsia="Times New Roman"/>
          <w:vanish/>
        </w:rPr>
        <w:t>us-gaap:UnfundedLoanCommitmentMember2019-09-300000927628us-gaap:ConsumerPortfolioSegmentMemberus-gaap:UnfundedLoanCommitmentMember2019-09-300000927628us-gaap:CommercialPortfolioSegmentMemberus-gaap:UnfundedLoanCommitmentMember2019-09-300000927628us-gaap:Un</w:t>
      </w:r>
      <w:r>
        <w:rPr>
          <w:rFonts w:eastAsia="Times New Roman"/>
          <w:vanish/>
        </w:rPr>
        <w:t>fundedLoanCommitmentMember2019-09-300000927628cof:CreditCardPortfolioSegmentMembercof:CombinedAllowanceAndUnfundedReserveMember2019-09-300000927628us-gaap:ConsumerPortfolioSegmentMembercof:CombinedAllowanceAndUnfundedReserveMember2019-09-300000927628us-gaa</w:t>
      </w:r>
      <w:r>
        <w:rPr>
          <w:rFonts w:eastAsia="Times New Roman"/>
          <w:vanish/>
        </w:rPr>
        <w:t>p:CommercialPortfolioSegmentMembercof:CombinedAllowanceAndUnfundedReserveMember2019-09-300000927628cof:CombinedAllowanceAndUnfundedReserveMember2019-09-300000927628us-gaap:AllowanceForLoanAndLeaseLossesMembercof:CreditCardPortfolioSegmentMember2018-12-3100</w:t>
      </w:r>
      <w:r>
        <w:rPr>
          <w:rFonts w:eastAsia="Times New Roman"/>
          <w:vanish/>
        </w:rPr>
        <w:t>00927628us-gaap:AllowanceForLoanAndLeaseLossesMemberus-gaap:ConsumerPortfolioSegmentMember2018-12-310000927628us-gaap:AllowanceForLoanAndLeaseLossesMemberus-gaap:CommercialPortfolioSegmentMember2018-12-310000927628us-gaap:AllowanceForLoanAndLeaseLossesMemb</w:t>
      </w:r>
      <w:r>
        <w:rPr>
          <w:rFonts w:eastAsia="Times New Roman"/>
          <w:vanish/>
        </w:rPr>
        <w:t>er2018-12-310000927628us-gaap:AllowanceForLoanAndLeaseLossesMembercof:CreditCardPortfolioSegmentMember2019-01-012019-09-300000927628us-gaap:AllowanceForLoanAndLeaseLossesMemberus-gaap:ConsumerPortfolioSegmentMember2019-01-012019-09-300000927628us-gaap:Allo</w:t>
      </w:r>
      <w:r>
        <w:rPr>
          <w:rFonts w:eastAsia="Times New Roman"/>
          <w:vanish/>
        </w:rPr>
        <w:t>wanceForLoanAndLeaseLossesMemberus-gaap:CommercialPortfolioSegmentMember2019-01-012019-09-300000927628us-gaap:AllowanceForLoanAndLeaseLossesMember2019-01-012019-09-300000927628cof:CreditCardPortfolioSegmentMemberus-gaap:UnfundedLoanCommitmentMember2018-12-</w:t>
      </w:r>
      <w:r>
        <w:rPr>
          <w:rFonts w:eastAsia="Times New Roman"/>
          <w:vanish/>
        </w:rPr>
        <w:t>310000927628us-gaap:ConsumerPortfolioSegmentMemberus-gaap:UnfundedLoanCommitmentMember2018-12-310000927628us-gaap:CommercialPortfolioSegmentMemberus-gaap:UnfundedLoanCommitmentMember2018-12-310000927628us-gaap:UnfundedLoanCommitmentMember2018-12-3100009276</w:t>
      </w:r>
      <w:r>
        <w:rPr>
          <w:rFonts w:eastAsia="Times New Roman"/>
          <w:vanish/>
        </w:rPr>
        <w:t>28cof:CreditCardPortfolioSegmentMemberus-gaap:UnfundedLoanCommitmentMember2019-01-012019-09-300000927628us-gaap:ConsumerPortfolioSegmentMemberus-gaap:UnfundedLoanCommitmentMember2019-01-012019-09-300000927628us-gaap:CommercialPortfolioSegmentMemberus-gaap:</w:t>
      </w:r>
      <w:r>
        <w:rPr>
          <w:rFonts w:eastAsia="Times New Roman"/>
          <w:vanish/>
        </w:rPr>
        <w:t>UnfundedLoanCommitmentMember2019-01-012019-09-300000927628us-gaap:UnfundedLoanCommitmentMember2019-01-012019-09-300000927628us-gaap:AllowanceForLoanAndLeaseLossesMembercof:PartnershipCreditCardLoanPortfolioTransferToHFSMember2020-01-012020-09-300000927628u</w:t>
      </w:r>
      <w:r>
        <w:rPr>
          <w:rFonts w:eastAsia="Times New Roman"/>
          <w:vanish/>
        </w:rPr>
        <w:t>s-gaap:AllowanceForLoanAndLeaseLossesMembercof:PartnershipCreditCardLoanPortfolioTransferToHFSMember2020-07-012020-09-300000927628cof:LossSharingAgreementMember2020-06-300000927628cof:LossSharingAgreementMember2019-06-300000927628cof:LossSharingAgreementMe</w:t>
      </w:r>
      <w:r>
        <w:rPr>
          <w:rFonts w:eastAsia="Times New Roman"/>
          <w:vanish/>
        </w:rPr>
        <w:t>mber2020-07-012020-09-300000927628cof:LossSharingAgreementMember2019-07-012019-09-300000927628cof:LossSharingAgreementMember2020-09-300000927628cof:LossSharingAgreementMember2019-09-300000927628cof:LossSharingAgreementMember2019-12-310000927628cof:LossShar</w:t>
      </w:r>
      <w:r>
        <w:rPr>
          <w:rFonts w:eastAsia="Times New Roman"/>
          <w:vanish/>
        </w:rPr>
        <w:t>ingAgreementMember2018-12-310000927628cof:LossSharingAgreementMember2020-01-012020-09-300000927628cof:LossSharingAgreementMember2019-01-012019-09-300000927628us-gaap:CreditCardReceivablesMemberus-gaap:VariableInterestEntityPrimaryBeneficiaryMember2020-09-3</w:t>
      </w:r>
      <w:r>
        <w:rPr>
          <w:rFonts w:eastAsia="Times New Roman"/>
          <w:vanish/>
        </w:rPr>
        <w:t>00000927628us-gaap:VariableInterestEntityNotPrimaryBeneficiaryMemberus-gaap:CreditCardReceivablesMember2020-09-300000927628us-gaap:CreditCardReceivablesMember2020-09-300000927628us-gaap:CollateralizedAutoLoansMemberus-gaap:VariableInterestEntityPrimaryBene</w:t>
      </w:r>
      <w:r>
        <w:rPr>
          <w:rFonts w:eastAsia="Times New Roman"/>
          <w:vanish/>
        </w:rPr>
        <w:t>ficiaryMember2020-09-300000927628us-gaap:VariableInterestEntityNotPrimaryBeneficiaryMemberus-gaap:CollateralizedAutoLoansMember2020-09-300000927628us-gaap:CollateralizedAutoLoansMember2020-09-300000927628us-gaap:ResidentialMortgageMemberus-gaap:VariableInt</w:t>
      </w:r>
      <w:r>
        <w:rPr>
          <w:rFonts w:eastAsia="Times New Roman"/>
          <w:vanish/>
        </w:rPr>
        <w:t>erestEntityPrimaryBeneficiaryMember2020-09-300000927628us-gaap:ResidentialMortgageMemberus-gaap:VariableInterestEntityNotPrimaryBeneficiaryMember2020-09-300000927628us-gaap:ResidentialMortgageMember2020-09-300000927628cof:SecuritizationRelatedVariableInter</w:t>
      </w:r>
      <w:r>
        <w:rPr>
          <w:rFonts w:eastAsia="Times New Roman"/>
          <w:vanish/>
        </w:rPr>
        <w:t>estEntitiesMemberus-gaap:VariableInterestEntityPrimaryBeneficiaryMember2020-09-300000927628cof:SecuritizationRelatedVariableInterestEntitiesMemberus-gaap:VariableInterestEntityNotPrimaryBeneficiaryMember2020-09-300000927628cof:SecuritizationRelatedVariable</w:t>
      </w:r>
      <w:r>
        <w:rPr>
          <w:rFonts w:eastAsia="Times New Roman"/>
          <w:vanish/>
        </w:rPr>
        <w:t>InterestEntitiesMember2020-09-300000927628cof:AffordableHousingEntitiesMemberus-gaap:VariableInterestEntityPrimaryBeneficiaryMember2020-09-300000927628us-gaap:VariableInterestEntityNotPrimaryBeneficiaryMembercof:AffordableHousingEntitiesMember2020-09-30000</w:t>
      </w:r>
      <w:r>
        <w:rPr>
          <w:rFonts w:eastAsia="Times New Roman"/>
          <w:vanish/>
        </w:rPr>
        <w:t>0927628cof:AffordableHousingEntitiesMember2020-09-300000927628cof:InvestmentCompaniesProvidingCapitaltoLowIncomeandRuralCommunitiesMemberus-gaap:VariableInterestEntityPrimaryBeneficiaryMember2020-09-300000927628cof:InvestmentCompaniesProvidingCapitaltoLowI</w:t>
      </w:r>
      <w:r>
        <w:rPr>
          <w:rFonts w:eastAsia="Times New Roman"/>
          <w:vanish/>
        </w:rPr>
        <w:t>ncomeandRuralCommunitiesMemberus-gaap:VariableInterestEntityNotPrimaryBeneficiaryMember2020-09-300000927628cof:InvestmentCompaniesProvidingCapitaltoLowIncomeandRuralCommunitiesMember2020-09-300000927628us-gaap:OtherInvestmentsMemberus-gaap:VariableInterest</w:t>
      </w:r>
      <w:r>
        <w:rPr>
          <w:rFonts w:eastAsia="Times New Roman"/>
          <w:vanish/>
        </w:rPr>
        <w:t>EntityPrimaryBeneficiaryMember2020-09-300000927628us-gaap:VariableInterestEntityNotPrimaryBeneficiaryMemberus-gaap:OtherInvestmentsMember2020-09-300000927628us-gaap:OtherInvestmentsMember2020-09-300000927628cof:NonsecuritizationRelatedVariableInterestEntit</w:t>
      </w:r>
      <w:r>
        <w:rPr>
          <w:rFonts w:eastAsia="Times New Roman"/>
          <w:vanish/>
        </w:rPr>
        <w:t>iesMemberus-gaap:VariableInterestEntityPrimaryBeneficiaryMember2020-09-300000927628cof:NonsecuritizationRelatedVariableInterestEntitiesMemberus-gaap:VariableInterestEntityNotPrimaryBeneficiaryMember2020-09-300000927628cof:NonsecuritizationRelatedVariableIn</w:t>
      </w:r>
      <w:r>
        <w:rPr>
          <w:rFonts w:eastAsia="Times New Roman"/>
          <w:vanish/>
        </w:rPr>
        <w:t>terestEntitiesMember2020-09-300000927628us-gaap:VariableInterestEntityNotPrimaryBeneficiaryMember2020-09-300000927628us-gaap:CreditCardReceivablesMemberus-gaap:VariableInterestEntityPrimaryBeneficiaryMember2019-12-310000927628us-gaap:VariableInterestEntity</w:t>
      </w:r>
      <w:r>
        <w:rPr>
          <w:rFonts w:eastAsia="Times New Roman"/>
          <w:vanish/>
        </w:rPr>
        <w:t>NotPrimaryBeneficiaryMemberus-gaap:CreditCardReceivablesMember2019-12-310000927628us-gaap:CreditCardReceivablesMember2019-12-310000927628us-gaap:CollateralizedAutoLoansMemberus-gaap:VariableInterestEntityPrimaryBeneficiaryMember2019-12-310000927628us-gaap:</w:t>
      </w:r>
      <w:r>
        <w:rPr>
          <w:rFonts w:eastAsia="Times New Roman"/>
          <w:vanish/>
        </w:rPr>
        <w:t>VariableInterestEntityNotPrimaryBeneficiaryMemberus-gaap:CollateralizedAutoLoansMember2019-12-310000927628us-gaap:CollateralizedAutoLoansMember2019-12-310000927628us-gaap:ResidentialMortgageMemberus-gaap:VariableInterestEntityPrimaryBeneficiaryMember2019-1</w:t>
      </w:r>
      <w:r>
        <w:rPr>
          <w:rFonts w:eastAsia="Times New Roman"/>
          <w:vanish/>
        </w:rPr>
        <w:t>2-310000927628us-gaap:ResidentialMortgageMemberus-gaap:VariableInterestEntityNotPrimaryBeneficiaryMember2019-12-310000927628us-gaap:ResidentialMortgageMember2019-12-310000927628cof:SecuritizationRelatedVariableInterestEntitiesMemberus-gaap:VariableInterest</w:t>
      </w:r>
      <w:r>
        <w:rPr>
          <w:rFonts w:eastAsia="Times New Roman"/>
          <w:vanish/>
        </w:rPr>
        <w:t>EntityPrimaryBeneficiaryMember2019-12-310000927628cof:SecuritizationRelatedVariableInterestEntitiesMemberus-gaap:VariableInterestEntityNotPrimaryBeneficiaryMember2019-12-310000927628cof:SecuritizationRelatedVariableInterestEntitiesMember2019-12-31000092762</w:t>
      </w:r>
      <w:r>
        <w:rPr>
          <w:rFonts w:eastAsia="Times New Roman"/>
          <w:vanish/>
        </w:rPr>
        <w:t>8cof:AffordableHousingEntitiesMemberus-gaap:VariableInterestEntityPrimaryBeneficiaryMember2019-12-310000927628us-gaap:VariableInterestEntityNotPrimaryBeneficiaryMembercof:AffordableHousingEntitiesMember2019-12-310000927628cof:AffordableHousingEntitiesMembe</w:t>
      </w:r>
      <w:r>
        <w:rPr>
          <w:rFonts w:eastAsia="Times New Roman"/>
          <w:vanish/>
        </w:rPr>
        <w:t>r2019-12-310000927628cof:InvestmentCompaniesProvidingCapitaltoLowIncomeandRuralCommunitiesMemberus-gaap:VariableInterestEntityPrimaryBeneficiaryMember2019-12-310000927628cof:InvestmentCompaniesProvidingCapitaltoLowIncomeandRuralCommunitiesMemberus-gaap:Var</w:t>
      </w:r>
      <w:r>
        <w:rPr>
          <w:rFonts w:eastAsia="Times New Roman"/>
          <w:vanish/>
        </w:rPr>
        <w:t>iableInterestEntityNotPrimaryBeneficiaryMember2019-12-310000927628cof:InvestmentCompaniesProvidingCapitaltoLowIncomeandRuralCommunitiesMember2019-12-310000927628us-gaap:OtherInvestmentsMemberus-gaap:VariableInterestEntityPrimaryBeneficiaryMember2019-12-310</w:t>
      </w:r>
      <w:r>
        <w:rPr>
          <w:rFonts w:eastAsia="Times New Roman"/>
          <w:vanish/>
        </w:rPr>
        <w:t>000927628us-gaap:VariableInterestEntityNotPrimaryBeneficiaryMemberus-gaap:OtherInvestmentsMember2019-12-310000927628us-gaap:OtherInvestmentsMember2019-12-310000927628cof:NonsecuritizationRelatedVariableInterestEntitiesMemberus-gaap:VariableInterestEntityPr</w:t>
      </w:r>
      <w:r>
        <w:rPr>
          <w:rFonts w:eastAsia="Times New Roman"/>
          <w:vanish/>
        </w:rPr>
        <w:t>imaryBeneficiaryMember2019-12-310000927628cof:NonsecuritizationRelatedVariableInterestEntitiesMemberus-gaap:VariableInterestEntityNotPrimaryBeneficiaryMember2019-12-310000927628cof:NonsecuritizationRelatedVariableInterestEntitiesMember2019-12-310000927628u</w:t>
      </w:r>
      <w:r>
        <w:rPr>
          <w:rFonts w:eastAsia="Times New Roman"/>
          <w:vanish/>
        </w:rPr>
        <w:t>s-gaap:VariableInterestEntityNotPrimaryBeneficiaryMember2019-12-310000927628us-gaap:CustomerRelationshipsMember2020-09-300000927628us-gaap:OtherIntangibleAssetsMember2020-09-300000927628us-gaap:CustomerRelationshipsMember2019-12-310000927628us-gaap:OtherIn</w:t>
      </w:r>
      <w:r>
        <w:rPr>
          <w:rFonts w:eastAsia="Times New Roman"/>
          <w:vanish/>
        </w:rPr>
        <w:t>tangibleAssetsMember2019-12-310000927628us-gaap:CreditCardMember2019-12-310000927628cof:ConsumerBankingMember2019-12-310000927628cof:CommercialBankingMember2019-12-310000927628us-gaap:CreditCardMember2020-01-012020-09-300000927628cof:ConsumerBankingMember2</w:t>
      </w:r>
      <w:r>
        <w:rPr>
          <w:rFonts w:eastAsia="Times New Roman"/>
          <w:vanish/>
        </w:rPr>
        <w:t>020-01-012020-09-300000927628cof:CommercialBankingMember2020-01-012020-09-300000927628us-gaap:CreditCardMember2020-09-300000927628cof:ConsumerBankingMember2020-09-300000927628cof:CommercialBankingMember2020-09-300000927628us-gaap:FederalFundsPurchasedAndSe</w:t>
      </w:r>
      <w:r>
        <w:rPr>
          <w:rFonts w:eastAsia="Times New Roman"/>
          <w:vanish/>
        </w:rPr>
        <w:t>curitiesSoldUnderAgreementsToRepurchaseMember2020-09-300000927628us-gaap:FederalFundsPurchasedAndSecuritiesSoldUnderAgreementsToRepurchaseMember2019-12-310000927628us-gaap:FederalHomeLoanBankAdvancesMember2020-09-300000927628us-gaap:FederalHomeLoanBankAdva</w:t>
      </w:r>
      <w:r>
        <w:rPr>
          <w:rFonts w:eastAsia="Times New Roman"/>
          <w:vanish/>
        </w:rPr>
        <w:t>ncesMember2019-12-310000927628us-gaap:SecuredDebtMembersrt:MinimumMember2020-09-300000927628srt:MaximumMemberus-gaap:SecuredDebtMember2020-09-300000927628us-gaap:SecuredDebtMember2020-09-300000927628us-gaap:SecuredDebtMember2019-12-310000927628cof:FixedUns</w:t>
      </w:r>
      <w:r>
        <w:rPr>
          <w:rFonts w:eastAsia="Times New Roman"/>
          <w:vanish/>
        </w:rPr>
        <w:t>ecuredSeniorDebtMemberus-gaap:SeniorNotesMembersrt:MinimumMember2020-09-300000927628srt:MaximumMembercof:FixedUnsecuredSeniorDebtMemberus-gaap:SeniorNotesMember2020-09-300000927628cof:FixedUnsecuredSeniorDebtMemberus-gaap:SeniorNotesMember2020-09-300000927</w:t>
      </w:r>
      <w:r>
        <w:rPr>
          <w:rFonts w:eastAsia="Times New Roman"/>
          <w:vanish/>
        </w:rPr>
        <w:t>628cof:FixedUnsecuredSeniorDebtMemberus-gaap:SeniorNotesMember2019-12-310000927628cof:FloatingUnsecuredSeniorDebtMemberus-gaap:SeniorNotesMembersrt:MinimumMember2020-09-300000927628srt:MaximumMembercof:FloatingUnsecuredSeniorDebtMemberus-gaap:SeniorNotesMe</w:t>
      </w:r>
      <w:r>
        <w:rPr>
          <w:rFonts w:eastAsia="Times New Roman"/>
          <w:vanish/>
        </w:rPr>
        <w:t>mber2020-09-300000927628cof:FloatingUnsecuredSeniorDebtMemberus-gaap:SeniorNotesMember2020-09-300000927628cof:FloatingUnsecuredSeniorDebtMemberus-gaap:SeniorNotesMember2019-12-310000927628us-gaap:SeniorNotesMembercof:UnsecuredSeniorDebtMember2020-09-300000</w:t>
      </w:r>
      <w:r>
        <w:rPr>
          <w:rFonts w:eastAsia="Times New Roman"/>
          <w:vanish/>
        </w:rPr>
        <w:t>927628us-gaap:SeniorNotesMembercof:UnsecuredSeniorDebtMember2019-12-310000927628cof:FixedUnsecuredSubordinatedDebtMembersrt:MinimumMemberus-gaap:SubordinatedDebtMember2020-09-300000927628cof:FixedUnsecuredSubordinatedDebtMembersrt:MaximumMemberus-gaap:Subo</w:t>
      </w:r>
      <w:r>
        <w:rPr>
          <w:rFonts w:eastAsia="Times New Roman"/>
          <w:vanish/>
        </w:rPr>
        <w:t>rdinatedDebtMember2020-09-300000927628cof:FixedUnsecuredSubordinatedDebtMemberus-gaap:SubordinatedDebtMember2020-09-300000927628cof:FixedUnsecuredSubordinatedDebtMemberus-gaap:SubordinatedDebtMember2019-12-310000927628cof:SeniorAndSubordinatedNotesMember20</w:t>
      </w:r>
      <w:r>
        <w:rPr>
          <w:rFonts w:eastAsia="Times New Roman"/>
          <w:vanish/>
        </w:rPr>
        <w:t>20-09-300000927628cof:SeniorAndSubordinatedNotesMember2019-12-310000927628srt:MinimumMemberus-gaap:CapitalLeaseObligationsMember2020-09-300000927628srt:MaximumMemberus-gaap:CapitalLeaseObligationsMember2020-09-300000927628us-gaap:CapitalLeaseObligationsMem</w:t>
      </w:r>
      <w:r>
        <w:rPr>
          <w:rFonts w:eastAsia="Times New Roman"/>
          <w:vanish/>
        </w:rPr>
        <w:t>ber2020-09-300000927628us-gaap:CapitalLeaseObligationsMember2019-12-310000927628cof:FHLBAdvanceCapitalLeaseObligationandGPMHMember2020-09-300000927628cof:FHLBAdvanceCapitalLeaseObligationandGPMHMember2019-12-310000927628currency:EUR2020-09-300000927628curr</w:t>
      </w:r>
      <w:r>
        <w:rPr>
          <w:rFonts w:eastAsia="Times New Roman"/>
          <w:vanish/>
        </w:rPr>
        <w:t>ency:EUR2019-12-310000927628us-gaap:FairValueHedgingMemberus-gaap:InterestRateContractMemberus-gaap:DesignatedAsHedgingInstrumentMember2020-09-300000927628us-gaap:FairValueHedgingMemberus-gaap:InterestRateContractMemberus-gaap:DesignatedAsHedgingInstrument</w:t>
      </w:r>
      <w:r>
        <w:rPr>
          <w:rFonts w:eastAsia="Times New Roman"/>
          <w:vanish/>
        </w:rPr>
        <w:t>Member2019-12-310000927628us-gaap:InterestRateContractMemberus-gaap:CashFlowHedgingMemberus-gaap:DesignatedAsHedgingInstrumentMember2020-09-300000927628us-gaap:InterestRateContractMemberus-gaap:CashFlowHedgingMemberus-gaap:DesignatedAsHedgingInstrumentMemb</w:t>
      </w:r>
      <w:r>
        <w:rPr>
          <w:rFonts w:eastAsia="Times New Roman"/>
          <w:vanish/>
        </w:rPr>
        <w:t>er2019-12-310000927628us-gaap:InterestRateContractMemberus-gaap:DesignatedAsHedgingInstrumentMember2020-09-300000927628us-gaap:InterestRateContractMemberus-gaap:DesignatedAsHedgingInstrumentMember2019-12-310000927628us-gaap:FairValueHedgingMemberus-gaap:Fo</w:t>
      </w:r>
      <w:r>
        <w:rPr>
          <w:rFonts w:eastAsia="Times New Roman"/>
          <w:vanish/>
        </w:rPr>
        <w:t>reignExchangeContractMemberus-gaap:DesignatedAsHedgingInstrumentMember2020-09-300000927628us-gaap:FairValueHedgingMemberus-gaap:ForeignExchangeContractMemberus-gaap:DesignatedAsHedgingInstrumentMember2019-12-310000927628us-gaap:CashFlowHedgingMemberus-gaap</w:t>
      </w:r>
      <w:r>
        <w:rPr>
          <w:rFonts w:eastAsia="Times New Roman"/>
          <w:vanish/>
        </w:rPr>
        <w:t>:ForeignExchangeContractMemberus-gaap:DesignatedAsHedgingInstrumentMember2020-09-300000927628us-gaap:CashFlowHedgingMemberus-gaap:ForeignExchangeContractMemberus-gaap:DesignatedAsHedgingInstrumentMember2019-12-310000927628us-gaap:NetInvestmentHedgingMember</w:t>
      </w:r>
      <w:r>
        <w:rPr>
          <w:rFonts w:eastAsia="Times New Roman"/>
          <w:vanish/>
        </w:rPr>
        <w:t>us-gaap:ForeignExchangeContractMemberus-gaap:DesignatedAsHedgingInstrumentMember2020-09-300000927628us-gaap:NetInvestmentHedgingMemberus-gaap:ForeignExchangeContractMemberus-gaap:DesignatedAsHedgingInstrumentMember2019-12-310000927628us-gaap:ForeignExchang</w:t>
      </w:r>
      <w:r>
        <w:rPr>
          <w:rFonts w:eastAsia="Times New Roman"/>
          <w:vanish/>
        </w:rPr>
        <w:t>eContractMemberus-gaap:DesignatedAsHedgingInstrumentMember2020-09-300000927628us-gaap:ForeignExchangeContractMemberus-gaap:DesignatedAsHedgingInstrumentMember2019-12-310000927628us-gaap:DesignatedAsHedgingInstrumentMember2020-09-300000927628us-gaap:Designa</w:t>
      </w:r>
      <w:r>
        <w:rPr>
          <w:rFonts w:eastAsia="Times New Roman"/>
          <w:vanish/>
        </w:rPr>
        <w:t>tedAsHedgingInstrumentMember2019-12-310000927628us-gaap:InterestRateContractMembercof:CustomerAccommodationMemberus-gaap:NondesignatedMember2020-09-300000927628us-gaap:InterestRateContractMembercof:CustomerAccommodationMemberus-gaap:NondesignatedMember2019</w:t>
      </w:r>
      <w:r>
        <w:rPr>
          <w:rFonts w:eastAsia="Times New Roman"/>
          <w:vanish/>
        </w:rPr>
        <w:t>-12-310000927628cof:CustomerAccommodationMemberus-gaap:NondesignatedMemberus-gaap:CommodityContractMember2020-09-300000927628cof:CustomerAccommodationMemberus-gaap:NondesignatedMemberus-gaap:CommodityContractMember2019-12-310000927628us-gaap:ForeignExchang</w:t>
      </w:r>
      <w:r>
        <w:rPr>
          <w:rFonts w:eastAsia="Times New Roman"/>
          <w:vanish/>
        </w:rPr>
        <w:t>eContractMembercof:CustomerAccommodationMemberus-gaap:NondesignatedMember2020-09-300000927628us-gaap:ForeignExchangeContractMembercof:CustomerAccommodationMemberus-gaap:NondesignatedMember2019-12-310000927628cof:CustomerAccommodationMemberus-gaap:Nondesign</w:t>
      </w:r>
      <w:r>
        <w:rPr>
          <w:rFonts w:eastAsia="Times New Roman"/>
          <w:vanish/>
        </w:rPr>
        <w:t>atedMember2020-09-300000927628cof:CustomerAccommodationMemberus-gaap:NondesignatedMember2019-12-310000927628us-gaap:InterestRateContractMemberus-gaap:NondesignatedMembercof:OtherInterestRateExposuresMember2020-09-300000927628us-gaap:InterestRateContractMem</w:t>
      </w:r>
      <w:r>
        <w:rPr>
          <w:rFonts w:eastAsia="Times New Roman"/>
          <w:vanish/>
        </w:rPr>
        <w:t>berus-gaap:NondesignatedMembercof:OtherInterestRateExposuresMember2019-12-310000927628us-gaap:OtherContractMemberus-gaap:NondesignatedMember2020-09-300000927628us-gaap:OtherContractMemberus-gaap:NondesignatedMember2019-12-310000927628us-gaap:NondesignatedM</w:t>
      </w:r>
      <w:r>
        <w:rPr>
          <w:rFonts w:eastAsia="Times New Roman"/>
          <w:vanish/>
        </w:rPr>
        <w:t>ember2020-09-300000927628us-gaap:NondesignatedMember2019-12-310000927628us-gaap:AvailableforsaleSecuritiesMember2020-09-300000927628us-gaap:AvailableforsaleSecuritiesMember2019-12-310000927628us-gaap:InterestBearingDepositsMember2020-09-300000927628us-gaap</w:t>
      </w:r>
      <w:r>
        <w:rPr>
          <w:rFonts w:eastAsia="Times New Roman"/>
          <w:vanish/>
        </w:rPr>
        <w:t>:InterestBearingDepositsMember2019-12-310000927628cof:SecuritizedDebtObligationsMember2020-09-300000927628cof:SecuritizedDebtObligationsMember2019-12-310000927628cof:SeniorAndSubordinatedNotesMember2020-09-300000927628cof:SeniorAndSubordinatedNotesMember20</w:t>
      </w:r>
      <w:r>
        <w:rPr>
          <w:rFonts w:eastAsia="Times New Roman"/>
          <w:vanish/>
        </w:rPr>
        <w:t>19-12-310000927628us-gaap:FairValueHedgingMemberus-gaap:InterestRateContractMembercof:InterestincomeInvestmentsecuritiesMember2020-07-012020-09-300000927628us-gaap:FairValueHedgingMemberus-gaap:InterestRateContractMembercof:InterestincomeLoansMember2020-07</w:t>
      </w:r>
      <w:r>
        <w:rPr>
          <w:rFonts w:eastAsia="Times New Roman"/>
          <w:vanish/>
        </w:rPr>
        <w:t>-012020-09-300000927628cof:InterestincomeOtherMemberus-gaap:FairValueHedgingMemberus-gaap:InterestRateContractMember2020-07-012020-09-300000927628us-gaap:FairValueHedgingMemberus-gaap:InterestRateContractMembercof:InterestexpenseDepositsMember2020-07-01202</w:t>
      </w:r>
      <w:r>
        <w:rPr>
          <w:rFonts w:eastAsia="Times New Roman"/>
          <w:vanish/>
        </w:rPr>
        <w:t>0-09-300000927628cof:InterestexpenseSecuritizedDebtObligationMemberus-gaap:FairValueHedgingMemberus-gaap:InterestRateContractMember2020-07-012020-09-300000927628us-gaap:FairValueHedgingMemberus-gaap:InterestRateContractMembercof:InterestexpenseSeniorandSub</w:t>
      </w:r>
      <w:r>
        <w:rPr>
          <w:rFonts w:eastAsia="Times New Roman"/>
          <w:vanish/>
        </w:rPr>
        <w:t>ordinatedDebtMember2020-07-012020-09-300000927628us-gaap:FairValueHedgingMemberus-gaap:InterestRateContractMembercof:NonInterestIncomeOtherMember2020-07-012020-09-300000927628us-gaap:FairValueHedgingMembercof:InterestincomeInvestmentsecuritiesMember2020-07</w:t>
      </w:r>
      <w:r>
        <w:rPr>
          <w:rFonts w:eastAsia="Times New Roman"/>
          <w:vanish/>
        </w:rPr>
        <w:t>-012020-09-300000927628us-gaap:FairValueHedgingMembercof:InterestincomeLoansMember2020-07-012020-09-300000927628cof:InterestincomeOtherMemberus-gaap:FairValueHedgingMember2020-07-012020-09-300000927628us-gaap:FairValueHedgingMembercof:InterestexpenseDeposi</w:t>
      </w:r>
      <w:r>
        <w:rPr>
          <w:rFonts w:eastAsia="Times New Roman"/>
          <w:vanish/>
        </w:rPr>
        <w:t>tsMember2020-07-012020-09-300000927628cof:InterestexpenseSecuritizedDebtObligationMemberus-gaap:FairValueHedgingMember2020-07-012020-09-300000927628us-gaap:FairValueHedgingMembercof:InterestexpenseSeniorandSubordinatedDebtMember2020-07-012020-09-3000009276</w:t>
      </w:r>
      <w:r>
        <w:rPr>
          <w:rFonts w:eastAsia="Times New Roman"/>
          <w:vanish/>
        </w:rPr>
        <w:t>28us-gaap:FairValueHedgingMembercof:NonInterestIncomeOtherMember2020-07-012020-09-300000927628us-gaap:InterestRateContractMembercof:InterestincomeInvestmentsecuritiesMemberus-gaap:CashFlowHedgingMember2020-07-012020-09-300000927628us-gaap:InterestRateContr</w:t>
      </w:r>
      <w:r>
        <w:rPr>
          <w:rFonts w:eastAsia="Times New Roman"/>
          <w:vanish/>
        </w:rPr>
        <w:t>actMembercof:InterestincomeLoansMemberus-gaap:CashFlowHedgingMember2020-07-012020-09-300000927628cof:InterestincomeOtherMemberus-gaap:InterestRateContractMemberus-gaap:CashFlowHedgingMember2020-07-012020-09-300000927628us-gaap:InterestRateContractMemberus-</w:t>
      </w:r>
      <w:r>
        <w:rPr>
          <w:rFonts w:eastAsia="Times New Roman"/>
          <w:vanish/>
        </w:rPr>
        <w:t>gaap:CashFlowHedgingMembercof:InterestexpenseDepositsMember2020-07-012020-09-300000927628cof:InterestexpenseSecuritizedDebtObligationMemberus-gaap:InterestRateContractMemberus-gaap:CashFlowHedgingMember2020-07-012020-09-300000927628us-gaap:InterestRateCont</w:t>
      </w:r>
      <w:r>
        <w:rPr>
          <w:rFonts w:eastAsia="Times New Roman"/>
          <w:vanish/>
        </w:rPr>
        <w:t>ractMembercof:InterestexpenseSeniorandSubordinatedDebtMemberus-gaap:CashFlowHedgingMember2020-07-012020-09-300000927628us-gaap:InterestRateContractMemberus-gaap:CashFlowHedgingMembercof:NonInterestIncomeOtherMember2020-07-012020-09-300000927628cof:Interest</w:t>
      </w:r>
      <w:r>
        <w:rPr>
          <w:rFonts w:eastAsia="Times New Roman"/>
          <w:vanish/>
        </w:rPr>
        <w:t>incomeInvestmentsecuritiesMemberus-gaap:CashFlowHedgingMemberus-gaap:ForeignExchangeContractMember2020-07-012020-09-300000927628cof:InterestincomeLoansMemberus-gaap:CashFlowHedgingMemberus-gaap:ForeignExchangeContractMember2020-07-012020-09-300000927628cof</w:t>
      </w:r>
      <w:r>
        <w:rPr>
          <w:rFonts w:eastAsia="Times New Roman"/>
          <w:vanish/>
        </w:rPr>
        <w:t>:InterestincomeOtherMemberus-gaap:CashFlowHedgingMemberus-gaap:ForeignExchangeContractMember2020-07-012020-09-300000927628us-gaap:CashFlowHedgingMembercof:InterestexpenseDepositsMemberus-gaap:ForeignExchangeContractMember2020-07-012020-09-300000927628cof:I</w:t>
      </w:r>
      <w:r>
        <w:rPr>
          <w:rFonts w:eastAsia="Times New Roman"/>
          <w:vanish/>
        </w:rPr>
        <w:t>nterestexpenseSecuritizedDebtObligationMemberus-gaap:CashFlowHedgingMemberus-gaap:ForeignExchangeContractMember2020-07-012020-09-300000927628cof:InterestexpenseSeniorandSubordinatedDebtMemberus-gaap:CashFlowHedgingMemberus-gaap:ForeignExchangeContractMembe</w:t>
      </w:r>
      <w:r>
        <w:rPr>
          <w:rFonts w:eastAsia="Times New Roman"/>
          <w:vanish/>
        </w:rPr>
        <w:t>r2020-07-012020-09-300000927628us-gaap:CashFlowHedgingMemberus-gaap:ForeignExchangeContractMembercof:NonInterestIncomeOtherMember2020-07-012020-09-300000927628cof:InterestincomeInvestmentsecuritiesMemberus-gaap:CashFlowHedgingMember2020-07-012020-09-300000</w:t>
      </w:r>
      <w:r>
        <w:rPr>
          <w:rFonts w:eastAsia="Times New Roman"/>
          <w:vanish/>
        </w:rPr>
        <w:t>927628cof:InterestincomeLoansMemberus-gaap:CashFlowHedgingMember2020-07-012020-09-300000927628cof:InterestincomeOtherMemberus-gaap:CashFlowHedgingMember2020-07-012020-09-300000927628us-gaap:CashFlowHedgingMembercof:InterestexpenseDepositsMember2020-07-0120</w:t>
      </w:r>
      <w:r>
        <w:rPr>
          <w:rFonts w:eastAsia="Times New Roman"/>
          <w:vanish/>
        </w:rPr>
        <w:t>20-09-300000927628cof:InterestexpenseSecuritizedDebtObligationMemberus-gaap:CashFlowHedgingMember2020-07-012020-09-300000927628cof:InterestexpenseSeniorandSubordinatedDebtMemberus-gaap:CashFlowHedgingMember2020-07-012020-09-300000927628us-gaap:CashFlowHedg</w:t>
      </w:r>
      <w:r>
        <w:rPr>
          <w:rFonts w:eastAsia="Times New Roman"/>
          <w:vanish/>
        </w:rPr>
        <w:t>ingMembercof:NonInterestIncomeOtherMember2020-07-012020-09-300000927628us-gaap:FairValueHedgingMemberus-gaap:InterestRateContractMembercof:InterestincomeInvestmentsecuritiesMember2020-01-012020-09-300000927628us-gaap:FairValueHedgingMemberus-gaap:InterestR</w:t>
      </w:r>
      <w:r>
        <w:rPr>
          <w:rFonts w:eastAsia="Times New Roman"/>
          <w:vanish/>
        </w:rPr>
        <w:t>ateContractMembercof:InterestincomeLoansMember2020-01-012020-09-300000927628cof:InterestincomeOtherMemberus-gaap:FairValueHedgingMemberus-gaap:InterestRateContractMember2020-01-012020-09-300000927628us-gaap:FairValueHedgingMemberus-gaap:InterestRateContrac</w:t>
      </w:r>
      <w:r>
        <w:rPr>
          <w:rFonts w:eastAsia="Times New Roman"/>
          <w:vanish/>
        </w:rPr>
        <w:t>tMembercof:InterestexpenseDepositsMember2020-01-012020-09-300000927628cof:InterestexpenseSecuritizedDebtObligationMemberus-gaap:FairValueHedgingMemberus-gaap:InterestRateContractMember2020-01-012020-09-300000927628us-gaap:FairValueHedgingMemberus-gaap:Inte</w:t>
      </w:r>
      <w:r>
        <w:rPr>
          <w:rFonts w:eastAsia="Times New Roman"/>
          <w:vanish/>
        </w:rPr>
        <w:t>restRateContractMembercof:InterestexpenseSeniorandSubordinatedDebtMember2020-01-012020-09-300000927628us-gaap:FairValueHedgingMemberus-gaap:InterestRateContractMembercof:NonInterestIncomeOtherMember2020-01-012020-09-300000927628us-gaap:FairValueHedgingMemb</w:t>
      </w:r>
      <w:r>
        <w:rPr>
          <w:rFonts w:eastAsia="Times New Roman"/>
          <w:vanish/>
        </w:rPr>
        <w:t>ercof:InterestincomeInvestmentsecuritiesMember2020-01-012020-09-300000927628us-gaap:FairValueHedgingMembercof:InterestincomeLoansMember2020-01-012020-09-300000927628cof:InterestincomeOtherMemberus-gaap:FairValueHedgingMember2020-01-012020-09-300000927628us</w:t>
      </w:r>
      <w:r>
        <w:rPr>
          <w:rFonts w:eastAsia="Times New Roman"/>
          <w:vanish/>
        </w:rPr>
        <w:t>-gaap:FairValueHedgingMembercof:InterestexpenseDepositsMember2020-01-012020-09-300000927628cof:InterestexpenseSecuritizedDebtObligationMemberus-gaap:FairValueHedgingMember2020-01-012020-09-300000927628us-gaap:FairValueHedgingMembercof:InterestexpenseSenior</w:t>
      </w:r>
      <w:r>
        <w:rPr>
          <w:rFonts w:eastAsia="Times New Roman"/>
          <w:vanish/>
        </w:rPr>
        <w:t>andSubordinatedDebtMember2020-01-012020-09-300000927628us-gaap:FairValueHedgingMembercof:NonInterestIncomeOtherMember2020-01-012020-09-300000927628us-gaap:InterestRateContractMembercof:InterestincomeInvestmentsecuritiesMemberus-gaap:CashFlowHedgingMember20</w:t>
      </w:r>
      <w:r>
        <w:rPr>
          <w:rFonts w:eastAsia="Times New Roman"/>
          <w:vanish/>
        </w:rPr>
        <w:t>20-01-012020-09-300000927628us-gaap:InterestRateContractMembercof:InterestincomeLoansMemberus-gaap:CashFlowHedgingMember2020-01-012020-09-300000927628cof:InterestincomeOtherMemberus-gaap:InterestRateContractMemberus-gaap:CashFlowHedgingMember2020-01-012020</w:t>
      </w:r>
      <w:r>
        <w:rPr>
          <w:rFonts w:eastAsia="Times New Roman"/>
          <w:vanish/>
        </w:rPr>
        <w:t>-09-300000927628us-gaap:InterestRateContractMemberus-gaap:CashFlowHedgingMembercof:InterestexpenseDepositsMember2020-01-012020-09-300000927628cof:InterestexpenseSecuritizedDebtObligationMemberus-gaap:InterestRateContractMemberus-gaap:CashFlowHedgingMember2</w:t>
      </w:r>
      <w:r>
        <w:rPr>
          <w:rFonts w:eastAsia="Times New Roman"/>
          <w:vanish/>
        </w:rPr>
        <w:t>020-01-012020-09-300000927628us-gaap:InterestRateContractMembercof:InterestexpenseSeniorandSubordinatedDebtMemberus-gaap:CashFlowHedgingMember2020-01-012020-09-300000927628us-gaap:InterestRateContractMemberus-gaap:CashFlowHedgingMembercof:NonInterestIncome</w:t>
      </w:r>
      <w:r>
        <w:rPr>
          <w:rFonts w:eastAsia="Times New Roman"/>
          <w:vanish/>
        </w:rPr>
        <w:t>OtherMember2020-01-012020-09-300000927628cof:InterestincomeInvestmentsecuritiesMemberus-gaap:CashFlowHedgingMemberus-gaap:ForeignExchangeContractMember2020-01-012020-09-300000927628cof:InterestincomeLoansMemberus-gaap:CashFlowHedgingMemberus-gaap:ForeignEx</w:t>
      </w:r>
      <w:r>
        <w:rPr>
          <w:rFonts w:eastAsia="Times New Roman"/>
          <w:vanish/>
        </w:rPr>
        <w:t>changeContractMember2020-01-012020-09-300000927628cof:InterestincomeOtherMemberus-gaap:CashFlowHedgingMemberus-gaap:ForeignExchangeContractMember2020-01-012020-09-300000927628us-gaap:CashFlowHedgingMembercof:InterestexpenseDepositsMemberus-gaap:ForeignExch</w:t>
      </w:r>
      <w:r>
        <w:rPr>
          <w:rFonts w:eastAsia="Times New Roman"/>
          <w:vanish/>
        </w:rPr>
        <w:t>angeContractMember2020-01-012020-09-300000927628cof:InterestexpenseSecuritizedDebtObligationMemberus-gaap:CashFlowHedgingMemberus-gaap:ForeignExchangeContractMember2020-01-012020-09-300000927628cof:InterestexpenseSeniorandSubordinatedDebtMemberus-gaap:Cash</w:t>
      </w:r>
      <w:r>
        <w:rPr>
          <w:rFonts w:eastAsia="Times New Roman"/>
          <w:vanish/>
        </w:rPr>
        <w:t>FlowHedgingMemberus-gaap:ForeignExchangeContractMember2020-01-012020-09-300000927628us-gaap:CashFlowHedgingMemberus-gaap:ForeignExchangeContractMembercof:NonInterestIncomeOtherMember2020-01-012020-09-300000927628cof:InterestincomeInvestmentsecuritiesMember</w:t>
      </w:r>
      <w:r>
        <w:rPr>
          <w:rFonts w:eastAsia="Times New Roman"/>
          <w:vanish/>
        </w:rPr>
        <w:t>us-gaap:CashFlowHedgingMember2020-01-012020-09-300000927628cof:InterestincomeLoansMemberus-gaap:CashFlowHedgingMember2020-01-012020-09-300000927628cof:InterestincomeOtherMemberus-gaap:CashFlowHedgingMember2020-01-012020-09-300000927628us-gaap:CashFlowHedgi</w:t>
      </w:r>
      <w:r>
        <w:rPr>
          <w:rFonts w:eastAsia="Times New Roman"/>
          <w:vanish/>
        </w:rPr>
        <w:t>ngMembercof:InterestexpenseDepositsMember2020-01-012020-09-300000927628cof:InterestexpenseSecuritizedDebtObligationMemberus-gaap:CashFlowHedgingMember2020-01-012020-09-300000927628cof:InterestexpenseSeniorandSubordinatedDebtMemberus-gaap:CashFlowHedgingMem</w:t>
      </w:r>
      <w:r>
        <w:rPr>
          <w:rFonts w:eastAsia="Times New Roman"/>
          <w:vanish/>
        </w:rPr>
        <w:t>ber2020-01-012020-09-300000927628us-gaap:CashFlowHedgingMembercof:NonInterestIncomeOtherMember2020-01-012020-09-300000927628us-gaap:FairValueHedgingMemberus-gaap:InterestRateContractMembercof:InterestincomeInvestmentsecuritiesMember2019-07-012019-09-300000</w:t>
      </w:r>
      <w:r>
        <w:rPr>
          <w:rFonts w:eastAsia="Times New Roman"/>
          <w:vanish/>
        </w:rPr>
        <w:t>927628us-gaap:FairValueHedgingMemberus-gaap:InterestRateContractMembercof:InterestincomeLoansMember2019-07-012019-09-300000927628cof:InterestincomeOtherMemberus-gaap:FairValueHedgingMemberus-gaap:InterestRateContractMember2019-07-012019-09-300000927628us-g</w:t>
      </w:r>
      <w:r>
        <w:rPr>
          <w:rFonts w:eastAsia="Times New Roman"/>
          <w:vanish/>
        </w:rPr>
        <w:t>aap:FairValueHedgingMemberus-gaap:InterestRateContractMembercof:InterestexpenseDepositsMember2019-07-012019-09-300000927628cof:InterestexpenseSecuritizedDebtObligationMemberus-gaap:FairValueHedgingMemberus-gaap:InterestRateContractMember2019-07-012019-09-3</w:t>
      </w:r>
      <w:r>
        <w:rPr>
          <w:rFonts w:eastAsia="Times New Roman"/>
          <w:vanish/>
        </w:rPr>
        <w:t>00000927628us-gaap:FairValueHedgingMemberus-gaap:InterestRateContractMembercof:InterestexpenseSeniorandSubordinatedDebtMember2019-07-012019-09-300000927628us-gaap:FairValueHedgingMemberus-gaap:InterestRateContractMembercof:NonInterestIncomeOtherMember2019-</w:t>
      </w:r>
      <w:r>
        <w:rPr>
          <w:rFonts w:eastAsia="Times New Roman"/>
          <w:vanish/>
        </w:rPr>
        <w:t>07-012019-09-300000927628us-gaap:FairValueHedgingMembercof:InterestincomeInvestmentsecuritiesMember2019-07-012019-09-300000927628us-gaap:FairValueHedgingMembercof:InterestincomeLoansMember2019-07-012019-09-300000927628cof:InterestincomeOtherMemberus-gaap:F</w:t>
      </w:r>
      <w:r>
        <w:rPr>
          <w:rFonts w:eastAsia="Times New Roman"/>
          <w:vanish/>
        </w:rPr>
        <w:t>airValueHedgingMember2019-07-012019-09-300000927628us-gaap:FairValueHedgingMembercof:InterestexpenseDepositsMember2019-07-012019-09-300000927628cof:InterestexpenseSecuritizedDebtObligationMemberus-gaap:FairValueHedgingMember2019-07-012019-09-300000927628us</w:t>
      </w:r>
      <w:r>
        <w:rPr>
          <w:rFonts w:eastAsia="Times New Roman"/>
          <w:vanish/>
        </w:rPr>
        <w:t>-gaap:FairValueHedgingMembercof:InterestexpenseSeniorandSubordinatedDebtMember2019-07-012019-09-300000927628us-gaap:FairValueHedgingMembercof:NonInterestIncomeOtherMember2019-07-012019-09-300000927628us-gaap:InterestRateContractMembercof:InterestincomeInve</w:t>
      </w:r>
      <w:r>
        <w:rPr>
          <w:rFonts w:eastAsia="Times New Roman"/>
          <w:vanish/>
        </w:rPr>
        <w:t>stmentsecuritiesMemberus-gaap:CashFlowHedgingMember2019-07-012019-09-300000927628us-gaap:InterestRateContractMembercof:InterestincomeLoansMemberus-gaap:CashFlowHedgingMember2019-07-012019-09-300000927628cof:InterestincomeOtherMemberus-gaap:InterestRateCont</w:t>
      </w:r>
      <w:r>
        <w:rPr>
          <w:rFonts w:eastAsia="Times New Roman"/>
          <w:vanish/>
        </w:rPr>
        <w:t>ractMemberus-gaap:CashFlowHedgingMember2019-07-012019-09-300000927628us-gaap:InterestRateContractMemberus-gaap:CashFlowHedgingMembercof:InterestexpenseDepositsMember2019-07-012019-09-300000927628cof:InterestexpenseSecuritizedDebtObligationMemberus-gaap:Int</w:t>
      </w:r>
      <w:r>
        <w:rPr>
          <w:rFonts w:eastAsia="Times New Roman"/>
          <w:vanish/>
        </w:rPr>
        <w:t>erestRateContractMemberus-gaap:CashFlowHedgingMember2019-07-012019-09-300000927628us-gaap:InterestRateContractMembercof:InterestexpenseSeniorandSubordinatedDebtMemberus-gaap:CashFlowHedgingMember2019-07-012019-09-300000927628us-gaap:InterestRateContractMem</w:t>
      </w:r>
      <w:r>
        <w:rPr>
          <w:rFonts w:eastAsia="Times New Roman"/>
          <w:vanish/>
        </w:rPr>
        <w:t>berus-gaap:CashFlowHedgingMembercof:NonInterestIncomeOtherMember2019-07-012019-09-300000927628cof:InterestincomeInvestmentsecuritiesMemberus-gaap:CashFlowHedgingMemberus-gaap:ForeignExchangeContractMember2019-07-012019-09-300000927628cof:InterestincomeLoan</w:t>
      </w:r>
      <w:r>
        <w:rPr>
          <w:rFonts w:eastAsia="Times New Roman"/>
          <w:vanish/>
        </w:rPr>
        <w:t>sMemberus-gaap:CashFlowHedgingMemberus-gaap:ForeignExchangeContractMember2019-07-012019-09-300000927628cof:InterestincomeOtherMemberus-gaap:CashFlowHedgingMemberus-gaap:ForeignExchangeContractMember2019-07-012019-09-300000927628us-gaap:CashFlowHedgingMembe</w:t>
      </w:r>
      <w:r>
        <w:rPr>
          <w:rFonts w:eastAsia="Times New Roman"/>
          <w:vanish/>
        </w:rPr>
        <w:t>rcof:InterestexpenseDepositsMemberus-gaap:ForeignExchangeContractMember2019-07-012019-09-300000927628cof:InterestexpenseSecuritizedDebtObligationMemberus-gaap:CashFlowHedgingMemberus-gaap:ForeignExchangeContractMember2019-07-012019-09-300000927628cof:Inter</w:t>
      </w:r>
      <w:r>
        <w:rPr>
          <w:rFonts w:eastAsia="Times New Roman"/>
          <w:vanish/>
        </w:rPr>
        <w:t>estexpenseSeniorandSubordinatedDebtMemberus-gaap:CashFlowHedgingMemberus-gaap:ForeignExchangeContractMember2019-07-012019-09-300000927628us-gaap:CashFlowHedgingMemberus-gaap:ForeignExchangeContractMembercof:NonInterestIncomeOtherMember2019-07-012019-09-300</w:t>
      </w:r>
      <w:r>
        <w:rPr>
          <w:rFonts w:eastAsia="Times New Roman"/>
          <w:vanish/>
        </w:rPr>
        <w:t>000927628cof:InterestincomeInvestmentsecuritiesMemberus-gaap:CashFlowHedgingMember2019-07-012019-09-300000927628cof:InterestincomeLoansMemberus-gaap:CashFlowHedgingMember2019-07-012019-09-300000927628cof:InterestincomeOtherMemberus-gaap:CashFlowHedgingMemb</w:t>
      </w:r>
      <w:r>
        <w:rPr>
          <w:rFonts w:eastAsia="Times New Roman"/>
          <w:vanish/>
        </w:rPr>
        <w:t>er2019-07-012019-09-300000927628us-gaap:CashFlowHedgingMembercof:InterestexpenseDepositsMember2019-07-012019-09-300000927628cof:InterestexpenseSecuritizedDebtObligationMemberus-gaap:CashFlowHedgingMember2019-07-012019-09-300000927628cof:InterestexpenseSeni</w:t>
      </w:r>
      <w:r>
        <w:rPr>
          <w:rFonts w:eastAsia="Times New Roman"/>
          <w:vanish/>
        </w:rPr>
        <w:t>orandSubordinatedDebtMemberus-gaap:CashFlowHedgingMember2019-07-012019-09-300000927628us-gaap:CashFlowHedgingMembercof:NonInterestIncomeOtherMember2019-07-012019-09-300000927628us-gaap:FairValueHedgingMemberus-gaap:InterestRateContractMembercof:Interestinc</w:t>
      </w:r>
      <w:r>
        <w:rPr>
          <w:rFonts w:eastAsia="Times New Roman"/>
          <w:vanish/>
        </w:rPr>
        <w:t>omeInvestmentsecuritiesMember2019-01-012019-09-300000927628us-gaap:FairValueHedgingMemberus-gaap:InterestRateContractMembercof:InterestincomeLoansMember2019-01-012019-09-300000927628cof:InterestincomeOtherMemberus-gaap:FairValueHedgingMemberus-gaap:Interes</w:t>
      </w:r>
      <w:r>
        <w:rPr>
          <w:rFonts w:eastAsia="Times New Roman"/>
          <w:vanish/>
        </w:rPr>
        <w:t>tRateContractMember2019-01-012019-09-300000927628us-gaap:FairValueHedgingMemberus-gaap:InterestRateContractMembercof:InterestexpenseDepositsMember2019-01-012019-09-300000927628cof:InterestexpenseSecuritizedDebtObligationMemberus-gaap:FairValueHedgingMember</w:t>
      </w:r>
      <w:r>
        <w:rPr>
          <w:rFonts w:eastAsia="Times New Roman"/>
          <w:vanish/>
        </w:rPr>
        <w:t>us-gaap:InterestRateContractMember2019-01-012019-09-300000927628us-gaap:FairValueHedgingMemberus-gaap:InterestRateContractMembercof:InterestexpenseSeniorandSubordinatedDebtMember2019-01-012019-09-300000927628us-gaap:FairValueHedgingMemberus-gaap:InterestRa</w:t>
      </w:r>
      <w:r>
        <w:rPr>
          <w:rFonts w:eastAsia="Times New Roman"/>
          <w:vanish/>
        </w:rPr>
        <w:t>teContractMembercof:NonInterestIncomeOtherMember2019-01-012019-09-300000927628us-gaap:FairValueHedgingMembercof:InterestincomeInvestmentsecuritiesMember2019-01-012019-09-300000927628us-gaap:FairValueHedgingMembercof:InterestincomeLoansMember2019-01-012019-</w:t>
      </w:r>
      <w:r>
        <w:rPr>
          <w:rFonts w:eastAsia="Times New Roman"/>
          <w:vanish/>
        </w:rPr>
        <w:t>09-300000927628cof:InterestincomeOtherMemberus-gaap:FairValueHedgingMember2019-01-012019-09-300000927628us-gaap:FairValueHedgingMembercof:InterestexpenseDepositsMember2019-01-012019-09-300000927628cof:InterestexpenseSecuritizedDebtObligationMemberus-gaap:F</w:t>
      </w:r>
      <w:r>
        <w:rPr>
          <w:rFonts w:eastAsia="Times New Roman"/>
          <w:vanish/>
        </w:rPr>
        <w:t>airValueHedgingMember2019-01-012019-09-300000927628us-gaap:FairValueHedgingMembercof:InterestexpenseSeniorandSubordinatedDebtMember2019-01-012019-09-300000927628us-gaap:FairValueHedgingMembercof:NonInterestIncomeOtherMember2019-01-012019-09-300000927628us-</w:t>
      </w:r>
      <w:r>
        <w:rPr>
          <w:rFonts w:eastAsia="Times New Roman"/>
          <w:vanish/>
        </w:rPr>
        <w:t>gaap:InterestRateContractMembercof:InterestincomeInvestmentsecuritiesMemberus-gaap:CashFlowHedgingMember2019-01-012019-09-300000927628us-gaap:InterestRateContractMembercof:InterestincomeLoansMemberus-gaap:CashFlowHedgingMember2019-01-012019-09-300000927628</w:t>
      </w:r>
      <w:r>
        <w:rPr>
          <w:rFonts w:eastAsia="Times New Roman"/>
          <w:vanish/>
        </w:rPr>
        <w:t>cof:InterestincomeOtherMemberus-gaap:InterestRateContractMemberus-gaap:CashFlowHedgingMember2019-01-012019-09-300000927628us-gaap:InterestRateContractMemberus-gaap:CashFlowHedgingMembercof:InterestexpenseDepositsMember2019-01-012019-09-300000927628cof:Inte</w:t>
      </w:r>
      <w:r>
        <w:rPr>
          <w:rFonts w:eastAsia="Times New Roman"/>
          <w:vanish/>
        </w:rPr>
        <w:t>restexpenseSecuritizedDebtObligationMemberus-gaap:InterestRateContractMemberus-gaap:CashFlowHedgingMember2019-01-012019-09-300000927628us-gaap:InterestRateContractMembercof:InterestexpenseSeniorandSubordinatedDebtMemberus-gaap:CashFlowHedgingMember2019-01-</w:t>
      </w:r>
      <w:r>
        <w:rPr>
          <w:rFonts w:eastAsia="Times New Roman"/>
          <w:vanish/>
        </w:rPr>
        <w:t>012019-09-300000927628us-gaap:InterestRateContractMemberus-gaap:CashFlowHedgingMembercof:NonInterestIncomeOtherMember2019-01-012019-09-300000927628cof:InterestincomeInvestmentsecuritiesMemberus-gaap:CashFlowHedgingMemberus-gaap:ForeignExchangeContractMembe</w:t>
      </w:r>
      <w:r>
        <w:rPr>
          <w:rFonts w:eastAsia="Times New Roman"/>
          <w:vanish/>
        </w:rPr>
        <w:t>r2019-01-012019-09-300000927628cof:InterestincomeLoansMemberus-gaap:CashFlowHedgingMemberus-gaap:ForeignExchangeContractMember2019-01-012019-09-300000927628cof:InterestincomeOtherMemberus-gaap:CashFlowHedgingMemberus-gaap:ForeignExchangeContractMember2019-</w:t>
      </w:r>
      <w:r>
        <w:rPr>
          <w:rFonts w:eastAsia="Times New Roman"/>
          <w:vanish/>
        </w:rPr>
        <w:t>01-012019-09-300000927628us-gaap:CashFlowHedgingMembercof:InterestexpenseDepositsMemberus-gaap:ForeignExchangeContractMember2019-01-012019-09-300000927628cof:InterestexpenseSecuritizedDebtObligationMemberus-gaap:CashFlowHedgingMemberus-gaap:ForeignExchange</w:t>
      </w:r>
      <w:r>
        <w:rPr>
          <w:rFonts w:eastAsia="Times New Roman"/>
          <w:vanish/>
        </w:rPr>
        <w:t>ContractMember2019-01-012019-09-300000927628cof:InterestexpenseSeniorandSubordinatedDebtMemberus-gaap:CashFlowHedgingMemberus-gaap:ForeignExchangeContractMember2019-01-012019-09-300000927628us-gaap:CashFlowHedgingMemberus-gaap:ForeignExchangeContractMember</w:t>
      </w:r>
      <w:r>
        <w:rPr>
          <w:rFonts w:eastAsia="Times New Roman"/>
          <w:vanish/>
        </w:rPr>
        <w:t>cof:NonInterestIncomeOtherMember2019-01-012019-09-300000927628cof:InterestincomeInvestmentsecuritiesMemberus-gaap:CashFlowHedgingMember2019-01-012019-09-300000927628cof:InterestincomeLoansMemberus-gaap:CashFlowHedgingMember2019-01-012019-09-300000927628cof</w:t>
      </w:r>
      <w:r>
        <w:rPr>
          <w:rFonts w:eastAsia="Times New Roman"/>
          <w:vanish/>
        </w:rPr>
        <w:t>:InterestincomeOtherMemberus-gaap:CashFlowHedgingMember2019-01-012019-09-300000927628us-gaap:CashFlowHedgingMembercof:InterestexpenseDepositsMember2019-01-012019-09-300000927628cof:InterestexpenseSecuritizedDebtObligationMemberus-gaap:CashFlowHedgingMember</w:t>
      </w:r>
      <w:r>
        <w:rPr>
          <w:rFonts w:eastAsia="Times New Roman"/>
          <w:vanish/>
        </w:rPr>
        <w:t>2019-01-012019-09-300000927628cof:InterestexpenseSeniorandSubordinatedDebtMemberus-gaap:CashFlowHedgingMember2019-01-012019-09-300000927628us-gaap:CashFlowHedgingMembercof:NonInterestIncomeOtherMember2019-01-012019-09-300000927628cof:NonInterestIncomeOther</w:t>
      </w:r>
      <w:r>
        <w:rPr>
          <w:rFonts w:eastAsia="Times New Roman"/>
          <w:vanish/>
        </w:rPr>
        <w:t>Member2020-07-012020-09-300000927628cof:NonInterestIncomeOtherMember2020-01-012020-09-300000927628cof:NonInterestIncomeOtherMember2019-07-012019-09-300000927628cof:NonInterestIncomeOtherMember2019-01-012019-09-300000927628us-gaap:InterestRateContractMember</w:t>
      </w:r>
      <w:r>
        <w:rPr>
          <w:rFonts w:eastAsia="Times New Roman"/>
          <w:vanish/>
        </w:rPr>
        <w:t>cof:CustomerAccommodationMembercof:OtherNonInterestIncomeMember2020-07-012020-09-300000927628us-gaap:InterestRateContractMembercof:CustomerAccommodationMembercof:OtherNonInterestIncomeMember2019-07-012019-09-300000927628us-gaap:InterestRateContractMemberco</w:t>
      </w:r>
      <w:r>
        <w:rPr>
          <w:rFonts w:eastAsia="Times New Roman"/>
          <w:vanish/>
        </w:rPr>
        <w:t>f:CustomerAccommodationMembercof:OtherNonInterestIncomeMember2020-01-012020-09-300000927628us-gaap:InterestRateContractMembercof:CustomerAccommodationMembercof:OtherNonInterestIncomeMember2019-01-012019-09-300000927628cof:CustomerAccommodationMemberus-gaap</w:t>
      </w:r>
      <w:r>
        <w:rPr>
          <w:rFonts w:eastAsia="Times New Roman"/>
          <w:vanish/>
        </w:rPr>
        <w:t>:CommodityContractMembercof:OtherNonInterestIncomeMember2020-07-012020-09-300000927628cof:CustomerAccommodationMemberus-gaap:CommodityContractMembercof:OtherNonInterestIncomeMember2019-07-012019-09-300000927628cof:CustomerAccommodationMemberus-gaap:Commodi</w:t>
      </w:r>
      <w:r>
        <w:rPr>
          <w:rFonts w:eastAsia="Times New Roman"/>
          <w:vanish/>
        </w:rPr>
        <w:t>tyContractMembercof:OtherNonInterestIncomeMember2020-01-012020-09-300000927628cof:CustomerAccommodationMemberus-gaap:CommodityContractMembercof:OtherNonInterestIncomeMember2019-01-012019-09-300000927628us-gaap:ForeignExchangeContractMembercof:CustomerAccom</w:t>
      </w:r>
      <w:r>
        <w:rPr>
          <w:rFonts w:eastAsia="Times New Roman"/>
          <w:vanish/>
        </w:rPr>
        <w:t>modationMembercof:OtherNonInterestIncomeMember2020-07-012020-09-300000927628us-gaap:ForeignExchangeContractMembercof:CustomerAccommodationMembercof:OtherNonInterestIncomeMember2019-07-012019-09-300000927628us-gaap:ForeignExchangeContractMembercof:CustomerA</w:t>
      </w:r>
      <w:r>
        <w:rPr>
          <w:rFonts w:eastAsia="Times New Roman"/>
          <w:vanish/>
        </w:rPr>
        <w:t>ccommodationMembercof:OtherNonInterestIncomeMember2020-01-012020-09-300000927628us-gaap:ForeignExchangeContractMembercof:CustomerAccommodationMembercof:OtherNonInterestIncomeMember2019-01-012019-09-300000927628us-gaap:InterestRateContractMembercof:OtherNon</w:t>
      </w:r>
      <w:r>
        <w:rPr>
          <w:rFonts w:eastAsia="Times New Roman"/>
          <w:vanish/>
        </w:rPr>
        <w:t>InterestIncomeMember2020-07-012020-09-300000927628us-gaap:InterestRateContractMembercof:OtherNonInterestIncomeMember2019-07-012019-09-300000927628us-gaap:InterestRateContractMembercof:OtherNonInterestIncomeMember2020-01-012020-09-300000927628us-gaap:Intere</w:t>
      </w:r>
      <w:r>
        <w:rPr>
          <w:rFonts w:eastAsia="Times New Roman"/>
          <w:vanish/>
        </w:rPr>
        <w:t>stRateContractMembercof:OtherNonInterestIncomeMember2019-01-012019-09-300000927628us-gaap:InterestRateContractMembercof:OtherInterestRateExposuresMembercof:OtherNonInterestIncomeMember2020-07-012020-09-300000927628us-gaap:InterestRateContractMembercof:Othe</w:t>
      </w:r>
      <w:r>
        <w:rPr>
          <w:rFonts w:eastAsia="Times New Roman"/>
          <w:vanish/>
        </w:rPr>
        <w:t>rInterestRateExposuresMembercof:OtherNonInterestIncomeMember2019-07-012019-09-300000927628us-gaap:InterestRateContractMembercof:OtherInterestRateExposuresMembercof:OtherNonInterestIncomeMember2020-01-012020-09-300000927628us-gaap:InterestRateContractMember</w:t>
      </w:r>
      <w:r>
        <w:rPr>
          <w:rFonts w:eastAsia="Times New Roman"/>
          <w:vanish/>
        </w:rPr>
        <w:t>cof:OtherInterestRateExposuresMembercof:OtherNonInterestIncomeMember2019-01-012019-09-300000927628us-gaap:OtherContractMembercof:OtherNonInterestIncomeMember2020-07-012020-09-300000927628us-gaap:OtherContractMembercof:OtherNonInterestIncomeMember2019-07-01</w:t>
      </w:r>
      <w:r>
        <w:rPr>
          <w:rFonts w:eastAsia="Times New Roman"/>
          <w:vanish/>
        </w:rPr>
        <w:t>2019-09-300000927628us-gaap:OtherContractMembercof:OtherNonInterestIncomeMember2020-01-012020-09-300000927628us-gaap:OtherContractMembercof:OtherNonInterestIncomeMember2019-01-012019-09-300000927628cof:OtherNonInterestIncomeMember2020-07-012020-09-30000092</w:t>
      </w:r>
      <w:r>
        <w:rPr>
          <w:rFonts w:eastAsia="Times New Roman"/>
          <w:vanish/>
        </w:rPr>
        <w:t>7628cof:OtherNonInterestIncomeMember2019-07-012019-09-300000927628cof:OtherNonInterestIncomeMember2020-01-012020-09-300000927628cof:OtherNonInterestIncomeMember2019-01-012019-09-300000927628us-gaap:SeriesBPreferredStockMember2020-01-012020-09-300000927628u</w:t>
      </w:r>
      <w:r>
        <w:rPr>
          <w:rFonts w:eastAsia="Times New Roman"/>
          <w:vanish/>
        </w:rPr>
        <w:t>s-gaap:SeriesBPreferredStockMember2020-09-300000927628us-gaap:SeriesBPreferredStockMember2019-12-310000927628us-gaap:SeriesEPreferredStockMember2020-01-012020-09-300000927628us-gaap:SeriesEPreferredStockMember2020-09-300000927628us-gaap:SeriesEPreferredSto</w:t>
      </w:r>
      <w:r>
        <w:rPr>
          <w:rFonts w:eastAsia="Times New Roman"/>
          <w:vanish/>
        </w:rPr>
        <w:t>ckMember2019-12-310000927628us-gaap:SeriesFPreferredStockMember2020-09-300000927628us-gaap:SeriesFPreferredStockMember2019-12-310000927628us-gaap:SeriesGPreferredStockMember2020-09-300000927628us-gaap:SeriesGPreferredStockMember2019-12-310000927628us-gaap:</w:t>
      </w:r>
      <w:r>
        <w:rPr>
          <w:rFonts w:eastAsia="Times New Roman"/>
          <w:vanish/>
        </w:rPr>
        <w:t>SeriesHPreferredStockMember2020-09-300000927628us-gaap:SeriesHPreferredStockMember2019-12-310000927628cof:SeriesIPreferredStockMember2020-09-300000927628cof:SeriesIPreferredStockMember2019-12-310000927628cof:SeriesJPreferredStockMember2020-09-300000927628c</w:t>
      </w:r>
      <w:r>
        <w:rPr>
          <w:rFonts w:eastAsia="Times New Roman"/>
          <w:vanish/>
        </w:rPr>
        <w:t>of:SeriesJPreferredStockMember2019-12-310000927628cof:SeriesKPreferredStockMember2020-01-012020-09-300000927628cof:SeriesKPreferredStockMember2020-09-300000927628cof:SeriesKPreferredStockMember2019-12-310000927628us-gaap:AccumulatedNetUnrealizedInvestmentG</w:t>
      </w:r>
      <w:r>
        <w:rPr>
          <w:rFonts w:eastAsia="Times New Roman"/>
          <w:vanish/>
        </w:rPr>
        <w:t>ainLossMemberus-gaap:AvailableforsaleSecuritiesMember2020-06-300000927628us-gaap:AccumulatedNetGainLossFromDesignatedOrQualifyingCashFlowHedgesMember2020-06-300000927628us-gaap:AccumulatedTranslationAdjustmentMember2020-06-300000927628cof:AccumulatedOtherC</w:t>
      </w:r>
      <w:r>
        <w:rPr>
          <w:rFonts w:eastAsia="Times New Roman"/>
          <w:vanish/>
        </w:rPr>
        <w:t>omprehensiveIncomeLossOtherComponentMember2020-06-300000927628us-gaap:AccumulatedNetUnrealizedInvestmentGainLossMemberus-gaap:AvailableforsaleSecuritiesMember2020-07-012020-09-300000927628us-gaap:AccumulatedNetGainLossFromDesignatedOrQualifyingCashFlowHedg</w:t>
      </w:r>
      <w:r>
        <w:rPr>
          <w:rFonts w:eastAsia="Times New Roman"/>
          <w:vanish/>
        </w:rPr>
        <w:t>esMember2020-07-012020-09-300000927628us-gaap:AccumulatedTranslationAdjustmentMember2020-07-012020-09-300000927628cof:AccumulatedOtherComprehensiveIncomeLossOtherComponentMember2020-07-012020-09-300000927628us-gaap:AccumulatedNetUnrealizedInvestmentGainLos</w:t>
      </w:r>
      <w:r>
        <w:rPr>
          <w:rFonts w:eastAsia="Times New Roman"/>
          <w:vanish/>
        </w:rPr>
        <w:t>sMemberus-gaap:AvailableforsaleSecuritiesMember2020-09-300000927628us-gaap:AccumulatedNetGainLossFromDesignatedOrQualifyingCashFlowHedgesMember2020-09-300000927628us-gaap:AccumulatedTranslationAdjustmentMember2020-09-300000927628cof:AccumulatedOtherCompreh</w:t>
      </w:r>
      <w:r>
        <w:rPr>
          <w:rFonts w:eastAsia="Times New Roman"/>
          <w:vanish/>
        </w:rPr>
        <w:t>ensiveIncomeLossOtherComponentMember2020-09-300000927628us-gaap:AccumulatedNetUnrealizedInvestmentGainLossMemberus-gaap:AvailableforsaleSecuritiesMember2019-12-310000927628us-gaap:AccumulatedNetGainLossFromDesignatedOrQualifyingCashFlowHedgesMember2019-12-</w:t>
      </w:r>
      <w:r>
        <w:rPr>
          <w:rFonts w:eastAsia="Times New Roman"/>
          <w:vanish/>
        </w:rPr>
        <w:t>310000927628us-gaap:AccumulatedTranslationAdjustmentMember2019-12-310000927628cof:AccumulatedOtherComprehensiveIncomeLossOtherComponentMember2019-12-310000927628us-gaap:AccumulatedNetUnrealizedInvestmentGainLossMembersrt:CumulativeEffectPeriodOfAdoptionAdj</w:t>
      </w:r>
      <w:r>
        <w:rPr>
          <w:rFonts w:eastAsia="Times New Roman"/>
          <w:vanish/>
        </w:rPr>
        <w:t>ustmentMemberus-gaap:AvailableforsaleSecuritiesMember2019-12-310000927628us-gaap:AccumulatedNetGainLossFromDesignatedOrQualifyingCashFlowHedgesMembersrt:CumulativeEffectPeriodOfAdoptionAdjustmentMember2019-12-310000927628us-gaap:AccumulatedTranslationAdjus</w:t>
      </w:r>
      <w:r>
        <w:rPr>
          <w:rFonts w:eastAsia="Times New Roman"/>
          <w:vanish/>
        </w:rPr>
        <w:t>tmentMembersrt:CumulativeEffectPeriodOfAdoptionAdjustmentMember2019-12-310000927628cof:AccumulatedOtherComprehensiveIncomeLossOtherComponentMembersrt:CumulativeEffectPeriodOfAdoptionAdjustmentMember2019-12-310000927628us-gaap:AccumulatedNetUnrealizedInvest</w:t>
      </w:r>
      <w:r>
        <w:rPr>
          <w:rFonts w:eastAsia="Times New Roman"/>
          <w:vanish/>
        </w:rPr>
        <w:t>mentGainLossMemberus-gaap:AvailableforsaleSecuritiesMember2020-01-012020-09-300000927628us-gaap:AccumulatedNetGainLossFromDesignatedOrQualifyingCashFlowHedgesMember2020-01-012020-09-300000927628us-gaap:AccumulatedTranslationAdjustmentMember2020-01-012020-0</w:t>
      </w:r>
      <w:r>
        <w:rPr>
          <w:rFonts w:eastAsia="Times New Roman"/>
          <w:vanish/>
        </w:rPr>
        <w:t>9-300000927628cof:AccumulatedOtherComprehensiveIncomeLossOtherComponentMember2020-01-012020-09-300000927628us-gaap:AccumulatedOtherComprehensiveIncomeMember2020-01-012020-09-300000927628us-gaap:AccumulatedNetUnrealizedInvestmentGainLossMemberus-gaap:Availa</w:t>
      </w:r>
      <w:r>
        <w:rPr>
          <w:rFonts w:eastAsia="Times New Roman"/>
          <w:vanish/>
        </w:rPr>
        <w:t>bleforsaleSecuritiesMember2019-06-300000927628us-gaap:AccumulatedNetGainLossFromDesignatedOrQualifyingCashFlowHedgesMember2019-06-300000927628us-gaap:AccumulatedTranslationAdjustmentMember2019-06-300000927628us-gaap:HeldtomaturitySecuritiesMemberus-gaap:Ac</w:t>
      </w:r>
      <w:r>
        <w:rPr>
          <w:rFonts w:eastAsia="Times New Roman"/>
          <w:vanish/>
        </w:rPr>
        <w:t>cumulatedNetUnrealizedInvestmentGainLossMember2019-06-300000927628cof:AccumulatedOtherComprehensiveIncomeLossOtherComponentMember2019-06-300000927628us-gaap:AccumulatedNetUnrealizedInvestmentGainLossMemberus-gaap:AvailableforsaleSecuritiesMember2019-07-012</w:t>
      </w:r>
      <w:r>
        <w:rPr>
          <w:rFonts w:eastAsia="Times New Roman"/>
          <w:vanish/>
        </w:rPr>
        <w:t>019-09-300000927628us-gaap:AccumulatedNetGainLossFromDesignatedOrQualifyingCashFlowHedgesMember2019-07-012019-09-300000927628us-gaap:AccumulatedTranslationAdjustmentMember2019-07-012019-09-300000927628us-gaap:HeldtomaturitySecuritiesMemberus-gaap:Accumulat</w:t>
      </w:r>
      <w:r>
        <w:rPr>
          <w:rFonts w:eastAsia="Times New Roman"/>
          <w:vanish/>
        </w:rPr>
        <w:t>edNetUnrealizedInvestmentGainLossMember2019-07-012019-09-300000927628cof:AccumulatedOtherComprehensiveIncomeLossOtherComponentMember2019-07-012019-09-300000927628us-gaap:AccumulatedNetUnrealizedInvestmentGainLossMemberus-gaap:AvailableforsaleSecuritiesMemb</w:t>
      </w:r>
      <w:r>
        <w:rPr>
          <w:rFonts w:eastAsia="Times New Roman"/>
          <w:vanish/>
        </w:rPr>
        <w:t>er2019-09-300000927628us-gaap:AccumulatedNetGainLossFromDesignatedOrQualifyingCashFlowHedgesMember2019-09-300000927628us-gaap:AccumulatedTranslationAdjustmentMember2019-09-300000927628us-gaap:HeldtomaturitySecuritiesMemberus-gaap:AccumulatedNetUnrealizedIn</w:t>
      </w:r>
      <w:r>
        <w:rPr>
          <w:rFonts w:eastAsia="Times New Roman"/>
          <w:vanish/>
        </w:rPr>
        <w:t>vestmentGainLossMember2019-09-300000927628cof:AccumulatedOtherComprehensiveIncomeLossOtherComponentMember2019-09-300000927628us-gaap:AccumulatedNetUnrealizedInvestmentGainLossMemberus-gaap:AvailableforsaleSecuritiesMember2018-12-310000927628us-gaap:Accumul</w:t>
      </w:r>
      <w:r>
        <w:rPr>
          <w:rFonts w:eastAsia="Times New Roman"/>
          <w:vanish/>
        </w:rPr>
        <w:t>atedNetGainLossFromDesignatedOrQualifyingCashFlowHedgesMember2018-12-310000927628us-gaap:AccumulatedTranslationAdjustmentMember2018-12-310000927628us-gaap:HeldtomaturitySecuritiesMemberus-gaap:AccumulatedNetUnrealizedInvestmentGainLossMember2018-12-3100009</w:t>
      </w:r>
      <w:r>
        <w:rPr>
          <w:rFonts w:eastAsia="Times New Roman"/>
          <w:vanish/>
        </w:rPr>
        <w:t>27628cof:AccumulatedOtherComprehensiveIncomeLossOtherComponentMember2018-12-310000927628us-gaap:AccumulatedNetUnrealizedInvestmentGainLossMemberus-gaap:AvailableforsaleSecuritiesMember2019-01-012019-09-300000927628us-gaap:AccumulatedNetGainLossFromDesignat</w:t>
      </w:r>
      <w:r>
        <w:rPr>
          <w:rFonts w:eastAsia="Times New Roman"/>
          <w:vanish/>
        </w:rPr>
        <w:t>edOrQualifyingCashFlowHedgesMember2019-01-012019-09-300000927628us-gaap:AccumulatedTranslationAdjustmentMember2019-01-012019-09-300000927628us-gaap:HeldtomaturitySecuritiesMemberus-gaap:AccumulatedNetUnrealizedInvestmentGainLossMember2019-01-012019-09-3000</w:t>
      </w:r>
      <w:r>
        <w:rPr>
          <w:rFonts w:eastAsia="Times New Roman"/>
          <w:vanish/>
        </w:rPr>
        <w:t>00927628cof:AccumulatedOtherComprehensiveIncomeLossOtherComponentMember2019-01-012019-09-300000927628us-gaap:AccumulatedOtherComprehensiveIncomeMember2019-01-012019-09-300000927628us-gaap:NetInvestmentHedgingMember2020-07-012020-09-300000927628us-gaap:NetI</w:t>
      </w:r>
      <w:r>
        <w:rPr>
          <w:rFonts w:eastAsia="Times New Roman"/>
          <w:vanish/>
        </w:rPr>
        <w:t>nvestmentHedgingMember2020-01-012020-09-300000927628us-gaap:NetInvestmentHedgingMember2019-07-012019-09-300000927628us-gaap:NetInvestmentHedgingMember2019-01-012019-09-300000927628us-gaap:AccumulatedNetUnrealizedInvestmentGainLossMemberus-gaap:Reclassifica</w:t>
      </w:r>
      <w:r>
        <w:rPr>
          <w:rFonts w:eastAsia="Times New Roman"/>
          <w:vanish/>
        </w:rPr>
        <w:t>tionOutOfAccumulatedOtherComprehensiveIncomeMemberus-gaap:AvailableforsaleSecuritiesMember2020-07-012020-09-300000927628us-gaap:AccumulatedNetUnrealizedInvestmentGainLossMemberus-gaap:ReclassificationOutOfAccumulatedOtherComprehensiveIncomeMemberus-gaap:Av</w:t>
      </w:r>
      <w:r>
        <w:rPr>
          <w:rFonts w:eastAsia="Times New Roman"/>
          <w:vanish/>
        </w:rPr>
        <w:t>ailableforsaleSecuritiesMember2019-07-012019-09-300000927628us-gaap:AccumulatedNetUnrealizedInvestmentGainLossMemberus-gaap:ReclassificationOutOfAccumulatedOtherComprehensiveIncomeMemberus-gaap:AvailableforsaleSecuritiesMember2020-01-012020-09-300000927628</w:t>
      </w:r>
      <w:r>
        <w:rPr>
          <w:rFonts w:eastAsia="Times New Roman"/>
          <w:vanish/>
        </w:rPr>
        <w:t>us-gaap:AccumulatedNetUnrealizedInvestmentGainLossMemberus-gaap:ReclassificationOutOfAccumulatedOtherComprehensiveIncomeMemberus-gaap:AvailableforsaleSecuritiesMember2019-01-012019-09-300000927628us-gaap:InterestRateContractMemberus-gaap:ReclassificationOu</w:t>
      </w:r>
      <w:r>
        <w:rPr>
          <w:rFonts w:eastAsia="Times New Roman"/>
          <w:vanish/>
        </w:rPr>
        <w:t>tOfAccumulatedOtherComprehensiveIncomeMemberus-gaap:AccumulatedNetGainLossFromDesignatedOrQualifyingCashFlowHedgesMember2020-07-012020-09-300000927628us-gaap:InterestRateContractMemberus-gaap:ReclassificationOutOfAccumulatedOtherComprehensiveIncomeMemberus</w:t>
      </w:r>
      <w:r>
        <w:rPr>
          <w:rFonts w:eastAsia="Times New Roman"/>
          <w:vanish/>
        </w:rPr>
        <w:t>-gaap:AccumulatedNetGainLossFromDesignatedOrQualifyingCashFlowHedgesMember2019-07-012019-09-300000927628us-gaap:InterestRateContractMemberus-gaap:ReclassificationOutOfAccumulatedOtherComprehensiveIncomeMemberus-gaap:AccumulatedNetGainLossFromDesignatedOrQu</w:t>
      </w:r>
      <w:r>
        <w:rPr>
          <w:rFonts w:eastAsia="Times New Roman"/>
          <w:vanish/>
        </w:rPr>
        <w:t>alifyingCashFlowHedgesMember2020-01-012020-09-300000927628us-gaap:InterestRateContractMemberus-gaap:ReclassificationOutOfAccumulatedOtherComprehensiveIncomeMemberus-gaap:AccumulatedNetGainLossFromDesignatedOrQualifyingCashFlowHedgesMember2019-01-012019-09-</w:t>
      </w:r>
      <w:r>
        <w:rPr>
          <w:rFonts w:eastAsia="Times New Roman"/>
          <w:vanish/>
        </w:rPr>
        <w:t>300000927628us-gaap:ForeignExchangeContractMemberus-gaap:ReclassificationOutOfAccumulatedOtherComprehensiveIncomeMemberus-gaap:AccumulatedNetGainLossFromDesignatedOrQualifyingCashFlowHedgesMember2020-07-012020-09-300000927628us-gaap:ForeignExchangeContract</w:t>
      </w:r>
      <w:r>
        <w:rPr>
          <w:rFonts w:eastAsia="Times New Roman"/>
          <w:vanish/>
        </w:rPr>
        <w:t>Memberus-gaap:ReclassificationOutOfAccumulatedOtherComprehensiveIncomeMemberus-gaap:AccumulatedNetGainLossFromDesignatedOrQualifyingCashFlowHedgesMember2019-07-012019-09-300000927628us-gaap:ForeignExchangeContractMemberus-gaap:ReclassificationOutOfAccumula</w:t>
      </w:r>
      <w:r>
        <w:rPr>
          <w:rFonts w:eastAsia="Times New Roman"/>
          <w:vanish/>
        </w:rPr>
        <w:t>tedOtherComprehensiveIncomeMemberus-gaap:AccumulatedNetGainLossFromDesignatedOrQualifyingCashFlowHedgesMember2020-01-012020-09-300000927628us-gaap:ForeignExchangeContractMemberus-gaap:ReclassificationOutOfAccumulatedOtherComprehensiveIncomeMemberus-gaap:Ac</w:t>
      </w:r>
      <w:r>
        <w:rPr>
          <w:rFonts w:eastAsia="Times New Roman"/>
          <w:vanish/>
        </w:rPr>
        <w:t>cumulatedNetGainLossFromDesignatedOrQualifyingCashFlowHedgesMember2019-01-012019-09-300000927628us-gaap:HeldtomaturitySecuritiesMemberus-gaap:AccumulatedNetUnrealizedInvestmentGainLossMemberus-gaap:ReclassificationOutOfAccumulatedOtherComprehensiveIncomeMe</w:t>
      </w:r>
      <w:r>
        <w:rPr>
          <w:rFonts w:eastAsia="Times New Roman"/>
          <w:vanish/>
        </w:rPr>
        <w:t>mber2020-07-012020-09-300000927628us-gaap:HeldtomaturitySecuritiesMemberus-gaap:AccumulatedNetUnrealizedInvestmentGainLossMemberus-gaap:ReclassificationOutOfAccumulatedOtherComprehensiveIncomeMember2019-07-012019-09-300000927628us-gaap:HeldtomaturitySecuri</w:t>
      </w:r>
      <w:r>
        <w:rPr>
          <w:rFonts w:eastAsia="Times New Roman"/>
          <w:vanish/>
        </w:rPr>
        <w:t>tiesMemberus-gaap:AccumulatedNetUnrealizedInvestmentGainLossMemberus-gaap:ReclassificationOutOfAccumulatedOtherComprehensiveIncomeMember2020-01-012020-09-300000927628us-gaap:HeldtomaturitySecuritiesMemberus-gaap:AccumulatedNetUnrealizedInvestmentGainLossMe</w:t>
      </w:r>
      <w:r>
        <w:rPr>
          <w:rFonts w:eastAsia="Times New Roman"/>
          <w:vanish/>
        </w:rPr>
        <w:t>mberus-gaap:ReclassificationOutOfAccumulatedOtherComprehensiveIncomeMember2019-01-012019-09-300000927628us-gaap:ReclassificationOutOfAccumulatedOtherComprehensiveIncomeMembercof:AccumulatedOtherComprehensiveIncomeLossOtherComponentMember2020-07-012020-09-3</w:t>
      </w:r>
      <w:r>
        <w:rPr>
          <w:rFonts w:eastAsia="Times New Roman"/>
          <w:vanish/>
        </w:rPr>
        <w:t>00000927628us-gaap:ReclassificationOutOfAccumulatedOtherComprehensiveIncomeMembercof:AccumulatedOtherComprehensiveIncomeLossOtherComponentMember2019-07-012019-09-300000927628us-gaap:ReclassificationOutOfAccumulatedOtherComprehensiveIncomeMembercof:Accumula</w:t>
      </w:r>
      <w:r>
        <w:rPr>
          <w:rFonts w:eastAsia="Times New Roman"/>
          <w:vanish/>
        </w:rPr>
        <w:t>tedOtherComprehensiveIncomeLossOtherComponentMember2020-01-012020-09-300000927628us-gaap:ReclassificationOutOfAccumulatedOtherComprehensiveIncomeMembercof:AccumulatedOtherComprehensiveIncomeLossOtherComponentMember2019-01-012019-09-300000927628us-gaap:Recl</w:t>
      </w:r>
      <w:r>
        <w:rPr>
          <w:rFonts w:eastAsia="Times New Roman"/>
          <w:vanish/>
        </w:rPr>
        <w:t>assificationOutOfAccumulatedOtherComprehensiveIncomeMember2020-07-012020-09-300000927628us-gaap:ReclassificationOutOfAccumulatedOtherComprehensiveIncomeMember2019-07-012019-09-300000927628us-gaap:ReclassificationOutOfAccumulatedOtherComprehensiveIncomeMemb</w:t>
      </w:r>
      <w:r>
        <w:rPr>
          <w:rFonts w:eastAsia="Times New Roman"/>
          <w:vanish/>
        </w:rPr>
        <w:t>er2020-01-012020-09-300000927628us-gaap:ReclassificationOutOfAccumulatedOtherComprehensiveIncomeMember2019-01-012019-09-300000927628us-gaap:EmployeeStockOptionMember2020-07-012020-09-300000927628us-gaap:StockCompensationPlanMember2020-01-012020-09-30000092</w:t>
      </w:r>
      <w:r>
        <w:rPr>
          <w:rFonts w:eastAsia="Times New Roman"/>
          <w:vanish/>
        </w:rPr>
        <w:t>7628us-gaap:EmployeeStockOptionMember2020-01-012020-09-300000927628us-gaap:EmployeeStockOptionMember2019-01-012019-09-300000927628us-gaap:FairValueInputsLevel1Memberus-gaap:FairValueMeasurementsRecurringMemberus-gaap:USTreasurySecuritiesMember2020-09-30000</w:t>
      </w:r>
      <w:r>
        <w:rPr>
          <w:rFonts w:eastAsia="Times New Roman"/>
          <w:vanish/>
        </w:rPr>
        <w:t>0927628us-gaap:FairValueInputsLevel2Memberus-gaap:FairValueMeasurementsRecurringMemberus-gaap:USTreasurySecuritiesMember2020-09-300000927628us-gaap:FairValueInputsLevel3Memberus-gaap:FairValueMeasurementsRecurringMemberus-gaap:USTreasurySecuritiesMember202</w:t>
      </w:r>
      <w:r>
        <w:rPr>
          <w:rFonts w:eastAsia="Times New Roman"/>
          <w:vanish/>
        </w:rPr>
        <w:t>0-09-300000927628us-gaap:FairValueMeasurementsRecurringMemberus-gaap:USTreasurySecuritiesMember2020-09-300000927628us-gaap:ResidentialMortgageBackedSecuritiesMemberus-gaap:FairValueInputsLevel1Memberus-gaap:FairValueMeasurementsRecurringMember2020-09-30000</w:t>
      </w:r>
      <w:r>
        <w:rPr>
          <w:rFonts w:eastAsia="Times New Roman"/>
          <w:vanish/>
        </w:rPr>
        <w:t>0927628us-gaap:FairValueInputsLevel2Memberus-gaap:ResidentialMortgageBackedSecuritiesMemberus-gaap:FairValueMeasurementsRecurringMember2020-09-300000927628us-gaap:FairValueInputsLevel3Memberus-gaap:ResidentialMortgageBackedSecuritiesMemberus-gaap:FairValue</w:t>
      </w:r>
      <w:r>
        <w:rPr>
          <w:rFonts w:eastAsia="Times New Roman"/>
          <w:vanish/>
        </w:rPr>
        <w:t>MeasurementsRecurringMember2020-09-300000927628us-gaap:ResidentialMortgageBackedSecuritiesMemberus-gaap:FairValueMeasurementsRecurringMember2020-09-300000927628us-gaap:FairValueInputsLevel1Memberus-gaap:FairValueMeasurementsRecurringMemberus-gaap:Commercia</w:t>
      </w:r>
      <w:r>
        <w:rPr>
          <w:rFonts w:eastAsia="Times New Roman"/>
          <w:vanish/>
        </w:rPr>
        <w:t>lMortgageBackedSecuritiesMember2020-09-300000927628us-gaap:FairValueInputsLevel2Memberus-gaap:FairValueMeasurementsRecurringMemberus-gaap:CommercialMortgageBackedSecuritiesMember2020-09-300000927628us-gaap:FairValueInputsLevel3Memberus-gaap:FairValueMeasur</w:t>
      </w:r>
      <w:r>
        <w:rPr>
          <w:rFonts w:eastAsia="Times New Roman"/>
          <w:vanish/>
        </w:rPr>
        <w:t>ementsRecurringMemberus-gaap:CommercialMortgageBackedSecuritiesMember2020-09-300000927628us-gaap:FairValueMeasurementsRecurringMemberus-gaap:CommercialMortgageBackedSecuritiesMember2020-09-300000927628us-gaap:FairValueInputsLevel1Memberus-gaap:OtherDebtSec</w:t>
      </w:r>
      <w:r>
        <w:rPr>
          <w:rFonts w:eastAsia="Times New Roman"/>
          <w:vanish/>
        </w:rPr>
        <w:t>uritiesMemberus-gaap:FairValueMeasurementsRecurringMember2020-09-300000927628us-gaap:FairValueInputsLevel2Memberus-gaap:OtherDebtSecuritiesMemberus-gaap:FairValueMeasurementsRecurringMember2020-09-300000927628us-gaap:FairValueInputsLevel3Memberus-gaap:Othe</w:t>
      </w:r>
      <w:r>
        <w:rPr>
          <w:rFonts w:eastAsia="Times New Roman"/>
          <w:vanish/>
        </w:rPr>
        <w:t>rDebtSecuritiesMemberus-gaap:FairValueMeasurementsRecurringMember2020-09-300000927628us-gaap:OtherDebtSecuritiesMemberus-gaap:FairValueMeasurementsRecurringMember2020-09-300000927628us-gaap:FairValueInputsLevel1Memberus-gaap:FairValueMeasurementsRecurringM</w:t>
      </w:r>
      <w:r>
        <w:rPr>
          <w:rFonts w:eastAsia="Times New Roman"/>
          <w:vanish/>
        </w:rPr>
        <w:t>ember2020-09-300000927628us-gaap:FairValueInputsLevel2Memberus-gaap:FairValueMeasurementsRecurringMember2020-09-300000927628us-gaap:FairValueInputsLevel3Memberus-gaap:FairValueMeasurementsRecurringMember2020-09-300000927628us-gaap:FairValueMeasurementsRecu</w:t>
      </w:r>
      <w:r>
        <w:rPr>
          <w:rFonts w:eastAsia="Times New Roman"/>
          <w:vanish/>
        </w:rPr>
        <w:t>rringMember2020-09-300000927628us-gaap:FairValueInputsLevel1Memberus-gaap:FairValueMeasurementsRecurringMemberus-gaap:USTreasurySecuritiesMember2019-12-310000927628us-gaap:FairValueInputsLevel2Memberus-gaap:FairValueMeasurementsRecurringMemberus-gaap:USTre</w:t>
      </w:r>
      <w:r>
        <w:rPr>
          <w:rFonts w:eastAsia="Times New Roman"/>
          <w:vanish/>
        </w:rPr>
        <w:t>asurySecuritiesMember2019-12-310000927628us-gaap:FairValueInputsLevel3Memberus-gaap:FairValueMeasurementsRecurringMemberus-gaap:USTreasurySecuritiesMember2019-12-310000927628us-gaap:FairValueMeasurementsRecurringMemberus-gaap:USTreasurySecuritiesMember2019</w:t>
      </w:r>
      <w:r>
        <w:rPr>
          <w:rFonts w:eastAsia="Times New Roman"/>
          <w:vanish/>
        </w:rPr>
        <w:t>-12-310000927628us-gaap:ResidentialMortgageBackedSecuritiesMemberus-gaap:FairValueInputsLevel1Memberus-gaap:FairValueMeasurementsRecurringMember2019-12-310000927628us-gaap:FairValueInputsLevel2Memberus-gaap:ResidentialMortgageBackedSecuritiesMemberus-gaap:</w:t>
      </w:r>
      <w:r>
        <w:rPr>
          <w:rFonts w:eastAsia="Times New Roman"/>
          <w:vanish/>
        </w:rPr>
        <w:t>FairValueMeasurementsRecurringMember2019-12-310000927628us-gaap:FairValueInputsLevel3Memberus-gaap:ResidentialMortgageBackedSecuritiesMemberus-gaap:FairValueMeasurementsRecurringMember2019-12-310000927628us-gaap:ResidentialMortgageBackedSecuritiesMemberus-</w:t>
      </w:r>
      <w:r>
        <w:rPr>
          <w:rFonts w:eastAsia="Times New Roman"/>
          <w:vanish/>
        </w:rPr>
        <w:t>gaap:FairValueMeasurementsRecurringMember2019-12-310000927628us-gaap:FairValueInputsLevel1Memberus-gaap:FairValueMeasurementsRecurringMemberus-gaap:CommercialMortgageBackedSecuritiesMember2019-12-310000927628us-gaap:FairValueInputsLevel2Memberus-gaap:FairV</w:t>
      </w:r>
      <w:r>
        <w:rPr>
          <w:rFonts w:eastAsia="Times New Roman"/>
          <w:vanish/>
        </w:rPr>
        <w:t>alueMeasurementsRecurringMemberus-gaap:CommercialMortgageBackedSecuritiesMember2019-12-310000927628us-gaap:FairValueInputsLevel3Memberus-gaap:FairValueMeasurementsRecurringMemberus-gaap:CommercialMortgageBackedSecuritiesMember2019-12-310000927628us-gaap:Fa</w:t>
      </w:r>
      <w:r>
        <w:rPr>
          <w:rFonts w:eastAsia="Times New Roman"/>
          <w:vanish/>
        </w:rPr>
        <w:t>irValueMeasurementsRecurringMemberus-gaap:CommercialMortgageBackedSecuritiesMember2019-12-310000927628us-gaap:FairValueInputsLevel1Memberus-gaap:OtherDebtSecuritiesMemberus-gaap:FairValueMeasurementsRecurringMember2019-12-310000927628us-gaap:FairValueInput</w:t>
      </w:r>
      <w:r>
        <w:rPr>
          <w:rFonts w:eastAsia="Times New Roman"/>
          <w:vanish/>
        </w:rPr>
        <w:t>sLevel2Memberus-gaap:OtherDebtSecuritiesMemberus-gaap:FairValueMeasurementsRecurringMember2019-12-310000927628us-gaap:FairValueInputsLevel3Memberus-gaap:OtherDebtSecuritiesMemberus-gaap:FairValueMeasurementsRecurringMember2019-12-310000927628us-gaap:OtherD</w:t>
      </w:r>
      <w:r>
        <w:rPr>
          <w:rFonts w:eastAsia="Times New Roman"/>
          <w:vanish/>
        </w:rPr>
        <w:t>ebtSecuritiesMemberus-gaap:FairValueMeasurementsRecurringMember2019-12-310000927628us-gaap:FairValueInputsLevel1Memberus-gaap:FairValueMeasurementsRecurringMember2019-12-310000927628us-gaap:FairValueInputsLevel2Memberus-gaap:FairValueMeasurementsRecurringM</w:t>
      </w:r>
      <w:r>
        <w:rPr>
          <w:rFonts w:eastAsia="Times New Roman"/>
          <w:vanish/>
        </w:rPr>
        <w:t>ember2019-12-310000927628us-gaap:FairValueInputsLevel3Memberus-gaap:FairValueMeasurementsRecurringMember2019-12-310000927628us-gaap:FairValueMeasurementsRecurringMember2019-12-310000927628cof:FairValueInputsLevel1AndLevel2Memberus-gaap:FairValueMeasurement</w:t>
      </w:r>
      <w:r>
        <w:rPr>
          <w:rFonts w:eastAsia="Times New Roman"/>
          <w:vanish/>
        </w:rPr>
        <w:t>sRecurringMember2020-09-300000927628cof:FairValueInputsLevel1AndLevel2Memberus-gaap:FairValueMeasurementsRecurringMember2020-01-012020-09-300000927628us-gaap:FairValueInputsLevel3Memberus-gaap:ResidentialMortgageBackedSecuritiesMemberus-gaap:FairValueMeasu</w:t>
      </w:r>
      <w:r>
        <w:rPr>
          <w:rFonts w:eastAsia="Times New Roman"/>
          <w:vanish/>
        </w:rPr>
        <w:t>rementsRecurringMember2020-06-300000927628us-gaap:FairValueInputsLevel3Memberus-gaap:ResidentialMortgageBackedSecuritiesMemberus-gaap:FairValueMeasurementsRecurringMember2020-07-012020-09-300000927628us-gaap:FairValueInputsLevel3Memberus-gaap:FairValueMeas</w:t>
      </w:r>
      <w:r>
        <w:rPr>
          <w:rFonts w:eastAsia="Times New Roman"/>
          <w:vanish/>
        </w:rPr>
        <w:t>urementsRecurringMemberus-gaap:CommercialMortgageBackedSecuritiesMember2020-06-300000927628us-gaap:FairValueInputsLevel3Memberus-gaap:FairValueMeasurementsRecurringMemberus-gaap:CommercialMortgageBackedSecuritiesMember2020-07-012020-09-300000927628us-gaap:</w:t>
      </w:r>
      <w:r>
        <w:rPr>
          <w:rFonts w:eastAsia="Times New Roman"/>
          <w:vanish/>
        </w:rPr>
        <w:t>FairValueInputsLevel3Memberus-gaap:FairValueMeasurementsRecurringMemberus-gaap:AvailableforsaleSecuritiesMember2020-06-300000927628us-gaap:FairValueInputsLevel3Memberus-gaap:FairValueMeasurementsRecurringMemberus-gaap:AvailableforsaleSecuritiesMember2020-0</w:t>
      </w:r>
      <w:r>
        <w:rPr>
          <w:rFonts w:eastAsia="Times New Roman"/>
          <w:vanish/>
        </w:rPr>
        <w:t>7-012020-09-300000927628us-gaap:FairValueInputsLevel3Memberus-gaap:FairValueMeasurementsRecurringMemberus-gaap:AvailableforsaleSecuritiesMember2020-09-300000927628us-gaap:FairValueInputsLevel3Memberus-gaap:RetainedInterestMemberus-gaap:FairValueMeasurement</w:t>
      </w:r>
      <w:r>
        <w:rPr>
          <w:rFonts w:eastAsia="Times New Roman"/>
          <w:vanish/>
        </w:rPr>
        <w:t>sRecurringMember2020-06-300000927628us-gaap:FairValueInputsLevel3Memberus-gaap:RetainedInterestMemberus-gaap:FairValueMeasurementsRecurringMember2020-07-012020-09-300000927628us-gaap:FairValueInputsLevel3Memberus-gaap:RetainedInterestMemberus-gaap:FairValu</w:t>
      </w:r>
      <w:r>
        <w:rPr>
          <w:rFonts w:eastAsia="Times New Roman"/>
          <w:vanish/>
        </w:rPr>
        <w:t>eMeasurementsRecurringMember2020-09-300000927628us-gaap:FairValueInputsLevel3Memberus-gaap:FairValueMeasurementsRecurringMember2020-06-300000927628us-gaap:FairValueInputsLevel3Memberus-gaap:FairValueMeasurementsRecurringMember2020-07-012020-09-300000927628</w:t>
      </w:r>
      <w:r>
        <w:rPr>
          <w:rFonts w:eastAsia="Times New Roman"/>
          <w:vanish/>
        </w:rPr>
        <w:t>us-gaap:FairValueInputsLevel3Membercof:NetDerivativeAssetsLiabilitiesMemberus-gaap:FairValueMeasurementsRecurringMember2020-07-012020-09-300000927628us-gaap:FairValueInputsLevel3Memberus-gaap:ResidentialMortgageBackedSecuritiesMemberus-gaap:FairValueMeasur</w:t>
      </w:r>
      <w:r>
        <w:rPr>
          <w:rFonts w:eastAsia="Times New Roman"/>
          <w:vanish/>
        </w:rPr>
        <w:t>ementsRecurringMember2020-01-012020-09-300000927628us-gaap:FairValueInputsLevel3Memberus-gaap:FairValueMeasurementsRecurringMemberus-gaap:CommercialMortgageBackedSecuritiesMember2020-01-012020-09-300000927628us-gaap:FairValueInputsLevel3Memberus-gaap:FairV</w:t>
      </w:r>
      <w:r>
        <w:rPr>
          <w:rFonts w:eastAsia="Times New Roman"/>
          <w:vanish/>
        </w:rPr>
        <w:t>alueMeasurementsRecurringMemberus-gaap:AvailableforsaleSecuritiesMember2019-12-310000927628us-gaap:FairValueInputsLevel3Memberus-gaap:FairValueMeasurementsRecurringMemberus-gaap:AvailableforsaleSecuritiesMember2020-01-012020-09-300000927628us-gaap:FairValu</w:t>
      </w:r>
      <w:r>
        <w:rPr>
          <w:rFonts w:eastAsia="Times New Roman"/>
          <w:vanish/>
        </w:rPr>
        <w:t>eInputsLevel3Memberus-gaap:RetainedInterestMemberus-gaap:FairValueMeasurementsRecurringMember2019-12-310000927628us-gaap:FairValueInputsLevel3Memberus-gaap:RetainedInterestMemberus-gaap:FairValueMeasurementsRecurringMember2020-01-012020-09-300000927628us-g</w:t>
      </w:r>
      <w:r>
        <w:rPr>
          <w:rFonts w:eastAsia="Times New Roman"/>
          <w:vanish/>
        </w:rPr>
        <w:t>aap:FairValueInputsLevel3Memberus-gaap:FairValueMeasurementsRecurringMember2020-01-012020-09-300000927628us-gaap:FairValueInputsLevel3Membercof:NetDerivativeAssetsLiabilitiesMemberus-gaap:FairValueMeasurementsRecurringMember2020-01-012020-09-300000927628us</w:t>
      </w:r>
      <w:r>
        <w:rPr>
          <w:rFonts w:eastAsia="Times New Roman"/>
          <w:vanish/>
        </w:rPr>
        <w:t>-gaap:FairValueInputsLevel3Memberus-gaap:ResidentialMortgageBackedSecuritiesMemberus-gaap:FairValueMeasurementsRecurringMember2019-06-300000927628us-gaap:FairValueInputsLevel3Memberus-gaap:ResidentialMortgageBackedSecuritiesMemberus-gaap:FairValueMeasureme</w:t>
      </w:r>
      <w:r>
        <w:rPr>
          <w:rFonts w:eastAsia="Times New Roman"/>
          <w:vanish/>
        </w:rPr>
        <w:t>ntsRecurringMember2019-07-012019-09-300000927628us-gaap:FairValueInputsLevel3Memberus-gaap:ResidentialMortgageBackedSecuritiesMemberus-gaap:FairValueMeasurementsRecurringMember2019-09-300000927628us-gaap:FairValueInputsLevel3Memberus-gaap:FairValueMeasurem</w:t>
      </w:r>
      <w:r>
        <w:rPr>
          <w:rFonts w:eastAsia="Times New Roman"/>
          <w:vanish/>
        </w:rPr>
        <w:t>entsRecurringMemberus-gaap:CommercialMortgageBackedSecuritiesMember2019-06-300000927628us-gaap:FairValueInputsLevel3Memberus-gaap:FairValueMeasurementsRecurringMemberus-gaap:CommercialMortgageBackedSecuritiesMember2019-07-012019-09-300000927628us-gaap:Fair</w:t>
      </w:r>
      <w:r>
        <w:rPr>
          <w:rFonts w:eastAsia="Times New Roman"/>
          <w:vanish/>
        </w:rPr>
        <w:t>ValueInputsLevel3Memberus-gaap:FairValueMeasurementsRecurringMemberus-gaap:CommercialMortgageBackedSecuritiesMember2019-09-300000927628us-gaap:FairValueInputsLevel3Memberus-gaap:FairValueMeasurementsRecurringMemberus-gaap:AvailableforsaleSecuritiesMember20</w:t>
      </w:r>
      <w:r>
        <w:rPr>
          <w:rFonts w:eastAsia="Times New Roman"/>
          <w:vanish/>
        </w:rPr>
        <w:t>19-06-300000927628us-gaap:FairValueInputsLevel3Memberus-gaap:FairValueMeasurementsRecurringMemberus-gaap:AvailableforsaleSecuritiesMember2019-07-012019-09-300000927628us-gaap:FairValueInputsLevel3Memberus-gaap:FairValueMeasurementsRecurringMemberus-gaap:Av</w:t>
      </w:r>
      <w:r>
        <w:rPr>
          <w:rFonts w:eastAsia="Times New Roman"/>
          <w:vanish/>
        </w:rPr>
        <w:t>ailableforsaleSecuritiesMember2019-09-300000927628us-gaap:FairValueInputsLevel3Memberus-gaap:RetainedInterestMemberus-gaap:FairValueMeasurementsRecurringMember2019-06-300000927628us-gaap:FairValueInputsLevel3Memberus-gaap:RetainedInterestMemberus-gaap:Fair</w:t>
      </w:r>
      <w:r>
        <w:rPr>
          <w:rFonts w:eastAsia="Times New Roman"/>
          <w:vanish/>
        </w:rPr>
        <w:t>ValueMeasurementsRecurringMember2019-07-012019-09-300000927628us-gaap:FairValueInputsLevel3Memberus-gaap:RetainedInterestMemberus-gaap:FairValueMeasurementsRecurringMember2019-09-300000927628us-gaap:FairValueInputsLevel3Memberus-gaap:FairValueMeasurementsR</w:t>
      </w:r>
      <w:r>
        <w:rPr>
          <w:rFonts w:eastAsia="Times New Roman"/>
          <w:vanish/>
        </w:rPr>
        <w:t>ecurringMember2019-06-300000927628us-gaap:FairValueInputsLevel3Memberus-gaap:FairValueMeasurementsRecurringMember2019-07-012019-09-300000927628us-gaap:FairValueInputsLevel3Memberus-gaap:FairValueMeasurementsRecurringMember2019-09-300000927628us-gaap:FairVa</w:t>
      </w:r>
      <w:r>
        <w:rPr>
          <w:rFonts w:eastAsia="Times New Roman"/>
          <w:vanish/>
        </w:rPr>
        <w:t>lueInputsLevel3Membercof:NetDerivativeAssetsLiabilitiesMemberus-gaap:FairValueMeasurementsRecurringMember2019-07-012019-09-300000927628us-gaap:FairValueInputsLevel3Memberus-gaap:ResidentialMortgageBackedSecuritiesMemberus-gaap:FairValueMeasurementsRecurrin</w:t>
      </w:r>
      <w:r>
        <w:rPr>
          <w:rFonts w:eastAsia="Times New Roman"/>
          <w:vanish/>
        </w:rPr>
        <w:t>gMember2018-12-310000927628us-gaap:FairValueInputsLevel3Memberus-gaap:ResidentialMortgageBackedSecuritiesMemberus-gaap:FairValueMeasurementsRecurringMember2019-01-012019-09-300000927628us-gaap:FairValueInputsLevel3Memberus-gaap:FairValueMeasurementsRecurri</w:t>
      </w:r>
      <w:r>
        <w:rPr>
          <w:rFonts w:eastAsia="Times New Roman"/>
          <w:vanish/>
        </w:rPr>
        <w:t>ngMemberus-gaap:CommercialMortgageBackedSecuritiesMember2018-12-310000927628us-gaap:FairValueInputsLevel3Memberus-gaap:FairValueMeasurementsRecurringMemberus-gaap:CommercialMortgageBackedSecuritiesMember2019-01-012019-09-300000927628us-gaap:FairValueInputs</w:t>
      </w:r>
      <w:r>
        <w:rPr>
          <w:rFonts w:eastAsia="Times New Roman"/>
          <w:vanish/>
        </w:rPr>
        <w:t>Level3Memberus-gaap:FairValueMeasurementsRecurringMemberus-gaap:AvailableforsaleSecuritiesMember2018-12-310000927628us-gaap:FairValueInputsLevel3Memberus-gaap:FairValueMeasurementsRecurringMemberus-gaap:AvailableforsaleSecuritiesMember2019-01-012019-09-300</w:t>
      </w:r>
      <w:r>
        <w:rPr>
          <w:rFonts w:eastAsia="Times New Roman"/>
          <w:vanish/>
        </w:rPr>
        <w:t>000927628us-gaap:FairValueInputsLevel3Memberus-gaap:RetainedInterestMemberus-gaap:FairValueMeasurementsRecurringMember2018-12-310000927628us-gaap:FairValueInputsLevel3Memberus-gaap:RetainedInterestMemberus-gaap:FairValueMeasurementsRecurringMember2019-01-0</w:t>
      </w:r>
      <w:r>
        <w:rPr>
          <w:rFonts w:eastAsia="Times New Roman"/>
          <w:vanish/>
        </w:rPr>
        <w:t>12019-09-300000927628us-gaap:FairValueInputsLevel3Memberus-gaap:FairValueMeasurementsRecurringMember2018-12-310000927628us-gaap:FairValueInputsLevel3Memberus-gaap:FairValueMeasurementsRecurringMember2019-01-012019-09-300000927628us-gaap:FairValueInputsLeve</w:t>
      </w:r>
      <w:r>
        <w:rPr>
          <w:rFonts w:eastAsia="Times New Roman"/>
          <w:vanish/>
        </w:rPr>
        <w:t>l3Membercof:NetDerivativeAssetsLiabilitiesMemberus-gaap:FairValueMeasurementsRecurringMember2019-01-012019-09-3000009276282020-01-010000927628us-gaap:FairValueInputsLevel3Memberus-gaap:ResidentialMortgageBackedSecuritiesMembercof:MeasurementInputYieldMembe</w:t>
      </w:r>
      <w:r>
        <w:rPr>
          <w:rFonts w:eastAsia="Times New Roman"/>
          <w:vanish/>
        </w:rPr>
        <w:t>rsrt:MinimumMemberus-gaap:ValuationTechniqueDiscountedCashFlowMemberus-gaap:FairValueMeasurementsRecurringMember2020-09-300000927628us-gaap:FairValueInputsLevel3Memberus-gaap:ResidentialMortgageBackedSecuritiesMembersrt:MaximumMembercof:MeasurementInputYie</w:t>
      </w:r>
      <w:r>
        <w:rPr>
          <w:rFonts w:eastAsia="Times New Roman"/>
          <w:vanish/>
        </w:rPr>
        <w:t>ldMemberus-gaap:ValuationTechniqueDiscountedCashFlowMemberus-gaap:FairValueMeasurementsRecurringMember2020-09-300000927628us-gaap:MeasurementInputConstantPrepaymentRateMemberus-gaap:FairValueInputsLevel3Memberus-gaap:ResidentialMortgageBackedSecuritiesMemb</w:t>
      </w:r>
      <w:r>
        <w:rPr>
          <w:rFonts w:eastAsia="Times New Roman"/>
          <w:vanish/>
        </w:rPr>
        <w:t>ersrt:MinimumMemberus-gaap:ValuationTechniqueDiscountedCashFlowMemberus-gaap:FairValueMeasurementsRecurringMember2020-09-300000927628us-gaap:MeasurementInputConstantPrepaymentRateMemberus-gaap:FairValueInputsLevel3Memberus-gaap:ResidentialMortgageBackedSec</w:t>
      </w:r>
      <w:r>
        <w:rPr>
          <w:rFonts w:eastAsia="Times New Roman"/>
          <w:vanish/>
        </w:rPr>
        <w:t>uritiesMembersrt:MaximumMemberus-gaap:ValuationTechniqueDiscountedCashFlowMemberus-gaap:FairValueMeasurementsRecurringMember2020-09-300000927628us-gaap:FairValueInputsLevel3Memberus-gaap:ResidentialMortgageBackedSecuritiesMemberus-gaap:MeasurementInputDefa</w:t>
      </w:r>
      <w:r>
        <w:rPr>
          <w:rFonts w:eastAsia="Times New Roman"/>
          <w:vanish/>
        </w:rPr>
        <w:t>ultRateMembersrt:MinimumMemberus-gaap:ValuationTechniqueDiscountedCashFlowMemberus-gaap:FairValueMeasurementsRecurringMember2020-09-300000927628us-gaap:FairValueInputsLevel3Memberus-gaap:ResidentialMortgageBackedSecuritiesMembersrt:MaximumMemberus-gaap:Mea</w:t>
      </w:r>
      <w:r>
        <w:rPr>
          <w:rFonts w:eastAsia="Times New Roman"/>
          <w:vanish/>
        </w:rPr>
        <w:t>surementInputDefaultRateMemberus-gaap:ValuationTechniqueDiscountedCashFlowMemberus-gaap:FairValueMeasurementsRecurringMember2020-09-300000927628us-gaap:FairValueInputsLevel3Memberus-gaap:ResidentialMortgageBackedSecuritiesMemberus-gaap:MeasurementInputLoss</w:t>
      </w:r>
      <w:r>
        <w:rPr>
          <w:rFonts w:eastAsia="Times New Roman"/>
          <w:vanish/>
        </w:rPr>
        <w:t>SeverityMembersrt:MinimumMemberus-gaap:ValuationTechniqueDiscountedCashFlowMemberus-gaap:FairValueMeasurementsRecurringMember2020-09-300000927628us-gaap:FairValueInputsLevel3Memberus-gaap:ResidentialMortgageBackedSecuritiesMembersrt:MaximumMemberus-gaap:Me</w:t>
      </w:r>
      <w:r>
        <w:rPr>
          <w:rFonts w:eastAsia="Times New Roman"/>
          <w:vanish/>
        </w:rPr>
        <w:t>asurementInputLossSeverityMemberus-gaap:ValuationTechniqueDiscountedCashFlowMemberus-gaap:FairValueMeasurementsRecurringMember2020-09-300000927628us-gaap:FairValueInputsLevel3Memberus-gaap:ResidentialMortgageBackedSecuritiesMembercof:MeasurementInputYieldM</w:t>
      </w:r>
      <w:r>
        <w:rPr>
          <w:rFonts w:eastAsia="Times New Roman"/>
          <w:vanish/>
        </w:rPr>
        <w:t>emberus-gaap:ValuationTechniqueDiscountedCashFlowMemberus-gaap:FairValueMeasurementsRecurringMembersrt:WeightedAverageMember2020-09-300000927628us-gaap:MeasurementInputConstantPrepaymentRateMemberus-gaap:FairValueInputsLevel3Memberus-gaap:ResidentialMortga</w:t>
      </w:r>
      <w:r>
        <w:rPr>
          <w:rFonts w:eastAsia="Times New Roman"/>
          <w:vanish/>
        </w:rPr>
        <w:t>geBackedSecuritiesMemberus-gaap:ValuationTechniqueDiscountedCashFlowMemberus-gaap:FairValueMeasurementsRecurringMembersrt:WeightedAverageMember2020-09-300000927628us-gaap:FairValueInputsLevel3Memberus-gaap:ResidentialMortgageBackedSecuritiesMemberus-gaap:M</w:t>
      </w:r>
      <w:r>
        <w:rPr>
          <w:rFonts w:eastAsia="Times New Roman"/>
          <w:vanish/>
        </w:rPr>
        <w:t>easurementInputDefaultRateMemberus-gaap:ValuationTechniqueDiscountedCashFlowMemberus-gaap:FairValueMeasurementsRecurringMembersrt:WeightedAverageMember2020-09-300000927628us-gaap:FairValueInputsLevel3Memberus-gaap:ResidentialMortgageBackedSecuritiesMemberu</w:t>
      </w:r>
      <w:r>
        <w:rPr>
          <w:rFonts w:eastAsia="Times New Roman"/>
          <w:vanish/>
        </w:rPr>
        <w:t>s-gaap:MeasurementInputLossSeverityMemberus-gaap:ValuationTechniqueDiscountedCashFlowMemberus-gaap:FairValueMeasurementsRecurringMembersrt:WeightedAverageMember2020-09-300000927628us-gaap:FairValueInputsLevel3Membercof:MeasurementInputYieldMembersrt:Minimu</w:t>
      </w:r>
      <w:r>
        <w:rPr>
          <w:rFonts w:eastAsia="Times New Roman"/>
          <w:vanish/>
        </w:rPr>
        <w:t>mMemberus-gaap:ValuationTechniqueDiscountedCashFlowMemberus-gaap:FairValueMeasurementsRecurringMemberus-gaap:CommercialMortgageBackedSecuritiesMember2020-09-300000927628us-gaap:FairValueInputsLevel3Membersrt:MaximumMembercof:MeasurementInputYieldMemberus-g</w:t>
      </w:r>
      <w:r>
        <w:rPr>
          <w:rFonts w:eastAsia="Times New Roman"/>
          <w:vanish/>
        </w:rPr>
        <w:t>aap:ValuationTechniqueDiscountedCashFlowMemberus-gaap:FairValueMeasurementsRecurringMemberus-gaap:CommercialMortgageBackedSecuritiesMember2020-09-300000927628us-gaap:FairValueInputsLevel3Membercof:MeasurementInputYieldMemberus-gaap:ValuationTechniqueDiscou</w:t>
      </w:r>
      <w:r>
        <w:rPr>
          <w:rFonts w:eastAsia="Times New Roman"/>
          <w:vanish/>
        </w:rPr>
        <w:t>ntedCashFlowMemberus-gaap:FairValueMeasurementsRecurringMembersrt:WeightedAverageMemberus-gaap:CommercialMortgageBackedSecuritiesMember2020-09-300000927628us-gaap:FairValueInputsLevel3Membercof:MeasurementInputLifeofReceivablesMembersrt:MinimumMemberus-gaa</w:t>
      </w:r>
      <w:r>
        <w:rPr>
          <w:rFonts w:eastAsia="Times New Roman"/>
          <w:vanish/>
        </w:rPr>
        <w:t>p:ValuationTechniqueDiscountedCashFlowMemberus-gaap:FairValueMeasurementsRecurringMember2020-09-302020-09-300000927628us-gaap:FairValueInputsLevel3Membersrt:MaximumMembercof:MeasurementInputLifeofReceivablesMemberus-gaap:ValuationTechniqueDiscountedCashFlo</w:t>
      </w:r>
      <w:r>
        <w:rPr>
          <w:rFonts w:eastAsia="Times New Roman"/>
          <w:vanish/>
        </w:rPr>
        <w:t>wMemberus-gaap:FairValueMeasurementsRecurringMember2020-09-302020-09-300000927628us-gaap:MeasurementInputConstantPrepaymentRateMemberus-gaap:FairValueInputsLevel3Membersrt:MinimumMemberus-gaap:ValuationTechniqueDiscountedCashFlowMemberus-gaap:FairValueMeas</w:t>
      </w:r>
      <w:r>
        <w:rPr>
          <w:rFonts w:eastAsia="Times New Roman"/>
          <w:vanish/>
        </w:rPr>
        <w:t>urementsRecurringMember2020-09-300000927628us-gaap:MeasurementInputConstantPrepaymentRateMemberus-gaap:FairValueInputsLevel3Membersrt:MaximumMemberus-gaap:ValuationTechniqueDiscountedCashFlowMemberus-gaap:FairValueMeasurementsRecurringMember2020-09-3000009</w:t>
      </w:r>
      <w:r>
        <w:rPr>
          <w:rFonts w:eastAsia="Times New Roman"/>
          <w:vanish/>
        </w:rPr>
        <w:t>27628us-gaap:FairValueInputsLevel3Memberus-gaap:MeasurementInputDiscountRateMembersrt:MinimumMemberus-gaap:ValuationTechniqueDiscountedCashFlowMemberus-gaap:FairValueMeasurementsRecurringMember2020-09-300000927628us-gaap:FairValueInputsLevel3Memberus-gaap:</w:t>
      </w:r>
      <w:r>
        <w:rPr>
          <w:rFonts w:eastAsia="Times New Roman"/>
          <w:vanish/>
        </w:rPr>
        <w:t>MeasurementInputDiscountRateMembersrt:MaximumMemberus-gaap:ValuationTechniqueDiscountedCashFlowMemberus-gaap:FairValueMeasurementsRecurringMember2020-09-300000927628us-gaap:FairValueInputsLevel3Membersrt:MaximumMemberus-gaap:MeasurementInputDefaultRateMemb</w:t>
      </w:r>
      <w:r>
        <w:rPr>
          <w:rFonts w:eastAsia="Times New Roman"/>
          <w:vanish/>
        </w:rPr>
        <w:t>erus-gaap:ValuationTechniqueDiscountedCashFlowMemberus-gaap:FairValueMeasurementsRecurringMember2020-09-300000927628us-gaap:FairValueInputsLevel3Memberus-gaap:MeasurementInputDefaultRateMembersrt:MinimumMemberus-gaap:ValuationTechniqueDiscountedCashFlowMem</w:t>
      </w:r>
      <w:r>
        <w:rPr>
          <w:rFonts w:eastAsia="Times New Roman"/>
          <w:vanish/>
        </w:rPr>
        <w:t>berus-gaap:FairValueMeasurementsRecurringMember2020-09-300000927628us-gaap:FairValueInputsLevel3Memberus-gaap:MeasurementInputLossSeverityMembersrt:MinimumMemberus-gaap:ValuationTechniqueDiscountedCashFlowMemberus-gaap:FairValueMeasurementsRecurringMember2</w:t>
      </w:r>
      <w:r>
        <w:rPr>
          <w:rFonts w:eastAsia="Times New Roman"/>
          <w:vanish/>
        </w:rPr>
        <w:t>020-09-300000927628us-gaap:FairValueInputsLevel3Membersrt:MaximumMemberus-gaap:MeasurementInputLossSeverityMemberus-gaap:ValuationTechniqueDiscountedCashFlowMemberus-gaap:FairValueMeasurementsRecurringMember2020-09-300000927628us-gaap:FairValueInputsLevel3</w:t>
      </w:r>
      <w:r>
        <w:rPr>
          <w:rFonts w:eastAsia="Times New Roman"/>
          <w:vanish/>
        </w:rPr>
        <w:t>Membersrt:MaximumMembercof:MeasurementInputSwapRatesMemberus-gaap:ValuationTechniqueDiscountedCashFlowMemberus-gaap:FairValueMeasurementsRecurringMember2020-09-300000927628us-gaap:FairValueInputsLevel3Membercof:MeasurementInputSwapRatesMembersrt:MinimumMem</w:t>
      </w:r>
      <w:r>
        <w:rPr>
          <w:rFonts w:eastAsia="Times New Roman"/>
          <w:vanish/>
        </w:rPr>
        <w:t>berus-gaap:ValuationTechniqueDiscountedCashFlowMemberus-gaap:FairValueMeasurementsRecurringMember2020-09-300000927628us-gaap:FairValueInputsLevel3Membercof:MeasurementInputSwapRatesMemberus-gaap:ValuationTechniqueDiscountedCashFlowMemberus-gaap:FairValueMe</w:t>
      </w:r>
      <w:r>
        <w:rPr>
          <w:rFonts w:eastAsia="Times New Roman"/>
          <w:vanish/>
        </w:rPr>
        <w:t>asurementsRecurringMembersrt:WeightedAverageMember2020-09-300000927628us-gaap:FairValueInputsLevel3Memberus-gaap:ResidentialMortgageBackedSecuritiesMembercof:MeasurementInputYieldMembersrt:MinimumMemberus-gaap:ValuationTechniqueDiscountedCashFlowMemberus-g</w:t>
      </w:r>
      <w:r>
        <w:rPr>
          <w:rFonts w:eastAsia="Times New Roman"/>
          <w:vanish/>
        </w:rPr>
        <w:t>aap:FairValueMeasurementsRecurringMember2019-12-310000927628us-gaap:FairValueInputsLevel3Memberus-gaap:ResidentialMortgageBackedSecuritiesMembersrt:MaximumMembercof:MeasurementInputYieldMemberus-gaap:ValuationTechniqueDiscountedCashFlowMemberus-gaap:FairVa</w:t>
      </w:r>
      <w:r>
        <w:rPr>
          <w:rFonts w:eastAsia="Times New Roman"/>
          <w:vanish/>
        </w:rPr>
        <w:t>lueMeasurementsRecurringMember2019-12-310000927628us-gaap:MeasurementInputConstantPrepaymentRateMemberus-gaap:FairValueInputsLevel3Memberus-gaap:ResidentialMortgageBackedSecuritiesMembersrt:MinimumMemberus-gaap:ValuationTechniqueDiscountedCashFlowMemberus-</w:t>
      </w:r>
      <w:r>
        <w:rPr>
          <w:rFonts w:eastAsia="Times New Roman"/>
          <w:vanish/>
        </w:rPr>
        <w:t>gaap:FairValueMeasurementsRecurringMember2019-12-310000927628us-gaap:MeasurementInputConstantPrepaymentRateMemberus-gaap:FairValueInputsLevel3Memberus-gaap:ResidentialMortgageBackedSecuritiesMembersrt:MaximumMemberus-gaap:ValuationTechniqueDiscountedCashFl</w:t>
      </w:r>
      <w:r>
        <w:rPr>
          <w:rFonts w:eastAsia="Times New Roman"/>
          <w:vanish/>
        </w:rPr>
        <w:t>owMemberus-gaap:FairValueMeasurementsRecurringMember2019-12-310000927628us-gaap:FairValueInputsLevel3Memberus-gaap:ResidentialMortgageBackedSecuritiesMemberus-gaap:MeasurementInputDefaultRateMembersrt:MinimumMemberus-gaap:ValuationTechniqueDiscountedCashFl</w:t>
      </w:r>
      <w:r>
        <w:rPr>
          <w:rFonts w:eastAsia="Times New Roman"/>
          <w:vanish/>
        </w:rPr>
        <w:t>owMemberus-gaap:FairValueMeasurementsRecurringMember2019-12-310000927628us-gaap:FairValueInputsLevel3Memberus-gaap:ResidentialMortgageBackedSecuritiesMembersrt:MaximumMemberus-gaap:MeasurementInputDefaultRateMemberus-gaap:ValuationTechniqueDiscountedCashFl</w:t>
      </w:r>
      <w:r>
        <w:rPr>
          <w:rFonts w:eastAsia="Times New Roman"/>
          <w:vanish/>
        </w:rPr>
        <w:t>owMemberus-gaap:FairValueMeasurementsRecurringMember2019-12-310000927628us-gaap:FairValueInputsLevel3Memberus-gaap:ResidentialMortgageBackedSecuritiesMemberus-gaap:MeasurementInputLossSeverityMembersrt:MinimumMemberus-gaap:ValuationTechniqueDiscountedCashF</w:t>
      </w:r>
      <w:r>
        <w:rPr>
          <w:rFonts w:eastAsia="Times New Roman"/>
          <w:vanish/>
        </w:rPr>
        <w:t>lowMemberus-gaap:FairValueMeasurementsRecurringMember2019-12-310000927628us-gaap:FairValueInputsLevel3Memberus-gaap:ResidentialMortgageBackedSecuritiesMembersrt:MaximumMemberus-gaap:MeasurementInputLossSeverityMemberus-gaap:ValuationTechniqueDiscountedCash</w:t>
      </w:r>
      <w:r>
        <w:rPr>
          <w:rFonts w:eastAsia="Times New Roman"/>
          <w:vanish/>
        </w:rPr>
        <w:t>FlowMemberus-gaap:FairValueMeasurementsRecurringMember2019-12-310000927628us-gaap:FairValueInputsLevel3Memberus-gaap:ResidentialMortgageBackedSecuritiesMembercof:MeasurementInputYieldMemberus-gaap:ValuationTechniqueDiscountedCashFlowMemberus-gaap:FairValue</w:t>
      </w:r>
      <w:r>
        <w:rPr>
          <w:rFonts w:eastAsia="Times New Roman"/>
          <w:vanish/>
        </w:rPr>
        <w:t>MeasurementsRecurringMembersrt:WeightedAverageMember2019-12-310000927628us-gaap:MeasurementInputConstantPrepaymentRateMemberus-gaap:FairValueInputsLevel3Memberus-gaap:ResidentialMortgageBackedSecuritiesMemberus-gaap:ValuationTechniqueDiscountedCashFlowMemb</w:t>
      </w:r>
      <w:r>
        <w:rPr>
          <w:rFonts w:eastAsia="Times New Roman"/>
          <w:vanish/>
        </w:rPr>
        <w:t>erus-gaap:FairValueMeasurementsRecurringMembersrt:WeightedAverageMember2019-12-310000927628us-gaap:FairValueInputsLevel3Memberus-gaap:ResidentialMortgageBackedSecuritiesMemberus-gaap:MeasurementInputDefaultRateMemberus-gaap:ValuationTechniqueDiscountedCash</w:t>
      </w:r>
      <w:r>
        <w:rPr>
          <w:rFonts w:eastAsia="Times New Roman"/>
          <w:vanish/>
        </w:rPr>
        <w:t>FlowMemberus-gaap:FairValueMeasurementsRecurringMembersrt:WeightedAverageMember2019-12-310000927628us-gaap:FairValueInputsLevel3Memberus-gaap:ResidentialMortgageBackedSecuritiesMemberus-gaap:MeasurementInputLossSeverityMemberus-gaap:ValuationTechniqueDisco</w:t>
      </w:r>
      <w:r>
        <w:rPr>
          <w:rFonts w:eastAsia="Times New Roman"/>
          <w:vanish/>
        </w:rPr>
        <w:t>untedCashFlowMemberus-gaap:FairValueMeasurementsRecurringMembersrt:WeightedAverageMember2019-12-310000927628us-gaap:FairValueInputsLevel3Membercof:MeasurementInputYieldMembersrt:MinimumMemberus-gaap:ValuationTechniqueDiscountedCashFlowMemberus-gaap:FairVal</w:t>
      </w:r>
      <w:r>
        <w:rPr>
          <w:rFonts w:eastAsia="Times New Roman"/>
          <w:vanish/>
        </w:rPr>
        <w:t>ueMeasurementsRecurringMemberus-gaap:CommercialMortgageBackedSecuritiesMember2019-12-310000927628us-gaap:FairValueInputsLevel3Membersrt:MaximumMembercof:MeasurementInputYieldMemberus-gaap:ValuationTechniqueDiscountedCashFlowMemberus-gaap:FairValueMeasureme</w:t>
      </w:r>
      <w:r>
        <w:rPr>
          <w:rFonts w:eastAsia="Times New Roman"/>
          <w:vanish/>
        </w:rPr>
        <w:t>ntsRecurringMemberus-gaap:CommercialMortgageBackedSecuritiesMember2019-12-310000927628us-gaap:FairValueInputsLevel3Membercof:MeasurementInputYieldMemberus-gaap:ValuationTechniqueDiscountedCashFlowMemberus-gaap:FairValueMeasurementsRecurringMembersrt:Weight</w:t>
      </w:r>
      <w:r>
        <w:rPr>
          <w:rFonts w:eastAsia="Times New Roman"/>
          <w:vanish/>
        </w:rPr>
        <w:t>edAverageMemberus-gaap:CommercialMortgageBackedSecuritiesMember2019-12-310000927628us-gaap:FairValueInputsLevel3Membercof:MeasurementInputLifeofReceivablesMembersrt:MinimumMemberus-gaap:ValuationTechniqueDiscountedCashFlowMemberus-gaap:FairValueMeasurement</w:t>
      </w:r>
      <w:r>
        <w:rPr>
          <w:rFonts w:eastAsia="Times New Roman"/>
          <w:vanish/>
        </w:rPr>
        <w:t>sRecurringMember2019-12-312019-12-310000927628us-gaap:FairValueInputsLevel3Membersrt:MaximumMembercof:MeasurementInputLifeofReceivablesMemberus-gaap:ValuationTechniqueDiscountedCashFlowMemberus-gaap:FairValueMeasurementsRecurringMember2019-12-312019-12-310</w:t>
      </w:r>
      <w:r>
        <w:rPr>
          <w:rFonts w:eastAsia="Times New Roman"/>
          <w:vanish/>
        </w:rPr>
        <w:t>000927628us-gaap:MeasurementInputConstantPrepaymentRateMemberus-gaap:FairValueInputsLevel3Membersrt:MinimumMemberus-gaap:ValuationTechniqueDiscountedCashFlowMemberus-gaap:FairValueMeasurementsRecurringMember2019-12-310000927628us-gaap:MeasurementInputConst</w:t>
      </w:r>
      <w:r>
        <w:rPr>
          <w:rFonts w:eastAsia="Times New Roman"/>
          <w:vanish/>
        </w:rPr>
        <w:t>antPrepaymentRateMemberus-gaap:FairValueInputsLevel3Membersrt:MaximumMemberus-gaap:ValuationTechniqueDiscountedCashFlowMemberus-gaap:FairValueMeasurementsRecurringMember2019-12-310000927628us-gaap:FairValueInputsLevel3Memberus-gaap:MeasurementInputDiscount</w:t>
      </w:r>
      <w:r>
        <w:rPr>
          <w:rFonts w:eastAsia="Times New Roman"/>
          <w:vanish/>
        </w:rPr>
        <w:t>RateMembersrt:MinimumMemberus-gaap:ValuationTechniqueDiscountedCashFlowMemberus-gaap:FairValueMeasurementsRecurringMember2019-12-310000927628us-gaap:FairValueInputsLevel3Memberus-gaap:MeasurementInputDiscountRateMembersrt:MaximumMemberus-gaap:ValuationTech</w:t>
      </w:r>
      <w:r>
        <w:rPr>
          <w:rFonts w:eastAsia="Times New Roman"/>
          <w:vanish/>
        </w:rPr>
        <w:t>niqueDiscountedCashFlowMemberus-gaap:FairValueMeasurementsRecurringMember2019-12-310000927628us-gaap:FairValueInputsLevel3Memberus-gaap:MeasurementInputDefaultRateMembersrt:MinimumMemberus-gaap:ValuationTechniqueDiscountedCashFlowMemberus-gaap:FairValueMea</w:t>
      </w:r>
      <w:r>
        <w:rPr>
          <w:rFonts w:eastAsia="Times New Roman"/>
          <w:vanish/>
        </w:rPr>
        <w:t>surementsRecurringMember2019-12-310000927628us-gaap:FairValueInputsLevel3Membersrt:MaximumMemberus-gaap:MeasurementInputDefaultRateMemberus-gaap:ValuationTechniqueDiscountedCashFlowMemberus-gaap:FairValueMeasurementsRecurringMember2019-12-310000927628us-ga</w:t>
      </w:r>
      <w:r>
        <w:rPr>
          <w:rFonts w:eastAsia="Times New Roman"/>
          <w:vanish/>
        </w:rPr>
        <w:t>ap:FairValueInputsLevel3Memberus-gaap:MeasurementInputLossSeverityMembersrt:MinimumMemberus-gaap:ValuationTechniqueDiscountedCashFlowMemberus-gaap:FairValueMeasurementsRecurringMember2019-12-310000927628us-gaap:FairValueInputsLevel3Membersrt:MaximumMemberu</w:t>
      </w:r>
      <w:r>
        <w:rPr>
          <w:rFonts w:eastAsia="Times New Roman"/>
          <w:vanish/>
        </w:rPr>
        <w:t>s-gaap:MeasurementInputLossSeverityMemberus-gaap:ValuationTechniqueDiscountedCashFlowMemberus-gaap:FairValueMeasurementsRecurringMember2019-12-310000927628us-gaap:FairValueInputsLevel3Membersrt:MaximumMembercof:MeasurementInputSwapRatesMemberus-gaap:Valuat</w:t>
      </w:r>
      <w:r>
        <w:rPr>
          <w:rFonts w:eastAsia="Times New Roman"/>
          <w:vanish/>
        </w:rPr>
        <w:t>ionTechniqueDiscountedCashFlowMemberus-gaap:FairValueMeasurementsRecurringMember2019-12-310000927628us-gaap:FairValueInputsLevel3Membercof:MeasurementInputSwapRatesMembersrt:MinimumMemberus-gaap:ValuationTechniqueDiscountedCashFlowMemberus-gaap:FairValueMe</w:t>
      </w:r>
      <w:r>
        <w:rPr>
          <w:rFonts w:eastAsia="Times New Roman"/>
          <w:vanish/>
        </w:rPr>
        <w:t>asurementsRecurringMember2019-12-310000927628us-gaap:FairValueInputsLevel3Membercof:MeasurementInputSwapRatesMemberus-gaap:ValuationTechniqueDiscountedCashFlowMemberus-gaap:FairValueMeasurementsRecurringMembersrt:WeightedAverageMember2019-12-310000927628us</w:t>
      </w:r>
      <w:r>
        <w:rPr>
          <w:rFonts w:eastAsia="Times New Roman"/>
          <w:vanish/>
        </w:rPr>
        <w:t>-gaap:FairValueInputsLevel2Memberus-gaap:FairValueMeasurementsNonrecurringMember2020-09-300000927628us-gaap:FairValueInputsLevel3Memberus-gaap:FairValueMeasurementsNonrecurringMember2020-09-300000927628us-gaap:FairValueMeasurementsNonrecurringMember2020-09</w:t>
      </w:r>
      <w:r>
        <w:rPr>
          <w:rFonts w:eastAsia="Times New Roman"/>
          <w:vanish/>
        </w:rPr>
        <w:t>-300000927628us-gaap:FairValueInputsLevel2Memberus-gaap:FairValueMeasurementsNonrecurringMember2019-12-310000927628us-gaap:FairValueInputsLevel3Memberus-gaap:FairValueMeasurementsNonrecurringMember2019-12-310000927628us-gaap:FairValueMeasurementsNonrecurri</w:t>
      </w:r>
      <w:r>
        <w:rPr>
          <w:rFonts w:eastAsia="Times New Roman"/>
          <w:vanish/>
        </w:rPr>
        <w:t>ngMember2019-12-310000927628us-gaap:FairValueInputsLevel3Membercof:NonRecoverableRateMembercof:AppraisalValueMembersrt:MinimumMember2020-09-300000927628us-gaap:FairValueInputsLevel3Membersrt:MaximumMembercof:NonRecoverableRateMembercof:AppraisalValueMember</w:t>
      </w:r>
      <w:r>
        <w:rPr>
          <w:rFonts w:eastAsia="Times New Roman"/>
          <w:vanish/>
        </w:rPr>
        <w:t>2020-09-300000927628us-gaap:FairValueInputsLevel3Membercof:NonRecoverableRateMembercof:AppraisalValueMembersrt:WeightedAverageMember2020-09-300000927628us-gaap:FairValueInputsLevel3Membercof:NonRecoverableRateMembercof:AppraisalValueMembersrt:MinimumMember</w:t>
      </w:r>
      <w:r>
        <w:rPr>
          <w:rFonts w:eastAsia="Times New Roman"/>
          <w:vanish/>
        </w:rPr>
        <w:t>2019-12-310000927628us-gaap:FairValueInputsLevel3Membersrt:MaximumMembercof:NonRecoverableRateMembercof:AppraisalValueMember2019-12-310000927628us-gaap:FairValueInputsLevel3Membercof:NonRecoverableRateMembercof:AppraisalValueMembersrt:WeightedAverageMember</w:t>
      </w:r>
      <w:r>
        <w:rPr>
          <w:rFonts w:eastAsia="Times New Roman"/>
          <w:vanish/>
        </w:rPr>
        <w:t>2019-12-310000927628us-gaap:FairValueMeasurementsNonrecurringMember2020-01-012020-09-300000927628us-gaap:FairValueMeasurementsNonrecurringMember2019-01-012019-09-300000927628us-gaap:CarryingReportedAmountFairValueDisclosureMember2020-09-300000927628us-gaap</w:t>
      </w:r>
      <w:r>
        <w:rPr>
          <w:rFonts w:eastAsia="Times New Roman"/>
          <w:vanish/>
        </w:rPr>
        <w:t>:EstimateOfFairValueFairValueDisclosureMember2020-09-300000927628us-gaap:FairValueInputsLevel1Member2020-09-300000927628us-gaap:FairValueInputsLevel2Member2020-09-300000927628us-gaap:FairValueInputsLevel3Member2020-09-300000927628us-gaap:CarryingReportedAm</w:t>
      </w:r>
      <w:r>
        <w:rPr>
          <w:rFonts w:eastAsia="Times New Roman"/>
          <w:vanish/>
        </w:rPr>
        <w:t>ountFairValueDisclosureMember2019-12-310000927628us-gaap:EstimateOfFairValueFairValueDisclosureMember2019-12-310000927628us-gaap:FairValueInputsLevel1Member2019-12-310000927628us-gaap:FairValueInputsLevel2Member2019-12-310000927628us-gaap:FairValueInputsLe</w:t>
      </w:r>
      <w:r>
        <w:rPr>
          <w:rFonts w:eastAsia="Times New Roman"/>
          <w:vanish/>
        </w:rPr>
        <w:t>vel3Member2019-12-310000927628us-gaap:OperatingSegmentsMemberus-gaap:CreditCardMember2020-07-012020-09-300000927628us-gaap:OperatingSegmentsMembercof:ConsumerBankingMember2020-07-012020-09-300000927628us-gaap:OperatingSegmentsMembercof:CommercialBankingMem</w:t>
      </w:r>
      <w:r>
        <w:rPr>
          <w:rFonts w:eastAsia="Times New Roman"/>
          <w:vanish/>
        </w:rPr>
        <w:t>ber2020-07-012020-09-300000927628us-gaap:CorporateNonSegmentMember2020-07-012020-09-300000927628us-gaap:OperatingSegmentsMemberus-gaap:CreditCardMember2020-09-300000927628us-gaap:OperatingSegmentsMembercof:ConsumerBankingMember2020-09-300000927628us-gaap:O</w:t>
      </w:r>
      <w:r>
        <w:rPr>
          <w:rFonts w:eastAsia="Times New Roman"/>
          <w:vanish/>
        </w:rPr>
        <w:t>peratingSegmentsMembercof:CommercialBankingMember2020-09-300000927628us-gaap:CorporateNonSegmentMember2020-09-300000927628us-gaap:OperatingSegmentsMemberus-gaap:CreditCardMember2020-01-012020-09-300000927628us-gaap:OperatingSegmentsMembercof:ConsumerBankin</w:t>
      </w:r>
      <w:r>
        <w:rPr>
          <w:rFonts w:eastAsia="Times New Roman"/>
          <w:vanish/>
        </w:rPr>
        <w:t>gMember2020-01-012020-09-300000927628us-gaap:OperatingSegmentsMembercof:CommercialBankingMember2020-01-012020-09-300000927628us-gaap:CorporateNonSegmentMember2020-01-012020-09-300000927628us-gaap:OperatingSegmentsMemberus-gaap:CreditCardMember2019-07-01201</w:t>
      </w:r>
      <w:r>
        <w:rPr>
          <w:rFonts w:eastAsia="Times New Roman"/>
          <w:vanish/>
        </w:rPr>
        <w:t>9-09-300000927628us-gaap:OperatingSegmentsMembercof:ConsumerBankingMember2019-07-012019-09-300000927628us-gaap:OperatingSegmentsMembercof:CommercialBankingMember2019-07-012019-09-300000927628us-gaap:CorporateNonSegmentMember2019-07-012019-09-300000927628us</w:t>
      </w:r>
      <w:r>
        <w:rPr>
          <w:rFonts w:eastAsia="Times New Roman"/>
          <w:vanish/>
        </w:rPr>
        <w:t>-gaap:OperatingSegmentsMemberus-gaap:CreditCardMember2019-09-300000927628us-gaap:OperatingSegmentsMembercof:ConsumerBankingMember2019-09-300000927628us-gaap:OperatingSegmentsMembercof:CommercialBankingMember2019-09-300000927628us-gaap:CorporateNonSegmentMe</w:t>
      </w:r>
      <w:r>
        <w:rPr>
          <w:rFonts w:eastAsia="Times New Roman"/>
          <w:vanish/>
        </w:rPr>
        <w:t>mber2019-09-300000927628us-gaap:OperatingSegmentsMemberus-gaap:CreditCardMember2019-01-012019-09-300000927628us-gaap:OperatingSegmentsMembercof:ConsumerBankingMember2019-01-012019-09-300000927628us-gaap:OperatingSegmentsMembercof:CommercialBankingMember201</w:t>
      </w:r>
      <w:r>
        <w:rPr>
          <w:rFonts w:eastAsia="Times New Roman"/>
          <w:vanish/>
        </w:rPr>
        <w:t>9-01-012019-09-300000927628us-gaap:CorporateNonSegmentMember2019-01-012019-09-300000927628us-gaap:OperatingSegmentsMembercof:InterchangeFeesContractsMemberus-gaap:CreditCardMember2020-07-012020-09-300000927628us-gaap:OperatingSegmentsMembercof:InterchangeF</w:t>
      </w:r>
      <w:r>
        <w:rPr>
          <w:rFonts w:eastAsia="Times New Roman"/>
          <w:vanish/>
        </w:rPr>
        <w:t>eesContractsMembercof:ConsumerBankingMember2020-07-012020-09-300000927628us-gaap:OperatingSegmentsMembercof:CommercialBankingMembercof:InterchangeFeesContractsMember2020-07-012020-09-300000927628cof:InterchangeFeesContractsMemberus-gaap:CorporateNonSegment</w:t>
      </w:r>
      <w:r>
        <w:rPr>
          <w:rFonts w:eastAsia="Times New Roman"/>
          <w:vanish/>
        </w:rPr>
        <w:t>Member2020-07-012020-09-300000927628cof:InterchangeFeesContractsMember2020-07-012020-09-300000927628us-gaap:OperatingSegmentsMemberus-gaap:CreditCardMembercof:ServiceChargesAndOtherCustomerFeesContractsMember2020-07-012020-09-300000927628us-gaap:OperatingS</w:t>
      </w:r>
      <w:r>
        <w:rPr>
          <w:rFonts w:eastAsia="Times New Roman"/>
          <w:vanish/>
        </w:rPr>
        <w:t>egmentsMembercof:ConsumerBankingMembercof:ServiceChargesAndOtherCustomerFeesContractsMember2020-07-012020-09-300000927628us-gaap:OperatingSegmentsMembercof:CommercialBankingMembercof:ServiceChargesAndOtherCustomerFeesContractsMember2020-07-012020-09-300000</w:t>
      </w:r>
      <w:r>
        <w:rPr>
          <w:rFonts w:eastAsia="Times New Roman"/>
          <w:vanish/>
        </w:rPr>
        <w:t>927628us-gaap:CorporateNonSegmentMembercof:ServiceChargesAndOtherCustomerFeesContractsMember2020-07-012020-09-300000927628cof:ServiceChargesAndOtherCustomerFeesContractsMember2020-07-012020-09-300000927628us-gaap:OperatingSegmentsMembercof:OtherContractRev</w:t>
      </w:r>
      <w:r>
        <w:rPr>
          <w:rFonts w:eastAsia="Times New Roman"/>
          <w:vanish/>
        </w:rPr>
        <w:t>enueMemberus-gaap:CreditCardMember2020-07-012020-09-300000927628us-gaap:OperatingSegmentsMembercof:OtherContractRevenueMembercof:ConsumerBankingMember2020-07-012020-09-300000927628us-gaap:OperatingSegmentsMembercof:CommercialBankingMembercof:OtherContractR</w:t>
      </w:r>
      <w:r>
        <w:rPr>
          <w:rFonts w:eastAsia="Times New Roman"/>
          <w:vanish/>
        </w:rPr>
        <w:t>evenueMember2020-07-012020-09-300000927628cof:OtherContractRevenueMemberus-gaap:CorporateNonSegmentMember2020-07-012020-09-300000927628cof:OtherContractRevenueMember2020-07-012020-09-300000927628us-gaap:OperatingSegmentsMembercof:InterchangeFeesContractsMe</w:t>
      </w:r>
      <w:r>
        <w:rPr>
          <w:rFonts w:eastAsia="Times New Roman"/>
          <w:vanish/>
        </w:rPr>
        <w:t>mberus-gaap:CreditCardMember2020-01-012020-09-300000927628us-gaap:OperatingSegmentsMembercof:InterchangeFeesContractsMembercof:ConsumerBankingMember2020-01-012020-09-300000927628us-gaap:OperatingSegmentsMembercof:CommercialBankingMembercof:InterchangeFeesC</w:t>
      </w:r>
      <w:r>
        <w:rPr>
          <w:rFonts w:eastAsia="Times New Roman"/>
          <w:vanish/>
        </w:rPr>
        <w:t>ontractsMember2020-01-012020-09-300000927628cof:InterchangeFeesContractsMemberus-gaap:CorporateNonSegmentMember2020-01-012020-09-300000927628cof:InterchangeFeesContractsMember2020-01-012020-09-300000927628us-gaap:OperatingSegmentsMemberus-gaap:CreditCardMe</w:t>
      </w:r>
      <w:r>
        <w:rPr>
          <w:rFonts w:eastAsia="Times New Roman"/>
          <w:vanish/>
        </w:rPr>
        <w:t>mbercof:ServiceChargesAndOtherCustomerFeesContractsMember2020-01-012020-09-300000927628us-gaap:OperatingSegmentsMembercof:ConsumerBankingMembercof:ServiceChargesAndOtherCustomerFeesContractsMember2020-01-012020-09-300000927628us-gaap:OperatingSegmentsMembe</w:t>
      </w:r>
      <w:r>
        <w:rPr>
          <w:rFonts w:eastAsia="Times New Roman"/>
          <w:vanish/>
        </w:rPr>
        <w:t>rcof:CommercialBankingMembercof:ServiceChargesAndOtherCustomerFeesContractsMember2020-01-012020-09-300000927628us-gaap:CorporateNonSegmentMembercof:ServiceChargesAndOtherCustomerFeesContractsMember2020-01-012020-09-300000927628cof:ServiceChargesAndOtherCus</w:t>
      </w:r>
      <w:r>
        <w:rPr>
          <w:rFonts w:eastAsia="Times New Roman"/>
          <w:vanish/>
        </w:rPr>
        <w:t>tomerFeesContractsMember2020-01-012020-09-300000927628us-gaap:OperatingSegmentsMembercof:OtherContractRevenueMemberus-gaap:CreditCardMember2020-01-012020-09-300000927628us-gaap:OperatingSegmentsMembercof:OtherContractRevenueMembercof:ConsumerBankingMember2</w:t>
      </w:r>
      <w:r>
        <w:rPr>
          <w:rFonts w:eastAsia="Times New Roman"/>
          <w:vanish/>
        </w:rPr>
        <w:t>020-01-012020-09-300000927628us-gaap:OperatingSegmentsMembercof:CommercialBankingMembercof:OtherContractRevenueMember2020-01-012020-09-300000927628cof:OtherContractRevenueMemberus-gaap:CorporateNonSegmentMember2020-01-012020-09-300000927628cof:OtherContrac</w:t>
      </w:r>
      <w:r>
        <w:rPr>
          <w:rFonts w:eastAsia="Times New Roman"/>
          <w:vanish/>
        </w:rPr>
        <w:t>tRevenueMember2020-01-012020-09-300000927628us-gaap:OperatingSegmentsMembercof:InterchangeFeesContractsMemberus-gaap:CreditCardMember2019-07-012019-09-300000927628us-gaap:OperatingSegmentsMembercof:InterchangeFeesContractsMembercof:ConsumerBankingMember201</w:t>
      </w:r>
      <w:r>
        <w:rPr>
          <w:rFonts w:eastAsia="Times New Roman"/>
          <w:vanish/>
        </w:rPr>
        <w:t>9-07-012019-09-300000927628us-gaap:OperatingSegmentsMembercof:CommercialBankingMembercof:InterchangeFeesContractsMember2019-07-012019-09-300000927628cof:InterchangeFeesContractsMemberus-gaap:CorporateNonSegmentMember2019-07-012019-09-300000927628cof:Interc</w:t>
      </w:r>
      <w:r>
        <w:rPr>
          <w:rFonts w:eastAsia="Times New Roman"/>
          <w:vanish/>
        </w:rPr>
        <w:t>hangeFeesContractsMember2019-07-012019-09-300000927628us-gaap:OperatingSegmentsMemberus-gaap:CreditCardMembercof:ServiceChargesAndOtherCustomerFeesContractsMember2019-07-012019-09-300000927628us-gaap:OperatingSegmentsMembercof:ConsumerBankingMembercof:Serv</w:t>
      </w:r>
      <w:r>
        <w:rPr>
          <w:rFonts w:eastAsia="Times New Roman"/>
          <w:vanish/>
        </w:rPr>
        <w:t>iceChargesAndOtherCustomerFeesContractsMember2019-07-012019-09-300000927628us-gaap:OperatingSegmentsMembercof:CommercialBankingMembercof:ServiceChargesAndOtherCustomerFeesContractsMember2019-07-012019-09-300000927628us-gaap:CorporateNonSegmentMembercof:Ser</w:t>
      </w:r>
      <w:r>
        <w:rPr>
          <w:rFonts w:eastAsia="Times New Roman"/>
          <w:vanish/>
        </w:rPr>
        <w:t>viceChargesAndOtherCustomerFeesContractsMember2019-07-012019-09-300000927628cof:ServiceChargesAndOtherCustomerFeesContractsMember2019-07-012019-09-300000927628us-gaap:OperatingSegmentsMembercof:OtherContractRevenueMemberus-gaap:CreditCardMember2019-07-0120</w:t>
      </w:r>
      <w:r>
        <w:rPr>
          <w:rFonts w:eastAsia="Times New Roman"/>
          <w:vanish/>
        </w:rPr>
        <w:t>19-09-300000927628us-gaap:OperatingSegmentsMembercof:OtherContractRevenueMembercof:ConsumerBankingMember2019-07-012019-09-300000927628us-gaap:OperatingSegmentsMembercof:CommercialBankingMembercof:OtherContractRevenueMember2019-07-012019-09-300000927628cof:</w:t>
      </w:r>
      <w:r>
        <w:rPr>
          <w:rFonts w:eastAsia="Times New Roman"/>
          <w:vanish/>
        </w:rPr>
        <w:t>OtherContractRevenueMemberus-gaap:CorporateNonSegmentMember2019-07-012019-09-300000927628cof:OtherContractRevenueMember2019-07-012019-09-300000927628us-gaap:OperatingSegmentsMembercof:InterchangeFeesContractsMemberus-gaap:CreditCardMember2019-01-012019-09-</w:t>
      </w:r>
      <w:r>
        <w:rPr>
          <w:rFonts w:eastAsia="Times New Roman"/>
          <w:vanish/>
        </w:rPr>
        <w:t>300000927628us-gaap:OperatingSegmentsMembercof:InterchangeFeesContractsMembercof:ConsumerBankingMember2019-01-012019-09-300000927628us-gaap:OperatingSegmentsMembercof:CommercialBankingMembercof:InterchangeFeesContractsMember2019-01-012019-09-300000927628co</w:t>
      </w:r>
      <w:r>
        <w:rPr>
          <w:rFonts w:eastAsia="Times New Roman"/>
          <w:vanish/>
        </w:rPr>
        <w:t>f:InterchangeFeesContractsMemberus-gaap:CorporateNonSegmentMember2019-01-012019-09-300000927628cof:InterchangeFeesContractsMember2019-01-012019-09-300000927628us-gaap:OperatingSegmentsMemberus-gaap:CreditCardMembercof:ServiceChargesAndOtherCustomerFeesCont</w:t>
      </w:r>
      <w:r>
        <w:rPr>
          <w:rFonts w:eastAsia="Times New Roman"/>
          <w:vanish/>
        </w:rPr>
        <w:t>ractsMember2019-01-012019-09-300000927628us-gaap:OperatingSegmentsMembercof:ConsumerBankingMembercof:ServiceChargesAndOtherCustomerFeesContractsMember2019-01-012019-09-300000927628us-gaap:OperatingSegmentsMembercof:CommercialBankingMembercof:ServiceCharges</w:t>
      </w:r>
      <w:r>
        <w:rPr>
          <w:rFonts w:eastAsia="Times New Roman"/>
          <w:vanish/>
        </w:rPr>
        <w:t>AndOtherCustomerFeesContractsMember2019-01-012019-09-300000927628us-gaap:CorporateNonSegmentMembercof:ServiceChargesAndOtherCustomerFeesContractsMember2019-01-012019-09-300000927628cof:ServiceChargesAndOtherCustomerFeesContractsMember2019-01-012019-09-3000</w:t>
      </w:r>
      <w:r>
        <w:rPr>
          <w:rFonts w:eastAsia="Times New Roman"/>
          <w:vanish/>
        </w:rPr>
        <w:t>00927628us-gaap:OperatingSegmentsMembercof:OtherContractRevenueMemberus-gaap:CreditCardMember2019-01-012019-09-300000927628us-gaap:OperatingSegmentsMembercof:OtherContractRevenueMembercof:ConsumerBankingMember2019-01-012019-09-300000927628us-gaap:Operating</w:t>
      </w:r>
      <w:r>
        <w:rPr>
          <w:rFonts w:eastAsia="Times New Roman"/>
          <w:vanish/>
        </w:rPr>
        <w:t>SegmentsMembercof:CommercialBankingMembercof:OtherContractRevenueMember2019-01-012019-09-300000927628cof:OtherContractRevenueMemberus-gaap:CorporateNonSegmentMember2019-01-012019-09-300000927628cof:OtherContractRevenueMember2019-01-012019-09-300000927628co</w:t>
      </w:r>
      <w:r>
        <w:rPr>
          <w:rFonts w:eastAsia="Times New Roman"/>
          <w:vanish/>
        </w:rPr>
        <w:t>f:OtherPortfolioSegmentsExcludingCreditCardMember2020-09-300000927628cof:OtherPortfolioSegmentsExcludingCreditCardMember2019-12-310000927628us-gaap:LetterOfCreditMember2020-09-300000927628us-gaap:LetterOfCreditMember2019-12-310000927628cof:LossSharingAgree</w:t>
      </w:r>
      <w:r>
        <w:rPr>
          <w:rFonts w:eastAsia="Times New Roman"/>
          <w:vanish/>
        </w:rPr>
        <w:t>mentMember2020-09-300000927628cof:LossSharingAgreementMember2019-12-310000927628us-gaap:InsuranceClaimsMember2019-12-310000927628us-gaap:InsuranceClaimsMember2020-09-300000927628us-gaap:PendingLitigationMembercof:InterchangeLitigationMember2020-01-012020-0</w:t>
      </w:r>
      <w:r>
        <w:rPr>
          <w:rFonts w:eastAsia="Times New Roman"/>
          <w:vanish/>
        </w:rPr>
        <w:t>9-300000927628cof:AntiMoneyLaunderingMember2018-10-012018-10-31cof:claim0000927628cof:CybersecurityIncidentMember2020-09-300000927628country:UScof:CybersecurityIncidentMember2020-09-300000927628country:CAcof:CybersecurityIncidentMember2020-09-30</w:t>
      </w:r>
    </w:p>
    <w:p w:rsidR="00000000" w:rsidRDefault="00795D39">
      <w:pPr>
        <w:jc w:val="both"/>
        <w:divId w:val="1509559028"/>
        <w:rPr>
          <w:rFonts w:eastAsia="Times New Roman"/>
        </w:rPr>
      </w:pPr>
    </w:p>
    <w:p w:rsidR="00000000" w:rsidRDefault="00795D39">
      <w:pPr>
        <w:jc w:val="center"/>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divId w:val="1272518992"/>
          <w:jc w:val="center"/>
        </w:trPr>
        <w:tc>
          <w:tcPr>
            <w:tcW w:w="50" w:type="pct"/>
            <w:vAlign w:val="center"/>
            <w:hideMark/>
          </w:tcPr>
          <w:p w:rsidR="00000000" w:rsidRDefault="00795D39">
            <w:pPr>
              <w:jc w:val="center"/>
              <w:rPr>
                <w:rFonts w:eastAsia="Times New Roman"/>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72518992"/>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bl>
    <w:p w:rsidR="00000000" w:rsidRDefault="00795D39">
      <w:pPr>
        <w:jc w:val="center"/>
        <w:rPr>
          <w:rFonts w:eastAsia="Times New Roman"/>
        </w:rPr>
      </w:pPr>
      <w:r>
        <w:rPr>
          <w:rFonts w:eastAsia="Times New Roman"/>
          <w:b/>
          <w:bCs/>
          <w:color w:val="000000"/>
          <w:sz w:val="23"/>
          <w:szCs w:val="23"/>
        </w:rPr>
        <w:t>UNITED STATES</w:t>
      </w:r>
    </w:p>
    <w:p w:rsidR="00000000" w:rsidRDefault="00795D39">
      <w:pPr>
        <w:jc w:val="center"/>
        <w:rPr>
          <w:rFonts w:eastAsia="Times New Roman"/>
        </w:rPr>
      </w:pPr>
      <w:r>
        <w:rPr>
          <w:rFonts w:eastAsia="Times New Roman"/>
          <w:b/>
          <w:bCs/>
          <w:color w:val="000000"/>
          <w:sz w:val="23"/>
          <w:szCs w:val="23"/>
        </w:rPr>
        <w:t>SECURITIES AND EXCHANGE COMMISSION</w:t>
      </w:r>
    </w:p>
    <w:p w:rsidR="00000000" w:rsidRDefault="00795D39">
      <w:pPr>
        <w:jc w:val="center"/>
        <w:rPr>
          <w:rFonts w:eastAsia="Times New Roman"/>
        </w:rPr>
      </w:pPr>
      <w:r>
        <w:rPr>
          <w:rFonts w:eastAsia="Times New Roman"/>
          <w:b/>
          <w:bCs/>
          <w:color w:val="000000"/>
          <w:sz w:val="19"/>
          <w:szCs w:val="19"/>
        </w:rPr>
        <w:t>Washington, D.C. 20549</w:t>
      </w:r>
    </w:p>
    <w:p w:rsidR="00000000" w:rsidRDefault="00795D39">
      <w:pPr>
        <w:jc w:val="center"/>
        <w:rPr>
          <w:rFonts w:eastAsia="Times New Roman"/>
        </w:rPr>
      </w:pPr>
      <w:r>
        <w:rPr>
          <w:rFonts w:eastAsia="Times New Roman"/>
          <w:color w:val="000000"/>
          <w:sz w:val="12"/>
          <w:szCs w:val="12"/>
        </w:rPr>
        <w:t>____________________________________</w:t>
      </w:r>
    </w:p>
    <w:p w:rsidR="00000000" w:rsidRDefault="00795D39">
      <w:pPr>
        <w:jc w:val="center"/>
        <w:divId w:val="847787775"/>
        <w:rPr>
          <w:rFonts w:eastAsia="Times New Roman"/>
        </w:rPr>
      </w:pPr>
      <w:r>
        <w:rPr>
          <w:rFonts w:eastAsia="Times New Roman"/>
          <w:b/>
          <w:bCs/>
          <w:color w:val="000000"/>
          <w:sz w:val="28"/>
          <w:szCs w:val="28"/>
        </w:rPr>
        <w:t xml:space="preserve">FORM 10-Q </w:t>
      </w:r>
    </w:p>
    <w:p w:rsidR="00000000" w:rsidRDefault="00795D39">
      <w:pPr>
        <w:jc w:val="center"/>
        <w:rPr>
          <w:rFonts w:eastAsia="Times New Roman"/>
        </w:rPr>
      </w:pPr>
      <w:r>
        <w:rPr>
          <w:rFonts w:eastAsia="Times New Roman"/>
          <w:color w:val="000000"/>
          <w:sz w:val="12"/>
          <w:szCs w:val="12"/>
        </w:rPr>
        <w:t>____________________________________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divId w:val="1802183786"/>
          <w:jc w:val="center"/>
        </w:trPr>
        <w:tc>
          <w:tcPr>
            <w:tcW w:w="50" w:type="pct"/>
            <w:vAlign w:val="center"/>
            <w:hideMark/>
          </w:tcPr>
          <w:p w:rsidR="00000000" w:rsidRDefault="00795D39">
            <w:pPr>
              <w:jc w:val="center"/>
              <w:rPr>
                <w:rFonts w:eastAsia="Times New Roman"/>
              </w:rPr>
            </w:pPr>
          </w:p>
        </w:tc>
        <w:tc>
          <w:tcPr>
            <w:tcW w:w="1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02183786"/>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8"/>
                <w:szCs w:val="18"/>
              </w:rPr>
              <w:t>QUARTERLY REPORT PURSUANT TO SECTION 13 OR 15(d) OF THE SECURITIES EXCHANGE ACT OF 1934</w:t>
            </w:r>
          </w:p>
        </w:tc>
      </w:tr>
    </w:tbl>
    <w:p w:rsidR="00000000" w:rsidRDefault="00795D39">
      <w:pPr>
        <w:jc w:val="center"/>
        <w:rPr>
          <w:rFonts w:eastAsia="Times New Roman"/>
        </w:rPr>
      </w:pPr>
      <w:r>
        <w:rPr>
          <w:rFonts w:eastAsia="Times New Roman"/>
          <w:b/>
          <w:bCs/>
          <w:color w:val="000000"/>
          <w:sz w:val="18"/>
          <w:szCs w:val="18"/>
        </w:rPr>
        <w:t xml:space="preserve">For the quarterly period ended September 30, 2020 </w:t>
      </w:r>
    </w:p>
    <w:p w:rsidR="00000000" w:rsidRDefault="00795D39">
      <w:pPr>
        <w:jc w:val="center"/>
        <w:divId w:val="303118139"/>
        <w:rPr>
          <w:rFonts w:eastAsia="Times New Roman"/>
        </w:rPr>
      </w:pPr>
      <w:r>
        <w:rPr>
          <w:rFonts w:eastAsia="Times New Roman"/>
          <w:b/>
          <w:bCs/>
          <w:color w:val="000000"/>
          <w:sz w:val="16"/>
          <w:szCs w:val="16"/>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divId w:val="1835340090"/>
          <w:jc w:val="center"/>
        </w:trPr>
        <w:tc>
          <w:tcPr>
            <w:tcW w:w="50" w:type="pct"/>
            <w:vAlign w:val="center"/>
            <w:hideMark/>
          </w:tcPr>
          <w:p w:rsidR="00000000" w:rsidRDefault="00795D39">
            <w:pPr>
              <w:jc w:val="center"/>
              <w:rPr>
                <w:rFonts w:eastAsia="Times New Roman"/>
              </w:rPr>
            </w:pPr>
          </w:p>
        </w:tc>
        <w:tc>
          <w:tcPr>
            <w:tcW w:w="1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3534009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795D39">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rsidR="00000000" w:rsidRDefault="00795D39">
      <w:pPr>
        <w:jc w:val="center"/>
        <w:divId w:val="2099448060"/>
        <w:rPr>
          <w:rFonts w:eastAsia="Times New Roman"/>
        </w:rPr>
      </w:pPr>
      <w:r>
        <w:rPr>
          <w:rFonts w:eastAsia="Times New Roman"/>
          <w:b/>
          <w:bCs/>
          <w:color w:val="000000"/>
          <w:sz w:val="18"/>
          <w:szCs w:val="18"/>
        </w:rPr>
        <w:t xml:space="preserve">Commission File No. 001-13300 </w:t>
      </w:r>
    </w:p>
    <w:p w:rsidR="00000000" w:rsidRDefault="00795D39">
      <w:pPr>
        <w:jc w:val="center"/>
        <w:rPr>
          <w:rFonts w:eastAsia="Times New Roman"/>
        </w:rPr>
      </w:pPr>
      <w:r>
        <w:rPr>
          <w:rFonts w:eastAsia="Times New Roman"/>
          <w:color w:val="000000"/>
          <w:sz w:val="12"/>
          <w:szCs w:val="12"/>
        </w:rPr>
        <w:t>____________________________________</w:t>
      </w:r>
    </w:p>
    <w:p w:rsidR="00000000" w:rsidRDefault="00795D39">
      <w:pPr>
        <w:jc w:val="center"/>
        <w:divId w:val="946619446"/>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rsidR="00000000" w:rsidRDefault="00795D39">
      <w:pPr>
        <w:jc w:val="center"/>
        <w:divId w:val="1544519157"/>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rsidR="00000000" w:rsidRDefault="00795D39">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trPr>
          <w:divId w:val="2132238687"/>
          <w:jc w:val="center"/>
        </w:trPr>
        <w:tc>
          <w:tcPr>
            <w:tcW w:w="50" w:type="pct"/>
            <w:vAlign w:val="center"/>
            <w:hideMark/>
          </w:tcPr>
          <w:p w:rsidR="00000000" w:rsidRDefault="00795D39">
            <w:pPr>
              <w:jc w:val="center"/>
              <w:rPr>
                <w:rFonts w:eastAsia="Times New Roman"/>
              </w:rPr>
            </w:pPr>
          </w:p>
        </w:tc>
        <w:tc>
          <w:tcPr>
            <w:tcW w:w="14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4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80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132238687"/>
          <w:jc w:val="center"/>
        </w:trPr>
        <w:tc>
          <w:tcPr>
            <w:tcW w:w="0" w:type="auto"/>
            <w:gridSpan w:val="6"/>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16"/>
                <w:szCs w:val="16"/>
              </w:rPr>
              <w:t>54-1719854</w:t>
            </w:r>
          </w:p>
        </w:tc>
      </w:tr>
      <w:tr w:rsidR="00000000">
        <w:trPr>
          <w:divId w:val="2132238687"/>
          <w:jc w:val="center"/>
        </w:trPr>
        <w:tc>
          <w:tcPr>
            <w:tcW w:w="0" w:type="auto"/>
            <w:gridSpan w:val="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(I.R.S. Employer Identification No.)</w:t>
            </w:r>
          </w:p>
        </w:tc>
      </w:tr>
      <w:tr w:rsidR="00000000">
        <w:trPr>
          <w:divId w:val="2132238687"/>
          <w:jc w:val="center"/>
        </w:trPr>
        <w:tc>
          <w:tcPr>
            <w:tcW w:w="0" w:type="auto"/>
            <w:gridSpan w:val="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32238687"/>
          <w:jc w:val="center"/>
        </w:trPr>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22102</w:t>
            </w:r>
          </w:p>
        </w:tc>
      </w:tr>
      <w:tr w:rsidR="00000000">
        <w:trPr>
          <w:divId w:val="2132238687"/>
          <w:jc w:val="center"/>
        </w:trPr>
        <w:tc>
          <w:tcPr>
            <w:tcW w:w="0" w:type="auto"/>
            <w:gridSpan w:val="6"/>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16"/>
                <w:szCs w:val="16"/>
              </w:rPr>
              <w:t>(Zip Code)</w:t>
            </w:r>
          </w:p>
        </w:tc>
      </w:tr>
    </w:tbl>
    <w:p w:rsidR="00000000" w:rsidRDefault="00795D39">
      <w:pPr>
        <w:jc w:val="center"/>
        <w:divId w:val="627395504"/>
        <w:rPr>
          <w:rFonts w:eastAsia="Times New Roman"/>
        </w:rPr>
      </w:pPr>
      <w:r>
        <w:rPr>
          <w:rFonts w:eastAsia="Times New Roman"/>
          <w:b/>
          <w:bCs/>
          <w:color w:val="000000"/>
          <w:sz w:val="16"/>
          <w:szCs w:val="16"/>
        </w:rPr>
        <w:t>Registrant’s telephone number, including area code: (703) 720-1000</w:t>
      </w:r>
    </w:p>
    <w:p w:rsidR="00000000" w:rsidRDefault="00795D39">
      <w:pPr>
        <w:jc w:val="center"/>
        <w:rPr>
          <w:rFonts w:eastAsia="Times New Roman"/>
        </w:rPr>
      </w:pPr>
      <w:r>
        <w:rPr>
          <w:rFonts w:eastAsia="Times New Roman"/>
          <w:b/>
          <w:bCs/>
          <w:color w:val="000000"/>
          <w:sz w:val="16"/>
          <w:szCs w:val="16"/>
        </w:rPr>
        <w:t>(Not applicable)</w:t>
      </w:r>
    </w:p>
    <w:p w:rsidR="00000000" w:rsidRDefault="00795D39">
      <w:pPr>
        <w:jc w:val="center"/>
        <w:rPr>
          <w:rFonts w:eastAsia="Times New Roman"/>
        </w:rPr>
      </w:pPr>
      <w:r>
        <w:rPr>
          <w:rFonts w:eastAsia="Times New Roman"/>
          <w:b/>
          <w:bCs/>
          <w:color w:val="000000"/>
          <w:sz w:val="16"/>
          <w:szCs w:val="16"/>
        </w:rPr>
        <w:t xml:space="preserve">(Former name, former address and former fiscal year, if changed since last report) </w:t>
      </w:r>
    </w:p>
    <w:p w:rsidR="00000000" w:rsidRDefault="00795D39">
      <w:pPr>
        <w:jc w:val="center"/>
        <w:rPr>
          <w:rFonts w:eastAsia="Times New Roman"/>
        </w:rPr>
      </w:pPr>
      <w:r>
        <w:rPr>
          <w:rFonts w:eastAsia="Times New Roman"/>
          <w:color w:val="000000"/>
          <w:sz w:val="12"/>
          <w:szCs w:val="12"/>
        </w:rPr>
        <w:t>____________________________________</w:t>
      </w:r>
    </w:p>
    <w:p w:rsidR="00000000" w:rsidRDefault="00795D39">
      <w:pPr>
        <w:jc w:val="center"/>
        <w:divId w:val="809903911"/>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trPr>
          <w:divId w:val="1222475611"/>
          <w:jc w:val="center"/>
        </w:trPr>
        <w:tc>
          <w:tcPr>
            <w:tcW w:w="50" w:type="pct"/>
            <w:vAlign w:val="center"/>
            <w:hideMark/>
          </w:tcPr>
          <w:p w:rsidR="00000000" w:rsidRDefault="00795D39">
            <w:pPr>
              <w:jc w:val="center"/>
              <w:rPr>
                <w:rFonts w:eastAsia="Times New Roman"/>
              </w:rPr>
            </w:pPr>
          </w:p>
        </w:tc>
        <w:tc>
          <w:tcPr>
            <w:tcW w:w="31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32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22475611"/>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Name of Each Exchange on Which Registered</w:t>
            </w: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rsidR="00000000" w:rsidRDefault="00795D39">
            <w:pPr>
              <w:jc w:val="center"/>
              <w:divId w:val="689258965"/>
              <w:rPr>
                <w:rFonts w:eastAsia="Times New Roman"/>
              </w:rPr>
            </w:pPr>
            <w:r>
              <w:rPr>
                <w:rFonts w:eastAsia="Times New Roman"/>
                <w:color w:val="000000"/>
                <w:sz w:val="16"/>
                <w:szCs w:val="16"/>
              </w:rPr>
              <w:t>New York Stock Exchange</w:t>
            </w:r>
          </w:p>
        </w:tc>
      </w:tr>
      <w:tr w:rsidR="00000000">
        <w:trPr>
          <w:divId w:val="1222475611"/>
          <w:jc w:val="center"/>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222475611"/>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222475611"/>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F</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 PRF</w:t>
            </w:r>
          </w:p>
        </w:tc>
        <w:tc>
          <w:tcPr>
            <w:tcW w:w="0" w:type="auto"/>
            <w:gridSpan w:val="3"/>
            <w:tcMar>
              <w:top w:w="30" w:type="dxa"/>
              <w:left w:w="20" w:type="dxa"/>
              <w:bottom w:w="30" w:type="dxa"/>
              <w:right w:w="20" w:type="dxa"/>
            </w:tcMar>
            <w:hideMark/>
          </w:tcPr>
          <w:p w:rsidR="00000000" w:rsidRDefault="00795D39">
            <w:pPr>
              <w:jc w:val="center"/>
              <w:divId w:val="339089952"/>
              <w:rPr>
                <w:rFonts w:eastAsia="Times New Roman"/>
              </w:rPr>
            </w:pPr>
            <w:r>
              <w:rPr>
                <w:rFonts w:eastAsia="Times New Roman"/>
                <w:color w:val="000000"/>
                <w:sz w:val="16"/>
                <w:szCs w:val="16"/>
              </w:rPr>
              <w:t>New York Stock Exchange</w:t>
            </w: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G</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 PRG</w:t>
            </w:r>
          </w:p>
        </w:tc>
        <w:tc>
          <w:tcPr>
            <w:tcW w:w="0" w:type="auto"/>
            <w:gridSpan w:val="3"/>
            <w:tcMar>
              <w:top w:w="30" w:type="dxa"/>
              <w:left w:w="20" w:type="dxa"/>
              <w:bottom w:w="30" w:type="dxa"/>
              <w:right w:w="20" w:type="dxa"/>
            </w:tcMar>
            <w:hideMark/>
          </w:tcPr>
          <w:p w:rsidR="00000000" w:rsidRDefault="00795D39">
            <w:pPr>
              <w:jc w:val="center"/>
              <w:divId w:val="1162968934"/>
              <w:rPr>
                <w:rFonts w:eastAsia="Times New Roman"/>
              </w:rPr>
            </w:pPr>
            <w:r>
              <w:rPr>
                <w:rFonts w:eastAsia="Times New Roman"/>
                <w:color w:val="000000"/>
                <w:sz w:val="16"/>
                <w:szCs w:val="16"/>
              </w:rPr>
              <w:t>New York Stock Exchange</w:t>
            </w: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H</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 PRH</w:t>
            </w:r>
          </w:p>
        </w:tc>
        <w:tc>
          <w:tcPr>
            <w:tcW w:w="0" w:type="auto"/>
            <w:gridSpan w:val="3"/>
            <w:tcMar>
              <w:top w:w="30" w:type="dxa"/>
              <w:left w:w="20" w:type="dxa"/>
              <w:bottom w:w="30" w:type="dxa"/>
              <w:right w:w="20" w:type="dxa"/>
            </w:tcMar>
            <w:hideMark/>
          </w:tcPr>
          <w:p w:rsidR="00000000" w:rsidRDefault="00795D39">
            <w:pPr>
              <w:jc w:val="center"/>
              <w:divId w:val="273371420"/>
              <w:rPr>
                <w:rFonts w:eastAsia="Times New Roman"/>
              </w:rPr>
            </w:pPr>
            <w:r>
              <w:rPr>
                <w:rFonts w:eastAsia="Times New Roman"/>
                <w:color w:val="000000"/>
                <w:sz w:val="16"/>
                <w:szCs w:val="16"/>
              </w:rPr>
              <w:t>New York Stock Exchange</w:t>
            </w: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I</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rsidR="00000000" w:rsidRDefault="00795D39">
            <w:pPr>
              <w:jc w:val="center"/>
              <w:divId w:val="806896927"/>
              <w:rPr>
                <w:rFonts w:eastAsia="Times New Roman"/>
              </w:rPr>
            </w:pPr>
            <w:r>
              <w:rPr>
                <w:rFonts w:eastAsia="Times New Roman"/>
                <w:color w:val="000000"/>
                <w:sz w:val="16"/>
                <w:szCs w:val="16"/>
              </w:rPr>
              <w:t>New York Stock Exchange</w:t>
            </w: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J</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rsidR="00000000" w:rsidRDefault="00795D39">
            <w:pPr>
              <w:jc w:val="center"/>
              <w:divId w:val="1520660425"/>
              <w:rPr>
                <w:rFonts w:eastAsia="Times New Roman"/>
              </w:rPr>
            </w:pPr>
            <w:r>
              <w:rPr>
                <w:rFonts w:eastAsia="Times New Roman"/>
                <w:color w:val="000000"/>
                <w:sz w:val="16"/>
                <w:szCs w:val="16"/>
              </w:rPr>
              <w:t>New York Stock Exchange</w:t>
            </w: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K</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rsidR="00000000" w:rsidRDefault="00795D39">
            <w:pPr>
              <w:jc w:val="center"/>
              <w:divId w:val="624123208"/>
              <w:rPr>
                <w:rFonts w:eastAsia="Times New Roman"/>
              </w:rPr>
            </w:pPr>
            <w:r>
              <w:rPr>
                <w:rFonts w:eastAsia="Times New Roman"/>
                <w:color w:val="000000"/>
                <w:sz w:val="16"/>
                <w:szCs w:val="16"/>
              </w:rPr>
              <w:t>New York Stock Exchange</w:t>
            </w: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rsidR="00000000" w:rsidRDefault="00795D39">
            <w:pPr>
              <w:jc w:val="center"/>
              <w:divId w:val="938756249"/>
              <w:rPr>
                <w:rFonts w:eastAsia="Times New Roman"/>
              </w:rPr>
            </w:pPr>
            <w:r>
              <w:rPr>
                <w:rFonts w:eastAsia="Times New Roman"/>
                <w:color w:val="000000"/>
                <w:sz w:val="16"/>
                <w:szCs w:val="16"/>
              </w:rPr>
              <w:t>New York Stock Excha</w:t>
            </w:r>
            <w:r>
              <w:rPr>
                <w:rFonts w:eastAsia="Times New Roman"/>
                <w:color w:val="000000"/>
                <w:sz w:val="16"/>
                <w:szCs w:val="16"/>
              </w:rPr>
              <w:t>nge</w:t>
            </w:r>
          </w:p>
        </w:tc>
      </w:tr>
      <w:tr w:rsidR="00000000">
        <w:trPr>
          <w:divId w:val="1222475611"/>
          <w:jc w:val="center"/>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1.650% Senior Notes Due 2029</w:t>
            </w:r>
          </w:p>
        </w:tc>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rsidR="00000000" w:rsidRDefault="00795D39">
            <w:pPr>
              <w:jc w:val="center"/>
              <w:divId w:val="1043751768"/>
              <w:rPr>
                <w:rFonts w:eastAsia="Times New Roman"/>
              </w:rPr>
            </w:pPr>
            <w:r>
              <w:rPr>
                <w:rFonts w:eastAsia="Times New Roman"/>
                <w:color w:val="000000"/>
                <w:sz w:val="16"/>
                <w:szCs w:val="16"/>
              </w:rPr>
              <w:t>New York Stock Exchange</w:t>
            </w:r>
          </w:p>
        </w:tc>
      </w:tr>
    </w:tbl>
    <w:p w:rsidR="00000000" w:rsidRDefault="00795D39">
      <w:pPr>
        <w:jc w:val="both"/>
        <w:divId w:val="67196852"/>
        <w:rPr>
          <w:rFonts w:eastAsia="Times New Roman"/>
        </w:rPr>
      </w:pPr>
    </w:p>
    <w:p w:rsidR="00000000" w:rsidRDefault="00795D39">
      <w:pPr>
        <w:jc w:val="both"/>
        <w:divId w:val="798719531"/>
        <w:rPr>
          <w:rFonts w:eastAsia="Times New Roman"/>
        </w:rPr>
      </w:pPr>
      <w:r>
        <w:rPr>
          <w:rFonts w:eastAsia="Times New Roman"/>
          <w:color w:val="000000"/>
          <w:sz w:val="16"/>
          <w:szCs w:val="16"/>
        </w:rPr>
        <w:t>Indicate by check mark whether the registrant (1) has filed all reports required to be filed by Section </w:t>
      </w:r>
      <w:r>
        <w:rPr>
          <w:rFonts w:eastAsia="Times New Roman"/>
          <w:color w:val="000000"/>
          <w:sz w:val="16"/>
          <w:szCs w:val="16"/>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795D39">
      <w:pPr>
        <w:jc w:val="both"/>
        <w:divId w:val="1718310911"/>
        <w:rPr>
          <w:rFonts w:eastAsia="Times New Roman"/>
        </w:rPr>
      </w:pPr>
      <w:r>
        <w:rPr>
          <w:rFonts w:eastAsia="Times New Roman"/>
          <w:color w:val="000000"/>
          <w:sz w:val="16"/>
          <w:szCs w:val="16"/>
        </w:rPr>
        <w:lastRenderedPageBreak/>
        <w:t>Ind</w:t>
      </w:r>
      <w:r>
        <w:rPr>
          <w:rFonts w:eastAsia="Times New Roman"/>
          <w:color w:val="000000"/>
          <w:sz w:val="16"/>
          <w:szCs w:val="16"/>
        </w:rPr>
        <w:t>icate by check mark whether the registrant has submitted electronically every Interactive Data File required to be submitted pursuant to Rule 405 of Regulation S-T (§232.405 of this chapter) during the preceding 12 months (or for such shorter period that t</w:t>
      </w:r>
      <w:r>
        <w:rPr>
          <w:rFonts w:eastAsia="Times New Roman"/>
          <w:color w:val="000000"/>
          <w:sz w:val="16"/>
          <w:szCs w:val="16"/>
        </w:rPr>
        <w: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795D39">
      <w:pPr>
        <w:jc w:val="both"/>
        <w:divId w:val="1900089613"/>
        <w:rPr>
          <w:rFonts w:eastAsia="Times New Roman"/>
        </w:rPr>
      </w:pPr>
      <w:r>
        <w:rPr>
          <w:rFonts w:eastAsia="Times New Roman"/>
          <w:color w:val="000000"/>
          <w:sz w:val="16"/>
          <w:szCs w:val="16"/>
        </w:rPr>
        <w:t>Indicate by check mark whether the registrant is a large accelerated filer, an accelerated filer, a non-accelerated filer, a smaller reporting company, or an emerging growth company. See the defi</w:t>
      </w:r>
      <w:r>
        <w:rPr>
          <w:rFonts w:eastAsia="Times New Roman"/>
          <w:color w:val="000000"/>
          <w:sz w:val="16"/>
          <w:szCs w:val="16"/>
        </w:rPr>
        <w:t>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5"/>
        <w:gridCol w:w="1703"/>
        <w:gridCol w:w="36"/>
        <w:gridCol w:w="36"/>
        <w:gridCol w:w="156"/>
        <w:gridCol w:w="36"/>
        <w:gridCol w:w="45"/>
        <w:gridCol w:w="3756"/>
        <w:gridCol w:w="36"/>
        <w:gridCol w:w="37"/>
        <w:gridCol w:w="136"/>
        <w:gridCol w:w="36"/>
        <w:gridCol w:w="87"/>
        <w:gridCol w:w="1696"/>
        <w:gridCol w:w="36"/>
        <w:gridCol w:w="36"/>
        <w:gridCol w:w="136"/>
        <w:gridCol w:w="36"/>
        <w:gridCol w:w="56"/>
        <w:gridCol w:w="129"/>
        <w:gridCol w:w="36"/>
      </w:tblGrid>
      <w:tr w:rsidR="00000000">
        <w:trPr>
          <w:divId w:val="1809778340"/>
        </w:trPr>
        <w:tc>
          <w:tcPr>
            <w:tcW w:w="50" w:type="pct"/>
            <w:vAlign w:val="center"/>
            <w:hideMark/>
          </w:tcPr>
          <w:p w:rsidR="00000000" w:rsidRDefault="00795D39">
            <w:pPr>
              <w:jc w:val="both"/>
              <w:rPr>
                <w:rFonts w:eastAsia="Times New Roman"/>
              </w:rPr>
            </w:pPr>
          </w:p>
        </w:tc>
        <w:tc>
          <w:tcPr>
            <w:tcW w:w="10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1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28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10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8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10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097783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95D39">
            <w:pPr>
              <w:divId w:val="726950140"/>
              <w:rPr>
                <w:rFonts w:eastAsia="Times New Roman"/>
              </w:rPr>
            </w:pPr>
            <w:r>
              <w:rPr>
                <w:rFonts w:ascii="Segoe UI Symbol" w:eastAsia="Times New Roman" w:hAnsi="Segoe UI Symbol" w:cs="Segoe UI Symbol"/>
                <w:color w:val="000000"/>
                <w:sz w:val="16"/>
                <w:szCs w:val="16"/>
              </w:rPr>
              <w:t>☐</w:t>
            </w:r>
          </w:p>
        </w:tc>
      </w:tr>
      <w:tr w:rsidR="00000000">
        <w:trPr>
          <w:divId w:val="18097783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95D39">
            <w:pPr>
              <w:divId w:val="1506895024"/>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Smaller reporting company</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528373918"/>
              <w:rPr>
                <w:rFonts w:eastAsia="Times New Roman"/>
              </w:rPr>
            </w:pPr>
            <w:r>
              <w:rPr>
                <w:rFonts w:ascii="Segoe UI Symbol" w:eastAsia="Times New Roman" w:hAnsi="Segoe UI Symbol" w:cs="Segoe UI Symbol"/>
                <w:color w:val="000000"/>
                <w:sz w:val="16"/>
                <w:szCs w:val="16"/>
              </w:rPr>
              <w:t>☐</w:t>
            </w:r>
          </w:p>
        </w:tc>
      </w:tr>
      <w:tr w:rsidR="00000000">
        <w:trPr>
          <w:divId w:val="1809778340"/>
        </w:trPr>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Emerging growth company</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700937546"/>
              <w:rPr>
                <w:rFonts w:eastAsia="Times New Roman"/>
              </w:rPr>
            </w:pPr>
            <w:r>
              <w:rPr>
                <w:rFonts w:ascii="Segoe UI Symbol" w:eastAsia="Times New Roman" w:hAnsi="Segoe UI Symbol" w:cs="Segoe UI Symbol"/>
                <w:color w:val="000000"/>
                <w:sz w:val="16"/>
                <w:szCs w:val="16"/>
              </w:rPr>
              <w:t>☐</w:t>
            </w:r>
          </w:p>
        </w:tc>
      </w:tr>
    </w:tbl>
    <w:p w:rsidR="00000000" w:rsidRDefault="00795D39">
      <w:pPr>
        <w:jc w:val="both"/>
        <w:divId w:val="1426877400"/>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795D39">
      <w:pPr>
        <w:jc w:val="both"/>
        <w:divId w:val="1919822337"/>
        <w:rPr>
          <w:rFonts w:eastAsia="Times New Roman"/>
        </w:rPr>
      </w:pPr>
      <w:r>
        <w:rPr>
          <w:rFonts w:eastAsia="Times New Roman"/>
          <w:color w:val="000000"/>
          <w:sz w:val="16"/>
          <w:szCs w:val="16"/>
        </w:rPr>
        <w:t>Ind</w:t>
      </w:r>
      <w:r>
        <w:rPr>
          <w:rFonts w:eastAsia="Times New Roman"/>
          <w:color w:val="000000"/>
          <w:sz w:val="16"/>
          <w:szCs w:val="16"/>
        </w:rPr>
        <w:t xml:space="preserve">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795D39">
      <w:pPr>
        <w:jc w:val="both"/>
        <w:divId w:val="1877740261"/>
        <w:rPr>
          <w:rFonts w:eastAsia="Times New Roman"/>
        </w:rPr>
      </w:pPr>
      <w:r>
        <w:rPr>
          <w:rFonts w:eastAsia="Times New Roman"/>
          <w:color w:val="000000"/>
          <w:sz w:val="16"/>
          <w:szCs w:val="16"/>
        </w:rPr>
        <w:t>As of September 30, 2020, there were 457,397,091 shares of the registrant’s Common Stock outstanding.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6"/>
        <w:gridCol w:w="178"/>
        <w:gridCol w:w="36"/>
        <w:gridCol w:w="55"/>
        <w:gridCol w:w="7965"/>
        <w:gridCol w:w="36"/>
      </w:tblGrid>
      <w:tr w:rsidR="00000000">
        <w:trPr>
          <w:divId w:val="1936938630"/>
          <w:jc w:val="center"/>
        </w:trPr>
        <w:tc>
          <w:tcPr>
            <w:tcW w:w="5" w:type="pct"/>
            <w:vAlign w:val="center"/>
            <w:hideMark/>
          </w:tcPr>
          <w:p w:rsidR="00000000" w:rsidRDefault="00795D39">
            <w:pPr>
              <w:jc w:val="both"/>
              <w:rPr>
                <w:rFonts w:eastAsia="Times New Roman"/>
              </w:rPr>
            </w:pPr>
          </w:p>
        </w:tc>
        <w:tc>
          <w:tcPr>
            <w:tcW w:w="12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1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36938630"/>
          <w:trHeight w:val="6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36938630"/>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jc w:val="center"/>
        </w:trPr>
        <w:tc>
          <w:tcPr>
            <w:tcW w:w="50" w:type="pct"/>
            <w:vAlign w:val="center"/>
            <w:hideMark/>
          </w:tcPr>
          <w:p w:rsidR="00000000" w:rsidRDefault="00795D39">
            <w:pPr>
              <w:jc w:val="center"/>
              <w:rPr>
                <w:rFonts w:eastAsia="Times New Roman"/>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bl>
    <w:p w:rsidR="00000000" w:rsidRDefault="00795D39">
      <w:pPr>
        <w:jc w:val="both"/>
        <w:divId w:val="960498122"/>
        <w:rPr>
          <w:rFonts w:eastAsia="Times New Roman"/>
        </w:rPr>
      </w:pPr>
    </w:p>
    <w:p w:rsidR="00000000" w:rsidRDefault="00795D39">
      <w:pPr>
        <w:rPr>
          <w:rFonts w:eastAsia="Times New Roman"/>
        </w:rPr>
      </w:pPr>
      <w:r>
        <w:rPr>
          <w:rFonts w:eastAsia="Times New Roman"/>
        </w:rPr>
        <w:pict>
          <v:rect id="_x0000_i1025" style="width:0;height:1.5pt" o:hralign="center" o:hrstd="t" o:hr="t" fillcolor="#a0a0a0" stroked="f"/>
        </w:pict>
      </w:r>
    </w:p>
    <w:p w:rsidR="00000000" w:rsidRDefault="00795D39">
      <w:pPr>
        <w:jc w:val="both"/>
        <w:divId w:val="124586605"/>
        <w:rPr>
          <w:rFonts w:eastAsia="Times New Roman"/>
        </w:rPr>
      </w:pPr>
    </w:p>
    <w:p w:rsidR="00000000" w:rsidRDefault="00795D39">
      <w:pPr>
        <w:jc w:val="center"/>
        <w:divId w:val="623971483"/>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568"/>
        <w:gridCol w:w="37"/>
        <w:gridCol w:w="69"/>
        <w:gridCol w:w="6842"/>
        <w:gridCol w:w="36"/>
        <w:gridCol w:w="69"/>
        <w:gridCol w:w="574"/>
        <w:gridCol w:w="36"/>
      </w:tblGrid>
      <w:tr w:rsidR="00000000">
        <w:trPr>
          <w:divId w:val="999817750"/>
        </w:trPr>
        <w:tc>
          <w:tcPr>
            <w:tcW w:w="50" w:type="pct"/>
            <w:vAlign w:val="center"/>
            <w:hideMark/>
          </w:tcPr>
          <w:p w:rsidR="00000000" w:rsidRDefault="00795D39">
            <w:pPr>
              <w:jc w:val="center"/>
              <w:rPr>
                <w:rFonts w:eastAsia="Times New Roman"/>
              </w:rPr>
            </w:pPr>
          </w:p>
        </w:tc>
        <w:tc>
          <w:tcPr>
            <w:tcW w:w="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Page</w:t>
            </w:r>
          </w:p>
        </w:tc>
      </w:tr>
      <w:tr w:rsidR="00000000">
        <w:trPr>
          <w:divId w:val="999817750"/>
        </w:trPr>
        <w:tc>
          <w:tcPr>
            <w:tcW w:w="0" w:type="auto"/>
            <w:gridSpan w:val="6"/>
            <w:tcMar>
              <w:top w:w="30" w:type="dxa"/>
              <w:left w:w="20" w:type="dxa"/>
              <w:bottom w:w="30" w:type="dxa"/>
              <w:right w:w="20" w:type="dxa"/>
            </w:tcMar>
            <w:vAlign w:val="bottom"/>
            <w:hideMark/>
          </w:tcPr>
          <w:p w:rsidR="00000000" w:rsidRDefault="00795D39">
            <w:pPr>
              <w:divId w:val="570585474"/>
              <w:rPr>
                <w:rFonts w:eastAsia="Times New Roman"/>
              </w:rPr>
            </w:pPr>
            <w:hyperlink w:anchor="i86ab6d5a0edf43c49d46a425718ef61b_58" w:history="1">
              <w:r>
                <w:rPr>
                  <w:rStyle w:val="a3"/>
                  <w:rFonts w:eastAsia="Times New Roman"/>
                  <w:b/>
                  <w:bCs/>
                  <w:color w:val="000000"/>
                  <w:sz w:val="20"/>
                  <w:szCs w:val="20"/>
                  <w:u w:val="none"/>
                </w:rPr>
                <w:t>PART I—FINANCIAL INFORMATION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8" w:history="1">
              <w:r>
                <w:rPr>
                  <w:rStyle w:val="a3"/>
                  <w:rFonts w:eastAsia="Times New Roman"/>
                  <w:b/>
                  <w:bCs/>
                  <w:color w:val="000000"/>
                  <w:sz w:val="20"/>
                  <w:szCs w:val="20"/>
                  <w:u w:val="none"/>
                </w:rPr>
                <w:t>4</w:t>
              </w:r>
            </w:hyperlink>
          </w:p>
        </w:tc>
      </w:tr>
      <w:tr w:rsidR="00000000">
        <w:trPr>
          <w:divId w:val="999817750"/>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tcMar>
              <w:top w:w="30" w:type="dxa"/>
              <w:left w:w="20" w:type="dxa"/>
              <w:bottom w:w="30" w:type="dxa"/>
              <w:right w:w="20" w:type="dxa"/>
            </w:tcMar>
            <w:vAlign w:val="bottom"/>
            <w:hideMark/>
          </w:tcPr>
          <w:p w:rsidR="00000000" w:rsidRDefault="00795D39">
            <w:pPr>
              <w:divId w:val="914897285"/>
              <w:rPr>
                <w:rFonts w:eastAsia="Times New Roman"/>
              </w:rPr>
            </w:pPr>
            <w:hyperlink w:anchor="i86ab6d5a0edf43c49d46a425718ef61b_331"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795D39">
            <w:pPr>
              <w:divId w:val="1310135531"/>
              <w:rPr>
                <w:rFonts w:eastAsia="Times New Roman"/>
              </w:rPr>
            </w:pPr>
            <w:hyperlink w:anchor="i86ab6d5a0edf43c49d46a425718ef61b_331" w:history="1">
              <w:r>
                <w:rPr>
                  <w:rStyle w:val="a3"/>
                  <w:rFonts w:eastAsia="Times New Roman"/>
                  <w:color w:val="000000"/>
                  <w:sz w:val="20"/>
                  <w:szCs w:val="20"/>
                  <w:u w:val="none"/>
                </w:rPr>
                <w:t>Financial Statements and Notes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31" w:history="1">
              <w:r>
                <w:rPr>
                  <w:rStyle w:val="a3"/>
                  <w:rFonts w:eastAsia="Times New Roman"/>
                  <w:color w:val="000000"/>
                  <w:sz w:val="20"/>
                  <w:szCs w:val="20"/>
                  <w:u w:val="none"/>
                </w:rPr>
                <w:t>73</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2124038031"/>
              <w:rPr>
                <w:rFonts w:eastAsia="Times New Roman"/>
              </w:rPr>
            </w:pPr>
            <w:hyperlink w:anchor="i86ab6d5a0edf43c49d46a425718ef61b_346"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46" w:history="1">
              <w:r>
                <w:rPr>
                  <w:rStyle w:val="a3"/>
                  <w:rFonts w:eastAsia="Times New Roman"/>
                  <w:color w:val="000000"/>
                  <w:sz w:val="20"/>
                  <w:szCs w:val="20"/>
                  <w:u w:val="none"/>
                </w:rPr>
                <w:t>74</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974481119"/>
              <w:rPr>
                <w:rFonts w:eastAsia="Times New Roman"/>
              </w:rPr>
            </w:pPr>
            <w:hyperlink w:anchor="i86ab6d5a0edf43c49d46a425718ef61b_349"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49" w:history="1">
              <w:r>
                <w:rPr>
                  <w:rStyle w:val="a3"/>
                  <w:rFonts w:eastAsia="Times New Roman"/>
                  <w:color w:val="000000"/>
                  <w:sz w:val="20"/>
                  <w:szCs w:val="20"/>
                  <w:u w:val="none"/>
                </w:rPr>
                <w:t>75</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3945947"/>
              <w:rPr>
                <w:rFonts w:eastAsia="Times New Roman"/>
              </w:rPr>
            </w:pPr>
            <w:hyperlink w:anchor="i86ab6d5a0edf43c49d46a425718ef61b_352"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52" w:history="1">
              <w:r>
                <w:rPr>
                  <w:rStyle w:val="a3"/>
                  <w:rFonts w:eastAsia="Times New Roman"/>
                  <w:color w:val="000000"/>
                  <w:sz w:val="20"/>
                  <w:szCs w:val="20"/>
                  <w:u w:val="none"/>
                </w:rPr>
                <w:t>76</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646780500"/>
              <w:rPr>
                <w:rFonts w:eastAsia="Times New Roman"/>
              </w:rPr>
            </w:pPr>
            <w:hyperlink w:anchor="i86ab6d5a0edf43c49d46a425718ef61b_358" w:history="1">
              <w:r>
                <w:rPr>
                  <w:rStyle w:val="a3"/>
                  <w:rFonts w:eastAsia="Times New Roman"/>
                  <w:color w:val="000000"/>
                  <w:sz w:val="20"/>
                  <w:szCs w:val="20"/>
                  <w:u w:val="none"/>
                </w:rPr>
                <w:t>Consolidated Statements of Changes in</w:t>
              </w:r>
              <w:r>
                <w:rPr>
                  <w:rStyle w:val="a3"/>
                  <w:rFonts w:eastAsia="Times New Roman"/>
                  <w:color w:val="000000"/>
                  <w:sz w:val="20"/>
                  <w:szCs w:val="20"/>
                  <w:u w:val="none"/>
                </w:rPr>
                <w:t xml:space="preserve"> Stockholders’ Equity</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58" w:history="1">
              <w:r>
                <w:rPr>
                  <w:rStyle w:val="a3"/>
                  <w:rFonts w:eastAsia="Times New Roman"/>
                  <w:color w:val="000000"/>
                  <w:sz w:val="20"/>
                  <w:szCs w:val="20"/>
                  <w:u w:val="none"/>
                </w:rPr>
                <w:t>77</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637302235"/>
              <w:rPr>
                <w:rFonts w:eastAsia="Times New Roman"/>
              </w:rPr>
            </w:pPr>
            <w:hyperlink w:anchor="i86ab6d5a0edf43c49d46a425718ef61b_364"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64" w:history="1">
              <w:r>
                <w:rPr>
                  <w:rStyle w:val="a3"/>
                  <w:rFonts w:eastAsia="Times New Roman"/>
                  <w:color w:val="000000"/>
                  <w:sz w:val="20"/>
                  <w:szCs w:val="20"/>
                  <w:u w:val="none"/>
                </w:rPr>
                <w:t>79</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2004972437"/>
              <w:rPr>
                <w:rFonts w:eastAsia="Times New Roman"/>
              </w:rPr>
            </w:pPr>
            <w:hyperlink w:anchor="i86ab6d5a0edf43c49d46a425718ef61b_370"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70" w:history="1">
              <w:r>
                <w:rPr>
                  <w:rStyle w:val="a3"/>
                  <w:rFonts w:eastAsia="Times New Roman"/>
                  <w:color w:val="000000"/>
                  <w:sz w:val="20"/>
                  <w:szCs w:val="20"/>
                  <w:u w:val="none"/>
                </w:rPr>
                <w:t>81</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325671206"/>
              <w:rPr>
                <w:rFonts w:eastAsia="Times New Roman"/>
              </w:rPr>
            </w:pPr>
            <w:hyperlink w:anchor="i86ab6d5a0edf43c49d46a425718ef61b_370"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70" w:history="1">
              <w:r>
                <w:rPr>
                  <w:rStyle w:val="a3"/>
                  <w:rFonts w:eastAsia="Times New Roman"/>
                  <w:color w:val="000000"/>
                  <w:sz w:val="20"/>
                  <w:szCs w:val="20"/>
                  <w:u w:val="none"/>
                </w:rPr>
                <w:t>81</w:t>
              </w:r>
            </w:hyperlink>
          </w:p>
        </w:tc>
      </w:tr>
      <w:tr w:rsidR="00000000">
        <w:trPr>
          <w:divId w:val="999817750"/>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divId w:val="1762603809"/>
              <w:rPr>
                <w:rFonts w:eastAsia="Times New Roman"/>
              </w:rPr>
            </w:pPr>
            <w:hyperlink w:anchor="i86ab6d5a0edf43c49d46a425718ef61b_376"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76" w:history="1">
              <w:r>
                <w:rPr>
                  <w:rStyle w:val="a3"/>
                  <w:rFonts w:eastAsia="Times New Roman"/>
                  <w:color w:val="000000"/>
                  <w:sz w:val="20"/>
                  <w:szCs w:val="20"/>
                  <w:u w:val="none"/>
                </w:rPr>
                <w:t>90</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331643391"/>
              <w:rPr>
                <w:rFonts w:eastAsia="Times New Roman"/>
              </w:rPr>
            </w:pPr>
            <w:hyperlink w:anchor="i86ab6d5a0edf43c49d46a425718ef61b_382"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82" w:history="1">
              <w:r>
                <w:rPr>
                  <w:rStyle w:val="a3"/>
                  <w:rFonts w:eastAsia="Times New Roman"/>
                  <w:color w:val="000000"/>
                  <w:sz w:val="20"/>
                  <w:szCs w:val="20"/>
                  <w:u w:val="none"/>
                </w:rPr>
                <w:t>93</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471829146"/>
              <w:rPr>
                <w:rFonts w:eastAsia="Times New Roman"/>
              </w:rPr>
            </w:pPr>
            <w:hyperlink w:anchor="i86ab6d5a0edf43c49d46a425718ef61b_412" w:history="1">
              <w:r>
                <w:rPr>
                  <w:rStyle w:val="a3"/>
                  <w:rFonts w:eastAsia="Times New Roman"/>
                  <w:color w:val="000000"/>
                  <w:sz w:val="20"/>
                  <w:szCs w:val="20"/>
                  <w:u w:val="none"/>
                </w:rPr>
                <w:t>Note 4—</w:t>
              </w:r>
              <w:r>
                <w:rPr>
                  <w:rStyle w:val="a3"/>
                  <w:rFonts w:eastAsia="Times New Roman"/>
                  <w:color w:val="000000"/>
                  <w:sz w:val="20"/>
                  <w:szCs w:val="20"/>
                  <w:u w:val="none"/>
                </w:rPr>
                <w:t>Allowance for Credit Losses and Reserve for Unfunded Lending Commitments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12" w:history="1">
              <w:r>
                <w:rPr>
                  <w:rStyle w:val="a3"/>
                  <w:rFonts w:eastAsia="Times New Roman"/>
                  <w:color w:val="000000"/>
                  <w:sz w:val="20"/>
                  <w:szCs w:val="20"/>
                  <w:u w:val="none"/>
                </w:rPr>
                <w:t>102</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767234572"/>
              <w:rPr>
                <w:rFonts w:eastAsia="Times New Roman"/>
              </w:rPr>
            </w:pPr>
            <w:hyperlink w:anchor="i86ab6d5a0edf43c49d46a425718ef61b_415" w:history="1">
              <w:r>
                <w:rPr>
                  <w:rStyle w:val="a3"/>
                  <w:rFonts w:eastAsia="Times New Roman"/>
                  <w:color w:val="000000"/>
                  <w:sz w:val="20"/>
                  <w:szCs w:val="20"/>
                  <w:u w:val="none"/>
                </w:rPr>
                <w:t>Note 5—Variable Interest Entities and Securitizatio</w:t>
              </w:r>
              <w:r>
                <w:rPr>
                  <w:rStyle w:val="a3"/>
                  <w:rFonts w:eastAsia="Times New Roman"/>
                  <w:color w:val="000000"/>
                  <w:sz w:val="20"/>
                  <w:szCs w:val="20"/>
                  <w:u w:val="none"/>
                </w:rPr>
                <w:t>ns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15" w:history="1">
              <w:r>
                <w:rPr>
                  <w:rStyle w:val="a3"/>
                  <w:rFonts w:eastAsia="Times New Roman"/>
                  <w:color w:val="000000"/>
                  <w:sz w:val="20"/>
                  <w:szCs w:val="20"/>
                  <w:u w:val="none"/>
                </w:rPr>
                <w:t>106</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771973157"/>
              <w:rPr>
                <w:rFonts w:eastAsia="Times New Roman"/>
              </w:rPr>
            </w:pPr>
            <w:hyperlink w:anchor="i86ab6d5a0edf43c49d46a425718ef61b_421" w:history="1">
              <w:r>
                <w:rPr>
                  <w:rStyle w:val="a3"/>
                  <w:rFonts w:eastAsia="Times New Roman"/>
                  <w:color w:val="000000"/>
                  <w:sz w:val="20"/>
                  <w:szCs w:val="20"/>
                  <w:u w:val="none"/>
                </w:rPr>
                <w:t>Note 6—Goodwill and Intangible Assets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21" w:history="1">
              <w:r>
                <w:rPr>
                  <w:rStyle w:val="a3"/>
                  <w:rFonts w:eastAsia="Times New Roman"/>
                  <w:color w:val="000000"/>
                  <w:sz w:val="20"/>
                  <w:szCs w:val="20"/>
                  <w:u w:val="none"/>
                </w:rPr>
                <w:t>110</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507091788"/>
              <w:rPr>
                <w:rFonts w:eastAsia="Times New Roman"/>
              </w:rPr>
            </w:pPr>
            <w:hyperlink w:anchor="i86ab6d5a0edf43c49d46a425718ef61b_430"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30" w:history="1">
              <w:r>
                <w:rPr>
                  <w:rStyle w:val="a3"/>
                  <w:rFonts w:eastAsia="Times New Roman"/>
                  <w:color w:val="000000"/>
                  <w:sz w:val="20"/>
                  <w:szCs w:val="20"/>
                  <w:u w:val="none"/>
                </w:rPr>
                <w:t>111</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770204074"/>
              <w:rPr>
                <w:rFonts w:eastAsia="Times New Roman"/>
              </w:rPr>
            </w:pPr>
            <w:hyperlink w:anchor="i86ab6d5a0edf43c49d46a425718ef61b_436"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36" w:history="1">
              <w:r>
                <w:rPr>
                  <w:rStyle w:val="a3"/>
                  <w:rFonts w:eastAsia="Times New Roman"/>
                  <w:color w:val="000000"/>
                  <w:sz w:val="20"/>
                  <w:szCs w:val="20"/>
                  <w:u w:val="none"/>
                </w:rPr>
                <w:t>112</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758742412"/>
              <w:rPr>
                <w:rFonts w:eastAsia="Times New Roman"/>
              </w:rPr>
            </w:pPr>
            <w:hyperlink w:anchor="i86ab6d5a0edf43c49d46a425718ef61b_442"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42" w:history="1">
              <w:r>
                <w:rPr>
                  <w:rStyle w:val="a3"/>
                  <w:rFonts w:eastAsia="Times New Roman"/>
                  <w:color w:val="000000"/>
                  <w:sz w:val="20"/>
                  <w:szCs w:val="20"/>
                  <w:u w:val="none"/>
                </w:rPr>
                <w:t>122</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967619876"/>
              <w:rPr>
                <w:rFonts w:eastAsia="Times New Roman"/>
              </w:rPr>
            </w:pPr>
            <w:hyperlink w:anchor="i86ab6d5a0edf43c49d46a425718ef61b_451"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51" w:history="1">
              <w:r>
                <w:rPr>
                  <w:rStyle w:val="a3"/>
                  <w:rFonts w:eastAsia="Times New Roman"/>
                  <w:color w:val="000000"/>
                  <w:sz w:val="20"/>
                  <w:szCs w:val="20"/>
                  <w:u w:val="none"/>
                </w:rPr>
                <w:t>126</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104494188"/>
              <w:rPr>
                <w:rFonts w:eastAsia="Times New Roman"/>
              </w:rPr>
            </w:pPr>
            <w:hyperlink w:anchor="i86ab6d5a0edf43c49d46a425718ef61b_469"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69" w:history="1">
              <w:r>
                <w:rPr>
                  <w:rStyle w:val="a3"/>
                  <w:rFonts w:eastAsia="Times New Roman"/>
                  <w:color w:val="000000"/>
                  <w:sz w:val="20"/>
                  <w:szCs w:val="20"/>
                  <w:u w:val="none"/>
                </w:rPr>
                <w:t>127</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395546812"/>
              <w:rPr>
                <w:rFonts w:eastAsia="Times New Roman"/>
              </w:rPr>
            </w:pPr>
            <w:hyperlink w:anchor="i86ab6d5a0edf43c49d46a425718ef61b_475"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75" w:history="1">
              <w:r>
                <w:rPr>
                  <w:rStyle w:val="a3"/>
                  <w:rFonts w:eastAsia="Times New Roman"/>
                  <w:color w:val="000000"/>
                  <w:sz w:val="20"/>
                  <w:szCs w:val="20"/>
                  <w:u w:val="none"/>
                </w:rPr>
                <w:t>134</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69610150"/>
              <w:rPr>
                <w:rFonts w:eastAsia="Times New Roman"/>
              </w:rPr>
            </w:pPr>
            <w:hyperlink w:anchor="i86ab6d5a0edf43c49d46a425718ef61b_481"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481" w:history="1">
              <w:r>
                <w:rPr>
                  <w:rStyle w:val="a3"/>
                  <w:rFonts w:eastAsia="Times New Roman"/>
                  <w:color w:val="000000"/>
                  <w:sz w:val="20"/>
                  <w:szCs w:val="20"/>
                  <w:u w:val="none"/>
                </w:rPr>
                <w:t>138</w:t>
              </w:r>
            </w:hyperlink>
          </w:p>
        </w:tc>
      </w:tr>
      <w:tr w:rsidR="00000000">
        <w:trPr>
          <w:divId w:val="999817750"/>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Height w:val="28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36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999817750"/>
        </w:trPr>
        <w:tc>
          <w:tcPr>
            <w:tcW w:w="0" w:type="auto"/>
            <w:gridSpan w:val="3"/>
            <w:tcMar>
              <w:top w:w="30" w:type="dxa"/>
              <w:left w:w="20" w:type="dxa"/>
              <w:bottom w:w="30" w:type="dxa"/>
              <w:right w:w="20" w:type="dxa"/>
            </w:tcMar>
            <w:hideMark/>
          </w:tcPr>
          <w:p w:rsidR="00000000" w:rsidRDefault="00795D39">
            <w:pPr>
              <w:divId w:val="2028945815"/>
              <w:rPr>
                <w:rFonts w:eastAsia="Times New Roman"/>
              </w:rPr>
            </w:pPr>
            <w:hyperlink w:anchor="i86ab6d5a0edf43c49d46a425718ef61b_70"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795D39">
            <w:pPr>
              <w:divId w:val="1313676098"/>
              <w:rPr>
                <w:rFonts w:eastAsia="Times New Roman"/>
              </w:rPr>
            </w:pPr>
            <w:hyperlink w:anchor="i86ab6d5a0edf43c49d46a425718ef61b_70" w:history="1">
              <w:r>
                <w:rPr>
                  <w:rStyle w:val="a3"/>
                  <w:rFonts w:eastAsia="Times New Roman"/>
                  <w:color w:val="000000"/>
                  <w:sz w:val="20"/>
                  <w:szCs w:val="20"/>
                  <w:u w:val="none"/>
                </w:rPr>
                <w:t>Management’</w:t>
              </w:r>
              <w:r>
                <w:rPr>
                  <w:rStyle w:val="a3"/>
                  <w:rFonts w:eastAsia="Times New Roman"/>
                  <w:color w:val="000000"/>
                  <w:sz w:val="20"/>
                  <w:szCs w:val="20"/>
                  <w:u w:val="none"/>
                </w:rPr>
                <w: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70" w:history="1">
              <w:r>
                <w:rPr>
                  <w:rStyle w:val="a3"/>
                  <w:rFonts w:eastAsia="Times New Roman"/>
                  <w:color w:val="000000"/>
                  <w:sz w:val="20"/>
                  <w:szCs w:val="20"/>
                  <w:u w:val="none"/>
                </w:rPr>
                <w:t>4</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980774237"/>
              <w:rPr>
                <w:rFonts w:eastAsia="Times New Roman"/>
              </w:rPr>
            </w:pPr>
            <w:hyperlink w:anchor="i86ab6d5a0edf43c49d46a425718ef61b_73" w:history="1">
              <w:r>
                <w:rPr>
                  <w:rStyle w:val="a3"/>
                  <w:rFonts w:eastAsia="Times New Roman"/>
                  <w:color w:val="000000"/>
                  <w:sz w:val="20"/>
                  <w:szCs w:val="20"/>
                  <w:u w:val="none"/>
                </w:rPr>
                <w:t>Introduction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73" w:history="1">
              <w:r>
                <w:rPr>
                  <w:rStyle w:val="a3"/>
                  <w:rFonts w:eastAsia="Times New Roman"/>
                  <w:color w:val="000000"/>
                  <w:sz w:val="20"/>
                  <w:szCs w:val="20"/>
                  <w:u w:val="none"/>
                </w:rPr>
                <w:t>4</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819007769"/>
              <w:rPr>
                <w:rFonts w:eastAsia="Times New Roman"/>
              </w:rPr>
            </w:pPr>
            <w:hyperlink w:anchor="i86ab6d5a0edf43c49d46a425718ef61b_85"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85" w:history="1">
              <w:r>
                <w:rPr>
                  <w:rStyle w:val="a3"/>
                  <w:rFonts w:eastAsia="Times New Roman"/>
                  <w:color w:val="000000"/>
                  <w:sz w:val="20"/>
                  <w:szCs w:val="20"/>
                  <w:u w:val="none"/>
                </w:rPr>
                <w:t>8</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968318306"/>
              <w:rPr>
                <w:rFonts w:eastAsia="Times New Roman"/>
              </w:rPr>
            </w:pPr>
            <w:hyperlink w:anchor="i86ab6d5a0edf43c49d46a425718ef61b_91" w:history="1">
              <w:r>
                <w:rPr>
                  <w:rStyle w:val="a3"/>
                  <w:rFonts w:eastAsia="Times New Roman"/>
                  <w:color w:val="000000"/>
                  <w:sz w:val="20"/>
                  <w:szCs w:val="20"/>
                  <w:u w:val="none"/>
                </w:rPr>
                <w:t>Executive Summary and Business Outlook</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91" w:history="1">
              <w:r>
                <w:rPr>
                  <w:rStyle w:val="a3"/>
                  <w:rFonts w:eastAsia="Times New Roman"/>
                  <w:color w:val="000000"/>
                  <w:sz w:val="20"/>
                  <w:szCs w:val="20"/>
                  <w:u w:val="none"/>
                </w:rPr>
                <w:t>11</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2023848459"/>
              <w:rPr>
                <w:rFonts w:eastAsia="Times New Roman"/>
              </w:rPr>
            </w:pPr>
            <w:hyperlink w:anchor="i86ab6d5a0edf43c49d46a425718ef61b_100" w:history="1">
              <w:r>
                <w:rPr>
                  <w:rStyle w:val="a3"/>
                  <w:rFonts w:eastAsia="Times New Roman"/>
                  <w:color w:val="000000"/>
                  <w:sz w:val="20"/>
                  <w:szCs w:val="20"/>
                  <w:u w:val="none"/>
                </w:rPr>
                <w:t>Consolidated Results of Oper</w:t>
              </w:r>
              <w:r>
                <w:rPr>
                  <w:rStyle w:val="a3"/>
                  <w:rFonts w:eastAsia="Times New Roman"/>
                  <w:color w:val="000000"/>
                  <w:sz w:val="20"/>
                  <w:szCs w:val="20"/>
                  <w:u w:val="none"/>
                </w:rPr>
                <w:t>ations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00" w:history="1">
              <w:r>
                <w:rPr>
                  <w:rStyle w:val="a3"/>
                  <w:rFonts w:eastAsia="Times New Roman"/>
                  <w:color w:val="000000"/>
                  <w:sz w:val="20"/>
                  <w:szCs w:val="20"/>
                  <w:u w:val="none"/>
                </w:rPr>
                <w:t>13</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430316564"/>
              <w:rPr>
                <w:rFonts w:eastAsia="Times New Roman"/>
              </w:rPr>
            </w:pPr>
            <w:hyperlink w:anchor="i86ab6d5a0edf43c49d46a425718ef61b_124"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24" w:history="1">
              <w:r>
                <w:rPr>
                  <w:rStyle w:val="a3"/>
                  <w:rFonts w:eastAsia="Times New Roman"/>
                  <w:color w:val="000000"/>
                  <w:sz w:val="20"/>
                  <w:szCs w:val="20"/>
                  <w:u w:val="none"/>
                </w:rPr>
                <w:t>19</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278563296"/>
              <w:rPr>
                <w:rFonts w:eastAsia="Times New Roman"/>
              </w:rPr>
            </w:pPr>
            <w:hyperlink w:anchor="i86ab6d5a0edf43c49d46a425718ef61b_148" w:history="1">
              <w:r>
                <w:rPr>
                  <w:rStyle w:val="a3"/>
                  <w:rFonts w:eastAsia="Times New Roman"/>
                  <w:color w:val="000000"/>
                  <w:sz w:val="20"/>
                  <w:szCs w:val="20"/>
                  <w:u w:val="none"/>
                </w:rPr>
                <w:t>Off-Balance Sheet Arrangements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48" w:history="1">
              <w:r>
                <w:rPr>
                  <w:rStyle w:val="a3"/>
                  <w:rFonts w:eastAsia="Times New Roman"/>
                  <w:color w:val="000000"/>
                  <w:sz w:val="20"/>
                  <w:szCs w:val="20"/>
                  <w:u w:val="none"/>
                </w:rPr>
                <w:t>21</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384598595"/>
              <w:rPr>
                <w:rFonts w:eastAsia="Times New Roman"/>
              </w:rPr>
            </w:pPr>
            <w:hyperlink w:anchor="i86ab6d5a0edf43c49d46a425718ef61b_151" w:history="1">
              <w:r>
                <w:rPr>
                  <w:rStyle w:val="a3"/>
                  <w:rFonts w:eastAsia="Times New Roman"/>
                  <w:color w:val="000000"/>
                  <w:sz w:val="20"/>
                  <w:szCs w:val="20"/>
                  <w:u w:val="none"/>
                </w:rPr>
                <w:t>Business Segment Financial Performance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51" w:history="1">
              <w:r>
                <w:rPr>
                  <w:rStyle w:val="a3"/>
                  <w:rFonts w:eastAsia="Times New Roman"/>
                  <w:color w:val="000000"/>
                  <w:sz w:val="20"/>
                  <w:szCs w:val="20"/>
                  <w:u w:val="none"/>
                </w:rPr>
                <w:t>21</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405683136"/>
              <w:rPr>
                <w:rFonts w:eastAsia="Times New Roman"/>
              </w:rPr>
            </w:pPr>
            <w:hyperlink w:anchor="i86ab6d5a0edf43c49d46a425718ef61b_172" w:history="1">
              <w:r>
                <w:rPr>
                  <w:rStyle w:val="a3"/>
                  <w:rFonts w:eastAsia="Times New Roman"/>
                  <w:color w:val="000000"/>
                  <w:sz w:val="20"/>
                  <w:szCs w:val="20"/>
                  <w:u w:val="none"/>
                </w:rPr>
                <w:t>Critical Accounting Polici</w:t>
              </w:r>
              <w:r>
                <w:rPr>
                  <w:rStyle w:val="a3"/>
                  <w:rFonts w:eastAsia="Times New Roman"/>
                  <w:color w:val="000000"/>
                  <w:sz w:val="20"/>
                  <w:szCs w:val="20"/>
                  <w:u w:val="none"/>
                </w:rPr>
                <w:t>es and Estimates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72" w:history="1">
              <w:r>
                <w:rPr>
                  <w:rStyle w:val="a3"/>
                  <w:rFonts w:eastAsia="Times New Roman"/>
                  <w:color w:val="000000"/>
                  <w:sz w:val="20"/>
                  <w:szCs w:val="20"/>
                  <w:u w:val="none"/>
                </w:rPr>
                <w:t>32</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755513709"/>
              <w:rPr>
                <w:rFonts w:eastAsia="Times New Roman"/>
              </w:rPr>
            </w:pPr>
            <w:hyperlink w:anchor="i86ab6d5a0edf43c49d46a425718ef61b_178"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78" w:history="1">
              <w:r>
                <w:rPr>
                  <w:rStyle w:val="a3"/>
                  <w:rFonts w:eastAsia="Times New Roman"/>
                  <w:color w:val="000000"/>
                  <w:sz w:val="20"/>
                  <w:szCs w:val="20"/>
                  <w:u w:val="none"/>
                </w:rPr>
                <w:t>34</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372459818"/>
              <w:rPr>
                <w:rFonts w:eastAsia="Times New Roman"/>
              </w:rPr>
            </w:pPr>
            <w:hyperlink w:anchor="i86ab6d5a0edf43c49d46a425718ef61b_184"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81" w:history="1">
              <w:r>
                <w:rPr>
                  <w:rStyle w:val="a3"/>
                  <w:rFonts w:eastAsia="Times New Roman"/>
                  <w:color w:val="000000"/>
                  <w:sz w:val="20"/>
                  <w:szCs w:val="20"/>
                  <w:u w:val="none"/>
                </w:rPr>
                <w:t>35</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2140105543"/>
              <w:rPr>
                <w:rFonts w:eastAsia="Times New Roman"/>
              </w:rPr>
            </w:pPr>
            <w:hyperlink w:anchor="i86ab6d5a0edf43c49d46a425718ef61b_199"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99" w:history="1">
              <w:r>
                <w:rPr>
                  <w:rStyle w:val="a3"/>
                  <w:rFonts w:eastAsia="Times New Roman"/>
                  <w:color w:val="000000"/>
                  <w:sz w:val="20"/>
                  <w:szCs w:val="20"/>
                  <w:u w:val="none"/>
                </w:rPr>
                <w:t>41</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552934218"/>
              <w:rPr>
                <w:rFonts w:eastAsia="Times New Roman"/>
              </w:rPr>
            </w:pPr>
            <w:hyperlink w:anchor="i86ab6d5a0edf43c49d46a425718ef61b_202"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02" w:history="1">
              <w:r>
                <w:rPr>
                  <w:rStyle w:val="a3"/>
                  <w:rFonts w:eastAsia="Times New Roman"/>
                  <w:color w:val="000000"/>
                  <w:sz w:val="20"/>
                  <w:szCs w:val="20"/>
                  <w:u w:val="none"/>
                </w:rPr>
                <w:t>42</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931236014"/>
              <w:rPr>
                <w:rFonts w:eastAsia="Times New Roman"/>
              </w:rPr>
            </w:pPr>
            <w:hyperlink w:anchor="i86ab6d5a0edf43c49d46a425718ef61b_259"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59" w:history="1">
              <w:r>
                <w:rPr>
                  <w:rStyle w:val="a3"/>
                  <w:rFonts w:eastAsia="Times New Roman"/>
                  <w:color w:val="000000"/>
                  <w:sz w:val="20"/>
                  <w:szCs w:val="20"/>
                  <w:u w:val="none"/>
                </w:rPr>
                <w:t>55</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840844726"/>
              <w:rPr>
                <w:rFonts w:eastAsia="Times New Roman"/>
              </w:rPr>
            </w:pPr>
            <w:hyperlink w:anchor="i86ab6d5a0edf43c49d46a425718ef61b_289"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89" w:history="1">
              <w:r>
                <w:rPr>
                  <w:rStyle w:val="a3"/>
                  <w:rFonts w:eastAsia="Times New Roman"/>
                  <w:color w:val="000000"/>
                  <w:sz w:val="20"/>
                  <w:szCs w:val="20"/>
                  <w:u w:val="none"/>
                </w:rPr>
                <w:t>58</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443067735"/>
              <w:rPr>
                <w:rFonts w:eastAsia="Times New Roman"/>
              </w:rPr>
            </w:pPr>
            <w:hyperlink w:anchor="i86ab6d5a0edf43c49d46a425718ef61b_298" w:history="1">
              <w:r>
                <w:rPr>
                  <w:rStyle w:val="a3"/>
                  <w:rFonts w:eastAsia="Times New Roman"/>
                  <w:color w:val="000000"/>
                  <w:sz w:val="20"/>
                  <w:szCs w:val="20"/>
                  <w:u w:val="none"/>
                </w:rPr>
                <w:t>Supervision and Regulation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98" w:history="1">
              <w:r>
                <w:rPr>
                  <w:rStyle w:val="a3"/>
                  <w:rFonts w:eastAsia="Times New Roman"/>
                  <w:color w:val="000000"/>
                  <w:sz w:val="20"/>
                  <w:szCs w:val="20"/>
                  <w:u w:val="none"/>
                </w:rPr>
                <w:t>62</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604459719"/>
              <w:rPr>
                <w:rFonts w:eastAsia="Times New Roman"/>
              </w:rPr>
            </w:pPr>
            <w:hyperlink w:anchor="i86ab6d5a0edf43c49d46a425718ef61b_301" w:history="1">
              <w:r>
                <w:rPr>
                  <w:rStyle w:val="a3"/>
                  <w:rFonts w:eastAsia="Times New Roman"/>
                  <w:color w:val="000000"/>
                  <w:sz w:val="20"/>
                  <w:szCs w:val="20"/>
                  <w:u w:val="none"/>
                </w:rPr>
                <w:t>Forward-Looking Statements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01" w:history="1">
              <w:r>
                <w:rPr>
                  <w:rStyle w:val="a3"/>
                  <w:rFonts w:eastAsia="Times New Roman"/>
                  <w:color w:val="000000"/>
                  <w:sz w:val="20"/>
                  <w:szCs w:val="20"/>
                  <w:u w:val="none"/>
                </w:rPr>
                <w:t>63</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557283192"/>
              <w:rPr>
                <w:rFonts w:eastAsia="Times New Roman"/>
              </w:rPr>
            </w:pPr>
            <w:hyperlink w:anchor="i86ab6d5a0edf43c49d46a425718ef61b_304" w:history="1">
              <w:r>
                <w:rPr>
                  <w:rStyle w:val="a3"/>
                  <w:rFonts w:eastAsia="Times New Roman"/>
                  <w:color w:val="000000"/>
                  <w:sz w:val="20"/>
                  <w:szCs w:val="20"/>
                  <w:u w:val="none"/>
                </w:rPr>
                <w:t>Supplemental Table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04" w:history="1">
              <w:r>
                <w:rPr>
                  <w:rStyle w:val="a3"/>
                  <w:rFonts w:eastAsia="Times New Roman"/>
                  <w:color w:val="000000"/>
                  <w:sz w:val="20"/>
                  <w:szCs w:val="20"/>
                  <w:u w:val="none"/>
                </w:rPr>
                <w:t>66</w:t>
              </w:r>
            </w:hyperlink>
          </w:p>
        </w:tc>
      </w:tr>
      <w:tr w:rsidR="00000000">
        <w:trPr>
          <w:divId w:val="9998177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divId w:val="1435975685"/>
              <w:rPr>
                <w:rFonts w:eastAsia="Times New Roman"/>
              </w:rPr>
            </w:pPr>
            <w:hyperlink w:anchor="i86ab6d5a0edf43c49d46a425718ef61b_328" w:history="1">
              <w:r>
                <w:rPr>
                  <w:rStyle w:val="a3"/>
                  <w:rFonts w:eastAsia="Times New Roman"/>
                  <w:color w:val="000000"/>
                  <w:sz w:val="20"/>
                  <w:szCs w:val="20"/>
                  <w:u w:val="none"/>
                </w:rPr>
                <w:t>Glossary and Acronyms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28" w:history="1">
              <w:r>
                <w:rPr>
                  <w:rStyle w:val="a3"/>
                  <w:rFonts w:eastAsia="Times New Roman"/>
                  <w:color w:val="000000"/>
                  <w:sz w:val="20"/>
                  <w:szCs w:val="20"/>
                  <w:u w:val="none"/>
                </w:rPr>
                <w:t>67</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26" style="width:0;height:1.5pt" o:hralign="center" o:hrstd="t" o:hr="t" fillcolor="#a0a0a0" stroked="f"/>
        </w:pict>
      </w:r>
    </w:p>
    <w:p w:rsidR="00000000" w:rsidRDefault="00795D39">
      <w:pPr>
        <w:jc w:val="both"/>
        <w:divId w:val="6928506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4"/>
        <w:gridCol w:w="569"/>
        <w:gridCol w:w="37"/>
        <w:gridCol w:w="69"/>
        <w:gridCol w:w="6842"/>
        <w:gridCol w:w="36"/>
        <w:gridCol w:w="69"/>
        <w:gridCol w:w="574"/>
        <w:gridCol w:w="36"/>
      </w:tblGrid>
      <w:tr w:rsidR="00000000">
        <w:trPr>
          <w:divId w:val="1808624334"/>
        </w:trPr>
        <w:tc>
          <w:tcPr>
            <w:tcW w:w="50" w:type="pct"/>
            <w:vAlign w:val="center"/>
            <w:hideMark/>
          </w:tcPr>
          <w:p w:rsidR="00000000" w:rsidRDefault="00795D39">
            <w:pPr>
              <w:jc w:val="both"/>
              <w:rPr>
                <w:rFonts w:eastAsia="Times New Roman"/>
              </w:rPr>
            </w:pPr>
          </w:p>
        </w:tc>
        <w:tc>
          <w:tcPr>
            <w:tcW w:w="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08624334"/>
        </w:trPr>
        <w:tc>
          <w:tcPr>
            <w:tcW w:w="0" w:type="auto"/>
            <w:gridSpan w:val="3"/>
            <w:tcMar>
              <w:top w:w="30" w:type="dxa"/>
              <w:left w:w="20" w:type="dxa"/>
              <w:bottom w:w="30" w:type="dxa"/>
              <w:right w:w="20" w:type="dxa"/>
            </w:tcMar>
            <w:hideMark/>
          </w:tcPr>
          <w:p w:rsidR="00000000" w:rsidRDefault="00795D39">
            <w:pPr>
              <w:divId w:val="925696548"/>
              <w:rPr>
                <w:rFonts w:eastAsia="Times New Roman"/>
              </w:rPr>
            </w:pPr>
            <w:hyperlink w:anchor="i86ab6d5a0edf43c49d46a425718ef61b_502"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795D39">
            <w:pPr>
              <w:divId w:val="883370577"/>
              <w:rPr>
                <w:rFonts w:eastAsia="Times New Roman"/>
              </w:rPr>
            </w:pPr>
            <w:hyperlink w:anchor="i86ab6d5a0edf43c49d46a425718ef61b_502"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02" w:history="1">
              <w:r>
                <w:rPr>
                  <w:rStyle w:val="a3"/>
                  <w:rFonts w:eastAsia="Times New Roman"/>
                  <w:color w:val="000000"/>
                  <w:sz w:val="20"/>
                  <w:szCs w:val="20"/>
                  <w:u w:val="none"/>
                </w:rPr>
                <w:t>142</w:t>
              </w:r>
            </w:hyperlink>
          </w:p>
        </w:tc>
      </w:tr>
      <w:tr w:rsidR="00000000">
        <w:trPr>
          <w:divId w:val="1808624334"/>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tcMar>
              <w:top w:w="30" w:type="dxa"/>
              <w:left w:w="20" w:type="dxa"/>
              <w:bottom w:w="30" w:type="dxa"/>
              <w:right w:w="20" w:type="dxa"/>
            </w:tcMar>
            <w:vAlign w:val="bottom"/>
            <w:hideMark/>
          </w:tcPr>
          <w:p w:rsidR="00000000" w:rsidRDefault="00795D39">
            <w:pPr>
              <w:divId w:val="2114739173"/>
              <w:rPr>
                <w:rFonts w:eastAsia="Times New Roman"/>
              </w:rPr>
            </w:pPr>
            <w:hyperlink w:anchor="i86ab6d5a0edf43c49d46a425718ef61b_505"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795D39">
            <w:pPr>
              <w:divId w:val="300230561"/>
              <w:rPr>
                <w:rFonts w:eastAsia="Times New Roman"/>
              </w:rPr>
            </w:pPr>
            <w:hyperlink w:anchor="i86ab6d5a0edf43c49d46a425718ef61b_505" w:history="1">
              <w:r>
                <w:rPr>
                  <w:rStyle w:val="a3"/>
                  <w:rFonts w:eastAsia="Times New Roman"/>
                  <w:color w:val="000000"/>
                  <w:sz w:val="20"/>
                  <w:szCs w:val="20"/>
                  <w:u w:val="none"/>
                </w:rPr>
                <w:t>Controls and Procedures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05" w:history="1">
              <w:r>
                <w:rPr>
                  <w:rStyle w:val="a3"/>
                  <w:rFonts w:eastAsia="Times New Roman"/>
                  <w:color w:val="000000"/>
                  <w:sz w:val="20"/>
                  <w:szCs w:val="20"/>
                  <w:u w:val="none"/>
                </w:rPr>
                <w:t>142</w:t>
              </w:r>
            </w:hyperlink>
          </w:p>
        </w:tc>
      </w:tr>
      <w:tr w:rsidR="00000000">
        <w:trPr>
          <w:divId w:val="1808624334"/>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Height w:val="28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8624334"/>
        </w:trPr>
        <w:tc>
          <w:tcPr>
            <w:tcW w:w="0" w:type="auto"/>
            <w:gridSpan w:val="6"/>
            <w:tcMar>
              <w:top w:w="30" w:type="dxa"/>
              <w:left w:w="20" w:type="dxa"/>
              <w:bottom w:w="30" w:type="dxa"/>
              <w:right w:w="20" w:type="dxa"/>
            </w:tcMar>
            <w:vAlign w:val="bottom"/>
            <w:hideMark/>
          </w:tcPr>
          <w:p w:rsidR="00000000" w:rsidRDefault="00795D39">
            <w:pPr>
              <w:divId w:val="1667978726"/>
              <w:rPr>
                <w:rFonts w:eastAsia="Times New Roman"/>
              </w:rPr>
            </w:pPr>
            <w:hyperlink w:anchor="i86ab6d5a0edf43c49d46a425718ef61b_508" w:history="1">
              <w:r>
                <w:rPr>
                  <w:rStyle w:val="a3"/>
                  <w:rFonts w:eastAsia="Times New Roman"/>
                  <w:b/>
                  <w:bCs/>
                  <w:color w:val="000000"/>
                  <w:sz w:val="20"/>
                  <w:szCs w:val="20"/>
                  <w:u w:val="none"/>
                </w:rPr>
                <w:t>PART II—OTHER INFORMATION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08" w:history="1">
              <w:r>
                <w:rPr>
                  <w:rStyle w:val="a3"/>
                  <w:rFonts w:eastAsia="Times New Roman"/>
                  <w:b/>
                  <w:bCs/>
                  <w:color w:val="000000"/>
                  <w:sz w:val="20"/>
                  <w:szCs w:val="20"/>
                  <w:u w:val="none"/>
                </w:rPr>
                <w:t>143</w:t>
              </w:r>
            </w:hyperlink>
          </w:p>
        </w:tc>
      </w:tr>
      <w:tr w:rsidR="00000000">
        <w:trPr>
          <w:divId w:val="1808624334"/>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tcMar>
              <w:top w:w="30" w:type="dxa"/>
              <w:left w:w="20" w:type="dxa"/>
              <w:bottom w:w="30" w:type="dxa"/>
              <w:right w:w="20" w:type="dxa"/>
            </w:tcMar>
            <w:vAlign w:val="bottom"/>
            <w:hideMark/>
          </w:tcPr>
          <w:p w:rsidR="00000000" w:rsidRDefault="00795D39">
            <w:pPr>
              <w:divId w:val="1797718972"/>
              <w:rPr>
                <w:rFonts w:eastAsia="Times New Roman"/>
              </w:rPr>
            </w:pPr>
            <w:hyperlink w:anchor="i86ab6d5a0edf43c49d46a425718ef61b_511"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795D39">
            <w:pPr>
              <w:divId w:val="1543592103"/>
              <w:rPr>
                <w:rFonts w:eastAsia="Times New Roman"/>
              </w:rPr>
            </w:pPr>
            <w:hyperlink w:anchor="i86ab6d5a0edf43c49d46a425718ef61b_511"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11" w:history="1">
              <w:r>
                <w:rPr>
                  <w:rStyle w:val="a3"/>
                  <w:rFonts w:eastAsia="Times New Roman"/>
                  <w:color w:val="000000"/>
                  <w:sz w:val="20"/>
                  <w:szCs w:val="20"/>
                  <w:u w:val="none"/>
                </w:rPr>
                <w:t>143</w:t>
              </w:r>
            </w:hyperlink>
          </w:p>
        </w:tc>
      </w:tr>
      <w:tr w:rsidR="00000000">
        <w:trPr>
          <w:divId w:val="1808624334"/>
        </w:trPr>
        <w:tc>
          <w:tcPr>
            <w:tcW w:w="0" w:type="auto"/>
            <w:gridSpan w:val="3"/>
            <w:tcMar>
              <w:top w:w="30" w:type="dxa"/>
              <w:left w:w="20" w:type="dxa"/>
              <w:bottom w:w="30" w:type="dxa"/>
              <w:right w:w="20" w:type="dxa"/>
            </w:tcMar>
            <w:vAlign w:val="bottom"/>
            <w:hideMark/>
          </w:tcPr>
          <w:p w:rsidR="00000000" w:rsidRDefault="00795D39">
            <w:pPr>
              <w:divId w:val="601839976"/>
              <w:rPr>
                <w:rFonts w:eastAsia="Times New Roman"/>
              </w:rPr>
            </w:pPr>
            <w:hyperlink w:anchor="i86ab6d5a0edf43c49d46a425718ef61b_514"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795D39">
            <w:pPr>
              <w:divId w:val="243151001"/>
              <w:rPr>
                <w:rFonts w:eastAsia="Times New Roman"/>
              </w:rPr>
            </w:pPr>
            <w:hyperlink w:anchor="i86ab6d5a0edf43c49d46a425718ef61b_514"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17" w:history="1">
              <w:r>
                <w:rPr>
                  <w:rStyle w:val="a3"/>
                  <w:rFonts w:eastAsia="Times New Roman"/>
                  <w:color w:val="000000"/>
                  <w:sz w:val="20"/>
                  <w:szCs w:val="20"/>
                  <w:u w:val="none"/>
                </w:rPr>
                <w:t>143</w:t>
              </w:r>
            </w:hyperlink>
          </w:p>
        </w:tc>
      </w:tr>
      <w:tr w:rsidR="00000000">
        <w:trPr>
          <w:divId w:val="1808624334"/>
        </w:trPr>
        <w:tc>
          <w:tcPr>
            <w:tcW w:w="0" w:type="auto"/>
            <w:gridSpan w:val="3"/>
            <w:tcMar>
              <w:top w:w="30" w:type="dxa"/>
              <w:left w:w="20" w:type="dxa"/>
              <w:bottom w:w="30" w:type="dxa"/>
              <w:right w:w="20" w:type="dxa"/>
            </w:tcMar>
            <w:vAlign w:val="bottom"/>
            <w:hideMark/>
          </w:tcPr>
          <w:p w:rsidR="00000000" w:rsidRDefault="00795D39">
            <w:pPr>
              <w:divId w:val="31929360"/>
              <w:rPr>
                <w:rFonts w:eastAsia="Times New Roman"/>
              </w:rPr>
            </w:pPr>
            <w:hyperlink w:anchor="i86ab6d5a0edf43c49d46a425718ef61b_517"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795D39">
            <w:pPr>
              <w:divId w:val="1513296919"/>
              <w:rPr>
                <w:rFonts w:eastAsia="Times New Roman"/>
              </w:rPr>
            </w:pPr>
            <w:hyperlink w:anchor="i86ab6d5a0edf43c49d46a425718ef61b_517" w:history="1">
              <w:r>
                <w:rPr>
                  <w:rStyle w:val="a3"/>
                  <w:rFonts w:eastAsia="Times New Roman"/>
                  <w:color w:val="000000"/>
                  <w:sz w:val="20"/>
                  <w:szCs w:val="20"/>
                  <w:u w:val="none"/>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17" w:history="1">
              <w:r>
                <w:rPr>
                  <w:rStyle w:val="a3"/>
                  <w:rFonts w:eastAsia="Times New Roman"/>
                  <w:color w:val="000000"/>
                  <w:sz w:val="20"/>
                  <w:szCs w:val="20"/>
                  <w:u w:val="none"/>
                </w:rPr>
                <w:t>143</w:t>
              </w:r>
            </w:hyperlink>
          </w:p>
        </w:tc>
      </w:tr>
      <w:tr w:rsidR="00000000">
        <w:trPr>
          <w:divId w:val="1808624334"/>
        </w:trPr>
        <w:tc>
          <w:tcPr>
            <w:tcW w:w="0" w:type="auto"/>
            <w:gridSpan w:val="3"/>
            <w:tcMar>
              <w:top w:w="30" w:type="dxa"/>
              <w:left w:w="20" w:type="dxa"/>
              <w:bottom w:w="30" w:type="dxa"/>
              <w:right w:w="20" w:type="dxa"/>
            </w:tcMar>
            <w:vAlign w:val="bottom"/>
            <w:hideMark/>
          </w:tcPr>
          <w:p w:rsidR="00000000" w:rsidRDefault="00795D39">
            <w:pPr>
              <w:divId w:val="1441148119"/>
              <w:rPr>
                <w:rFonts w:eastAsia="Times New Roman"/>
              </w:rPr>
            </w:pPr>
            <w:hyperlink w:anchor="i86ab6d5a0edf43c49d46a425718ef61b_520"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795D39">
            <w:pPr>
              <w:divId w:val="1339697931"/>
              <w:rPr>
                <w:rFonts w:eastAsia="Times New Roman"/>
              </w:rPr>
            </w:pPr>
            <w:hyperlink w:anchor="i86ab6d5a0edf43c49d46a425718ef61b_520" w:history="1">
              <w:r>
                <w:rPr>
                  <w:rStyle w:val="a3"/>
                  <w:rFonts w:eastAsia="Times New Roman"/>
                  <w:color w:val="000000"/>
                  <w:sz w:val="20"/>
                  <w:szCs w:val="20"/>
                  <w:u w:val="none"/>
                </w:rPr>
                <w:t>Defaults Upon Senior Securities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20" w:history="1">
              <w:r>
                <w:rPr>
                  <w:rStyle w:val="a3"/>
                  <w:rFonts w:eastAsia="Times New Roman"/>
                  <w:color w:val="000000"/>
                  <w:sz w:val="20"/>
                  <w:szCs w:val="20"/>
                  <w:u w:val="none"/>
                </w:rPr>
                <w:t>143</w:t>
              </w:r>
            </w:hyperlink>
          </w:p>
        </w:tc>
      </w:tr>
      <w:tr w:rsidR="00000000">
        <w:trPr>
          <w:divId w:val="1808624334"/>
        </w:trPr>
        <w:tc>
          <w:tcPr>
            <w:tcW w:w="0" w:type="auto"/>
            <w:gridSpan w:val="3"/>
            <w:tcMar>
              <w:top w:w="30" w:type="dxa"/>
              <w:left w:w="20" w:type="dxa"/>
              <w:bottom w:w="30" w:type="dxa"/>
              <w:right w:w="20" w:type="dxa"/>
            </w:tcMar>
            <w:vAlign w:val="bottom"/>
            <w:hideMark/>
          </w:tcPr>
          <w:p w:rsidR="00000000" w:rsidRDefault="00795D39">
            <w:pPr>
              <w:divId w:val="1463570796"/>
              <w:rPr>
                <w:rFonts w:eastAsia="Times New Roman"/>
              </w:rPr>
            </w:pPr>
            <w:hyperlink w:anchor="i86ab6d5a0edf43c49d46a425718ef61b_523"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795D39">
            <w:pPr>
              <w:divId w:val="1251038186"/>
              <w:rPr>
                <w:rFonts w:eastAsia="Times New Roman"/>
              </w:rPr>
            </w:pPr>
            <w:hyperlink w:anchor="i86ab6d5a0edf43c49d46a425718ef61b_523"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23" w:history="1">
              <w:r>
                <w:rPr>
                  <w:rStyle w:val="a3"/>
                  <w:rFonts w:eastAsia="Times New Roman"/>
                  <w:color w:val="000000"/>
                  <w:sz w:val="20"/>
                  <w:szCs w:val="20"/>
                  <w:u w:val="none"/>
                </w:rPr>
                <w:t>143</w:t>
              </w:r>
            </w:hyperlink>
          </w:p>
        </w:tc>
      </w:tr>
      <w:tr w:rsidR="00000000">
        <w:trPr>
          <w:divId w:val="1808624334"/>
        </w:trPr>
        <w:tc>
          <w:tcPr>
            <w:tcW w:w="0" w:type="auto"/>
            <w:gridSpan w:val="3"/>
            <w:tcMar>
              <w:top w:w="30" w:type="dxa"/>
              <w:left w:w="20" w:type="dxa"/>
              <w:bottom w:w="30" w:type="dxa"/>
              <w:right w:w="20" w:type="dxa"/>
            </w:tcMar>
            <w:vAlign w:val="bottom"/>
            <w:hideMark/>
          </w:tcPr>
          <w:p w:rsidR="00000000" w:rsidRDefault="00795D39">
            <w:pPr>
              <w:divId w:val="1365671276"/>
              <w:rPr>
                <w:rFonts w:eastAsia="Times New Roman"/>
              </w:rPr>
            </w:pPr>
            <w:hyperlink w:anchor="i86ab6d5a0edf43c49d46a425718ef61b_526"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795D39">
            <w:pPr>
              <w:divId w:val="887454551"/>
              <w:rPr>
                <w:rFonts w:eastAsia="Times New Roman"/>
              </w:rPr>
            </w:pPr>
            <w:hyperlink w:anchor="i86ab6d5a0edf43c49d46a425718ef61b_526"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26" w:history="1">
              <w:r>
                <w:rPr>
                  <w:rStyle w:val="a3"/>
                  <w:rFonts w:eastAsia="Times New Roman"/>
                  <w:color w:val="000000"/>
                  <w:sz w:val="20"/>
                  <w:szCs w:val="20"/>
                  <w:u w:val="none"/>
                </w:rPr>
                <w:t>143</w:t>
              </w:r>
            </w:hyperlink>
          </w:p>
        </w:tc>
      </w:tr>
      <w:tr w:rsidR="00000000">
        <w:trPr>
          <w:divId w:val="1808624334"/>
        </w:trPr>
        <w:tc>
          <w:tcPr>
            <w:tcW w:w="0" w:type="auto"/>
            <w:gridSpan w:val="3"/>
            <w:tcMar>
              <w:top w:w="30" w:type="dxa"/>
              <w:left w:w="20" w:type="dxa"/>
              <w:bottom w:w="30" w:type="dxa"/>
              <w:right w:w="20" w:type="dxa"/>
            </w:tcMar>
            <w:hideMark/>
          </w:tcPr>
          <w:p w:rsidR="00000000" w:rsidRDefault="00795D39">
            <w:pPr>
              <w:divId w:val="1525360172"/>
              <w:rPr>
                <w:rFonts w:eastAsia="Times New Roman"/>
              </w:rPr>
            </w:pPr>
            <w:hyperlink w:anchor="i86ab6d5a0edf43c49d46a425718ef61b_529"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795D39">
            <w:pPr>
              <w:divId w:val="1903984333"/>
              <w:rPr>
                <w:rFonts w:eastAsia="Times New Roman"/>
              </w:rPr>
            </w:pPr>
            <w:hyperlink w:anchor="i86ab6d5a0edf43c49d46a425718ef61b_529"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29" w:history="1">
              <w:r>
                <w:rPr>
                  <w:rStyle w:val="a3"/>
                  <w:rFonts w:eastAsia="Times New Roman"/>
                  <w:color w:val="000000"/>
                  <w:sz w:val="20"/>
                  <w:szCs w:val="20"/>
                  <w:u w:val="none"/>
                </w:rPr>
                <w:t>143</w:t>
              </w:r>
            </w:hyperlink>
          </w:p>
        </w:tc>
      </w:tr>
      <w:tr w:rsidR="00000000">
        <w:trPr>
          <w:divId w:val="1808624334"/>
          <w:trHeight w:val="28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8624334"/>
        </w:trPr>
        <w:tc>
          <w:tcPr>
            <w:tcW w:w="0" w:type="auto"/>
            <w:gridSpan w:val="6"/>
            <w:tcMar>
              <w:top w:w="30" w:type="dxa"/>
              <w:left w:w="20" w:type="dxa"/>
              <w:bottom w:w="30" w:type="dxa"/>
              <w:right w:w="20" w:type="dxa"/>
            </w:tcMar>
            <w:hideMark/>
          </w:tcPr>
          <w:p w:rsidR="00000000" w:rsidRDefault="00795D39">
            <w:pPr>
              <w:divId w:val="730084441"/>
              <w:rPr>
                <w:rFonts w:eastAsia="Times New Roman"/>
              </w:rPr>
            </w:pPr>
            <w:hyperlink w:anchor="i86ab6d5a0edf43c49d46a425718ef61b_556"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56" w:history="1">
              <w:r>
                <w:rPr>
                  <w:rStyle w:val="a3"/>
                  <w:rFonts w:eastAsia="Times New Roman"/>
                  <w:b/>
                  <w:bCs/>
                  <w:color w:val="000000"/>
                  <w:sz w:val="20"/>
                  <w:szCs w:val="20"/>
                  <w:u w:val="none"/>
                </w:rPr>
                <w:t>144</w:t>
              </w:r>
            </w:hyperlink>
          </w:p>
        </w:tc>
      </w:tr>
      <w:tr w:rsidR="00000000">
        <w:trPr>
          <w:divId w:val="1808624334"/>
        </w:trPr>
        <w:tc>
          <w:tcPr>
            <w:tcW w:w="0" w:type="auto"/>
            <w:gridSpan w:val="6"/>
            <w:tcMar>
              <w:top w:w="30" w:type="dxa"/>
              <w:left w:w="20" w:type="dxa"/>
              <w:bottom w:w="30" w:type="dxa"/>
              <w:right w:w="20" w:type="dxa"/>
            </w:tcMar>
            <w:hideMark/>
          </w:tcPr>
          <w:p w:rsidR="00000000" w:rsidRDefault="00795D39">
            <w:pPr>
              <w:divId w:val="1216046131"/>
              <w:rPr>
                <w:rFonts w:eastAsia="Times New Roman"/>
              </w:rPr>
            </w:pPr>
            <w:hyperlink w:anchor="i86ab6d5a0edf43c49d46a425718ef61b_559"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559" w:history="1">
              <w:r>
                <w:rPr>
                  <w:rStyle w:val="a3"/>
                  <w:rFonts w:eastAsia="Times New Roman"/>
                  <w:b/>
                  <w:bCs/>
                  <w:color w:val="000000"/>
                  <w:sz w:val="20"/>
                  <w:szCs w:val="20"/>
                  <w:u w:val="none"/>
                </w:rPr>
                <w:t>145</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27" style="width:0;height:1.5pt" o:hralign="center" o:hrstd="t" o:hr="t" fillcolor="#a0a0a0" stroked="f"/>
        </w:pict>
      </w:r>
    </w:p>
    <w:p w:rsidR="00000000" w:rsidRDefault="00795D39">
      <w:pPr>
        <w:jc w:val="both"/>
        <w:divId w:val="683673652"/>
        <w:rPr>
          <w:rFonts w:eastAsia="Times New Roman"/>
        </w:rPr>
      </w:pPr>
    </w:p>
    <w:p w:rsidR="00000000" w:rsidRDefault="00795D39">
      <w:pPr>
        <w:jc w:val="center"/>
        <w:divId w:val="611205606"/>
        <w:rPr>
          <w:rFonts w:eastAsia="Times New Roman"/>
        </w:rPr>
      </w:pPr>
      <w:r>
        <w:rPr>
          <w:rFonts w:eastAsia="Times New Roman"/>
          <w:b/>
          <w:bCs/>
          <w:color w:val="000000"/>
          <w:sz w:val="20"/>
          <w:szCs w:val="20"/>
        </w:rPr>
        <w:t>INDEX OF MD&amp;A AND SUPPLEMENTAL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08"/>
        <w:gridCol w:w="39"/>
        <w:gridCol w:w="68"/>
        <w:gridCol w:w="6965"/>
        <w:gridCol w:w="39"/>
        <w:gridCol w:w="73"/>
        <w:gridCol w:w="410"/>
        <w:gridCol w:w="36"/>
      </w:tblGrid>
      <w:tr w:rsidR="00000000">
        <w:trPr>
          <w:divId w:val="1196652670"/>
          <w:jc w:val="center"/>
        </w:trPr>
        <w:tc>
          <w:tcPr>
            <w:tcW w:w="50" w:type="pct"/>
            <w:vAlign w:val="center"/>
            <w:hideMark/>
          </w:tcPr>
          <w:p w:rsidR="00000000" w:rsidRDefault="00795D39">
            <w:pPr>
              <w:jc w:val="center"/>
              <w:rPr>
                <w:rFonts w:eastAsia="Times New Roman"/>
              </w:rPr>
            </w:pPr>
          </w:p>
        </w:tc>
        <w:tc>
          <w:tcPr>
            <w:tcW w:w="37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0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96652670"/>
          <w:jc w:val="center"/>
        </w:trPr>
        <w:tc>
          <w:tcPr>
            <w:tcW w:w="0" w:type="auto"/>
            <w:gridSpan w:val="6"/>
            <w:tcMar>
              <w:top w:w="30" w:type="dxa"/>
              <w:left w:w="20" w:type="dxa"/>
              <w:bottom w:w="30" w:type="dxa"/>
              <w:right w:w="20" w:type="dxa"/>
            </w:tcMar>
            <w:vAlign w:val="bottom"/>
            <w:hideMark/>
          </w:tcPr>
          <w:p w:rsidR="00000000" w:rsidRDefault="00795D39">
            <w:pPr>
              <w:divId w:val="652491554"/>
              <w:rPr>
                <w:rFonts w:eastAsia="Times New Roman"/>
              </w:rPr>
            </w:pPr>
            <w:hyperlink w:anchor="i86ab6d5a0edf43c49d46a425718ef61b_70"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Page</w:t>
            </w:r>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795D39">
            <w:pPr>
              <w:divId w:val="765272007"/>
              <w:rPr>
                <w:rFonts w:eastAsia="Times New Roman"/>
              </w:rPr>
            </w:pPr>
            <w:hyperlink w:anchor="i86ab6d5a0edf43c49d46a425718ef61b_88" w:history="1">
              <w:r>
                <w:rPr>
                  <w:rStyle w:val="a3"/>
                  <w:rFonts w:eastAsia="Times New Roman"/>
                  <w:color w:val="000000"/>
                  <w:sz w:val="20"/>
                  <w:szCs w:val="20"/>
                  <w:u w:val="none"/>
                </w:rPr>
                <w:t>Consolidated Financial Highlights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88" w:history="1">
              <w:r>
                <w:rPr>
                  <w:rStyle w:val="a3"/>
                  <w:rFonts w:eastAsia="Times New Roman"/>
                  <w:color w:val="000000"/>
                  <w:sz w:val="20"/>
                  <w:szCs w:val="20"/>
                  <w:u w:val="none"/>
                </w:rPr>
                <w:t>8</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795D39">
            <w:pPr>
              <w:divId w:val="718090466"/>
              <w:rPr>
                <w:rFonts w:eastAsia="Times New Roman"/>
              </w:rPr>
            </w:pPr>
            <w:hyperlink w:anchor="i86ab6d5a0edf43c49d46a425718ef61b_106" w:history="1">
              <w:r>
                <w:rPr>
                  <w:rStyle w:val="a3"/>
                  <w:rFonts w:eastAsia="Times New Roman"/>
                  <w:color w:val="000000"/>
                  <w:sz w:val="20"/>
                  <w:szCs w:val="20"/>
                  <w:u w:val="none"/>
                </w:rPr>
                <w:t>Average Balances, Net Interest In</w:t>
              </w:r>
              <w:r>
                <w:rPr>
                  <w:rStyle w:val="a3"/>
                  <w:rFonts w:eastAsia="Times New Roman"/>
                  <w:color w:val="000000"/>
                  <w:sz w:val="20"/>
                  <w:szCs w:val="20"/>
                  <w:u w:val="none"/>
                </w:rPr>
                <w:t>come and Net Interest Margin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06" w:history="1">
              <w:r>
                <w:rPr>
                  <w:rStyle w:val="a3"/>
                  <w:rFonts w:eastAsia="Times New Roman"/>
                  <w:color w:val="000000"/>
                  <w:sz w:val="20"/>
                  <w:szCs w:val="20"/>
                  <w:u w:val="none"/>
                </w:rPr>
                <w:t>13</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795D39">
            <w:pPr>
              <w:divId w:val="1647852804"/>
              <w:rPr>
                <w:rFonts w:eastAsia="Times New Roman"/>
              </w:rPr>
            </w:pPr>
            <w:hyperlink w:anchor="i86ab6d5a0edf43c49d46a425718ef61b_109" w:history="1">
              <w:r>
                <w:rPr>
                  <w:rStyle w:val="a3"/>
                  <w:rFonts w:eastAsia="Times New Roman"/>
                  <w:color w:val="000000"/>
                  <w:sz w:val="20"/>
                  <w:szCs w:val="20"/>
                  <w:u w:val="none"/>
                </w:rPr>
                <w:t>Rate/Volume Analysis of Net Interest Income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09" w:history="1">
              <w:r>
                <w:rPr>
                  <w:rStyle w:val="a3"/>
                  <w:rFonts w:eastAsia="Times New Roman"/>
                  <w:color w:val="000000"/>
                  <w:sz w:val="20"/>
                  <w:szCs w:val="20"/>
                  <w:u w:val="none"/>
                </w:rPr>
                <w:t>16</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795D39">
            <w:pPr>
              <w:divId w:val="1344673257"/>
              <w:rPr>
                <w:rFonts w:eastAsia="Times New Roman"/>
              </w:rPr>
            </w:pPr>
            <w:hyperlink w:anchor="i86ab6d5a0edf43c49d46a425718ef61b_112"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12" w:history="1">
              <w:r>
                <w:rPr>
                  <w:rStyle w:val="a3"/>
                  <w:rFonts w:eastAsia="Times New Roman"/>
                  <w:color w:val="000000"/>
                  <w:sz w:val="20"/>
                  <w:szCs w:val="20"/>
                  <w:u w:val="none"/>
                </w:rPr>
                <w:t>17</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795D39">
            <w:pPr>
              <w:divId w:val="632372810"/>
              <w:rPr>
                <w:rFonts w:eastAsia="Times New Roman"/>
              </w:rPr>
            </w:pPr>
            <w:hyperlink w:anchor="i86ab6d5a0edf43c49d46a425718ef61b_118"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18" w:history="1">
              <w:r>
                <w:rPr>
                  <w:rStyle w:val="a3"/>
                  <w:rFonts w:eastAsia="Times New Roman"/>
                  <w:color w:val="000000"/>
                  <w:sz w:val="20"/>
                  <w:szCs w:val="20"/>
                  <w:u w:val="none"/>
                </w:rPr>
                <w:t>18</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795D39">
            <w:pPr>
              <w:divId w:val="756176338"/>
              <w:rPr>
                <w:rFonts w:eastAsia="Times New Roman"/>
              </w:rPr>
            </w:pPr>
            <w:hyperlink w:anchor="i86ab6d5a0edf43c49d46a425718ef61b_130" w:history="1">
              <w:r>
                <w:rPr>
                  <w:rStyle w:val="a3"/>
                  <w:rFonts w:eastAsia="Times New Roman"/>
                  <w:color w:val="000000"/>
                  <w:sz w:val="20"/>
                  <w:szCs w:val="20"/>
                  <w:u w:val="none"/>
                </w:rPr>
                <w:t>Investment Securities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30" w:history="1">
              <w:r>
                <w:rPr>
                  <w:rStyle w:val="a3"/>
                  <w:rFonts w:eastAsia="Times New Roman"/>
                  <w:color w:val="000000"/>
                  <w:sz w:val="20"/>
                  <w:szCs w:val="20"/>
                  <w:u w:val="none"/>
                </w:rPr>
                <w:t>19</w:t>
              </w:r>
            </w:hyperlink>
          </w:p>
        </w:tc>
      </w:tr>
      <w:tr w:rsidR="00000000">
        <w:trPr>
          <w:divId w:val="1196652670"/>
          <w:jc w:val="center"/>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795D39">
            <w:pPr>
              <w:divId w:val="1778670253"/>
              <w:rPr>
                <w:rFonts w:eastAsia="Times New Roman"/>
              </w:rPr>
            </w:pPr>
            <w:hyperlink w:anchor="i86ab6d5a0edf43c49d46a425718ef61b_136"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36" w:history="1">
              <w:r>
                <w:rPr>
                  <w:rStyle w:val="a3"/>
                  <w:rFonts w:eastAsia="Times New Roman"/>
                  <w:color w:val="000000"/>
                  <w:sz w:val="20"/>
                  <w:szCs w:val="20"/>
                  <w:u w:val="none"/>
                </w:rPr>
                <w:t>20</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795D39">
            <w:pPr>
              <w:divId w:val="836921338"/>
              <w:rPr>
                <w:rFonts w:eastAsia="Times New Roman"/>
              </w:rPr>
            </w:pPr>
            <w:hyperlink w:anchor="i86ab6d5a0edf43c49d46a425718ef61b_139"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39" w:history="1">
              <w:r>
                <w:rPr>
                  <w:rStyle w:val="a3"/>
                  <w:rFonts w:eastAsia="Times New Roman"/>
                  <w:color w:val="000000"/>
                  <w:sz w:val="20"/>
                  <w:szCs w:val="20"/>
                  <w:u w:val="none"/>
                </w:rPr>
                <w:t>20</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795D39">
            <w:pPr>
              <w:divId w:val="322973655"/>
              <w:rPr>
                <w:rFonts w:eastAsia="Times New Roman"/>
              </w:rPr>
            </w:pPr>
            <w:hyperlink w:anchor="i86ab6d5a0edf43c49d46a425718ef61b_154"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54" w:history="1">
              <w:r>
                <w:rPr>
                  <w:rStyle w:val="a3"/>
                  <w:rFonts w:eastAsia="Times New Roman"/>
                  <w:color w:val="000000"/>
                  <w:sz w:val="20"/>
                  <w:szCs w:val="20"/>
                  <w:u w:val="none"/>
                </w:rPr>
                <w:t>22</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795D39">
            <w:pPr>
              <w:divId w:val="1631278223"/>
              <w:rPr>
                <w:rFonts w:eastAsia="Times New Roman"/>
              </w:rPr>
            </w:pPr>
            <w:hyperlink w:anchor="i86ab6d5a0edf43c49d46a425718ef61b_157"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57" w:history="1">
              <w:r>
                <w:rPr>
                  <w:rStyle w:val="a3"/>
                  <w:rFonts w:eastAsia="Times New Roman"/>
                  <w:color w:val="000000"/>
                  <w:sz w:val="20"/>
                  <w:szCs w:val="20"/>
                  <w:u w:val="none"/>
                </w:rPr>
                <w:t>23</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795D39">
            <w:pPr>
              <w:divId w:val="8918149"/>
              <w:rPr>
                <w:rFonts w:eastAsia="Times New Roman"/>
              </w:rPr>
            </w:pPr>
            <w:hyperlink w:anchor="i86ab6d5a0edf43c49d46a425718ef61b_160"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60" w:history="1">
              <w:r>
                <w:rPr>
                  <w:rStyle w:val="a3"/>
                  <w:rFonts w:eastAsia="Times New Roman"/>
                  <w:color w:val="000000"/>
                  <w:sz w:val="20"/>
                  <w:szCs w:val="20"/>
                  <w:u w:val="none"/>
                </w:rPr>
                <w:t>24</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795D39">
            <w:pPr>
              <w:divId w:val="1238324695"/>
              <w:rPr>
                <w:rFonts w:eastAsia="Times New Roman"/>
              </w:rPr>
            </w:pPr>
            <w:hyperlink w:anchor="i86ab6d5a0edf43c49d46a425718ef61b_163" w:history="1">
              <w:r>
                <w:rPr>
                  <w:rStyle w:val="a3"/>
                  <w:rFonts w:eastAsia="Times New Roman"/>
                  <w:color w:val="000000"/>
                  <w:sz w:val="20"/>
                  <w:szCs w:val="20"/>
                  <w:u w:val="none"/>
                </w:rPr>
                <w:t>Consumer Banking Business Results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63" w:history="1">
              <w:r>
                <w:rPr>
                  <w:rStyle w:val="a3"/>
                  <w:rFonts w:eastAsia="Times New Roman"/>
                  <w:color w:val="000000"/>
                  <w:sz w:val="20"/>
                  <w:szCs w:val="20"/>
                  <w:u w:val="none"/>
                </w:rPr>
                <w:t>26</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795D39">
            <w:pPr>
              <w:divId w:val="1263369001"/>
              <w:rPr>
                <w:rFonts w:eastAsia="Times New Roman"/>
              </w:rPr>
            </w:pPr>
            <w:hyperlink w:anchor="i86ab6d5a0edf43c49d46a425718ef61b_166" w:history="1">
              <w:r>
                <w:rPr>
                  <w:rStyle w:val="a3"/>
                  <w:rFonts w:eastAsia="Times New Roman"/>
                  <w:color w:val="000000"/>
                  <w:sz w:val="20"/>
                  <w:szCs w:val="20"/>
                  <w:u w:val="none"/>
                </w:rPr>
                <w:t>Commercial Banking Business Results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66" w:history="1">
              <w:r>
                <w:rPr>
                  <w:rStyle w:val="a3"/>
                  <w:rFonts w:eastAsia="Times New Roman"/>
                  <w:color w:val="000000"/>
                  <w:sz w:val="20"/>
                  <w:szCs w:val="20"/>
                  <w:u w:val="none"/>
                </w:rPr>
                <w:t>28</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rsidR="00000000" w:rsidRDefault="00795D39">
            <w:pPr>
              <w:divId w:val="1973709013"/>
              <w:rPr>
                <w:rFonts w:eastAsia="Times New Roman"/>
              </w:rPr>
            </w:pPr>
            <w:hyperlink w:anchor="i86ab6d5a0edf43c49d46a425718ef61b_169"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69" w:history="1">
              <w:r>
                <w:rPr>
                  <w:rStyle w:val="a3"/>
                  <w:rFonts w:eastAsia="Times New Roman"/>
                  <w:color w:val="000000"/>
                  <w:sz w:val="20"/>
                  <w:szCs w:val="20"/>
                  <w:u w:val="none"/>
                </w:rPr>
                <w:t>31</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795D39">
            <w:pPr>
              <w:divId w:val="1675065140"/>
              <w:rPr>
                <w:rFonts w:eastAsia="Times New Roman"/>
              </w:rPr>
            </w:pPr>
            <w:hyperlink w:anchor="i86ab6d5a0edf43c49d46a425718ef61b_187"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87" w:history="1">
              <w:r>
                <w:rPr>
                  <w:rStyle w:val="a3"/>
                  <w:rFonts w:eastAsia="Times New Roman"/>
                  <w:color w:val="000000"/>
                  <w:sz w:val="20"/>
                  <w:szCs w:val="20"/>
                  <w:u w:val="none"/>
                </w:rPr>
                <w:t>37</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795D39">
            <w:pPr>
              <w:divId w:val="1135563228"/>
              <w:rPr>
                <w:rFonts w:eastAsia="Times New Roman"/>
              </w:rPr>
            </w:pPr>
            <w:hyperlink w:anchor="i86ab6d5a0edf43c49d46a425718ef61b_190" w:history="1">
              <w:r>
                <w:rPr>
                  <w:rStyle w:val="a3"/>
                  <w:rFonts w:eastAsia="Times New Roman"/>
                  <w:color w:val="000000"/>
                  <w:sz w:val="20"/>
                  <w:szCs w:val="20"/>
                  <w:u w:val="none"/>
                </w:rPr>
                <w:t>Regulatory Risk-Based Capital Components and Regulatory Capital Metrics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90" w:history="1">
              <w:r>
                <w:rPr>
                  <w:rStyle w:val="a3"/>
                  <w:rFonts w:eastAsia="Times New Roman"/>
                  <w:color w:val="000000"/>
                  <w:sz w:val="20"/>
                  <w:szCs w:val="20"/>
                  <w:u w:val="none"/>
                </w:rPr>
                <w:t>38</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rsidR="00000000" w:rsidRDefault="00795D39">
            <w:pPr>
              <w:divId w:val="90047794"/>
              <w:rPr>
                <w:rFonts w:eastAsia="Times New Roman"/>
              </w:rPr>
            </w:pPr>
            <w:hyperlink w:anchor="i86ab6d5a0edf43c49d46a425718ef61b_196"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196" w:history="1">
              <w:r>
                <w:rPr>
                  <w:rStyle w:val="a3"/>
                  <w:rFonts w:eastAsia="Times New Roman"/>
                  <w:color w:val="000000"/>
                  <w:sz w:val="20"/>
                  <w:szCs w:val="20"/>
                  <w:u w:val="none"/>
                </w:rPr>
                <w:t>39</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17</w:t>
            </w:r>
          </w:p>
        </w:tc>
        <w:tc>
          <w:tcPr>
            <w:tcW w:w="0" w:type="auto"/>
            <w:gridSpan w:val="3"/>
            <w:tcMar>
              <w:top w:w="30" w:type="dxa"/>
              <w:left w:w="20" w:type="dxa"/>
              <w:bottom w:w="30" w:type="dxa"/>
              <w:right w:w="20" w:type="dxa"/>
            </w:tcMar>
            <w:vAlign w:val="bottom"/>
            <w:hideMark/>
          </w:tcPr>
          <w:p w:rsidR="00000000" w:rsidRDefault="00795D39">
            <w:pPr>
              <w:divId w:val="1301577155"/>
              <w:rPr>
                <w:rFonts w:eastAsia="Times New Roman"/>
              </w:rPr>
            </w:pPr>
            <w:hyperlink w:anchor="i86ab6d5a0edf43c49d46a425718ef61b_205"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05" w:history="1">
              <w:r>
                <w:rPr>
                  <w:rStyle w:val="a3"/>
                  <w:rFonts w:eastAsia="Times New Roman"/>
                  <w:color w:val="000000"/>
                  <w:sz w:val="20"/>
                  <w:szCs w:val="20"/>
                  <w:u w:val="none"/>
                </w:rPr>
                <w:t>42</w:t>
              </w:r>
            </w:hyperlink>
          </w:p>
        </w:tc>
      </w:tr>
      <w:tr w:rsidR="00000000">
        <w:trPr>
          <w:divId w:val="1196652670"/>
          <w:jc w:val="center"/>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rsidR="00000000" w:rsidRDefault="00795D39">
            <w:pPr>
              <w:divId w:val="1222640241"/>
              <w:rPr>
                <w:rFonts w:eastAsia="Times New Roman"/>
              </w:rPr>
            </w:pPr>
            <w:hyperlink w:anchor="i86ab6d5a0edf43c49d46a425718ef61b_211" w:history="1">
              <w:r>
                <w:rPr>
                  <w:rStyle w:val="a3"/>
                  <w:rFonts w:eastAsia="Times New Roman"/>
                  <w:color w:val="000000"/>
                  <w:sz w:val="20"/>
                  <w:szCs w:val="20"/>
                  <w:u w:val="none"/>
                </w:rPr>
                <w:t>Credit Card Portfolio by Geographic Region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11" w:history="1">
              <w:r>
                <w:rPr>
                  <w:rStyle w:val="a3"/>
                  <w:rFonts w:eastAsia="Times New Roman"/>
                  <w:color w:val="000000"/>
                  <w:sz w:val="20"/>
                  <w:szCs w:val="20"/>
                  <w:u w:val="none"/>
                </w:rPr>
                <w:t>43</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19</w:t>
            </w:r>
          </w:p>
        </w:tc>
        <w:tc>
          <w:tcPr>
            <w:tcW w:w="0" w:type="auto"/>
            <w:gridSpan w:val="3"/>
            <w:tcMar>
              <w:top w:w="30" w:type="dxa"/>
              <w:left w:w="20" w:type="dxa"/>
              <w:bottom w:w="30" w:type="dxa"/>
              <w:right w:w="20" w:type="dxa"/>
            </w:tcMar>
            <w:vAlign w:val="bottom"/>
            <w:hideMark/>
          </w:tcPr>
          <w:p w:rsidR="00000000" w:rsidRDefault="00795D39">
            <w:pPr>
              <w:divId w:val="540172213"/>
              <w:rPr>
                <w:rFonts w:eastAsia="Times New Roman"/>
              </w:rPr>
            </w:pPr>
            <w:hyperlink w:anchor="i86ab6d5a0edf43c49d46a425718ef61b_214"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14" w:history="1">
              <w:r>
                <w:rPr>
                  <w:rStyle w:val="a3"/>
                  <w:rFonts w:eastAsia="Times New Roman"/>
                  <w:color w:val="000000"/>
                  <w:sz w:val="20"/>
                  <w:szCs w:val="20"/>
                  <w:u w:val="none"/>
                </w:rPr>
                <w:t>44</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rsidR="00000000" w:rsidRDefault="00795D39">
            <w:pPr>
              <w:divId w:val="943610408"/>
              <w:rPr>
                <w:rFonts w:eastAsia="Times New Roman"/>
              </w:rPr>
            </w:pPr>
            <w:hyperlink w:anchor="i86ab6d5a0edf43c49d46a425718ef61b_217" w:history="1">
              <w:r>
                <w:rPr>
                  <w:rStyle w:val="a3"/>
                  <w:rFonts w:eastAsia="Times New Roman"/>
                  <w:color w:val="000000"/>
                  <w:sz w:val="20"/>
                  <w:szCs w:val="20"/>
                  <w:u w:val="none"/>
                </w:rPr>
                <w:t>Commercial Banking Portfolio by Geographic Region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17" w:history="1">
              <w:r>
                <w:rPr>
                  <w:rStyle w:val="a3"/>
                  <w:rFonts w:eastAsia="Times New Roman"/>
                  <w:color w:val="000000"/>
                  <w:sz w:val="20"/>
                  <w:szCs w:val="20"/>
                  <w:u w:val="none"/>
                </w:rPr>
                <w:t>44</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795D39">
            <w:pPr>
              <w:divId w:val="1360855652"/>
              <w:rPr>
                <w:rFonts w:eastAsia="Times New Roman"/>
              </w:rPr>
            </w:pPr>
            <w:hyperlink w:anchor="i86ab6d5a0edf43c49d46a425718ef61b_220" w:history="1">
              <w:r>
                <w:rPr>
                  <w:rStyle w:val="a3"/>
                  <w:rFonts w:eastAsia="Times New Roman"/>
                  <w:color w:val="000000"/>
                  <w:sz w:val="20"/>
                  <w:szCs w:val="20"/>
                  <w:u w:val="none"/>
                </w:rPr>
                <w:t>Commercial Loans by Industry</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20" w:history="1">
              <w:r>
                <w:rPr>
                  <w:rStyle w:val="a3"/>
                  <w:rFonts w:eastAsia="Times New Roman"/>
                  <w:color w:val="000000"/>
                  <w:sz w:val="20"/>
                  <w:szCs w:val="20"/>
                  <w:u w:val="none"/>
                </w:rPr>
                <w:t>45</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rsidR="00000000" w:rsidRDefault="00795D39">
            <w:pPr>
              <w:divId w:val="1257523135"/>
              <w:rPr>
                <w:rFonts w:eastAsia="Times New Roman"/>
              </w:rPr>
            </w:pPr>
            <w:hyperlink w:anchor="i86ab6d5a0edf43c49d46a425718ef61b_223"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23" w:history="1">
              <w:r>
                <w:rPr>
                  <w:rStyle w:val="a3"/>
                  <w:rFonts w:eastAsia="Times New Roman"/>
                  <w:color w:val="000000"/>
                  <w:sz w:val="20"/>
                  <w:szCs w:val="20"/>
                  <w:u w:val="none"/>
                </w:rPr>
                <w:t>45</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rsidR="00000000" w:rsidRDefault="00795D39">
            <w:pPr>
              <w:divId w:val="2086296846"/>
              <w:rPr>
                <w:rFonts w:eastAsia="Times New Roman"/>
              </w:rPr>
            </w:pPr>
            <w:hyperlink w:anchor="i86ab6d5a0edf43c49d46a425718ef61b_226"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26" w:history="1">
              <w:r>
                <w:rPr>
                  <w:rStyle w:val="a3"/>
                  <w:rFonts w:eastAsia="Times New Roman"/>
                  <w:color w:val="000000"/>
                  <w:sz w:val="20"/>
                  <w:szCs w:val="20"/>
                  <w:u w:val="none"/>
                </w:rPr>
                <w:t>46</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24</w:t>
            </w:r>
          </w:p>
        </w:tc>
        <w:tc>
          <w:tcPr>
            <w:tcW w:w="0" w:type="auto"/>
            <w:gridSpan w:val="3"/>
            <w:tcMar>
              <w:top w:w="30" w:type="dxa"/>
              <w:left w:w="20" w:type="dxa"/>
              <w:bottom w:w="30" w:type="dxa"/>
              <w:right w:w="20" w:type="dxa"/>
            </w:tcMar>
            <w:vAlign w:val="bottom"/>
            <w:hideMark/>
          </w:tcPr>
          <w:p w:rsidR="00000000" w:rsidRDefault="00795D39">
            <w:pPr>
              <w:divId w:val="321738055"/>
              <w:rPr>
                <w:rFonts w:eastAsia="Times New Roman"/>
              </w:rPr>
            </w:pPr>
            <w:hyperlink w:anchor="i86ab6d5a0edf43c49d46a425718ef61b_229" w:history="1">
              <w:r>
                <w:rPr>
                  <w:rStyle w:val="a3"/>
                  <w:rFonts w:eastAsia="Times New Roman"/>
                  <w:color w:val="000000"/>
                  <w:sz w:val="20"/>
                  <w:szCs w:val="20"/>
                  <w:u w:val="none"/>
                </w:rPr>
                <w:t>Aging and Geography of 30+ Day Delinquent</w:t>
              </w:r>
              <w:r>
                <w:rPr>
                  <w:rStyle w:val="a3"/>
                  <w:rFonts w:eastAsia="Times New Roman"/>
                  <w:color w:val="000000"/>
                  <w:sz w:val="20"/>
                  <w:szCs w:val="20"/>
                  <w:u w:val="none"/>
                </w:rPr>
                <w:t xml:space="preserve"> Loans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29" w:history="1">
              <w:r>
                <w:rPr>
                  <w:rStyle w:val="a3"/>
                  <w:rFonts w:eastAsia="Times New Roman"/>
                  <w:color w:val="000000"/>
                  <w:sz w:val="20"/>
                  <w:szCs w:val="20"/>
                  <w:u w:val="none"/>
                </w:rPr>
                <w:t>47</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rsidR="00000000" w:rsidRDefault="00795D39">
            <w:pPr>
              <w:divId w:val="603658672"/>
              <w:rPr>
                <w:rFonts w:eastAsia="Times New Roman"/>
              </w:rPr>
            </w:pPr>
            <w:hyperlink w:anchor="i86ab6d5a0edf43c49d46a425718ef61b_232" w:history="1">
              <w:r>
                <w:rPr>
                  <w:rStyle w:val="a3"/>
                  <w:rFonts w:eastAsia="Times New Roman"/>
                  <w:color w:val="000000"/>
                  <w:sz w:val="20"/>
                  <w:szCs w:val="20"/>
                  <w:u w:val="none"/>
                </w:rPr>
                <w:t>90+ Day Delinquent Loans Accruing Interest</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32" w:history="1">
              <w:r>
                <w:rPr>
                  <w:rStyle w:val="a3"/>
                  <w:rFonts w:eastAsia="Times New Roman"/>
                  <w:color w:val="000000"/>
                  <w:sz w:val="20"/>
                  <w:szCs w:val="20"/>
                  <w:u w:val="none"/>
                </w:rPr>
                <w:t>48</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rsidR="00000000" w:rsidRDefault="00795D39">
            <w:pPr>
              <w:divId w:val="347879357"/>
              <w:rPr>
                <w:rFonts w:eastAsia="Times New Roman"/>
              </w:rPr>
            </w:pPr>
            <w:hyperlink w:anchor="i86ab6d5a0edf43c49d46a425718ef61b_235" w:history="1">
              <w:r>
                <w:rPr>
                  <w:rStyle w:val="a3"/>
                  <w:rFonts w:eastAsia="Times New Roman"/>
                  <w:color w:val="000000"/>
                  <w:sz w:val="20"/>
                  <w:szCs w:val="20"/>
                  <w:u w:val="none"/>
                </w:rPr>
                <w:t>Nonperforming Loans and Other Nonperforming Assets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35" w:history="1">
              <w:r>
                <w:rPr>
                  <w:rStyle w:val="a3"/>
                  <w:rFonts w:eastAsia="Times New Roman"/>
                  <w:color w:val="000000"/>
                  <w:sz w:val="20"/>
                  <w:szCs w:val="20"/>
                  <w:u w:val="none"/>
                </w:rPr>
                <w:t>48</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rsidR="00000000" w:rsidRDefault="00795D39">
            <w:pPr>
              <w:divId w:val="1455170921"/>
              <w:rPr>
                <w:rFonts w:eastAsia="Times New Roman"/>
              </w:rPr>
            </w:pPr>
            <w:hyperlink w:anchor="i86ab6d5a0edf43c49d46a425718ef61b_238" w:history="1">
              <w:r>
                <w:rPr>
                  <w:rStyle w:val="a3"/>
                  <w:rFonts w:eastAsia="Times New Roman"/>
                  <w:color w:val="000000"/>
                  <w:sz w:val="20"/>
                  <w:szCs w:val="20"/>
                  <w:u w:val="none"/>
                </w:rPr>
                <w:t>Net Charge-Offs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38" w:history="1">
              <w:r>
                <w:rPr>
                  <w:rStyle w:val="a3"/>
                  <w:rFonts w:eastAsia="Times New Roman"/>
                  <w:color w:val="000000"/>
                  <w:sz w:val="20"/>
                  <w:szCs w:val="20"/>
                  <w:u w:val="none"/>
                </w:rPr>
                <w:t>49</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rsidR="00000000" w:rsidRDefault="00795D39">
            <w:pPr>
              <w:divId w:val="1179542453"/>
              <w:rPr>
                <w:rFonts w:eastAsia="Times New Roman"/>
              </w:rPr>
            </w:pPr>
            <w:hyperlink w:anchor="i86ab6d5a0edf43c49d46a425718ef61b_244"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44" w:history="1">
              <w:r>
                <w:rPr>
                  <w:rStyle w:val="a3"/>
                  <w:rFonts w:eastAsia="Times New Roman"/>
                  <w:color w:val="000000"/>
                  <w:sz w:val="20"/>
                  <w:szCs w:val="20"/>
                  <w:u w:val="none"/>
                </w:rPr>
                <w:t>51</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rsidR="00000000" w:rsidRDefault="00795D39">
            <w:pPr>
              <w:divId w:val="1215583873"/>
              <w:rPr>
                <w:rFonts w:eastAsia="Times New Roman"/>
              </w:rPr>
            </w:pPr>
            <w:hyperlink w:anchor="i86ab6d5a0edf43c49d46a425718ef61b_253" w:history="1">
              <w:r>
                <w:rPr>
                  <w:rStyle w:val="a3"/>
                  <w:rFonts w:eastAsia="Times New Roman"/>
                  <w:color w:val="000000"/>
                  <w:sz w:val="20"/>
                  <w:szCs w:val="20"/>
                  <w:u w:val="none"/>
                </w:rPr>
                <w:t>Allowance for Credit Losses and Re</w:t>
              </w:r>
              <w:r>
                <w:rPr>
                  <w:rStyle w:val="a3"/>
                  <w:rFonts w:eastAsia="Times New Roman"/>
                  <w:color w:val="000000"/>
                  <w:sz w:val="20"/>
                  <w:szCs w:val="20"/>
                  <w:u w:val="none"/>
                </w:rPr>
                <w:t>serve for Unfunded Lending Commitments Activity</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53" w:history="1">
              <w:r>
                <w:rPr>
                  <w:rStyle w:val="a3"/>
                  <w:rFonts w:eastAsia="Times New Roman"/>
                  <w:color w:val="000000"/>
                  <w:sz w:val="20"/>
                  <w:szCs w:val="20"/>
                  <w:u w:val="none"/>
                </w:rPr>
                <w:t>53</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rsidR="00000000" w:rsidRDefault="00795D39">
            <w:pPr>
              <w:divId w:val="978417021"/>
              <w:rPr>
                <w:rFonts w:eastAsia="Times New Roman"/>
              </w:rPr>
            </w:pPr>
            <w:hyperlink w:anchor="i86ab6d5a0edf43c49d46a425718ef61b_256" w:history="1">
              <w:r>
                <w:rPr>
                  <w:rStyle w:val="a3"/>
                  <w:rFonts w:eastAsia="Times New Roman"/>
                  <w:color w:val="000000"/>
                  <w:sz w:val="20"/>
                  <w:szCs w:val="20"/>
                  <w:u w:val="none"/>
                </w:rPr>
                <w:t>Allowance Coverage Ratios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56" w:history="1">
              <w:r>
                <w:rPr>
                  <w:rStyle w:val="a3"/>
                  <w:rFonts w:eastAsia="Times New Roman"/>
                  <w:color w:val="000000"/>
                  <w:sz w:val="20"/>
                  <w:szCs w:val="20"/>
                  <w:u w:val="none"/>
                </w:rPr>
                <w:t>55</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795D39">
            <w:pPr>
              <w:divId w:val="2054503632"/>
              <w:rPr>
                <w:rFonts w:eastAsia="Times New Roman"/>
              </w:rPr>
            </w:pPr>
            <w:hyperlink w:anchor="i86ab6d5a0edf43c49d46a425718ef61b_262" w:history="1">
              <w:r>
                <w:rPr>
                  <w:rStyle w:val="a3"/>
                  <w:rFonts w:eastAsia="Times New Roman"/>
                  <w:color w:val="000000"/>
                  <w:sz w:val="20"/>
                  <w:szCs w:val="20"/>
                  <w:u w:val="none"/>
                </w:rPr>
                <w:t>Liquidity Reserves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62" w:history="1">
              <w:r>
                <w:rPr>
                  <w:rStyle w:val="a3"/>
                  <w:rFonts w:eastAsia="Times New Roman"/>
                  <w:color w:val="000000"/>
                  <w:sz w:val="20"/>
                  <w:szCs w:val="20"/>
                  <w:u w:val="none"/>
                </w:rPr>
                <w:t>55</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795D39">
            <w:pPr>
              <w:divId w:val="289896446"/>
              <w:rPr>
                <w:rFonts w:eastAsia="Times New Roman"/>
              </w:rPr>
            </w:pPr>
            <w:hyperlink w:anchor="i86ab6d5a0edf43c49d46a425718ef61b_271" w:history="1">
              <w:r>
                <w:rPr>
                  <w:rStyle w:val="a3"/>
                  <w:rFonts w:eastAsia="Times New Roman"/>
                  <w:color w:val="000000"/>
                  <w:sz w:val="20"/>
                  <w:szCs w:val="20"/>
                  <w:u w:val="none"/>
                </w:rPr>
                <w:t>Deposits Composition and Average Deposits Interest Rates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71" w:history="1">
              <w:r>
                <w:rPr>
                  <w:rStyle w:val="a3"/>
                  <w:rFonts w:eastAsia="Times New Roman"/>
                  <w:color w:val="000000"/>
                  <w:sz w:val="20"/>
                  <w:szCs w:val="20"/>
                  <w:u w:val="none"/>
                </w:rPr>
                <w:t>57</w:t>
              </w:r>
            </w:hyperlink>
          </w:p>
        </w:tc>
      </w:tr>
      <w:tr w:rsidR="00000000">
        <w:trPr>
          <w:divId w:val="1196652670"/>
          <w:jc w:val="center"/>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rsidR="00000000" w:rsidRDefault="00795D39">
            <w:pPr>
              <w:divId w:val="1785341011"/>
              <w:rPr>
                <w:rFonts w:eastAsia="Times New Roman"/>
              </w:rPr>
            </w:pPr>
            <w:hyperlink w:anchor="i86ab6d5a0edf43c49d46a425718ef61b_280" w:history="1">
              <w:r>
                <w:rPr>
                  <w:rStyle w:val="a3"/>
                  <w:rFonts w:eastAsia="Times New Roman"/>
                  <w:color w:val="000000"/>
                  <w:sz w:val="20"/>
                  <w:szCs w:val="20"/>
                  <w:u w:val="none"/>
                </w:rPr>
                <w:t>Long-Term Funding</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80" w:history="1">
              <w:r>
                <w:rPr>
                  <w:rStyle w:val="a3"/>
                  <w:rFonts w:eastAsia="Times New Roman"/>
                  <w:color w:val="000000"/>
                  <w:sz w:val="20"/>
                  <w:szCs w:val="20"/>
                  <w:u w:val="none"/>
                </w:rPr>
                <w:t>58</w:t>
              </w:r>
            </w:hyperlink>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rsidR="00000000" w:rsidRDefault="00795D39">
            <w:pPr>
              <w:divId w:val="100033414"/>
              <w:rPr>
                <w:rFonts w:eastAsia="Times New Roman"/>
              </w:rPr>
            </w:pPr>
            <w:hyperlink w:anchor="i86ab6d5a0edf43c49d46a425718ef61b_283" w:history="1">
              <w:r>
                <w:rPr>
                  <w:rStyle w:val="a3"/>
                  <w:rFonts w:eastAsia="Times New Roman"/>
                  <w:color w:val="000000"/>
                  <w:sz w:val="20"/>
                  <w:szCs w:val="20"/>
                  <w:u w:val="none"/>
                </w:rPr>
                <w:t>Senior Unsecured Long-Term Debt Credit Ratings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83" w:history="1">
              <w:r>
                <w:rPr>
                  <w:rStyle w:val="a3"/>
                  <w:rFonts w:eastAsia="Times New Roman"/>
                  <w:color w:val="000000"/>
                  <w:sz w:val="20"/>
                  <w:szCs w:val="20"/>
                  <w:u w:val="none"/>
                </w:rPr>
                <w:t>58</w:t>
              </w:r>
            </w:hyperlink>
          </w:p>
        </w:tc>
      </w:tr>
      <w:tr w:rsidR="00000000">
        <w:trPr>
          <w:divId w:val="1196652670"/>
          <w:jc w:val="center"/>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rsidR="00000000" w:rsidRDefault="00795D39">
            <w:pPr>
              <w:divId w:val="936209405"/>
              <w:rPr>
                <w:rFonts w:eastAsia="Times New Roman"/>
              </w:rPr>
            </w:pPr>
            <w:hyperlink w:anchor="i86ab6d5a0edf43c49d46a425718ef61b_292" w:history="1">
              <w:r>
                <w:rPr>
                  <w:rStyle w:val="a3"/>
                  <w:rFonts w:eastAsia="Times New Roman"/>
                  <w:color w:val="000000"/>
                  <w:sz w:val="20"/>
                  <w:szCs w:val="20"/>
                  <w:u w:val="none"/>
                </w:rPr>
                <w:t>Interest Rate Sensitivity Analysis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292" w:history="1">
              <w:r>
                <w:rPr>
                  <w:rStyle w:val="a3"/>
                  <w:rFonts w:eastAsia="Times New Roman"/>
                  <w:color w:val="000000"/>
                  <w:sz w:val="20"/>
                  <w:szCs w:val="20"/>
                  <w:u w:val="none"/>
                </w:rPr>
                <w:t>59</w:t>
              </w:r>
            </w:hyperlink>
          </w:p>
        </w:tc>
      </w:tr>
      <w:tr w:rsidR="00000000">
        <w:trPr>
          <w:divId w:val="1196652670"/>
          <w:trHeight w:val="240"/>
          <w:jc w:val="center"/>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96652670"/>
          <w:jc w:val="center"/>
        </w:trPr>
        <w:tc>
          <w:tcPr>
            <w:tcW w:w="0" w:type="auto"/>
            <w:gridSpan w:val="6"/>
            <w:tcMar>
              <w:top w:w="30" w:type="dxa"/>
              <w:left w:w="20" w:type="dxa"/>
              <w:bottom w:w="30" w:type="dxa"/>
              <w:right w:w="20" w:type="dxa"/>
            </w:tcMar>
            <w:vAlign w:val="bottom"/>
            <w:hideMark/>
          </w:tcPr>
          <w:p w:rsidR="00000000" w:rsidRDefault="00795D39">
            <w:pPr>
              <w:divId w:val="1717385311"/>
              <w:rPr>
                <w:rFonts w:eastAsia="Times New Roman"/>
              </w:rPr>
            </w:pPr>
            <w:hyperlink w:anchor="i86ab6d5a0edf43c49d46a425718ef61b_304" w:history="1">
              <w:r>
                <w:rPr>
                  <w:rStyle w:val="a3"/>
                  <w:rFonts w:eastAsia="Times New Roman"/>
                  <w:b/>
                  <w:bCs/>
                  <w:color w:val="000000"/>
                  <w:sz w:val="20"/>
                  <w:szCs w:val="20"/>
                  <w:u w:val="none"/>
                </w:rPr>
                <w:t>Supplemental Table:</w:t>
              </w:r>
            </w:hyperlink>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r>
      <w:tr w:rsidR="00000000">
        <w:trPr>
          <w:divId w:val="1196652670"/>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96652670"/>
          <w:jc w:val="center"/>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rsidR="00000000" w:rsidRDefault="00795D39">
            <w:pPr>
              <w:divId w:val="690184932"/>
              <w:rPr>
                <w:rFonts w:eastAsia="Times New Roman"/>
              </w:rPr>
            </w:pPr>
            <w:hyperlink w:anchor="i86ab6d5a0edf43c49d46a425718ef61b_322"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hyperlink w:anchor="i86ab6d5a0edf43c49d46a425718ef61b_322" w:history="1">
              <w:r>
                <w:rPr>
                  <w:rStyle w:val="a3"/>
                  <w:rFonts w:eastAsia="Times New Roman"/>
                  <w:color w:val="000000"/>
                  <w:sz w:val="20"/>
                  <w:szCs w:val="20"/>
                  <w:u w:val="none"/>
                </w:rPr>
                <w:t>66</w:t>
              </w:r>
            </w:hyperlink>
          </w:p>
        </w:tc>
      </w:tr>
      <w:tr w:rsidR="00000000">
        <w:trPr>
          <w:divId w:val="1196652670"/>
          <w:jc w:val="center"/>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795D39">
            <w:pPr>
              <w:jc w:val="cente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lastRenderedPageBreak/>
        <w:pict>
          <v:rect id="_x0000_i1028" style="width:0;height:1.5pt" o:hralign="center" o:hrstd="t" o:hr="t" fillcolor="#a0a0a0" stroked="f"/>
        </w:pict>
      </w:r>
    </w:p>
    <w:p w:rsidR="00000000" w:rsidRDefault="00795D39">
      <w:pPr>
        <w:jc w:val="both"/>
        <w:divId w:val="82405447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917006390"/>
        <w:rPr>
          <w:rFonts w:eastAsia="Times New Roman"/>
        </w:rPr>
      </w:pPr>
      <w:r>
        <w:rPr>
          <w:rFonts w:eastAsia="Times New Roman"/>
          <w:b/>
          <w:bCs/>
          <w:color w:val="000000"/>
          <w:sz w:val="20"/>
          <w:szCs w:val="20"/>
        </w:rPr>
        <w:t>PART I—FINANCIAL INFORMATION</w:t>
      </w:r>
      <w:r>
        <w:rPr>
          <w:rFonts w:eastAsia="Times New Roman"/>
          <w:color w:val="000000"/>
          <w:sz w:val="20"/>
          <w:szCs w:val="20"/>
        </w:rPr>
        <w:t xml:space="preserve"> </w:t>
      </w:r>
    </w:p>
    <w:p w:rsidR="00000000" w:rsidRDefault="00795D39">
      <w:pPr>
        <w:divId w:val="1333527077"/>
        <w:rPr>
          <w:rFonts w:eastAsia="Times New Roman"/>
        </w:rPr>
      </w:pPr>
      <w:r>
        <w:rPr>
          <w:rFonts w:eastAsia="Times New Roman"/>
          <w:b/>
          <w:bCs/>
          <w:color w:val="000000"/>
          <w:sz w:val="20"/>
          <w:szCs w:val="20"/>
        </w:rPr>
        <w:t xml:space="preserve">Item 2. Management’s Discussion and Analysis of Financial Condition and Results of Operations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351953194"/>
          <w:jc w:val="center"/>
        </w:trPr>
        <w:tc>
          <w:tcPr>
            <w:tcW w:w="50" w:type="pct"/>
            <w:vAlign w:val="center"/>
            <w:hideMark/>
          </w:tcPr>
          <w:p w:rsidR="00000000" w:rsidRDefault="00795D39">
            <w:pPr>
              <w:rPr>
                <w:rFonts w:eastAsia="Times New Roman"/>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51953194"/>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bl>
    <w:p w:rsidR="00000000" w:rsidRDefault="00795D39">
      <w:pPr>
        <w:jc w:val="both"/>
        <w:divId w:val="1902982224"/>
        <w:rPr>
          <w:rFonts w:eastAsia="Times New Roman"/>
        </w:rPr>
      </w:pPr>
      <w:r>
        <w:rPr>
          <w:rFonts w:eastAsia="Times New Roman"/>
          <w:i/>
          <w:iCs/>
          <w:color w:val="000000"/>
          <w:sz w:val="20"/>
          <w:szCs w:val="20"/>
        </w:rPr>
        <w:t>This discussion contains forward-looking statements that are based upon management’</w:t>
      </w:r>
      <w:r>
        <w:rPr>
          <w:rFonts w:eastAsia="Times New Roman"/>
          <w:i/>
          <w:iCs/>
          <w:color w:val="000000"/>
          <w:sz w:val="20"/>
          <w:szCs w:val="20"/>
        </w:rPr>
        <w:t xml:space="preserve">s current expectations and are subject to significant uncertainties and changes in circumstances. Please review “MD&amp;A—Forward-Looking Statements” for more information on the forward-looking statements in this Quarterly Report on Form 10-Q (“this Report”). </w:t>
      </w:r>
      <w:r>
        <w:rPr>
          <w:rFonts w:eastAsia="Times New Roman"/>
          <w:i/>
          <w:iCs/>
          <w:color w:val="000000"/>
          <w:sz w:val="20"/>
          <w:szCs w:val="20"/>
        </w:rPr>
        <w:t>All statements that address operating performance, events or developments that we expect or anticipate will occur in the future, including those relating to operating results and the Cybersecurity Incident described in “MD&amp;A—Introduction—Cybersecurity Inci</w:t>
      </w:r>
      <w:r>
        <w:rPr>
          <w:rFonts w:eastAsia="Times New Roman"/>
          <w:i/>
          <w:iCs/>
          <w:color w:val="000000"/>
          <w:sz w:val="20"/>
          <w:szCs w:val="20"/>
        </w:rPr>
        <w:t>dent” and “Note 13—Commitments, Contingencies, Guarantees and Others” as well as the potential impacts of the COVID-19 pandemic described in “MD&amp;A—Introduction—Coronavirus Disease 2019 (COVID-19) Pandemic” are forward-looking statements. Our actual results</w:t>
      </w:r>
      <w:r>
        <w:rPr>
          <w:rFonts w:eastAsia="Times New Roman"/>
          <w:i/>
          <w:iCs/>
          <w:color w:val="000000"/>
          <w:sz w:val="20"/>
          <w:szCs w:val="20"/>
        </w:rPr>
        <w:t xml:space="preserve"> may differ materially from those included in these forward-looking statements due to a variety of factors including, but not limited to, those described in “Part I—Item 1A. Risk Factors” in our 2019 Annual Report on Form 10-K (“2019 Form 10-K”) and “Part </w:t>
      </w:r>
      <w:r>
        <w:rPr>
          <w:rFonts w:eastAsia="Times New Roman"/>
          <w:i/>
          <w:iCs/>
          <w:color w:val="000000"/>
          <w:sz w:val="20"/>
          <w:szCs w:val="20"/>
        </w:rPr>
        <w:t>II—Item 1A. Risk Factors” in our Quarterly Report on Form 10-Q for the period ended March 31, 2020. Unless otherwise specified, references to notes to our consolidated financial statements refer to the notes to our consolidated financial statements as of S</w:t>
      </w:r>
      <w:r>
        <w:rPr>
          <w:rFonts w:eastAsia="Times New Roman"/>
          <w:i/>
          <w:iCs/>
          <w:color w:val="000000"/>
          <w:sz w:val="20"/>
          <w:szCs w:val="20"/>
        </w:rPr>
        <w:t>eptember 30, 2020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859663344"/>
        </w:trPr>
        <w:tc>
          <w:tcPr>
            <w:tcW w:w="50" w:type="pct"/>
            <w:vAlign w:val="center"/>
            <w:hideMark/>
          </w:tcPr>
          <w:p w:rsidR="00000000" w:rsidRDefault="00795D39">
            <w:pPr>
              <w:jc w:val="both"/>
              <w:rPr>
                <w:rFonts w:eastAsia="Times New Roman"/>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59663344"/>
          <w:trHeight w:val="60"/>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bl>
    <w:p w:rsidR="00000000" w:rsidRDefault="00795D39">
      <w:pPr>
        <w:jc w:val="both"/>
        <w:divId w:val="1535918233"/>
        <w:rPr>
          <w:rFonts w:eastAsia="Times New Roman"/>
        </w:rPr>
      </w:pPr>
      <w:r>
        <w:rPr>
          <w:rFonts w:eastAsia="Times New Roman"/>
          <w:color w:val="000000"/>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eastAsia="Times New Roman"/>
          <w:color w:val="000000"/>
          <w:sz w:val="20"/>
          <w:szCs w:val="20"/>
        </w:rPr>
        <w:t>this Report and the more detailed information contained in our 2019 Form 10-K.</w:t>
      </w:r>
    </w:p>
    <w:tbl>
      <w:tblPr>
        <w:tblW w:w="4970" w:type="pct"/>
        <w:tblCellMar>
          <w:top w:w="15" w:type="dxa"/>
          <w:left w:w="15" w:type="dxa"/>
          <w:bottom w:w="15" w:type="dxa"/>
          <w:right w:w="15" w:type="dxa"/>
        </w:tblCellMar>
        <w:tblLook w:val="04A0" w:firstRow="1" w:lastRow="0" w:firstColumn="1" w:lastColumn="0" w:noHBand="0" w:noVBand="1"/>
      </w:tblPr>
      <w:tblGrid>
        <w:gridCol w:w="60"/>
        <w:gridCol w:w="3978"/>
        <w:gridCol w:w="36"/>
        <w:gridCol w:w="36"/>
        <w:gridCol w:w="94"/>
        <w:gridCol w:w="36"/>
        <w:gridCol w:w="61"/>
        <w:gridCol w:w="3919"/>
        <w:gridCol w:w="36"/>
      </w:tblGrid>
      <w:tr w:rsidR="00000000">
        <w:trPr>
          <w:divId w:val="453058927"/>
        </w:trPr>
        <w:tc>
          <w:tcPr>
            <w:tcW w:w="50" w:type="pct"/>
            <w:vAlign w:val="center"/>
            <w:hideMark/>
          </w:tcPr>
          <w:p w:rsidR="00000000" w:rsidRDefault="00795D39">
            <w:pPr>
              <w:jc w:val="both"/>
              <w:rPr>
                <w:rFonts w:eastAsia="Times New Roman"/>
              </w:rPr>
            </w:pPr>
          </w:p>
        </w:tc>
        <w:tc>
          <w:tcPr>
            <w:tcW w:w="2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7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38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53058927"/>
          <w:trHeight w:val="6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5305892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305892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305892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305892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305892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305892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305892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INTRODUCTION</w:t>
            </w:r>
          </w:p>
        </w:tc>
      </w:tr>
    </w:tbl>
    <w:p w:rsidR="00000000" w:rsidRDefault="00795D39">
      <w:pPr>
        <w:jc w:val="both"/>
        <w:divId w:val="1313220268"/>
        <w:rPr>
          <w:rFonts w:eastAsia="Times New Roman"/>
        </w:rPr>
      </w:pPr>
      <w:r>
        <w:rPr>
          <w:rFonts w:eastAsia="Times New Roman"/>
          <w:color w:val="000000"/>
          <w:sz w:val="20"/>
          <w:szCs w:val="20"/>
        </w:rPr>
        <w:t xml:space="preserve">We are a diversified financial services holding company with banking and non-banking subsidiaries. Capital One Financial Corporation and its subsidiaries (the “Company”) offer a broad array of financial products and services to consumers, small businesses </w:t>
      </w:r>
      <w:r>
        <w:rPr>
          <w:rFonts w:eastAsia="Times New Roman"/>
          <w:color w:val="000000"/>
          <w:sz w:val="20"/>
          <w:szCs w:val="20"/>
        </w:rPr>
        <w:t>and commercial clients through digital channels, branches, Cafés and other distribution channels. As of September 30, 2020, our principal subsidiaries included:</w:t>
      </w:r>
    </w:p>
    <w:p w:rsidR="00000000" w:rsidRDefault="00795D39">
      <w:pPr>
        <w:ind w:hanging="360"/>
        <w:jc w:val="both"/>
        <w:divId w:val="693965875"/>
        <w:rPr>
          <w:rFonts w:eastAsia="Times New Roman"/>
        </w:rPr>
      </w:pPr>
      <w:r>
        <w:rPr>
          <w:rFonts w:eastAsia="Times New Roman"/>
          <w:color w:val="000000"/>
          <w:sz w:val="20"/>
          <w:szCs w:val="20"/>
        </w:rPr>
        <w:t>•Capital One Bank (USA), National Association (“COBNA”), which offers credit and debit card pro</w:t>
      </w:r>
      <w:r>
        <w:rPr>
          <w:rFonts w:eastAsia="Times New Roman"/>
          <w:color w:val="000000"/>
          <w:sz w:val="20"/>
          <w:szCs w:val="20"/>
        </w:rPr>
        <w:t>ducts, other lending products and deposit products; and</w:t>
      </w:r>
    </w:p>
    <w:p w:rsidR="00000000" w:rsidRDefault="00795D39">
      <w:pPr>
        <w:ind w:hanging="360"/>
        <w:jc w:val="both"/>
        <w:divId w:val="1676223219"/>
        <w:rPr>
          <w:rFonts w:eastAsia="Times New Roman"/>
        </w:rPr>
      </w:pPr>
      <w:r>
        <w:rPr>
          <w:rFonts w:eastAsia="Times New Roman"/>
          <w:color w:val="000000"/>
          <w:sz w:val="20"/>
          <w:szCs w:val="20"/>
        </w:rPr>
        <w:t>•Capital One, National Association (“CONA”), which offers a broad spectrum of banking products and financial services to consumers, small businesses and commercial clients.</w:t>
      </w:r>
    </w:p>
    <w:p w:rsidR="00000000" w:rsidRDefault="00795D39">
      <w:pPr>
        <w:jc w:val="both"/>
        <w:divId w:val="1220167514"/>
        <w:rPr>
          <w:rFonts w:eastAsia="Times New Roman"/>
        </w:rPr>
      </w:pPr>
      <w:r>
        <w:rPr>
          <w:rFonts w:eastAsia="Times New Roman"/>
          <w:color w:val="000000"/>
          <w:sz w:val="20"/>
          <w:szCs w:val="20"/>
        </w:rPr>
        <w:t>The Company is hereafter co</w:t>
      </w:r>
      <w:r>
        <w:rPr>
          <w:rFonts w:eastAsia="Times New Roman"/>
          <w:color w:val="000000"/>
          <w:sz w:val="20"/>
          <w:szCs w:val="20"/>
        </w:rPr>
        <w:t xml:space="preserve">llectively referred to as “we,” “us” or “our.” COBNA and CONA are collectively referred to as the “Banks.” Certain business terms used in this document are defined in the “MD&amp;A—Glossary and Acronyms” and should be read in conjunction with the consolidated </w:t>
      </w:r>
      <w:r>
        <w:rPr>
          <w:rFonts w:eastAsia="Times New Roman"/>
          <w:color w:val="000000"/>
          <w:sz w:val="20"/>
          <w:szCs w:val="20"/>
        </w:rPr>
        <w:t>financial statements included in this Report.</w:t>
      </w:r>
    </w:p>
    <w:p w:rsidR="00000000" w:rsidRDefault="00795D39">
      <w:pPr>
        <w:jc w:val="both"/>
        <w:divId w:val="1781607976"/>
        <w:rPr>
          <w:rFonts w:eastAsia="Times New Roman"/>
        </w:rPr>
      </w:pPr>
      <w:r>
        <w:rPr>
          <w:rFonts w:eastAsia="Times New Roman"/>
          <w:color w:val="000000"/>
          <w:sz w:val="20"/>
          <w:szCs w:val="20"/>
        </w:rPr>
        <w:t>Our consolidated total net revenues are derived primarily from lending to consumer, small business and commercial customers net of funding costs associated with interest on deposits, short-term borrowings and l</w:t>
      </w:r>
      <w:r>
        <w:rPr>
          <w:rFonts w:eastAsia="Times New Roman"/>
          <w:color w:val="000000"/>
          <w:sz w:val="20"/>
          <w:szCs w:val="20"/>
        </w:rPr>
        <w:t>ong-term debt. We also earn non-interest income which primarily consists of interchange income net of reward expenses, and service charges and other customer-related fees. Our expenses primarily consist of the provision for credit losses, operating expense</w:t>
      </w:r>
      <w:r>
        <w:rPr>
          <w:rFonts w:eastAsia="Times New Roman"/>
          <w:color w:val="000000"/>
          <w:sz w:val="20"/>
          <w:szCs w:val="20"/>
        </w:rPr>
        <w:t>s, marketing expenses and income taxes.</w:t>
      </w:r>
    </w:p>
    <w:p w:rsidR="00000000" w:rsidRDefault="00795D39">
      <w:pPr>
        <w:jc w:val="both"/>
        <w:divId w:val="1117992401"/>
        <w:rPr>
          <w:rFonts w:eastAsia="Times New Roman"/>
        </w:rPr>
      </w:pPr>
      <w:r>
        <w:rPr>
          <w:rFonts w:eastAsia="Times New Roman"/>
          <w:color w:val="000000"/>
          <w:sz w:val="20"/>
          <w:szCs w:val="20"/>
        </w:rPr>
        <w:lastRenderedPageBreak/>
        <w:t>Our principal operations are organized for management reporting purposes into three major business segments, which are defined primarily based on the products and services provided or the types of customer served: Cr</w:t>
      </w:r>
      <w:r>
        <w:rPr>
          <w:rFonts w:eastAsia="Times New Roman"/>
          <w:color w:val="000000"/>
          <w:sz w:val="20"/>
          <w:szCs w:val="20"/>
        </w:rPr>
        <w:t>edit Card, Consumer Banking and Commercial Banking. The operations of acquired businesses have been integrated into our existing business segments. Certain activities that are not part of a segment, such as management of our corporate investment portfolio,</w:t>
      </w:r>
      <w:r>
        <w:rPr>
          <w:rFonts w:eastAsia="Times New Roman"/>
          <w:color w:val="000000"/>
          <w:sz w:val="20"/>
          <w:szCs w:val="20"/>
        </w:rPr>
        <w:t xml:space="preserve"> asset/liability management by our centralized Corporate Treasury group and residual tax expense or benefit to arrive at the consolidated effective tax rate that is not assessed to our primary business segments, are included in the Other category. </w:t>
      </w:r>
    </w:p>
    <w:p w:rsidR="00000000" w:rsidRDefault="00795D39">
      <w:pPr>
        <w:ind w:hanging="360"/>
        <w:jc w:val="both"/>
        <w:divId w:val="1007487608"/>
        <w:rPr>
          <w:rFonts w:eastAsia="Times New Roman"/>
        </w:rPr>
      </w:pPr>
      <w:r>
        <w:rPr>
          <w:rFonts w:eastAsia="Times New Roman"/>
          <w:color w:val="000000"/>
          <w:sz w:val="20"/>
          <w:szCs w:val="20"/>
        </w:rPr>
        <w:t>•</w:t>
      </w:r>
      <w:r>
        <w:rPr>
          <w:rFonts w:eastAsia="Times New Roman"/>
          <w:i/>
          <w:iCs/>
          <w:color w:val="000000"/>
          <w:sz w:val="20"/>
          <w:szCs w:val="20"/>
        </w:rPr>
        <w:t>Credit</w:t>
      </w:r>
      <w:r>
        <w:rPr>
          <w:rFonts w:eastAsia="Times New Roman"/>
          <w:i/>
          <w:iCs/>
          <w:color w:val="000000"/>
          <w:sz w:val="20"/>
          <w:szCs w:val="20"/>
        </w:rPr>
        <w:t xml:space="preserve"> Card:</w:t>
      </w:r>
      <w:r>
        <w:rPr>
          <w:rFonts w:eastAsia="Times New Roman"/>
          <w:color w:val="000000"/>
          <w:sz w:val="20"/>
          <w:szCs w:val="20"/>
        </w:rPr>
        <w:t xml:space="preserve"> Consists of our domestic consumer and small business card lending, and international card businesses in Canada and the United Kingdom (“U.K.”).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90977465"/>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79097746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9097746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29" style="width:0;height:1.5pt" o:hralign="center" o:hrstd="t" o:hr="t" fillcolor="#a0a0a0" stroked="f"/>
        </w:pict>
      </w:r>
    </w:p>
    <w:p w:rsidR="00000000" w:rsidRDefault="00795D39">
      <w:pPr>
        <w:jc w:val="both"/>
        <w:divId w:val="8403940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ind w:hanging="360"/>
        <w:jc w:val="both"/>
        <w:divId w:val="640767379"/>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w:t>
      </w:r>
      <w:r>
        <w:rPr>
          <w:rFonts w:eastAsia="Times New Roman"/>
          <w:color w:val="000000"/>
          <w:sz w:val="20"/>
          <w:szCs w:val="20"/>
        </w:rPr>
        <w:t>Consists of our deposit gathering and lending activities for consumers and small businesses, and national auto lending.</w:t>
      </w:r>
    </w:p>
    <w:p w:rsidR="00000000" w:rsidRDefault="00795D39">
      <w:pPr>
        <w:ind w:hanging="360"/>
        <w:jc w:val="both"/>
        <w:divId w:val="353042535"/>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markets and treasury management services to commercial real est</w:t>
      </w:r>
      <w:r>
        <w:rPr>
          <w:rFonts w:eastAsia="Times New Roman"/>
          <w:color w:val="000000"/>
          <w:sz w:val="20"/>
          <w:szCs w:val="20"/>
        </w:rPr>
        <w:t>ate and commercial and industrial customers. Our commercial and industrial customers typically include companies with annual revenues between $20 million and $2 billion.</w:t>
      </w:r>
    </w:p>
    <w:p w:rsidR="00000000" w:rsidRDefault="00795D39">
      <w:pPr>
        <w:divId w:val="2059357955"/>
        <w:rPr>
          <w:rFonts w:eastAsia="Times New Roman"/>
        </w:rPr>
      </w:pPr>
      <w:r>
        <w:rPr>
          <w:rFonts w:eastAsia="Times New Roman"/>
          <w:b/>
          <w:bCs/>
          <w:color w:val="000000"/>
          <w:sz w:val="20"/>
          <w:szCs w:val="20"/>
        </w:rPr>
        <w:t>Business Developments</w:t>
      </w:r>
    </w:p>
    <w:p w:rsidR="00000000" w:rsidRDefault="00795D39">
      <w:pPr>
        <w:jc w:val="both"/>
        <w:divId w:val="1092051051"/>
        <w:rPr>
          <w:rFonts w:eastAsia="Times New Roman"/>
        </w:rPr>
      </w:pPr>
      <w:r>
        <w:rPr>
          <w:rFonts w:eastAsia="Times New Roman"/>
          <w:color w:val="000000"/>
          <w:sz w:val="20"/>
          <w:szCs w:val="20"/>
        </w:rPr>
        <w:t>We regularly explore and evaluate opportunities to acquire finan</w:t>
      </w:r>
      <w:r>
        <w:rPr>
          <w:rFonts w:eastAsia="Times New Roman"/>
          <w:color w:val="000000"/>
          <w:sz w:val="20"/>
          <w:szCs w:val="20"/>
        </w:rPr>
        <w:t xml:space="preserve">cial services and products as well as financial assets, including credit card and other loan portfolios, and enter into strategic partnerships as part of our growth strategy. We also explore opportunities to acquire technology companies and related assets </w:t>
      </w:r>
      <w:r>
        <w:rPr>
          <w:rFonts w:eastAsia="Times New Roman"/>
          <w:color w:val="000000"/>
          <w:sz w:val="20"/>
          <w:szCs w:val="20"/>
        </w:rPr>
        <w:t>to improve our information technology infrastructure and to deliver on our digital strategy. We may issue equity or debt to fund our acquisitions. In addition, we regularly consider the potential disposition of certain assets, branches, partnership agreeme</w:t>
      </w:r>
      <w:r>
        <w:rPr>
          <w:rFonts w:eastAsia="Times New Roman"/>
          <w:color w:val="000000"/>
          <w:sz w:val="20"/>
          <w:szCs w:val="20"/>
        </w:rPr>
        <w:t>nts or lines of business.</w:t>
      </w:r>
    </w:p>
    <w:p w:rsidR="00000000" w:rsidRDefault="00795D39">
      <w:pPr>
        <w:jc w:val="both"/>
        <w:divId w:val="465244109"/>
        <w:rPr>
          <w:rFonts w:eastAsia="Times New Roman"/>
        </w:rPr>
      </w:pPr>
      <w:r>
        <w:rPr>
          <w:rFonts w:eastAsia="Times New Roman"/>
          <w:color w:val="000000"/>
          <w:sz w:val="20"/>
          <w:szCs w:val="20"/>
        </w:rPr>
        <w:t>As of September 30, 2020, we transferred a partnership credit card loan portfolio of approximately $2.1 billion to held for sale, which resulted in an allowance release of $327 million, as we expect to sell this portfolio.</w:t>
      </w:r>
    </w:p>
    <w:p w:rsidR="00000000" w:rsidRDefault="00795D39">
      <w:pPr>
        <w:jc w:val="both"/>
        <w:divId w:val="1176724846"/>
        <w:rPr>
          <w:rFonts w:eastAsia="Times New Roman"/>
        </w:rPr>
      </w:pPr>
      <w:r>
        <w:rPr>
          <w:rFonts w:eastAsia="Times New Roman"/>
          <w:color w:val="000000"/>
          <w:sz w:val="20"/>
          <w:szCs w:val="20"/>
        </w:rPr>
        <w:t>On Sept</w:t>
      </w:r>
      <w:r>
        <w:rPr>
          <w:rFonts w:eastAsia="Times New Roman"/>
          <w:color w:val="000000"/>
          <w:sz w:val="20"/>
          <w:szCs w:val="20"/>
        </w:rPr>
        <w:t>ember 24, 2019, we launched a new credit card issuance program with Walmart Inc. (“Walmart”) and are now the exclusive issuer of Walmart’s cobrand and private label credit card program in the United States of America (“U.S.”). On October 11, 2019, we compl</w:t>
      </w:r>
      <w:r>
        <w:rPr>
          <w:rFonts w:eastAsia="Times New Roman"/>
          <w:color w:val="000000"/>
          <w:sz w:val="20"/>
          <w:szCs w:val="20"/>
        </w:rPr>
        <w:t xml:space="preserve">eted the acquisition of the existing portfolio of Walmart’s cobrand and private label credit card receivables, which added approximately $8.1 billion to our domestic credit card loans held for investment portfolio as of the acquisition date. </w:t>
      </w:r>
    </w:p>
    <w:p w:rsidR="00000000" w:rsidRDefault="00795D39">
      <w:pPr>
        <w:divId w:val="1627544234"/>
        <w:rPr>
          <w:rFonts w:eastAsia="Times New Roman"/>
        </w:rPr>
      </w:pPr>
      <w:r>
        <w:rPr>
          <w:rFonts w:eastAsia="Times New Roman"/>
          <w:b/>
          <w:bCs/>
          <w:color w:val="000000"/>
          <w:sz w:val="20"/>
          <w:szCs w:val="20"/>
        </w:rPr>
        <w:t>Coronavirus D</w:t>
      </w:r>
      <w:r>
        <w:rPr>
          <w:rFonts w:eastAsia="Times New Roman"/>
          <w:b/>
          <w:bCs/>
          <w:color w:val="000000"/>
          <w:sz w:val="20"/>
          <w:szCs w:val="20"/>
        </w:rPr>
        <w:t xml:space="preserve">isease 2019 (COVID-19) Pandemic </w:t>
      </w:r>
    </w:p>
    <w:p w:rsidR="00000000" w:rsidRDefault="00795D39">
      <w:pPr>
        <w:jc w:val="both"/>
        <w:divId w:val="1055660817"/>
        <w:rPr>
          <w:rFonts w:eastAsia="Times New Roman"/>
        </w:rPr>
      </w:pPr>
      <w:r>
        <w:rPr>
          <w:rFonts w:eastAsia="Times New Roman"/>
          <w:color w:val="212529"/>
          <w:sz w:val="20"/>
          <w:szCs w:val="20"/>
        </w:rPr>
        <w:t>The COVID-19 pandemic has resulted in a global public-health crisis, disrupting economies and introducing significant volatility into financial markets and uncertainty as to when economic and operating conditions will retur</w:t>
      </w:r>
      <w:r>
        <w:rPr>
          <w:rFonts w:eastAsia="Times New Roman"/>
          <w:color w:val="212529"/>
          <w:sz w:val="20"/>
          <w:szCs w:val="20"/>
        </w:rPr>
        <w:t>n to normalcy. This crisis continues to impact individuals, households and businesses in a multitude of ways. Companies in the U.S. and abroad have experienced unprecedented disruptions to normal business operations, including customer-facing interactions,</w:t>
      </w:r>
      <w:r>
        <w:rPr>
          <w:rFonts w:eastAsia="Times New Roman"/>
          <w:color w:val="212529"/>
          <w:sz w:val="20"/>
          <w:szCs w:val="20"/>
        </w:rPr>
        <w:t xml:space="preserve"> supply chains, office closures, changes in demand for products and services, and others. Financial institutions, including us, have been deemed an essential service and exempted from the myriad of shutdowns across the country. We have transformed how we w</w:t>
      </w:r>
      <w:r>
        <w:rPr>
          <w:rFonts w:eastAsia="Times New Roman"/>
          <w:color w:val="212529"/>
          <w:sz w:val="20"/>
          <w:szCs w:val="20"/>
        </w:rPr>
        <w:t>ork in order to protect the well-being of our associates and our customers, serve our customers, support our communities, and position ourselves to navigate the challenges ahead.</w:t>
      </w:r>
    </w:p>
    <w:p w:rsidR="00000000" w:rsidRDefault="00795D39">
      <w:pPr>
        <w:jc w:val="both"/>
        <w:divId w:val="2063870252"/>
        <w:rPr>
          <w:rFonts w:eastAsia="Times New Roman"/>
        </w:rPr>
      </w:pPr>
      <w:r>
        <w:rPr>
          <w:rFonts w:eastAsia="Times New Roman"/>
          <w:color w:val="000000"/>
          <w:sz w:val="20"/>
          <w:szCs w:val="20"/>
        </w:rPr>
        <w:t>Since the start of the COVID-19 pandemic, a significant majority of our assoc</w:t>
      </w:r>
      <w:r>
        <w:rPr>
          <w:rFonts w:eastAsia="Times New Roman"/>
          <w:color w:val="000000"/>
          <w:sz w:val="20"/>
          <w:szCs w:val="20"/>
        </w:rPr>
        <w:t>iates across our workforce have transitioned to working remotely, relying on our technology infrastructure and systems that have been designed for resilience and security. The majority of our associates will continue to work remotely throughout 2020, as we</w:t>
      </w:r>
      <w:r>
        <w:rPr>
          <w:rFonts w:eastAsia="Times New Roman"/>
          <w:color w:val="000000"/>
          <w:sz w:val="20"/>
          <w:szCs w:val="20"/>
        </w:rPr>
        <w:t xml:space="preserve"> continue to prioritize their safety while planning our return to the office. We have been able to continue serving customers, successfully managing critical functions and keeping our lines of business operating. We have implemented additional paid benefit</w:t>
      </w:r>
      <w:r>
        <w:rPr>
          <w:rFonts w:eastAsia="Times New Roman"/>
          <w:color w:val="000000"/>
          <w:sz w:val="20"/>
          <w:szCs w:val="20"/>
        </w:rPr>
        <w:t>s and flexible attendance policies that are intended to enable our associates to care for their families and loved ones, including increased pay for branch associates working in open locations, associates that perform essential and time-sensitive banking a</w:t>
      </w:r>
      <w:r>
        <w:rPr>
          <w:rFonts w:eastAsia="Times New Roman"/>
          <w:color w:val="000000"/>
          <w:sz w:val="20"/>
          <w:szCs w:val="20"/>
        </w:rPr>
        <w:t>ctivities that cannot be performed remotely, and other U.S.-based associates in roles instrumental to maintaining essential customer support. We continue to monitor and revise our safety precautions and policies at banking locations as government authoriti</w:t>
      </w:r>
      <w:r>
        <w:rPr>
          <w:rFonts w:eastAsia="Times New Roman"/>
          <w:color w:val="000000"/>
          <w:sz w:val="20"/>
          <w:szCs w:val="20"/>
        </w:rPr>
        <w:t>es continue to implement and modify measures to contain the further spread of COVID-19. In our Retail Banking business, we have re-opened nearly all of our cafes and branches across our network with increased safety precautions. We will continue to monitor</w:t>
      </w:r>
      <w:r>
        <w:rPr>
          <w:rFonts w:eastAsia="Times New Roman"/>
          <w:color w:val="000000"/>
          <w:sz w:val="20"/>
          <w:szCs w:val="20"/>
        </w:rPr>
        <w:t xml:space="preserve"> local conditions to ensure the safety of our associates and customers while providing critical banking services.</w:t>
      </w:r>
    </w:p>
    <w:p w:rsidR="00000000" w:rsidRDefault="00795D39">
      <w:pPr>
        <w:jc w:val="both"/>
        <w:divId w:val="505052433"/>
        <w:rPr>
          <w:rFonts w:eastAsia="Times New Roman"/>
        </w:rPr>
      </w:pPr>
      <w:r>
        <w:rPr>
          <w:rFonts w:eastAsia="Times New Roman"/>
          <w:color w:val="000000"/>
          <w:sz w:val="20"/>
          <w:szCs w:val="20"/>
        </w:rPr>
        <w:t>We continue to offer a range of policies and programs to accommodate customer hardship across our lines of business. In our Credit Card and Au</w:t>
      </w:r>
      <w:r>
        <w:rPr>
          <w:rFonts w:eastAsia="Times New Roman"/>
          <w:color w:val="000000"/>
          <w:sz w:val="20"/>
          <w:szCs w:val="20"/>
        </w:rPr>
        <w:t>to Finance businesses, our customers can seek forbearance primarily in the form of short-term payment deferrals or extensions and fee waivers. In our Retail Banking business, we are waiving select fees for impacted customers and are offering short-term pay</w:t>
      </w:r>
      <w:r>
        <w:rPr>
          <w:rFonts w:eastAsia="Times New Roman"/>
          <w:color w:val="000000"/>
          <w:sz w:val="20"/>
          <w:szCs w:val="20"/>
        </w:rPr>
        <w:t>ment deferrals for our small business banking customers. We are also working with our Commercial Banking customers on a more customized basis. In addition, we have participated in the Paycheck Protection Program (“PPP”), established by the Coronavirus Aid,</w:t>
      </w:r>
      <w:r>
        <w:rPr>
          <w:rFonts w:eastAsia="Times New Roman"/>
          <w:color w:val="000000"/>
          <w:sz w:val="20"/>
          <w:szCs w:val="20"/>
        </w:rPr>
        <w:t xml:space="preserve"> Relief, and Economic Security Act (the “CARES Act”) enacted in March 2020 and implemented by the Small Business Administration. See “MD&amp;A—Credit Risk Profile” for more information about our customer assistance programs and enrollment volumes.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90146800"/>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9014680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9014680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0" style="width:0;height:1.5pt" o:hralign="center" o:hrstd="t" o:hr="t" fillcolor="#a0a0a0" stroked="f"/>
        </w:pict>
      </w:r>
    </w:p>
    <w:p w:rsidR="00000000" w:rsidRDefault="00795D39">
      <w:pPr>
        <w:jc w:val="both"/>
        <w:divId w:val="86325374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856188456"/>
        <w:rPr>
          <w:rFonts w:eastAsia="Times New Roman"/>
        </w:rPr>
      </w:pPr>
      <w:r>
        <w:rPr>
          <w:rFonts w:eastAsia="Times New Roman"/>
          <w:color w:val="000000"/>
          <w:sz w:val="20"/>
          <w:szCs w:val="20"/>
        </w:rPr>
        <w:t>We reported net income of $148 million (which after considering preferred stock dividends and other items equated to a net loss of $0.20 per dil</w:t>
      </w:r>
      <w:r>
        <w:rPr>
          <w:rFonts w:eastAsia="Times New Roman"/>
          <w:color w:val="000000"/>
          <w:sz w:val="20"/>
          <w:szCs w:val="20"/>
        </w:rPr>
        <w:t xml:space="preserve">uted common share) for the first nine months of 2020, which reflects $5.6 billion in allowance builds primarily due to expectations of economic worsening as a result of the COVID-19 pandemic. These allowance builds, in combination with the adoption impact </w:t>
      </w:r>
      <w:r>
        <w:rPr>
          <w:rFonts w:eastAsia="Times New Roman"/>
          <w:color w:val="000000"/>
          <w:sz w:val="20"/>
          <w:szCs w:val="20"/>
        </w:rPr>
        <w:t xml:space="preserve">of the Current Expected Credit Loss (“CECL”) standard, increased our allowance coverage ratio by 379 basis points to 6.50% as of September 30, 2020 from 2.71% as of December 31, 2019. For more information, see “MD&amp;A—Executive Summary and Business Outlook” </w:t>
      </w:r>
      <w:r>
        <w:rPr>
          <w:rFonts w:eastAsia="Times New Roman"/>
          <w:color w:val="000000"/>
          <w:sz w:val="20"/>
          <w:szCs w:val="20"/>
        </w:rPr>
        <w:t>and “MD&amp;A—Credit Risk Profile.” We have continued to evaluate the potential impact on our goodwill and have incorporated recent market events and trends into our fair value measurements. See more details in “MD&amp;A—Critical Accounting Policies and Estimates,</w:t>
      </w:r>
      <w:r>
        <w:rPr>
          <w:rFonts w:eastAsia="Times New Roman"/>
          <w:color w:val="000000"/>
          <w:sz w:val="20"/>
          <w:szCs w:val="20"/>
        </w:rPr>
        <w:t>” “MD&amp;A—Market Risk Profile” and “Note 8—Derivative Instruments and Hedging Activities.” See “MD&amp;A—Liquidity Risk Profile” for information relating to our liquidity reserves as of September 30, 2020.</w:t>
      </w:r>
    </w:p>
    <w:p w:rsidR="00000000" w:rsidRDefault="00795D39">
      <w:pPr>
        <w:jc w:val="both"/>
        <w:divId w:val="1049306715"/>
        <w:rPr>
          <w:rFonts w:eastAsia="Times New Roman"/>
        </w:rPr>
      </w:pPr>
      <w:r>
        <w:rPr>
          <w:rFonts w:eastAsia="Times New Roman"/>
          <w:color w:val="000000"/>
          <w:sz w:val="20"/>
          <w:szCs w:val="20"/>
        </w:rPr>
        <w:t>In the third quarter of 2020, the COVID-19 pandemic cont</w:t>
      </w:r>
      <w:r>
        <w:rPr>
          <w:rFonts w:eastAsia="Times New Roman"/>
          <w:color w:val="000000"/>
          <w:sz w:val="20"/>
          <w:szCs w:val="20"/>
        </w:rPr>
        <w:t xml:space="preserve">inued to impact the demand for our products and services. In our Domestic Card business, loan balances and revenue are down year-over-year, while purchase volume was relatively flat. In our Auto business, we saw an increase in origination volumes and loan </w:t>
      </w:r>
      <w:r>
        <w:rPr>
          <w:rFonts w:eastAsia="Times New Roman"/>
          <w:color w:val="000000"/>
          <w:sz w:val="20"/>
          <w:szCs w:val="20"/>
        </w:rPr>
        <w:t>growth from the sharp decline at the end of the first quarter. Our loan growth was driven by our relationship strategy and digital capabilities that we have developed. In our Retail Banking business, we have seen strong deposit growth throughout the year f</w:t>
      </w:r>
      <w:r>
        <w:rPr>
          <w:rFonts w:eastAsia="Times New Roman"/>
          <w:color w:val="000000"/>
          <w:sz w:val="20"/>
          <w:szCs w:val="20"/>
        </w:rPr>
        <w:t xml:space="preserve">rom increased consumer savings aided by the impact of government stimulus. </w:t>
      </w:r>
    </w:p>
    <w:p w:rsidR="00000000" w:rsidRDefault="00795D39">
      <w:pPr>
        <w:jc w:val="both"/>
        <w:divId w:val="133332150"/>
        <w:rPr>
          <w:rFonts w:eastAsia="Times New Roman"/>
        </w:rPr>
      </w:pPr>
      <w:r>
        <w:rPr>
          <w:rFonts w:eastAsia="Times New Roman"/>
          <w:color w:val="000000"/>
          <w:sz w:val="20"/>
          <w:szCs w:val="20"/>
        </w:rPr>
        <w:t>We are actively monitoring and responding to developments across the myriad of landscapes affected by the COVID-19 pandemic, including social, financial, legal, regulatory and governmental. As guidance is issued by governments and our regulators, we contin</w:t>
      </w:r>
      <w:r>
        <w:rPr>
          <w:rFonts w:eastAsia="Times New Roman"/>
          <w:color w:val="000000"/>
          <w:sz w:val="20"/>
          <w:szCs w:val="20"/>
        </w:rPr>
        <w:t>ue to assess the impacts on us. As government authorities continue to implement, modify and reinstate social distancing and reopening plans and other measures to contain the further spread of COVID-19, we will continue to adjust our business operations, po</w:t>
      </w:r>
      <w:r>
        <w:rPr>
          <w:rFonts w:eastAsia="Times New Roman"/>
          <w:color w:val="000000"/>
          <w:sz w:val="20"/>
          <w:szCs w:val="20"/>
        </w:rPr>
        <w:t>licies and practices, keeping the best interests of our associates, customers and business partners at the forefront.</w:t>
      </w:r>
    </w:p>
    <w:p w:rsidR="00000000" w:rsidRDefault="00795D39">
      <w:pPr>
        <w:jc w:val="both"/>
        <w:divId w:val="2028023613"/>
        <w:rPr>
          <w:rFonts w:eastAsia="Times New Roman"/>
        </w:rPr>
      </w:pPr>
      <w:r>
        <w:rPr>
          <w:rFonts w:eastAsia="Times New Roman"/>
          <w:color w:val="000000"/>
          <w:sz w:val="20"/>
          <w:szCs w:val="20"/>
        </w:rPr>
        <w:t xml:space="preserve">See “Part II—Item 1A. Risk Factors” </w:t>
      </w:r>
      <w:r>
        <w:rPr>
          <w:rFonts w:eastAsia="Times New Roman"/>
          <w:color w:val="000000"/>
          <w:sz w:val="20"/>
          <w:szCs w:val="20"/>
        </w:rPr>
        <w:t>in our Quarterly Report on Form 10-Q for the period ended March 31, 2020 for additional information regarding risks and the significant uncertainties relating to the COVID-19 pandemic.</w:t>
      </w:r>
    </w:p>
    <w:p w:rsidR="00000000" w:rsidRDefault="00795D39">
      <w:pPr>
        <w:divId w:val="976640717"/>
        <w:rPr>
          <w:rFonts w:eastAsia="Times New Roman"/>
        </w:rPr>
      </w:pPr>
      <w:r>
        <w:rPr>
          <w:rFonts w:eastAsia="Times New Roman"/>
          <w:b/>
          <w:bCs/>
          <w:color w:val="000000"/>
          <w:sz w:val="20"/>
          <w:szCs w:val="20"/>
        </w:rPr>
        <w:t>Cybersecurity Incident</w:t>
      </w:r>
    </w:p>
    <w:p w:rsidR="00000000" w:rsidRDefault="00795D39">
      <w:pPr>
        <w:jc w:val="both"/>
        <w:divId w:val="177815189"/>
        <w:rPr>
          <w:rFonts w:eastAsia="Times New Roman"/>
        </w:rPr>
      </w:pPr>
      <w:r>
        <w:rPr>
          <w:rFonts w:eastAsia="Times New Roman"/>
          <w:color w:val="000000"/>
          <w:sz w:val="20"/>
          <w:szCs w:val="20"/>
        </w:rPr>
        <w:t xml:space="preserve">On July 29, 2019, we announced that on March 22 </w:t>
      </w:r>
      <w:r>
        <w:rPr>
          <w:rFonts w:eastAsia="Times New Roman"/>
          <w:color w:val="000000"/>
          <w:sz w:val="20"/>
          <w:szCs w:val="20"/>
        </w:rPr>
        <w:t>and 23, 2019 an outside individual gained unauthorized access to our systems. This individual obtained certain types of personal information relating to people who had applied for our credit card products and to our credit card customers (the “Cybersecurit</w:t>
      </w:r>
      <w:r>
        <w:rPr>
          <w:rFonts w:eastAsia="Times New Roman"/>
          <w:color w:val="000000"/>
          <w:sz w:val="20"/>
          <w:szCs w:val="20"/>
        </w:rPr>
        <w:t>y Incident”). We retained a leading independent cybersecurity firm that confirmed we correctly identified and fixed the specific configuration vulnerability exploited in the Cybersecurity Incident. We continue to invest significantly in cybersecurity and r</w:t>
      </w:r>
      <w:r>
        <w:rPr>
          <w:rFonts w:eastAsia="Times New Roman"/>
          <w:color w:val="000000"/>
          <w:sz w:val="20"/>
          <w:szCs w:val="20"/>
        </w:rPr>
        <w:t>elated risk management activities and expect to make additional investments as we continue to assess our cybersecurity program.</w:t>
      </w:r>
    </w:p>
    <w:p w:rsidR="00000000" w:rsidRDefault="00795D39">
      <w:pPr>
        <w:jc w:val="both"/>
        <w:divId w:val="74209021"/>
        <w:rPr>
          <w:rFonts w:eastAsia="Times New Roman"/>
        </w:rPr>
      </w:pPr>
      <w:r>
        <w:rPr>
          <w:rFonts w:eastAsia="Times New Roman"/>
          <w:color w:val="000000"/>
          <w:sz w:val="20"/>
          <w:szCs w:val="20"/>
        </w:rPr>
        <w:t xml:space="preserve">During the third quarter of 2020, we incurred $13 million of incremental expenses related to the remediation of and response to </w:t>
      </w:r>
      <w:r>
        <w:rPr>
          <w:rFonts w:eastAsia="Times New Roman"/>
          <w:color w:val="000000"/>
          <w:sz w:val="20"/>
          <w:szCs w:val="20"/>
        </w:rPr>
        <w:t>the Cybersecurity Incident, offset by $7 million of insurance recoveries. To date, we have incurred $127 million of incremental expenses, offset by $67 million of insurance recoveries pursuant to the cyber risk insurance coverage we carry. These expenses m</w:t>
      </w:r>
      <w:r>
        <w:rPr>
          <w:rFonts w:eastAsia="Times New Roman"/>
          <w:color w:val="000000"/>
          <w:sz w:val="20"/>
          <w:szCs w:val="20"/>
        </w:rPr>
        <w:t>ainly consist of customer notifications, credit monitoring, technology costs, and professional support. We expect total incremental costs through the end of 2020 will be at the high end of the $100 million to $150 million range previously disclosed. We car</w:t>
      </w:r>
      <w:r>
        <w:rPr>
          <w:rFonts w:eastAsia="Times New Roman"/>
          <w:color w:val="000000"/>
          <w:sz w:val="20"/>
          <w:szCs w:val="20"/>
        </w:rPr>
        <w:t>ry insurance to cover certain costs associated with a cyber risk event. As the timing of recognizing insurance reimbursements may differ from the timing of recognizing the associated expenses, any such reimbursements are not considered in this range, thoug</w:t>
      </w:r>
      <w:r>
        <w:rPr>
          <w:rFonts w:eastAsia="Times New Roman"/>
          <w:color w:val="000000"/>
          <w:sz w:val="20"/>
          <w:szCs w:val="20"/>
        </w:rPr>
        <w:t xml:space="preserve">h we continue to expect that a significant portion of these expenses will be covered by insurance. This insurance has a total coverage limit of $400 million and is subject to a $10 million deductible, which was met in the third quarter of 2019, as well as </w:t>
      </w:r>
      <w:r>
        <w:rPr>
          <w:rFonts w:eastAsia="Times New Roman"/>
          <w:color w:val="000000"/>
          <w:sz w:val="20"/>
          <w:szCs w:val="20"/>
        </w:rPr>
        <w:t>standard exclusions.</w:t>
      </w:r>
    </w:p>
    <w:p w:rsidR="00000000" w:rsidRDefault="00795D39">
      <w:pPr>
        <w:jc w:val="both"/>
        <w:divId w:val="1231309949"/>
        <w:rPr>
          <w:rFonts w:eastAsia="Times New Roman"/>
        </w:rPr>
      </w:pPr>
      <w:r>
        <w:rPr>
          <w:rFonts w:eastAsia="Times New Roman"/>
          <w:color w:val="000000"/>
          <w:sz w:val="20"/>
          <w:szCs w:val="20"/>
        </w:rPr>
        <w:t>We continue to treat these expenses and insurance reimbursements as adjusting items as they relate to our financial results (“Cyber Adjusting Items”). Our reported results excluding adjusting items, including the Cyber Adjusting Items,</w:t>
      </w:r>
      <w:r>
        <w:rPr>
          <w:rFonts w:eastAsia="Times New Roman"/>
          <w:color w:val="000000"/>
          <w:sz w:val="20"/>
          <w:szCs w:val="20"/>
        </w:rPr>
        <w:t xml:space="preserve"> represent non-GAAP measures which we believe help users of our financial information understand the impact of these adjusting items on our reported results as well as provide an alternate measurement of our operating performance.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7637271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7637271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97637271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1" style="width:0;height:1.5pt" o:hralign="center" o:hrstd="t" o:hr="t" fillcolor="#a0a0a0" stroked="f"/>
        </w:pict>
      </w:r>
    </w:p>
    <w:p w:rsidR="00000000" w:rsidRDefault="00795D39">
      <w:pPr>
        <w:jc w:val="both"/>
        <w:divId w:val="11444411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2102335559"/>
        <w:rPr>
          <w:rFonts w:eastAsia="Times New Roman"/>
        </w:rPr>
      </w:pPr>
      <w:r>
        <w:rPr>
          <w:rFonts w:eastAsia="Times New Roman"/>
          <w:color w:val="000000"/>
          <w:sz w:val="20"/>
          <w:szCs w:val="20"/>
        </w:rPr>
        <w:t xml:space="preserve">Although the ultimate magnitude and timing of expenses or other impacts to our business or reputation related to the Cybersecurity Incident are </w:t>
      </w:r>
      <w:r>
        <w:rPr>
          <w:rFonts w:eastAsia="Times New Roman"/>
          <w:color w:val="000000"/>
          <w:sz w:val="20"/>
          <w:szCs w:val="20"/>
        </w:rPr>
        <w:t xml:space="preserve">uncertain, they may be significant, and some of the costs may not be covered by insurance. However, we do not believe that this incident will materially impact our strategy or our long-term financial health. For more information, see “Note 13—Commitments, </w:t>
      </w:r>
      <w:r>
        <w:rPr>
          <w:rFonts w:eastAsia="Times New Roman"/>
          <w:color w:val="000000"/>
          <w:sz w:val="20"/>
          <w:szCs w:val="20"/>
        </w:rPr>
        <w:t>Contingencies, Guarantees and Others.”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8755619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8755619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68755619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2" style="width:0;height:1.5pt" o:hralign="center" o:hrstd="t" o:hr="t" fillcolor="#a0a0a0" stroked="f"/>
        </w:pict>
      </w:r>
    </w:p>
    <w:p w:rsidR="00000000" w:rsidRDefault="00795D39">
      <w:pPr>
        <w:jc w:val="both"/>
        <w:divId w:val="1472868932"/>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57872240"/>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75787224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SELECTED FINANCIAL DATA</w:t>
            </w:r>
          </w:p>
        </w:tc>
      </w:tr>
    </w:tbl>
    <w:p w:rsidR="00000000" w:rsidRDefault="00795D39">
      <w:pPr>
        <w:jc w:val="both"/>
        <w:divId w:val="1855919729"/>
        <w:rPr>
          <w:rFonts w:eastAsia="Times New Roman"/>
        </w:rPr>
      </w:pPr>
      <w:r>
        <w:rPr>
          <w:rFonts w:eastAsia="Times New Roman"/>
          <w:color w:val="000000"/>
          <w:sz w:val="20"/>
          <w:szCs w:val="20"/>
        </w:rPr>
        <w:t xml:space="preserve">The following table presents selected consolidated financial data and performance from our results of operations for the third quarter and first nine months of 2020 and 2019 and selected comparative balance sheet data as of September 30, 2020 and December </w:t>
      </w:r>
      <w:r>
        <w:rPr>
          <w:rFonts w:eastAsia="Times New Roman"/>
          <w:color w:val="000000"/>
          <w:sz w:val="20"/>
          <w:szCs w:val="20"/>
        </w:rPr>
        <w:t>31, 2019. We also provide selected key metrics we use in evaluating our performance, including certain metrics that are computed using non-GAAP measures. We consider these metrics to be key financial measures that management uses in assessing our operating</w:t>
      </w:r>
      <w:r>
        <w:rPr>
          <w:rFonts w:eastAsia="Times New Roman"/>
          <w:color w:val="000000"/>
          <w:sz w:val="20"/>
          <w:szCs w:val="20"/>
        </w:rPr>
        <w:t xml:space="preserve"> performance, capital adequacy and the level of returns generated. We believe these non-GAAP metrics provide useful insight to investors and users of our financial information as they provide an alternate measurement of our performance and assist in assess</w:t>
      </w:r>
      <w:r>
        <w:rPr>
          <w:rFonts w:eastAsia="Times New Roman"/>
          <w:color w:val="000000"/>
          <w:sz w:val="20"/>
          <w:szCs w:val="20"/>
        </w:rPr>
        <w:t>ing our capital adequacy and level of return generated.</w:t>
      </w:r>
    </w:p>
    <w:p w:rsidR="00000000" w:rsidRDefault="00795D39">
      <w:pPr>
        <w:divId w:val="1978342583"/>
        <w:rPr>
          <w:rFonts w:eastAsia="Times New Roman"/>
        </w:rPr>
      </w:pPr>
      <w:r>
        <w:rPr>
          <w:rFonts w:eastAsia="Times New Roman"/>
          <w:b/>
          <w:bCs/>
          <w:color w:val="000000"/>
          <w:sz w:val="18"/>
          <w:szCs w:val="18"/>
        </w:rPr>
        <w:t>Table 1: Consolidated Financial Highlights</w:t>
      </w:r>
    </w:p>
    <w:tbl>
      <w:tblPr>
        <w:tblW w:w="5000" w:type="pct"/>
        <w:tblCellMar>
          <w:top w:w="15" w:type="dxa"/>
          <w:left w:w="15" w:type="dxa"/>
          <w:bottom w:w="15" w:type="dxa"/>
          <w:right w:w="15" w:type="dxa"/>
        </w:tblCellMar>
        <w:tblLook w:val="04A0" w:firstRow="1" w:lastRow="0" w:firstColumn="1" w:lastColumn="0" w:noHBand="0" w:noVBand="1"/>
      </w:tblPr>
      <w:tblGrid>
        <w:gridCol w:w="39"/>
        <w:gridCol w:w="2442"/>
        <w:gridCol w:w="38"/>
        <w:gridCol w:w="36"/>
        <w:gridCol w:w="36"/>
        <w:gridCol w:w="36"/>
        <w:gridCol w:w="110"/>
        <w:gridCol w:w="630"/>
        <w:gridCol w:w="36"/>
        <w:gridCol w:w="36"/>
        <w:gridCol w:w="36"/>
        <w:gridCol w:w="36"/>
        <w:gridCol w:w="110"/>
        <w:gridCol w:w="630"/>
        <w:gridCol w:w="36"/>
        <w:gridCol w:w="36"/>
        <w:gridCol w:w="36"/>
        <w:gridCol w:w="36"/>
        <w:gridCol w:w="65"/>
        <w:gridCol w:w="494"/>
        <w:gridCol w:w="170"/>
        <w:gridCol w:w="36"/>
        <w:gridCol w:w="36"/>
        <w:gridCol w:w="36"/>
        <w:gridCol w:w="110"/>
        <w:gridCol w:w="595"/>
        <w:gridCol w:w="36"/>
        <w:gridCol w:w="36"/>
        <w:gridCol w:w="36"/>
        <w:gridCol w:w="36"/>
        <w:gridCol w:w="110"/>
        <w:gridCol w:w="630"/>
        <w:gridCol w:w="36"/>
        <w:gridCol w:w="36"/>
        <w:gridCol w:w="36"/>
        <w:gridCol w:w="36"/>
        <w:gridCol w:w="36"/>
        <w:gridCol w:w="36"/>
        <w:gridCol w:w="36"/>
        <w:gridCol w:w="36"/>
        <w:gridCol w:w="36"/>
        <w:gridCol w:w="36"/>
        <w:gridCol w:w="36"/>
        <w:gridCol w:w="36"/>
        <w:gridCol w:w="36"/>
        <w:gridCol w:w="36"/>
        <w:gridCol w:w="36"/>
        <w:gridCol w:w="36"/>
        <w:gridCol w:w="65"/>
        <w:gridCol w:w="494"/>
        <w:gridCol w:w="170"/>
        <w:gridCol w:w="36"/>
        <w:gridCol w:w="36"/>
        <w:gridCol w:w="36"/>
        <w:gridCol w:w="36"/>
        <w:gridCol w:w="36"/>
      </w:tblGrid>
      <w:tr w:rsidR="00000000">
        <w:trPr>
          <w:divId w:val="1840921001"/>
        </w:trPr>
        <w:tc>
          <w:tcPr>
            <w:tcW w:w="50" w:type="pct"/>
            <w:vAlign w:val="center"/>
            <w:hideMark/>
          </w:tcPr>
          <w:p w:rsidR="00000000" w:rsidRDefault="00795D39">
            <w:pPr>
              <w:rPr>
                <w:rFonts w:eastAsia="Times New Roman"/>
              </w:rPr>
            </w:pPr>
          </w:p>
        </w:tc>
        <w:tc>
          <w:tcPr>
            <w:tcW w:w="199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4092100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795D39">
            <w:pPr>
              <w:jc w:val="center"/>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Income statement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5,737 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17,040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17,274 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3,892 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7,381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6,959 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21,186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21,166 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1,383 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501 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Operating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3,371 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9,758 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5,426 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1,071 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(34)</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(85)</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(185)</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Issuance cost for redeemed 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Net income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Common share statistics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per basic common share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per diluted common share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Weighted-average common shares outstanding (in millions):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xml:space="preserve">Basic </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469.5 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Diluted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Common shares outstanding (period-end, in millions)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465.7 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465.7 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Dividends declared and paid per common share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0.40 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divId w:val="590089101"/>
              <w:rPr>
                <w:rFonts w:eastAsia="Times New Roman"/>
              </w:rPr>
            </w:pPr>
            <w:r>
              <w:rPr>
                <w:rFonts w:eastAsia="Times New Roman"/>
                <w:color w:val="000000"/>
                <w:sz w:val="18"/>
                <w:szCs w:val="18"/>
              </w:rPr>
              <w:t>Tangible book value per common share (period-end</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80.46 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80.46 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Balance sheet (average balances)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249,511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246,147 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7"/>
                <w:szCs w:val="17"/>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7"/>
                <w:szCs w:val="17"/>
              </w:rPr>
              <w:t>255,232</w:t>
            </w: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243,602 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391,451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340,949 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375,041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338,936 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422,854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374,905 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408,233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372,148 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276,339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232,063 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259,631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230,045 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84092100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305,516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255,082 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286,242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253,389 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3" style="width:0;height:1.5pt" o:hralign="center" o:hrstd="t" o:hr="t" fillcolor="#a0a0a0" stroked="f"/>
        </w:pict>
      </w:r>
    </w:p>
    <w:p w:rsidR="00000000" w:rsidRDefault="00795D39">
      <w:pPr>
        <w:jc w:val="both"/>
        <w:divId w:val="481972405"/>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1644"/>
        <w:gridCol w:w="38"/>
        <w:gridCol w:w="36"/>
        <w:gridCol w:w="36"/>
        <w:gridCol w:w="36"/>
        <w:gridCol w:w="110"/>
        <w:gridCol w:w="630"/>
        <w:gridCol w:w="200"/>
        <w:gridCol w:w="36"/>
        <w:gridCol w:w="36"/>
        <w:gridCol w:w="36"/>
        <w:gridCol w:w="110"/>
        <w:gridCol w:w="630"/>
        <w:gridCol w:w="170"/>
        <w:gridCol w:w="36"/>
        <w:gridCol w:w="36"/>
        <w:gridCol w:w="36"/>
        <w:gridCol w:w="65"/>
        <w:gridCol w:w="494"/>
        <w:gridCol w:w="271"/>
        <w:gridCol w:w="36"/>
        <w:gridCol w:w="36"/>
        <w:gridCol w:w="36"/>
        <w:gridCol w:w="110"/>
        <w:gridCol w:w="595"/>
        <w:gridCol w:w="200"/>
        <w:gridCol w:w="36"/>
        <w:gridCol w:w="36"/>
        <w:gridCol w:w="36"/>
        <w:gridCol w:w="110"/>
        <w:gridCol w:w="630"/>
        <w:gridCol w:w="170"/>
        <w:gridCol w:w="36"/>
        <w:gridCol w:w="36"/>
        <w:gridCol w:w="36"/>
        <w:gridCol w:w="36"/>
        <w:gridCol w:w="36"/>
        <w:gridCol w:w="36"/>
        <w:gridCol w:w="36"/>
        <w:gridCol w:w="36"/>
        <w:gridCol w:w="36"/>
        <w:gridCol w:w="36"/>
        <w:gridCol w:w="36"/>
        <w:gridCol w:w="36"/>
        <w:gridCol w:w="36"/>
        <w:gridCol w:w="36"/>
        <w:gridCol w:w="36"/>
        <w:gridCol w:w="65"/>
        <w:gridCol w:w="494"/>
        <w:gridCol w:w="271"/>
        <w:gridCol w:w="36"/>
        <w:gridCol w:w="36"/>
        <w:gridCol w:w="36"/>
        <w:gridCol w:w="36"/>
        <w:gridCol w:w="36"/>
      </w:tblGrid>
      <w:tr w:rsidR="00000000">
        <w:trPr>
          <w:divId w:val="928930211"/>
        </w:trPr>
        <w:tc>
          <w:tcPr>
            <w:tcW w:w="50" w:type="pct"/>
            <w:vAlign w:val="center"/>
            <w:hideMark/>
          </w:tcPr>
          <w:p w:rsidR="00000000" w:rsidRDefault="00795D39">
            <w:pPr>
              <w:jc w:val="both"/>
              <w:rPr>
                <w:rFonts w:eastAsia="Times New Roman"/>
              </w:rPr>
            </w:pPr>
          </w:p>
        </w:tc>
        <w:tc>
          <w:tcPr>
            <w:tcW w:w="199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2893021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795D39">
            <w:pPr>
              <w:jc w:val="center"/>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Borrowings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44,161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49,413 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48,577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50,804 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Common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51,995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52,566 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52,529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50,393 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57,223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57,245 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57,802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54,861 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performance metrics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107,102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108,034 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7"/>
                <w:szCs w:val="17"/>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7"/>
                <w:szCs w:val="17"/>
              </w:rPr>
              <w:t>297,171</w:t>
            </w: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308,134 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divId w:val="1247500515"/>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8.16 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8.33 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margin</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divId w:val="683241296"/>
              <w:rPr>
                <w:rFonts w:eastAsia="Times New Roman"/>
              </w:rPr>
            </w:pPr>
            <w:r>
              <w:rPr>
                <w:rFonts w:eastAsia="Times New Roman"/>
                <w:color w:val="000000"/>
                <w:sz w:val="18"/>
                <w:szCs w:val="18"/>
              </w:rPr>
              <w:t>Return on average asset</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divId w:val="2035882217"/>
              <w:rPr>
                <w:rFonts w:eastAsia="Times New Roman"/>
              </w:rPr>
            </w:pPr>
            <w:r>
              <w:rPr>
                <w:rFonts w:eastAsia="Times New Roman"/>
                <w:color w:val="000000"/>
                <w:sz w:val="18"/>
                <w:szCs w:val="18"/>
              </w:rPr>
              <w:t>Return on average tangible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divId w:val="1155801542"/>
              <w:rPr>
                <w:rFonts w:eastAsia="Times New Roman"/>
              </w:rPr>
            </w:pPr>
            <w:r>
              <w:rPr>
                <w:rFonts w:eastAsia="Times New Roman"/>
                <w:color w:val="000000"/>
                <w:sz w:val="18"/>
                <w:szCs w:val="18"/>
              </w:rPr>
              <w:t>Return on average common equit</w:t>
            </w:r>
            <w:r>
              <w:rPr>
                <w:rFonts w:eastAsia="Times New Roman"/>
                <w:color w:val="000000"/>
                <w:sz w:val="18"/>
                <w:szCs w:val="18"/>
              </w:rPr>
              <w:t>y</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10.94 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divId w:val="841042005"/>
              <w:rPr>
                <w:rFonts w:eastAsia="Times New Roman"/>
              </w:rPr>
            </w:pPr>
            <w:r>
              <w:rPr>
                <w:rFonts w:eastAsia="Times New Roman"/>
                <w:color w:val="000000"/>
                <w:sz w:val="18"/>
                <w:szCs w:val="18"/>
              </w:rPr>
              <w:t>Return on average tangible common equit</w:t>
            </w:r>
            <w:r>
              <w:rPr>
                <w:rFonts w:eastAsia="Times New Roman"/>
                <w:color w:val="000000"/>
                <w:sz w:val="18"/>
                <w:szCs w:val="18"/>
              </w:rPr>
              <w:t>y</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15.54 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divId w:val="245574527"/>
              <w:rPr>
                <w:rFonts w:eastAsia="Times New Roman"/>
              </w:rPr>
            </w:pPr>
            <w:r>
              <w:rPr>
                <w:rFonts w:eastAsia="Times New Roman"/>
                <w:color w:val="000000"/>
                <w:sz w:val="18"/>
                <w:szCs w:val="18"/>
              </w:rPr>
              <w:t>Equity-to-assets rati</w:t>
            </w:r>
            <w:r>
              <w:rPr>
                <w:rFonts w:eastAsia="Times New Roman"/>
                <w:color w:val="000000"/>
                <w:sz w:val="18"/>
                <w:szCs w:val="18"/>
              </w:rPr>
              <w:t>o</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15.27 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 as a percentage of average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6.29 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6.20 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divId w:val="1203834185"/>
              <w:rPr>
                <w:rFonts w:eastAsia="Times New Roman"/>
              </w:rPr>
            </w:pPr>
            <w:r>
              <w:rPr>
                <w:rFonts w:eastAsia="Times New Roman"/>
                <w:color w:val="000000"/>
                <w:sz w:val="18"/>
                <w:szCs w:val="18"/>
              </w:rPr>
              <w:t>Efficiency rati</w:t>
            </w:r>
            <w:r>
              <w:rPr>
                <w:rFonts w:eastAsia="Times New Roman"/>
                <w:color w:val="000000"/>
                <w:sz w:val="18"/>
                <w:szCs w:val="18"/>
              </w:rPr>
              <w:t>o</w:t>
            </w:r>
            <w:r>
              <w:rPr>
                <w:rFonts w:eastAsia="Times New Roman"/>
                <w:color w:val="000000"/>
                <w:sz w:val="12"/>
                <w:szCs w:val="12"/>
              </w:rPr>
              <w:t>(8</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55.64 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53.49 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(135)</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divId w:val="931357497"/>
              <w:rPr>
                <w:rFonts w:eastAsia="Times New Roman"/>
              </w:rPr>
            </w:pPr>
            <w:r>
              <w:rPr>
                <w:rFonts w:eastAsia="Times New Roman"/>
                <w:color w:val="000000"/>
                <w:sz w:val="18"/>
                <w:szCs w:val="18"/>
              </w:rPr>
              <w:t>Operating efficiency rati</w:t>
            </w:r>
            <w:r>
              <w:rPr>
                <w:rFonts w:eastAsia="Times New Roman"/>
                <w:color w:val="000000"/>
                <w:sz w:val="18"/>
                <w:szCs w:val="18"/>
              </w:rPr>
              <w:t>o</w:t>
            </w:r>
            <w:r>
              <w:rPr>
                <w:rFonts w:eastAsia="Times New Roman"/>
                <w:color w:val="000000"/>
                <w:sz w:val="12"/>
                <w:szCs w:val="12"/>
              </w:rPr>
              <w:t>(9</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Effective income tax rate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1,462 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4,569 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92893021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2.50 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795D39">
            <w:pPr>
              <w:jc w:val="right"/>
              <w:rPr>
                <w:rFonts w:eastAsia="Times New Roman"/>
              </w:rPr>
            </w:pPr>
          </w:p>
        </w:tc>
        <w:tc>
          <w:tcPr>
            <w:tcW w:w="0" w:type="auto"/>
            <w:gridSpan w:val="2"/>
            <w:vAlign w:val="center"/>
            <w:hideMark/>
          </w:tcPr>
          <w:p w:rsidR="00000000" w:rsidRDefault="00795D39">
            <w:pPr>
              <w:rPr>
                <w:rFonts w:eastAsia="Times New Roman"/>
                <w:sz w:val="20"/>
                <w:szCs w:val="20"/>
              </w:rPr>
            </w:pPr>
          </w:p>
        </w:tc>
      </w:tr>
    </w:tbl>
    <w:p w:rsidR="00000000" w:rsidRDefault="00795D39">
      <w:pPr>
        <w:jc w:val="both"/>
        <w:divId w:val="191157338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935"/>
        <w:gridCol w:w="39"/>
        <w:gridCol w:w="36"/>
        <w:gridCol w:w="36"/>
        <w:gridCol w:w="36"/>
        <w:gridCol w:w="110"/>
        <w:gridCol w:w="630"/>
        <w:gridCol w:w="200"/>
        <w:gridCol w:w="36"/>
        <w:gridCol w:w="36"/>
        <w:gridCol w:w="36"/>
        <w:gridCol w:w="110"/>
        <w:gridCol w:w="630"/>
        <w:gridCol w:w="170"/>
        <w:gridCol w:w="36"/>
        <w:gridCol w:w="36"/>
        <w:gridCol w:w="36"/>
        <w:gridCol w:w="36"/>
        <w:gridCol w:w="36"/>
        <w:gridCol w:w="36"/>
        <w:gridCol w:w="36"/>
        <w:gridCol w:w="36"/>
        <w:gridCol w:w="36"/>
        <w:gridCol w:w="64"/>
        <w:gridCol w:w="495"/>
        <w:gridCol w:w="271"/>
        <w:gridCol w:w="36"/>
        <w:gridCol w:w="36"/>
      </w:tblGrid>
      <w:tr w:rsidR="00000000">
        <w:trPr>
          <w:divId w:val="1281455777"/>
        </w:trPr>
        <w:tc>
          <w:tcPr>
            <w:tcW w:w="50" w:type="pct"/>
            <w:vAlign w:val="center"/>
            <w:hideMark/>
          </w:tcPr>
          <w:p w:rsidR="00000000" w:rsidRDefault="00795D39">
            <w:pPr>
              <w:jc w:val="both"/>
              <w:rPr>
                <w:rFonts w:eastAsia="Times New Roman"/>
              </w:rPr>
            </w:pPr>
          </w:p>
        </w:tc>
        <w:tc>
          <w:tcPr>
            <w:tcW w:w="332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1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Balance sheet (period-end)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248,223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265,809 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390,040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355,202 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421,883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390,365 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276,092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239,209 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305,725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262,697 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Borrowings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42,795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55,697 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Common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53,093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53,157 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58,424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58,011 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quality metrics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7,208 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as a percentage of loans held for investment (“allowance coverage ratio”)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30+ day delinquency rate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Capital ratios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divId w:val="259803636"/>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divId w:val="858665701"/>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divId w:val="2146267150"/>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divId w:val="1782141110"/>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divId w:val="2007971175"/>
              <w:rPr>
                <w:rFonts w:eastAsia="Times New Roman"/>
              </w:rPr>
            </w:pPr>
            <w:r>
              <w:rPr>
                <w:rFonts w:eastAsia="Times New Roman"/>
                <w:color w:val="000000"/>
                <w:sz w:val="18"/>
                <w:szCs w:val="18"/>
              </w:rPr>
              <w:t>Tangible common equit</w:t>
            </w:r>
            <w:r>
              <w:rPr>
                <w:rFonts w:eastAsia="Times New Roman"/>
                <w:color w:val="000000"/>
                <w:sz w:val="18"/>
                <w:szCs w:val="18"/>
              </w:rPr>
              <w:t>y</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divId w:val="994605621"/>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814557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Employees (period end, in thousands)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r>
    </w:tbl>
    <w:p w:rsidR="00000000" w:rsidRDefault="00795D39">
      <w:pPr>
        <w:divId w:val="406266704"/>
        <w:rPr>
          <w:rFonts w:eastAsia="Times New Roman"/>
        </w:rPr>
      </w:pPr>
      <w:r>
        <w:rPr>
          <w:rFonts w:eastAsia="Times New Roman"/>
          <w:color w:val="000000"/>
          <w:sz w:val="20"/>
          <w:szCs w:val="20"/>
        </w:rPr>
        <w:t>__________</w:t>
      </w:r>
    </w:p>
    <w:p w:rsidR="00000000" w:rsidRDefault="00795D39">
      <w:pPr>
        <w:ind w:hanging="360"/>
        <w:jc w:val="both"/>
        <w:divId w:val="142576524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Tangible book value per common share is a non-GAAP measure calculated based on tangible common equity divided by common shares outstanding. See “MD&amp;A—Table A —Reconciliation of Non-GAAP Measures” for additional information on non-GAAP measures.</w:t>
      </w:r>
    </w:p>
    <w:p w:rsidR="00000000" w:rsidRDefault="00795D39">
      <w:pPr>
        <w:ind w:hanging="360"/>
        <w:jc w:val="both"/>
        <w:divId w:val="31399368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w:t>
      </w:r>
      <w:r>
        <w:rPr>
          <w:rFonts w:eastAsia="Times New Roman"/>
          <w:color w:val="000000"/>
          <w:sz w:val="16"/>
          <w:szCs w:val="16"/>
        </w:rPr>
        <w:t>t revenue margin is calculated based on annualized total net revenue for the period divided by average interest-earning assets for the period.</w:t>
      </w:r>
    </w:p>
    <w:p w:rsidR="00000000" w:rsidRDefault="00795D39">
      <w:pPr>
        <w:ind w:hanging="360"/>
        <w:jc w:val="both"/>
        <w:divId w:val="122745100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Return on average assets is calculated based on annualized income from continuing operations, net of tax, for </w:t>
      </w:r>
      <w:r>
        <w:rPr>
          <w:rFonts w:eastAsia="Times New Roman"/>
          <w:color w:val="000000"/>
          <w:sz w:val="16"/>
          <w:szCs w:val="16"/>
        </w:rPr>
        <w:t>the period divided by average total assets for the period.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51168054"/>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5116805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5116805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4" style="width:0;height:1.5pt" o:hralign="center" o:hrstd="t" o:hr="t" fillcolor="#a0a0a0" stroked="f"/>
        </w:pict>
      </w:r>
    </w:p>
    <w:p w:rsidR="00000000" w:rsidRDefault="00795D39">
      <w:pPr>
        <w:jc w:val="both"/>
        <w:divId w:val="76919850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ind w:hanging="360"/>
        <w:jc w:val="both"/>
        <w:divId w:val="18077936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Return on average tangible assets is a non-GAAP measure calculated based on annualized income from continuing operations, net of tax, for the</w:t>
      </w:r>
      <w:r>
        <w:rPr>
          <w:rFonts w:eastAsia="Times New Roman"/>
          <w:color w:val="000000"/>
          <w:sz w:val="16"/>
          <w:szCs w:val="16"/>
        </w:rPr>
        <w:t xml:space="preserve"> period divided by average tangible assets for the period. See “MD&amp;A—Table A—Reconciliation of Non-GAAP Measures” for additional information on non-GAAP measures.</w:t>
      </w:r>
    </w:p>
    <w:p w:rsidR="00000000" w:rsidRDefault="00795D39">
      <w:pPr>
        <w:ind w:hanging="360"/>
        <w:jc w:val="both"/>
        <w:divId w:val="278414173"/>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 xml:space="preserve">Return on average common equity is calculated based on annualized net income available to </w:t>
      </w:r>
      <w:r>
        <w:rPr>
          <w:rFonts w:eastAsia="Times New Roman"/>
          <w:color w:val="000000"/>
          <w:sz w:val="16"/>
          <w:szCs w:val="16"/>
        </w:rPr>
        <w:t>common stockholders less income (loss) from discontinued operations, net of tax, for the period, divided by average common equity. Our calculation of return on average common equity may not be comparable to similarly-titled measures reported by other compa</w:t>
      </w:r>
      <w:r>
        <w:rPr>
          <w:rFonts w:eastAsia="Times New Roman"/>
          <w:color w:val="000000"/>
          <w:sz w:val="16"/>
          <w:szCs w:val="16"/>
        </w:rPr>
        <w:t>nies.</w:t>
      </w:r>
    </w:p>
    <w:p w:rsidR="00000000" w:rsidRDefault="00795D39">
      <w:pPr>
        <w:ind w:hanging="360"/>
        <w:jc w:val="both"/>
        <w:divId w:val="1411779400"/>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Return on average tangible common equity is a non-GAAP measure calculated based on annualized net income available to common stockholders less income (loss) from discontinued operations, net of tax, for the period, divided by average tangible comm</w:t>
      </w:r>
      <w:r>
        <w:rPr>
          <w:rFonts w:eastAsia="Times New Roman"/>
          <w:color w:val="000000"/>
          <w:sz w:val="16"/>
          <w:szCs w:val="16"/>
        </w:rPr>
        <w:t>on equity (“TCE”). Our calculation of return on average TCE may not be comparable to similarly-titled measures reported by other companies. See “MD&amp;A—Table A—Reconciliation of Non-GAAP Measures” for additional information on non-GAAP measures.</w:t>
      </w:r>
    </w:p>
    <w:p w:rsidR="00000000" w:rsidRDefault="00795D39">
      <w:pPr>
        <w:ind w:hanging="360"/>
        <w:jc w:val="both"/>
        <w:divId w:val="1518232101"/>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Equity-to</w:t>
      </w:r>
      <w:r>
        <w:rPr>
          <w:rFonts w:eastAsia="Times New Roman"/>
          <w:color w:val="000000"/>
          <w:sz w:val="16"/>
          <w:szCs w:val="16"/>
        </w:rPr>
        <w:t>-assets ratio is calculated based on average stockholders’ equity for the period divided by average total assets for the period.</w:t>
      </w:r>
    </w:p>
    <w:p w:rsidR="00000000" w:rsidRDefault="00795D39">
      <w:pPr>
        <w:ind w:hanging="360"/>
        <w:jc w:val="both"/>
        <w:divId w:val="1390347809"/>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Efficiency ratio is calculated based on non-interest expense for the period divided by total net revenue for the period.</w:t>
      </w:r>
    </w:p>
    <w:p w:rsidR="00000000" w:rsidRDefault="00795D39">
      <w:pPr>
        <w:ind w:hanging="360"/>
        <w:jc w:val="both"/>
        <w:divId w:val="827942546"/>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Operating efficiency ratio is calculated based on operating expense for the period divided by total net revenue for the period.</w:t>
      </w:r>
    </w:p>
    <w:p w:rsidR="00000000" w:rsidRDefault="00795D39">
      <w:pPr>
        <w:ind w:hanging="360"/>
        <w:jc w:val="both"/>
        <w:divId w:val="249197465"/>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Capital ratios are calculated based on the Basel III Standardized Approach framework, see “MD&amp;A—Capital Management” for additional information.</w:t>
      </w:r>
    </w:p>
    <w:p w:rsidR="00000000" w:rsidRDefault="00795D39">
      <w:pPr>
        <w:ind w:hanging="360"/>
        <w:jc w:val="both"/>
        <w:divId w:val="1624917606"/>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Tangible common equity ratio is a non-GAAP measure calculated based on TCE divided by tangible assets. See “</w:t>
      </w:r>
      <w:r>
        <w:rPr>
          <w:rFonts w:eastAsia="Times New Roman"/>
          <w:color w:val="000000"/>
          <w:sz w:val="16"/>
          <w:szCs w:val="16"/>
        </w:rPr>
        <w:t>MD&amp;A—Table A—Reconciliation of Non-GAAP Measures” for the calculation of this measure and reconciliation to the comparative U.S. GAAP measure.</w:t>
      </w:r>
    </w:p>
    <w:p w:rsidR="00000000" w:rsidRDefault="00795D39">
      <w:pPr>
        <w:ind w:hanging="360"/>
        <w:jc w:val="both"/>
        <w:divId w:val="1122963749"/>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45481341"/>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45481341"/>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45481341"/>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5" style="width:0;height:1.5pt" o:hralign="center" o:hrstd="t" o:hr="t" fillcolor="#a0a0a0" stroked="f"/>
        </w:pict>
      </w:r>
    </w:p>
    <w:p w:rsidR="00000000" w:rsidRDefault="00795D39">
      <w:pPr>
        <w:jc w:val="both"/>
        <w:divId w:val="915365106"/>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16106399"/>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1610639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EXECUTIVE SUMMARY AND BUSINESS OUTLOOK</w:t>
            </w:r>
          </w:p>
        </w:tc>
      </w:tr>
    </w:tbl>
    <w:p w:rsidR="00000000" w:rsidRDefault="00795D39">
      <w:pPr>
        <w:divId w:val="355086434"/>
        <w:rPr>
          <w:rFonts w:eastAsia="Times New Roman"/>
        </w:rPr>
      </w:pPr>
      <w:r>
        <w:rPr>
          <w:rFonts w:eastAsia="Times New Roman"/>
          <w:b/>
          <w:bCs/>
          <w:color w:val="000000"/>
          <w:sz w:val="20"/>
          <w:szCs w:val="20"/>
        </w:rPr>
        <w:t>Financial Highlights</w:t>
      </w:r>
    </w:p>
    <w:p w:rsidR="00000000" w:rsidRDefault="00795D39">
      <w:pPr>
        <w:jc w:val="both"/>
        <w:divId w:val="998465471"/>
        <w:rPr>
          <w:rFonts w:eastAsia="Times New Roman"/>
        </w:rPr>
      </w:pPr>
      <w:r>
        <w:rPr>
          <w:rFonts w:eastAsia="Times New Roman"/>
          <w:color w:val="000000"/>
          <w:sz w:val="20"/>
          <w:szCs w:val="20"/>
        </w:rPr>
        <w:t xml:space="preserve">We reported net income of $2.4 billion (net income of $5.06 per diluted common share) on total net revenue of $7.4 billion and net income of $148 million (which after considering preferred stock dividends and other items equated to a net loss of $0.20 per </w:t>
      </w:r>
      <w:r>
        <w:rPr>
          <w:rFonts w:eastAsia="Times New Roman"/>
          <w:color w:val="000000"/>
          <w:sz w:val="20"/>
          <w:szCs w:val="20"/>
        </w:rPr>
        <w:t>diluted common share) on total net revenue of $21.2 billion for the third quarter and first nine months of 2020, respectively. In comparison, we reported net income of $1.3 billion (net income of $2.69 per diluted common share) on total net revenue of $7.0</w:t>
      </w:r>
      <w:r>
        <w:rPr>
          <w:rFonts w:eastAsia="Times New Roman"/>
          <w:color w:val="000000"/>
          <w:sz w:val="20"/>
          <w:szCs w:val="20"/>
        </w:rPr>
        <w:t xml:space="preserve"> billion and net income of $4.4 billion (net income of $8.79 per diluted common share) on total net revenue of $21.2 billion for the third quarter and first nine months of 2019, respectively. </w:t>
      </w:r>
    </w:p>
    <w:p w:rsidR="00000000" w:rsidRDefault="00795D39">
      <w:pPr>
        <w:jc w:val="both"/>
        <w:divId w:val="1223523736"/>
        <w:rPr>
          <w:rFonts w:eastAsia="Times New Roman"/>
        </w:rPr>
      </w:pPr>
      <w:r>
        <w:rPr>
          <w:rFonts w:eastAsia="Times New Roman"/>
          <w:color w:val="000000"/>
          <w:sz w:val="20"/>
          <w:szCs w:val="20"/>
        </w:rPr>
        <w:t xml:space="preserve">Our common equity Tier 1 capital ratio as calculated under the </w:t>
      </w:r>
      <w:r>
        <w:rPr>
          <w:rFonts w:eastAsia="Times New Roman"/>
          <w:color w:val="000000"/>
          <w:sz w:val="20"/>
          <w:szCs w:val="20"/>
        </w:rPr>
        <w:t>Basel III Standardized Approach was 13.0% and 12.2% as of September 30, 2020 and December 31, 2019, respectively. See “MD&amp;A—Capital Management” for additional information.</w:t>
      </w:r>
    </w:p>
    <w:p w:rsidR="00000000" w:rsidRDefault="00795D39">
      <w:pPr>
        <w:jc w:val="both"/>
        <w:divId w:val="1591693276"/>
        <w:rPr>
          <w:rFonts w:eastAsia="Times New Roman"/>
        </w:rPr>
      </w:pPr>
      <w:r>
        <w:rPr>
          <w:rFonts w:eastAsia="Times New Roman"/>
          <w:color w:val="000000"/>
          <w:sz w:val="20"/>
          <w:szCs w:val="20"/>
        </w:rPr>
        <w:t>On June 27, 2019, we announced that our Board of Directors authorized the repurchase</w:t>
      </w:r>
      <w:r>
        <w:rPr>
          <w:rFonts w:eastAsia="Times New Roman"/>
          <w:color w:val="000000"/>
          <w:sz w:val="20"/>
          <w:szCs w:val="20"/>
        </w:rPr>
        <w:t xml:space="preserve"> of up to $2.2 billion of shares of our common stock (“2019 Stock Repurchase Program”) beginning in the third quarter of 2019 through the end of the second quarter of 2020. During the first quarter of 2020, we repurchased approximately $312 million of shar</w:t>
      </w:r>
      <w:r>
        <w:rPr>
          <w:rFonts w:eastAsia="Times New Roman"/>
          <w:color w:val="000000"/>
          <w:sz w:val="20"/>
          <w:szCs w:val="20"/>
        </w:rPr>
        <w:t>es of our common stock under the 2019 Stock Repurchase Program before suspending further repurchases on March 13, 2020 in response to the COVID-19 pandemic through the program's expiration at the end of the second quarter of 2020. See “MD&amp;A—Capital Managem</w:t>
      </w:r>
      <w:r>
        <w:rPr>
          <w:rFonts w:eastAsia="Times New Roman"/>
          <w:color w:val="000000"/>
          <w:sz w:val="20"/>
          <w:szCs w:val="20"/>
        </w:rPr>
        <w:t>ent—Dividend Policy and Stock Purchases” for additional information.</w:t>
      </w:r>
    </w:p>
    <w:p w:rsidR="00000000" w:rsidRDefault="00795D39">
      <w:pPr>
        <w:jc w:val="both"/>
        <w:divId w:val="1307855459"/>
        <w:rPr>
          <w:rFonts w:eastAsia="Times New Roman"/>
        </w:rPr>
      </w:pPr>
      <w:r>
        <w:rPr>
          <w:rFonts w:eastAsia="Times New Roman"/>
          <w:color w:val="000000"/>
          <w:sz w:val="20"/>
          <w:szCs w:val="20"/>
        </w:rPr>
        <w:t xml:space="preserve">Below are additional highlights of our performance in the third quarter and first nine months of 2020. These highlights are based on a comparison between the results of the third quarter </w:t>
      </w:r>
      <w:r>
        <w:rPr>
          <w:rFonts w:eastAsia="Times New Roman"/>
          <w:color w:val="000000"/>
          <w:sz w:val="20"/>
          <w:szCs w:val="20"/>
        </w:rPr>
        <w:t>and first nine months of 2020 and 2019, except as otherwise noted. The changes in our financial condition and credit performance are generally based on our financial condition and credit performance as of September 30, 2020 compared to December 31, 2019. W</w:t>
      </w:r>
      <w:r>
        <w:rPr>
          <w:rFonts w:eastAsia="Times New Roman"/>
          <w:color w:val="000000"/>
          <w:sz w:val="20"/>
          <w:szCs w:val="20"/>
        </w:rPr>
        <w:t>e provide a more detailed discussion of our financial performance in the sections following this “Executive Summary and Business Outlook.”</w:t>
      </w:r>
    </w:p>
    <w:p w:rsidR="00000000" w:rsidRDefault="00795D39">
      <w:pPr>
        <w:divId w:val="1446461892"/>
        <w:rPr>
          <w:rFonts w:eastAsia="Times New Roman"/>
        </w:rPr>
      </w:pPr>
      <w:r>
        <w:rPr>
          <w:rFonts w:eastAsia="Times New Roman"/>
          <w:b/>
          <w:bCs/>
          <w:i/>
          <w:iCs/>
          <w:color w:val="000000"/>
          <w:sz w:val="20"/>
          <w:szCs w:val="20"/>
        </w:rPr>
        <w:t>Total Company Performance</w:t>
      </w:r>
    </w:p>
    <w:p w:rsidR="00000000" w:rsidRDefault="00795D39">
      <w:pPr>
        <w:ind w:hanging="360"/>
        <w:jc w:val="both"/>
        <w:divId w:val="534930894"/>
        <w:rPr>
          <w:rFonts w:eastAsia="Times New Roman"/>
        </w:rPr>
      </w:pPr>
      <w:r>
        <w:rPr>
          <w:rFonts w:eastAsia="Times New Roman"/>
          <w:i/>
          <w:iCs/>
          <w:color w:val="000000"/>
          <w:sz w:val="20"/>
          <w:szCs w:val="20"/>
        </w:rPr>
        <w:t>•Earnings:</w:t>
      </w:r>
      <w:r>
        <w:rPr>
          <w:rFonts w:eastAsia="Times New Roman"/>
          <w:color w:val="000000"/>
          <w:sz w:val="20"/>
          <w:szCs w:val="20"/>
        </w:rPr>
        <w:t xml:space="preserve"> </w:t>
      </w:r>
    </w:p>
    <w:p w:rsidR="00000000" w:rsidRDefault="00795D39">
      <w:pPr>
        <w:ind w:firstLine="720"/>
        <w:jc w:val="both"/>
        <w:divId w:val="648898976"/>
        <w:rPr>
          <w:rFonts w:eastAsia="Times New Roman"/>
        </w:rPr>
      </w:pPr>
      <w:r>
        <w:rPr>
          <w:rFonts w:eastAsia="Times New Roman"/>
          <w:color w:val="000000"/>
          <w:sz w:val="20"/>
          <w:szCs w:val="20"/>
        </w:rPr>
        <w:t>Our net income increased $1.1 </w:t>
      </w:r>
      <w:r>
        <w:rPr>
          <w:rFonts w:eastAsia="Times New Roman"/>
          <w:color w:val="000000"/>
          <w:sz w:val="20"/>
          <w:szCs w:val="20"/>
        </w:rPr>
        <w:t>billion to $2.4 billion in the third quarter of 2020 primarily driven by:</w:t>
      </w:r>
    </w:p>
    <w:p w:rsidR="00000000" w:rsidRDefault="00795D39">
      <w:pPr>
        <w:spacing w:before="180" w:after="180"/>
        <w:ind w:hanging="360"/>
        <w:jc w:val="both"/>
        <w:divId w:val="958803278"/>
        <w:rPr>
          <w:rFonts w:eastAsia="Times New Roman"/>
        </w:rPr>
      </w:pPr>
      <w:r>
        <w:rPr>
          <w:rFonts w:eastAsia="Times New Roman"/>
          <w:color w:val="000000"/>
          <w:sz w:val="20"/>
          <w:szCs w:val="20"/>
        </w:rPr>
        <w:t>◦</w:t>
      </w:r>
      <w:r>
        <w:rPr>
          <w:rFonts w:eastAsia="Times New Roman"/>
          <w:color w:val="000000"/>
          <w:sz w:val="20"/>
          <w:szCs w:val="20"/>
        </w:rPr>
        <w:t>lower provision for credit losses driven by an allowance release due to lower loan balances in Domestic Card and Commercial Banking, including a $327 million release for credit card</w:t>
      </w:r>
      <w:r>
        <w:rPr>
          <w:rFonts w:eastAsia="Times New Roman"/>
          <w:color w:val="000000"/>
          <w:sz w:val="20"/>
          <w:szCs w:val="20"/>
        </w:rPr>
        <w:t xml:space="preserve"> loans moved to held-for-sale; and</w:t>
      </w:r>
    </w:p>
    <w:p w:rsidR="00000000" w:rsidRDefault="00795D39">
      <w:pPr>
        <w:spacing w:before="180" w:after="180"/>
        <w:ind w:hanging="360"/>
        <w:jc w:val="both"/>
        <w:divId w:val="591013473"/>
        <w:rPr>
          <w:rFonts w:eastAsia="Times New Roman"/>
        </w:rPr>
      </w:pPr>
      <w:r>
        <w:rPr>
          <w:rFonts w:eastAsia="Times New Roman"/>
          <w:color w:val="000000"/>
          <w:sz w:val="20"/>
          <w:szCs w:val="20"/>
        </w:rPr>
        <w:t>◦</w:t>
      </w:r>
      <w:r>
        <w:rPr>
          <w:rFonts w:eastAsia="Times New Roman"/>
          <w:color w:val="000000"/>
          <w:sz w:val="20"/>
          <w:szCs w:val="20"/>
        </w:rPr>
        <w:t>higher non-interest income due to a gain of $470 million on our equity investment in Snowflake Inc., which recently completed its initial public offering.</w:t>
      </w:r>
    </w:p>
    <w:p w:rsidR="00000000" w:rsidRDefault="00795D39">
      <w:pPr>
        <w:jc w:val="both"/>
        <w:divId w:val="1770811768"/>
        <w:rPr>
          <w:rFonts w:eastAsia="Times New Roman"/>
        </w:rPr>
      </w:pPr>
      <w:r>
        <w:rPr>
          <w:rFonts w:eastAsia="Times New Roman"/>
          <w:color w:val="000000"/>
          <w:sz w:val="20"/>
          <w:szCs w:val="20"/>
        </w:rPr>
        <w:t>Our net income decreased $4.2 billion to $148 million in the firs</w:t>
      </w:r>
      <w:r>
        <w:rPr>
          <w:rFonts w:eastAsia="Times New Roman"/>
          <w:color w:val="000000"/>
          <w:sz w:val="20"/>
          <w:szCs w:val="20"/>
        </w:rPr>
        <w:t xml:space="preserve">t nine months of 2020 primarily driven by: </w:t>
      </w:r>
    </w:p>
    <w:p w:rsidR="00000000" w:rsidRDefault="00795D39">
      <w:pPr>
        <w:spacing w:before="180" w:after="180"/>
        <w:ind w:hanging="360"/>
        <w:jc w:val="both"/>
        <w:divId w:val="1119688492"/>
        <w:rPr>
          <w:rFonts w:eastAsia="Times New Roman"/>
        </w:rPr>
      </w:pPr>
      <w:r>
        <w:rPr>
          <w:rFonts w:eastAsia="Times New Roman"/>
          <w:color w:val="000000"/>
          <w:sz w:val="20"/>
          <w:szCs w:val="20"/>
        </w:rPr>
        <w:t>◦</w:t>
      </w:r>
      <w:r>
        <w:rPr>
          <w:rFonts w:eastAsia="Times New Roman"/>
          <w:color w:val="000000"/>
          <w:sz w:val="20"/>
          <w:szCs w:val="20"/>
        </w:rPr>
        <w:t>higher provision for credit losses in the first nine months of 2020 driven by allowance builds in the first and second quarters of 2020 due to expectations of economic worsening as a result of the COVID-19 pande</w:t>
      </w:r>
      <w:r>
        <w:rPr>
          <w:rFonts w:eastAsia="Times New Roman"/>
          <w:color w:val="000000"/>
          <w:sz w:val="20"/>
          <w:szCs w:val="20"/>
        </w:rPr>
        <w:t>mic; and</w:t>
      </w:r>
    </w:p>
    <w:p w:rsidR="00000000" w:rsidRDefault="00795D39">
      <w:pPr>
        <w:spacing w:before="180" w:after="180"/>
        <w:ind w:hanging="360"/>
        <w:jc w:val="both"/>
        <w:divId w:val="351540342"/>
        <w:rPr>
          <w:rFonts w:eastAsia="Times New Roman"/>
        </w:rPr>
      </w:pPr>
      <w:r>
        <w:rPr>
          <w:rFonts w:eastAsia="Times New Roman"/>
          <w:color w:val="000000"/>
          <w:sz w:val="20"/>
          <w:szCs w:val="20"/>
        </w:rPr>
        <w:t>◦</w:t>
      </w:r>
      <w:r>
        <w:rPr>
          <w:rFonts w:eastAsia="Times New Roman"/>
          <w:color w:val="000000"/>
          <w:sz w:val="20"/>
          <w:szCs w:val="20"/>
        </w:rPr>
        <w:t xml:space="preserve">lower net interest income due to lower yields and lower outstanding balances in Domestic Card; </w:t>
      </w:r>
    </w:p>
    <w:p w:rsidR="00000000" w:rsidRDefault="00795D39">
      <w:pPr>
        <w:ind w:firstLine="90"/>
        <w:jc w:val="both"/>
        <w:divId w:val="1959988136"/>
        <w:rPr>
          <w:rFonts w:eastAsia="Times New Roman"/>
        </w:rPr>
      </w:pPr>
      <w:r>
        <w:rPr>
          <w:rFonts w:eastAsia="Times New Roman"/>
          <w:color w:val="000000"/>
          <w:sz w:val="20"/>
          <w:szCs w:val="20"/>
        </w:rPr>
        <w:t>Partially offset by lower marketing expense.</w:t>
      </w:r>
    </w:p>
    <w:p w:rsidR="00000000" w:rsidRDefault="00795D39">
      <w:pPr>
        <w:ind w:hanging="360"/>
        <w:jc w:val="both"/>
        <w:divId w:val="686978247"/>
        <w:rPr>
          <w:rFonts w:eastAsia="Times New Roman"/>
        </w:rPr>
      </w:pPr>
      <w:r>
        <w:rPr>
          <w:rFonts w:eastAsia="Times New Roman"/>
          <w:i/>
          <w:iCs/>
          <w:color w:val="000000"/>
          <w:sz w:val="20"/>
          <w:szCs w:val="20"/>
        </w:rPr>
        <w:t>•Loans Held for Investment</w:t>
      </w:r>
      <w:r>
        <w:rPr>
          <w:rFonts w:eastAsia="Times New Roman"/>
          <w:color w:val="000000"/>
          <w:sz w:val="20"/>
          <w:szCs w:val="20"/>
        </w:rPr>
        <w:t>:</w:t>
      </w:r>
    </w:p>
    <w:p w:rsidR="00000000" w:rsidRDefault="00795D39">
      <w:pPr>
        <w:spacing w:before="180" w:after="180"/>
        <w:ind w:hanging="360"/>
        <w:jc w:val="both"/>
        <w:divId w:val="641885955"/>
        <w:rPr>
          <w:rFonts w:eastAsia="Times New Roman"/>
        </w:rPr>
      </w:pPr>
      <w:r>
        <w:rPr>
          <w:rFonts w:eastAsia="Times New Roman"/>
          <w:color w:val="000000"/>
          <w:sz w:val="20"/>
          <w:szCs w:val="20"/>
        </w:rPr>
        <w:t>◦</w:t>
      </w:r>
      <w:r>
        <w:rPr>
          <w:rFonts w:eastAsia="Times New Roman"/>
          <w:color w:val="000000"/>
          <w:sz w:val="20"/>
          <w:szCs w:val="20"/>
        </w:rPr>
        <w:t>Period-end loans held for investment decreased by $17.6 billion to $248.2 bi</w:t>
      </w:r>
      <w:r>
        <w:rPr>
          <w:rFonts w:eastAsia="Times New Roman"/>
          <w:color w:val="000000"/>
          <w:sz w:val="20"/>
          <w:szCs w:val="20"/>
        </w:rPr>
        <w:t>llion as of September 30, 2020 from December 31, 2019 primarily due to a decline in purchase volume and higher payments in Domestic Card driven by the customer response to the COVID-19 pandemic, partially offset by growth in our auto and commercial loan po</w:t>
      </w:r>
      <w:r>
        <w:rPr>
          <w:rFonts w:eastAsia="Times New Roman"/>
          <w:color w:val="000000"/>
          <w:sz w:val="20"/>
          <w:szCs w:val="20"/>
        </w:rPr>
        <w:t>rtfolios.</w:t>
      </w:r>
    </w:p>
    <w:p w:rsidR="00000000" w:rsidRDefault="00795D39">
      <w:pPr>
        <w:spacing w:before="180" w:after="180"/>
        <w:ind w:hanging="360"/>
        <w:jc w:val="both"/>
        <w:divId w:val="345136916"/>
        <w:rPr>
          <w:rFonts w:eastAsia="Times New Roman"/>
        </w:rPr>
      </w:pPr>
      <w:r>
        <w:rPr>
          <w:rFonts w:eastAsia="Times New Roman"/>
          <w:color w:val="000000"/>
          <w:sz w:val="20"/>
          <w:szCs w:val="20"/>
        </w:rPr>
        <w:t>◦</w:t>
      </w:r>
      <w:r>
        <w:rPr>
          <w:rFonts w:eastAsia="Times New Roman"/>
          <w:color w:val="000000"/>
          <w:sz w:val="20"/>
          <w:szCs w:val="20"/>
        </w:rPr>
        <w:t>Average loans held for investment increased by $3.4 billion to $249.5 billion in the third quarter of 2020 compared to the third quarter of 2019 primarily driven by growth in our auto and commercial loan portfolios, partially offset by a decline</w:t>
      </w:r>
      <w:r>
        <w:rPr>
          <w:rFonts w:eastAsia="Times New Roman"/>
          <w:color w:val="000000"/>
          <w:sz w:val="20"/>
          <w:szCs w:val="20"/>
        </w:rPr>
        <w:t xml:space="preserve"> in purchase volume and higher payments in Domestic Card. Average loans held for investment increased by $11.6 billion to $255.2 billion in the first nine months of 2020 compared to the first nine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90994157"/>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9099415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9099415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6" style="width:0;height:1.5pt" o:hralign="center" o:hrstd="t" o:hr="t" fillcolor="#a0a0a0" stroked="f"/>
        </w:pict>
      </w:r>
    </w:p>
    <w:p w:rsidR="00000000" w:rsidRDefault="00795D39">
      <w:pPr>
        <w:jc w:val="both"/>
        <w:divId w:val="156633482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1403605208"/>
        <w:rPr>
          <w:rFonts w:eastAsia="Times New Roman"/>
        </w:rPr>
      </w:pPr>
      <w:r>
        <w:rPr>
          <w:rFonts w:eastAsia="Times New Roman"/>
          <w:color w:val="000000"/>
          <w:sz w:val="20"/>
          <w:szCs w:val="20"/>
        </w:rPr>
        <w:t>months of 2019 primarily driven by growth in our commercial, auto and domestic credit card loan portfolios, including the Walmart portfolio acqu</w:t>
      </w:r>
      <w:r>
        <w:rPr>
          <w:rFonts w:eastAsia="Times New Roman"/>
          <w:color w:val="000000"/>
          <w:sz w:val="20"/>
          <w:szCs w:val="20"/>
        </w:rPr>
        <w:t>ired in the fourth quarter of 2019.</w:t>
      </w:r>
    </w:p>
    <w:p w:rsidR="00000000" w:rsidRDefault="00795D39">
      <w:pPr>
        <w:ind w:hanging="360"/>
        <w:jc w:val="both"/>
        <w:divId w:val="121774395"/>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Our net charge-off rate decreased by 66 basis points to 1.72% in the third quarter of 2020 compared to the third quarter of 2019 and decreased by 22 basis points to 2.28% in the f</w:t>
      </w:r>
      <w:r>
        <w:rPr>
          <w:rFonts w:eastAsia="Times New Roman"/>
          <w:color w:val="000000"/>
          <w:sz w:val="20"/>
          <w:szCs w:val="20"/>
        </w:rPr>
        <w:t>irst nine months of 2020 compared to the first nine months of 2019, primarily driven by the impact of short-term payment extensions offered to affected auto borrowers in response to the COVID-19 pandemic and strong credit performance in Domestic Card due t</w:t>
      </w:r>
      <w:r>
        <w:rPr>
          <w:rFonts w:eastAsia="Times New Roman"/>
          <w:color w:val="000000"/>
          <w:sz w:val="20"/>
          <w:szCs w:val="20"/>
        </w:rPr>
        <w:t>o consumer payment behavior and the related impacts from government stimulus, partially offset by isolated charge offs in our commercial loan portfolio.</w:t>
      </w:r>
    </w:p>
    <w:p w:rsidR="00000000" w:rsidRDefault="00795D39">
      <w:pPr>
        <w:jc w:val="both"/>
        <w:divId w:val="1497263475"/>
        <w:rPr>
          <w:rFonts w:eastAsia="Times New Roman"/>
        </w:rPr>
      </w:pPr>
      <w:r>
        <w:rPr>
          <w:rFonts w:eastAsia="Times New Roman"/>
          <w:color w:val="000000"/>
          <w:sz w:val="20"/>
          <w:szCs w:val="20"/>
        </w:rPr>
        <w:t>Our 30+ day delinquency rate decreased by 152 basis points to 2.22% as of September 30, 2020 from Decem</w:t>
      </w:r>
      <w:r>
        <w:rPr>
          <w:rFonts w:eastAsia="Times New Roman"/>
          <w:color w:val="000000"/>
          <w:sz w:val="20"/>
          <w:szCs w:val="20"/>
        </w:rPr>
        <w:t xml:space="preserve">ber 31, 2019 driven by strong credit performance in Domestic Card due to consumer payment behavior and the related impact from government stimulus, and short-term payment extensions offered to affected auto borrowers in response to the COVID-19 pandemic. </w:t>
      </w:r>
    </w:p>
    <w:p w:rsidR="00000000" w:rsidRDefault="00795D39">
      <w:pPr>
        <w:ind w:hanging="360"/>
        <w:jc w:val="both"/>
        <w:divId w:val="2127889419"/>
        <w:rPr>
          <w:rFonts w:eastAsia="Times New Roman"/>
        </w:rPr>
      </w:pPr>
      <w:r>
        <w:rPr>
          <w:rFonts w:eastAsia="Times New Roman"/>
          <w:color w:val="000000"/>
          <w:sz w:val="20"/>
          <w:szCs w:val="20"/>
        </w:rPr>
        <w:t>•</w:t>
      </w:r>
      <w:r>
        <w:rPr>
          <w:rFonts w:eastAsia="Times New Roman"/>
          <w:i/>
          <w:iCs/>
          <w:color w:val="000000"/>
          <w:sz w:val="20"/>
          <w:szCs w:val="20"/>
        </w:rPr>
        <w:t>Allowance for Credit Losses:</w:t>
      </w:r>
      <w:r>
        <w:rPr>
          <w:rFonts w:eastAsia="Times New Roman"/>
          <w:color w:val="000000"/>
          <w:sz w:val="20"/>
          <w:szCs w:val="20"/>
        </w:rPr>
        <w:t xml:space="preserve"> Our allowance for credit losses increased by $8.9 billion to $16.1 billion, and our allowance coverage ratio increased by 379 basis points to 6.50% as of September 30, 2020 from December 31, 2019, driven by the allowance build</w:t>
      </w:r>
      <w:r>
        <w:rPr>
          <w:rFonts w:eastAsia="Times New Roman"/>
          <w:color w:val="000000"/>
          <w:sz w:val="20"/>
          <w:szCs w:val="20"/>
        </w:rPr>
        <w:t>s in the first and second quarters of 2020 from expectations of economic worsening and uncertainty as a result of the COVID-19 pandemic as well as the adoption of the CECL standard in the first quarter of 2020.</w:t>
      </w:r>
    </w:p>
    <w:p w:rsidR="00000000" w:rsidRDefault="00795D39">
      <w:pPr>
        <w:divId w:val="608780548"/>
        <w:rPr>
          <w:rFonts w:eastAsia="Times New Roman"/>
        </w:rPr>
      </w:pPr>
      <w:r>
        <w:rPr>
          <w:rFonts w:eastAsia="Times New Roman"/>
          <w:b/>
          <w:bCs/>
          <w:color w:val="000000"/>
          <w:sz w:val="20"/>
          <w:szCs w:val="20"/>
        </w:rPr>
        <w:t xml:space="preserve">Business Outlook </w:t>
      </w:r>
    </w:p>
    <w:p w:rsidR="00000000" w:rsidRDefault="00795D39">
      <w:pPr>
        <w:jc w:val="both"/>
        <w:divId w:val="1595169998"/>
        <w:rPr>
          <w:rFonts w:eastAsia="Times New Roman"/>
        </w:rPr>
      </w:pPr>
      <w:r>
        <w:rPr>
          <w:rFonts w:eastAsia="Times New Roman"/>
          <w:color w:val="000000"/>
          <w:sz w:val="20"/>
          <w:szCs w:val="20"/>
        </w:rPr>
        <w:t>We discuss in this Report our expectations as of the time this Report was filed regarding our total company performance and the performance of our business segments based on market conditions, the regulatory environment and our business strategies. The sta</w:t>
      </w:r>
      <w:r>
        <w:rPr>
          <w:rFonts w:eastAsia="Times New Roman"/>
          <w:color w:val="000000"/>
          <w:sz w:val="20"/>
          <w:szCs w:val="20"/>
        </w:rPr>
        <w:t xml:space="preserve">tements contained in this Report are based on our current expectations regarding our outlook for our financial results and business strategies. Our expectations take into account, and should be read in conjunction with, our expectations regarding economic </w:t>
      </w:r>
      <w:r>
        <w:rPr>
          <w:rFonts w:eastAsia="Times New Roman"/>
          <w:color w:val="000000"/>
          <w:sz w:val="20"/>
          <w:szCs w:val="20"/>
        </w:rPr>
        <w:t>trends and analysis of our business as discussed in “Part I—Item 1. Business” and “Part II—Item 7. MD&amp;A” in our December 31, 2019 Form 10-K. Certain statements are forward-looking statements within the meaning of the Private Securities Litigation Reform Ac</w:t>
      </w:r>
      <w:r>
        <w:rPr>
          <w:rFonts w:eastAsia="Times New Roman"/>
          <w:color w:val="000000"/>
          <w:sz w:val="20"/>
          <w:szCs w:val="20"/>
        </w:rPr>
        <w:t>t of 1995. Actual results could differ materially from those in our forward-looking statements. Except as otherwise disclosed, forward-looking statements do not reflect:</w:t>
      </w:r>
    </w:p>
    <w:p w:rsidR="00000000" w:rsidRDefault="00795D39">
      <w:pPr>
        <w:ind w:hanging="360"/>
        <w:jc w:val="both"/>
        <w:divId w:val="2142260476"/>
        <w:rPr>
          <w:rFonts w:eastAsia="Times New Roman"/>
        </w:rPr>
      </w:pPr>
      <w:r>
        <w:rPr>
          <w:rFonts w:eastAsia="Times New Roman"/>
          <w:color w:val="000000"/>
          <w:sz w:val="20"/>
          <w:szCs w:val="20"/>
        </w:rPr>
        <w:t>•any change in current dividend or repurchase strategies;</w:t>
      </w:r>
    </w:p>
    <w:p w:rsidR="00000000" w:rsidRDefault="00795D39">
      <w:pPr>
        <w:ind w:hanging="360"/>
        <w:jc w:val="both"/>
        <w:divId w:val="1927691092"/>
        <w:rPr>
          <w:rFonts w:eastAsia="Times New Roman"/>
        </w:rPr>
      </w:pPr>
      <w:r>
        <w:rPr>
          <w:rFonts w:eastAsia="Times New Roman"/>
          <w:color w:val="000000"/>
          <w:sz w:val="20"/>
          <w:szCs w:val="20"/>
        </w:rPr>
        <w:t>•the effect of any acquisiti</w:t>
      </w:r>
      <w:r>
        <w:rPr>
          <w:rFonts w:eastAsia="Times New Roman"/>
          <w:color w:val="000000"/>
          <w:sz w:val="20"/>
          <w:szCs w:val="20"/>
        </w:rPr>
        <w:t>ons, divestitures or similar transactions that have not been previously disclosed;</w:t>
      </w:r>
    </w:p>
    <w:p w:rsidR="00000000" w:rsidRDefault="00795D39">
      <w:pPr>
        <w:ind w:hanging="360"/>
        <w:jc w:val="both"/>
        <w:divId w:val="371150264"/>
        <w:rPr>
          <w:rFonts w:eastAsia="Times New Roman"/>
        </w:rPr>
      </w:pPr>
      <w:r>
        <w:rPr>
          <w:rFonts w:eastAsia="Times New Roman"/>
          <w:color w:val="000000"/>
          <w:sz w:val="20"/>
          <w:szCs w:val="20"/>
        </w:rPr>
        <w:t xml:space="preserve">•any changes in laws, regulations or regulatory interpretations, in each case after the date as of which such statements are made; </w:t>
      </w:r>
    </w:p>
    <w:p w:rsidR="00000000" w:rsidRDefault="00795D39">
      <w:pPr>
        <w:ind w:hanging="360"/>
        <w:jc w:val="both"/>
        <w:divId w:val="479542475"/>
        <w:rPr>
          <w:rFonts w:eastAsia="Times New Roman"/>
        </w:rPr>
      </w:pPr>
      <w:r>
        <w:rPr>
          <w:rFonts w:eastAsia="Times New Roman"/>
          <w:color w:val="000000"/>
          <w:sz w:val="20"/>
          <w:szCs w:val="20"/>
        </w:rPr>
        <w:t>•</w:t>
      </w:r>
      <w:r>
        <w:rPr>
          <w:rFonts w:eastAsia="Times New Roman"/>
          <w:color w:val="000000"/>
          <w:sz w:val="20"/>
          <w:szCs w:val="20"/>
        </w:rPr>
        <w:t>the potential impact on our business, operations and reputation from, and expenses and uncertainties associated with, the Cybersecurity Incident, other than the incremental costs related to the incident we expect to incur in 2020 which will be separately r</w:t>
      </w:r>
      <w:r>
        <w:rPr>
          <w:rFonts w:eastAsia="Times New Roman"/>
          <w:color w:val="000000"/>
          <w:sz w:val="20"/>
          <w:szCs w:val="20"/>
        </w:rPr>
        <w:t>eported as an adjusting item as it relates to the Company’s financial results; or</w:t>
      </w:r>
    </w:p>
    <w:p w:rsidR="00000000" w:rsidRDefault="00795D39">
      <w:pPr>
        <w:ind w:hanging="360"/>
        <w:jc w:val="both"/>
        <w:divId w:val="1375040076"/>
        <w:rPr>
          <w:rFonts w:eastAsia="Times New Roman"/>
        </w:rPr>
      </w:pPr>
      <w:r>
        <w:rPr>
          <w:rFonts w:eastAsia="Times New Roman"/>
          <w:color w:val="000000"/>
          <w:sz w:val="20"/>
          <w:szCs w:val="20"/>
        </w:rPr>
        <w:t xml:space="preserve">•Moreover, this Report reflects certain assumptions regarding the potential effects of the COVID-19 pandemic on our business, results of operations, and financial condition. </w:t>
      </w:r>
      <w:r>
        <w:rPr>
          <w:rFonts w:eastAsia="Times New Roman"/>
          <w:color w:val="000000"/>
          <w:sz w:val="20"/>
          <w:szCs w:val="20"/>
        </w:rPr>
        <w:t>The extent to which the COVID-19 pandemic ultimately impacts our business, results of operations, and financial condition will depend on future developments, which are still uncertain and cannot be predicted, including the scope and duration of the COVID-1</w:t>
      </w:r>
      <w:r>
        <w:rPr>
          <w:rFonts w:eastAsia="Times New Roman"/>
          <w:color w:val="000000"/>
          <w:sz w:val="20"/>
          <w:szCs w:val="20"/>
        </w:rPr>
        <w:t xml:space="preserve">9 pandemic and actions taken by governmental authorities and other third parties in response to the COVID-19 pandemic. </w:t>
      </w:r>
    </w:p>
    <w:p w:rsidR="00000000" w:rsidRDefault="00795D39">
      <w:pPr>
        <w:jc w:val="both"/>
        <w:divId w:val="2010978476"/>
        <w:rPr>
          <w:rFonts w:eastAsia="Times New Roman"/>
        </w:rPr>
      </w:pPr>
      <w:r>
        <w:rPr>
          <w:rFonts w:eastAsia="Times New Roman"/>
          <w:color w:val="000000"/>
          <w:sz w:val="20"/>
          <w:szCs w:val="20"/>
        </w:rPr>
        <w:t>See “MD&amp;A—Forward-Looking Statements” in this Report for more information on the forward-looking statements and “Part I—Item 1A. Risk Fa</w:t>
      </w:r>
      <w:r>
        <w:rPr>
          <w:rFonts w:eastAsia="Times New Roman"/>
          <w:color w:val="000000"/>
          <w:sz w:val="20"/>
          <w:szCs w:val="20"/>
        </w:rPr>
        <w:t>ctors” in our 2019 Form 10-K and “Part II—Item 1A. Risk Factors” in our Quarterly Report on Form 10-Q for the period ended March 31, 2020 for factors that could materially influence our results.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67626190"/>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6762619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6762619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7" style="width:0;height:1.5pt" o:hralign="center" o:hrstd="t" o:hr="t" fillcolor="#a0a0a0" stroked="f"/>
        </w:pict>
      </w:r>
    </w:p>
    <w:p w:rsidR="00000000" w:rsidRDefault="00795D39">
      <w:pPr>
        <w:jc w:val="both"/>
        <w:divId w:val="68328564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1195459432"/>
        <w:rPr>
          <w:rFonts w:eastAsia="Times New Roman"/>
        </w:rPr>
      </w:pPr>
      <w:r>
        <w:rPr>
          <w:rFonts w:eastAsia="Times New Roman"/>
          <w:b/>
          <w:bCs/>
          <w:i/>
          <w:iCs/>
          <w:color w:val="000000"/>
          <w:sz w:val="20"/>
          <w:szCs w:val="20"/>
        </w:rPr>
        <w:t>Total Company Expectations</w:t>
      </w:r>
    </w:p>
    <w:p w:rsidR="00000000" w:rsidRDefault="00795D39">
      <w:pPr>
        <w:jc w:val="both"/>
        <w:divId w:val="439449351"/>
        <w:rPr>
          <w:rFonts w:eastAsia="Times New Roman"/>
        </w:rPr>
      </w:pPr>
      <w:r>
        <w:rPr>
          <w:rFonts w:eastAsia="Times New Roman"/>
          <w:color w:val="000000"/>
          <w:sz w:val="20"/>
          <w:szCs w:val="20"/>
        </w:rPr>
        <w:t xml:space="preserve">In the third quarter of 2020, marketing in our Domestic Card business increased from unusually low levels, with most </w:t>
      </w:r>
      <w:r>
        <w:rPr>
          <w:rFonts w:eastAsia="Times New Roman"/>
          <w:color w:val="000000"/>
          <w:sz w:val="20"/>
          <w:szCs w:val="20"/>
        </w:rPr>
        <w:t>of the increase weighted toward the end of the quarter. We expect a significant sequential increase in total company marketing in the fourth quarter of 2020, driven by the normal seasonal increase between the third and fourth quarters, plus the impact of a</w:t>
      </w:r>
      <w:r>
        <w:rPr>
          <w:rFonts w:eastAsia="Times New Roman"/>
          <w:color w:val="000000"/>
          <w:sz w:val="20"/>
          <w:szCs w:val="20"/>
        </w:rPr>
        <w:t xml:space="preserve"> full quarter of increased Domestic Card marketing.</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885797605"/>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8579760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CONSOLIDATED RESULTS OF OPERATIONS</w:t>
            </w:r>
          </w:p>
        </w:tc>
      </w:tr>
    </w:tbl>
    <w:p w:rsidR="00000000" w:rsidRDefault="00795D39">
      <w:pPr>
        <w:jc w:val="both"/>
        <w:divId w:val="187060797"/>
        <w:rPr>
          <w:rFonts w:eastAsia="Times New Roman"/>
        </w:rPr>
      </w:pPr>
      <w:r>
        <w:rPr>
          <w:rFonts w:eastAsia="Times New Roman"/>
          <w:color w:val="000000"/>
          <w:sz w:val="20"/>
          <w:szCs w:val="20"/>
        </w:rPr>
        <w:t>The section below provides a comparative discussion of our consolidated financial performance for the third quarter and first nine months of 2020 and 2019. We provide a discussion of our business segment results in the following section, “MD&amp;A—Business Seg</w:t>
      </w:r>
      <w:r>
        <w:rPr>
          <w:rFonts w:eastAsia="Times New Roman"/>
          <w:color w:val="000000"/>
          <w:sz w:val="20"/>
          <w:szCs w:val="20"/>
        </w:rPr>
        <w:t>ment Financial Performance.” This section should be read together with our “MD&amp;A—Executive Summary and Business Outlook,” where we discuss trends and other factors that we expect will affect our future results of operations.</w:t>
      </w:r>
    </w:p>
    <w:p w:rsidR="00000000" w:rsidRDefault="00795D39">
      <w:pPr>
        <w:divId w:val="493883463"/>
        <w:rPr>
          <w:rFonts w:eastAsia="Times New Roman"/>
        </w:rPr>
      </w:pPr>
      <w:r>
        <w:rPr>
          <w:rFonts w:eastAsia="Times New Roman"/>
          <w:b/>
          <w:bCs/>
          <w:color w:val="000000"/>
          <w:sz w:val="20"/>
          <w:szCs w:val="20"/>
        </w:rPr>
        <w:t>Net Interest Income</w:t>
      </w:r>
    </w:p>
    <w:p w:rsidR="00000000" w:rsidRDefault="00795D39">
      <w:pPr>
        <w:jc w:val="both"/>
        <w:divId w:val="207305589"/>
        <w:rPr>
          <w:rFonts w:eastAsia="Times New Roman"/>
        </w:rPr>
      </w:pPr>
      <w:r>
        <w:rPr>
          <w:rFonts w:eastAsia="Times New Roman"/>
          <w:color w:val="000000"/>
          <w:sz w:val="20"/>
          <w:szCs w:val="20"/>
        </w:rPr>
        <w:t>Net interes</w:t>
      </w:r>
      <w:r>
        <w:rPr>
          <w:rFonts w:eastAsia="Times New Roman"/>
          <w:color w:val="000000"/>
          <w:sz w:val="20"/>
          <w:szCs w:val="20"/>
        </w:rPr>
        <w:t>t income represents the difference between interest income, including certain fees, earned on our interest-earning assets and the interest expense incurred on our interest-bearing liabilities. Interest-earning assets include loans, investment securities an</w:t>
      </w:r>
      <w:r>
        <w:rPr>
          <w:rFonts w:eastAsia="Times New Roman"/>
          <w:color w:val="000000"/>
          <w:sz w:val="20"/>
          <w:szCs w:val="20"/>
        </w:rPr>
        <w:t>d other interest-earning assets, while our interest-bearing liabilities include interest-bearing deposits, securitized debt obligations, senior and subordinated notes, other borrowings and other interest-bearing liabilities. Generally, we include in intere</w:t>
      </w:r>
      <w:r>
        <w:rPr>
          <w:rFonts w:eastAsia="Times New Roman"/>
          <w:color w:val="000000"/>
          <w:sz w:val="20"/>
          <w:szCs w:val="20"/>
        </w:rPr>
        <w:t>st income any past due fees on loans that we deem collectible. Our net interest margin, based on our consolidated results, represents the difference between the yield on our interest-earning assets and the cost of our interest-bearing liabilities, includin</w:t>
      </w:r>
      <w:r>
        <w:rPr>
          <w:rFonts w:eastAsia="Times New Roman"/>
          <w:color w:val="000000"/>
          <w:sz w:val="20"/>
          <w:szCs w:val="20"/>
        </w:rPr>
        <w:t>g the notional impact of non-interest-bearing funding. We expect net interest income and our net interest margin to fluctuate based on changes in interest rates and changes in the amount and composition of our interest-earning assets and interest-bearing l</w:t>
      </w:r>
      <w:r>
        <w:rPr>
          <w:rFonts w:eastAsia="Times New Roman"/>
          <w:color w:val="000000"/>
          <w:sz w:val="20"/>
          <w:szCs w:val="20"/>
        </w:rPr>
        <w:t xml:space="preserve">iabilities. </w:t>
      </w:r>
    </w:p>
    <w:p w:rsidR="00000000" w:rsidRDefault="00795D39">
      <w:pPr>
        <w:jc w:val="both"/>
        <w:divId w:val="59860899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49541429"/>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49541429"/>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49541429"/>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8" style="width:0;height:1.5pt" o:hralign="center" o:hrstd="t" o:hr="t" fillcolor="#a0a0a0" stroked="f"/>
        </w:pict>
      </w:r>
    </w:p>
    <w:p w:rsidR="00000000" w:rsidRDefault="00795D39">
      <w:pPr>
        <w:jc w:val="both"/>
        <w:divId w:val="130280463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5253754"/>
        <w:rPr>
          <w:rFonts w:eastAsia="Times New Roman"/>
        </w:rPr>
      </w:pPr>
      <w:r>
        <w:rPr>
          <w:rFonts w:eastAsia="Times New Roman"/>
          <w:color w:val="000000"/>
          <w:sz w:val="20"/>
          <w:szCs w:val="20"/>
        </w:rPr>
        <w:t>Table 2 below presents the average outstanding balance, interest income earned, interest expense incurred and average yield for the third quarte</w:t>
      </w:r>
      <w:r>
        <w:rPr>
          <w:rFonts w:eastAsia="Times New Roman"/>
          <w:color w:val="000000"/>
          <w:sz w:val="20"/>
          <w:szCs w:val="20"/>
        </w:rPr>
        <w:t xml:space="preserve">r and first nine months of 2020 and 2019 for each major category of our interest-earning assets and interest-bearing liabilities. Nonperforming loans are included in the average loan balances below. </w:t>
      </w:r>
    </w:p>
    <w:p w:rsidR="00000000" w:rsidRDefault="00795D39">
      <w:pPr>
        <w:divId w:val="394426685"/>
        <w:rPr>
          <w:rFonts w:eastAsia="Times New Roman"/>
        </w:rPr>
      </w:pPr>
      <w:r>
        <w:rPr>
          <w:rFonts w:eastAsia="Times New Roman"/>
          <w:b/>
          <w:bCs/>
          <w:color w:val="000000"/>
          <w:sz w:val="18"/>
          <w:szCs w:val="18"/>
        </w:rPr>
        <w:t>Table 2: Average Balances, Net Interest Income and Net I</w:t>
      </w:r>
      <w:r>
        <w:rPr>
          <w:rFonts w:eastAsia="Times New Roman"/>
          <w:b/>
          <w:bCs/>
          <w:color w:val="000000"/>
          <w:sz w:val="18"/>
          <w:szCs w:val="18"/>
        </w:rPr>
        <w:t>nterest Margin</w:t>
      </w:r>
    </w:p>
    <w:tbl>
      <w:tblPr>
        <w:tblW w:w="4992" w:type="pct"/>
        <w:tblCellMar>
          <w:top w:w="15" w:type="dxa"/>
          <w:left w:w="15" w:type="dxa"/>
          <w:bottom w:w="15" w:type="dxa"/>
          <w:right w:w="15" w:type="dxa"/>
        </w:tblCellMar>
        <w:tblLook w:val="04A0" w:firstRow="1" w:lastRow="0" w:firstColumn="1" w:lastColumn="0" w:noHBand="0" w:noVBand="1"/>
      </w:tblPr>
      <w:tblGrid>
        <w:gridCol w:w="41"/>
        <w:gridCol w:w="3096"/>
        <w:gridCol w:w="40"/>
        <w:gridCol w:w="36"/>
        <w:gridCol w:w="36"/>
        <w:gridCol w:w="36"/>
        <w:gridCol w:w="110"/>
        <w:gridCol w:w="630"/>
        <w:gridCol w:w="36"/>
        <w:gridCol w:w="36"/>
        <w:gridCol w:w="36"/>
        <w:gridCol w:w="36"/>
        <w:gridCol w:w="111"/>
        <w:gridCol w:w="524"/>
        <w:gridCol w:w="36"/>
        <w:gridCol w:w="36"/>
        <w:gridCol w:w="36"/>
        <w:gridCol w:w="36"/>
        <w:gridCol w:w="78"/>
        <w:gridCol w:w="524"/>
        <w:gridCol w:w="200"/>
        <w:gridCol w:w="36"/>
        <w:gridCol w:w="36"/>
        <w:gridCol w:w="36"/>
        <w:gridCol w:w="110"/>
        <w:gridCol w:w="630"/>
        <w:gridCol w:w="36"/>
        <w:gridCol w:w="36"/>
        <w:gridCol w:w="36"/>
        <w:gridCol w:w="36"/>
        <w:gridCol w:w="111"/>
        <w:gridCol w:w="524"/>
        <w:gridCol w:w="36"/>
        <w:gridCol w:w="36"/>
        <w:gridCol w:w="36"/>
        <w:gridCol w:w="36"/>
        <w:gridCol w:w="78"/>
        <w:gridCol w:w="524"/>
        <w:gridCol w:w="170"/>
      </w:tblGrid>
      <w:tr w:rsidR="00000000">
        <w:trPr>
          <w:divId w:val="217742837"/>
        </w:trPr>
        <w:tc>
          <w:tcPr>
            <w:tcW w:w="50" w:type="pct"/>
            <w:vAlign w:val="center"/>
            <w:hideMark/>
          </w:tcPr>
          <w:p w:rsidR="00000000" w:rsidRDefault="00795D39">
            <w:pPr>
              <w:rPr>
                <w:rFonts w:eastAsia="Times New Roman"/>
              </w:rPr>
            </w:pPr>
          </w:p>
        </w:tc>
        <w:tc>
          <w:tcPr>
            <w:tcW w:w="23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1774283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r>
      <w:tr w:rsidR="00000000">
        <w:trPr>
          <w:divId w:val="21774283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r>
      <w:tr w:rsidR="00000000">
        <w:trPr>
          <w:divId w:val="21774283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r>
      <w:tr w:rsidR="00000000">
        <w:trPr>
          <w:divId w:val="2177428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divId w:val="1434667566"/>
              <w:rPr>
                <w:rFonts w:eastAsia="Times New Roman"/>
              </w:rPr>
            </w:pPr>
            <w:r>
              <w:rPr>
                <w:rFonts w:eastAsia="Times New Roman"/>
                <w:color w:val="000000"/>
                <w:sz w:val="18"/>
                <w:szCs w:val="18"/>
              </w:rPr>
              <w:t>Loans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105,390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112,484 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4,369 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15.54 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21774283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67,822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61,271 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1,297 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8.47 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divId w:val="1800494123"/>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77,313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73,664 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divId w:val="1949043084"/>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250,525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247,419 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91,777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80,762 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49,149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12,768 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391,451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6,215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340,949 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8.30 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and due from banks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(16,839)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(7,125)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4,279 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39,226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32,426 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422,854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374,905 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Interest-bearing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276,339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232,063 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21774283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15,032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16,750 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28,497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31,220 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borrowings and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2,698 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interest-bearing 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321,987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282,731 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29,177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23,019 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14,467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11,910 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365,631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317,660 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57,245 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422,854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374,905 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7742837"/>
        </w:trPr>
        <w:tc>
          <w:tcPr>
            <w:tcW w:w="0" w:type="auto"/>
            <w:gridSpan w:val="9"/>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income/spread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5,555</w:t>
            </w: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5,737 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15"/>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Impact of non-interest-bearing funding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7742837"/>
        </w:trPr>
        <w:tc>
          <w:tcPr>
            <w:tcW w:w="0" w:type="auto"/>
            <w:gridSpan w:val="15"/>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jc w:val="both"/>
        <w:divId w:val="156313019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3092132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3092132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3092132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39" style="width:0;height:1.5pt" o:hralign="center" o:hrstd="t" o:hr="t" fillcolor="#a0a0a0" stroked="f"/>
        </w:pict>
      </w:r>
    </w:p>
    <w:p w:rsidR="00000000" w:rsidRDefault="00795D39">
      <w:pPr>
        <w:jc w:val="both"/>
        <w:divId w:val="876502294"/>
        <w:rPr>
          <w:rFonts w:eastAsia="Times New Roman"/>
        </w:rPr>
      </w:pPr>
      <w:hyperlink w:anchor="i86ab6d5a0edf43c49d46a425718ef61b_7"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41"/>
        <w:gridCol w:w="2562"/>
        <w:gridCol w:w="40"/>
        <w:gridCol w:w="36"/>
        <w:gridCol w:w="36"/>
        <w:gridCol w:w="36"/>
        <w:gridCol w:w="110"/>
        <w:gridCol w:w="630"/>
        <w:gridCol w:w="36"/>
        <w:gridCol w:w="36"/>
        <w:gridCol w:w="36"/>
        <w:gridCol w:w="36"/>
        <w:gridCol w:w="110"/>
        <w:gridCol w:w="540"/>
        <w:gridCol w:w="36"/>
        <w:gridCol w:w="36"/>
        <w:gridCol w:w="36"/>
        <w:gridCol w:w="36"/>
        <w:gridCol w:w="78"/>
        <w:gridCol w:w="524"/>
        <w:gridCol w:w="200"/>
        <w:gridCol w:w="36"/>
        <w:gridCol w:w="36"/>
        <w:gridCol w:w="36"/>
        <w:gridCol w:w="110"/>
        <w:gridCol w:w="630"/>
        <w:gridCol w:w="36"/>
        <w:gridCol w:w="36"/>
        <w:gridCol w:w="36"/>
        <w:gridCol w:w="36"/>
        <w:gridCol w:w="110"/>
        <w:gridCol w:w="540"/>
        <w:gridCol w:w="36"/>
        <w:gridCol w:w="36"/>
        <w:gridCol w:w="36"/>
        <w:gridCol w:w="36"/>
        <w:gridCol w:w="78"/>
        <w:gridCol w:w="524"/>
        <w:gridCol w:w="170"/>
        <w:gridCol w:w="36"/>
        <w:gridCol w:w="36"/>
        <w:gridCol w:w="36"/>
        <w:gridCol w:w="36"/>
        <w:gridCol w:w="36"/>
        <w:gridCol w:w="36"/>
        <w:gridCol w:w="36"/>
        <w:gridCol w:w="36"/>
        <w:gridCol w:w="36"/>
        <w:gridCol w:w="36"/>
        <w:gridCol w:w="36"/>
        <w:gridCol w:w="36"/>
        <w:gridCol w:w="36"/>
        <w:gridCol w:w="36"/>
      </w:tblGrid>
      <w:tr w:rsidR="00000000">
        <w:trPr>
          <w:divId w:val="1155799586"/>
        </w:trPr>
        <w:tc>
          <w:tcPr>
            <w:tcW w:w="50" w:type="pct"/>
            <w:vAlign w:val="center"/>
            <w:hideMark/>
          </w:tcPr>
          <w:p w:rsidR="00000000" w:rsidRDefault="00795D39">
            <w:pPr>
              <w:jc w:val="both"/>
              <w:rPr>
                <w:rFonts w:eastAsia="Times New Roman"/>
              </w:rPr>
            </w:pPr>
          </w:p>
        </w:tc>
        <w:tc>
          <w:tcPr>
            <w:tcW w:w="23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15579958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divId w:val="1807165076"/>
              <w:rPr>
                <w:rFonts w:eastAsia="Times New Roman"/>
              </w:rPr>
            </w:pPr>
            <w:r>
              <w:rPr>
                <w:rFonts w:eastAsia="Times New Roman"/>
                <w:color w:val="000000"/>
                <w:sz w:val="18"/>
                <w:szCs w:val="18"/>
              </w:rPr>
              <w:t>Loans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112,305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11,812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111,584 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13,103 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15.66 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65,457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60,072 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3,751 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divId w:val="43407448"/>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78,403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73,066 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divId w:val="121870980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256,165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18,120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244,743 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19,180 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83,724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82,264 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1,867 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11,929 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375,041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19,642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338,936 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21,243 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8.36 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and due from banks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4,913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(13,796)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(7,221)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4,275 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37,743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31,877 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408,233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372,148 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Interest-bearing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259,631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230,045 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2,588 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16,500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17,912 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30,371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30,897 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923 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borrowings and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3,228 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interest-bearing 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309,649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282,082 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26,611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23,344 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14,171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11,861 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350,431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317,287 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57,802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54,861 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408,233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372,148 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9"/>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income/spread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17,040</w:t>
            </w: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17,274 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15"/>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Impact of non-interest-bearing funding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55799586"/>
        </w:trPr>
        <w:tc>
          <w:tcPr>
            <w:tcW w:w="0" w:type="auto"/>
            <w:gridSpan w:val="15"/>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653921018"/>
        <w:rPr>
          <w:rFonts w:eastAsia="Times New Roman"/>
        </w:rPr>
      </w:pPr>
      <w:r>
        <w:rPr>
          <w:rFonts w:eastAsia="Times New Roman"/>
          <w:color w:val="000000"/>
          <w:sz w:val="20"/>
          <w:szCs w:val="20"/>
        </w:rPr>
        <w:t>__________</w:t>
      </w:r>
    </w:p>
    <w:p w:rsidR="00000000" w:rsidRDefault="00795D39">
      <w:pPr>
        <w:ind w:hanging="360"/>
        <w:jc w:val="both"/>
        <w:divId w:val="45031807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Past due fees included in interest income totaled approximately $277 million and $933 million in the third quarter and first nine months of 2020, respectively, and $423 million and $1.2 billion in the third quarter and first nine months of 2019, respect</w:t>
      </w:r>
      <w:r>
        <w:rPr>
          <w:rFonts w:eastAsia="Times New Roman"/>
          <w:color w:val="000000"/>
          <w:sz w:val="16"/>
          <w:szCs w:val="16"/>
        </w:rPr>
        <w:t>ively.</w:t>
      </w:r>
    </w:p>
    <w:p w:rsidR="00000000" w:rsidRDefault="00795D39">
      <w:pPr>
        <w:ind w:hanging="360"/>
        <w:jc w:val="both"/>
        <w:divId w:val="3670830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we present our Commercial Banking interest income and yields on a taxable-equivalent basis, calculated using the federal statutory rate of 21% and state taxes where applicable,</w:t>
      </w:r>
      <w:r>
        <w:rPr>
          <w:rFonts w:eastAsia="Times New Roman"/>
          <w:color w:val="000000"/>
          <w:sz w:val="16"/>
          <w:szCs w:val="16"/>
        </w:rPr>
        <w:t xml:space="preserve"> with offsetting reductions to the Other category. Taxable-equivalent adjustments included in the interest income and yield computations for our commercial loans totaled approximately $20 million and $61 million in the third quarter and first nine months o</w:t>
      </w:r>
      <w:r>
        <w:rPr>
          <w:rFonts w:eastAsia="Times New Roman"/>
          <w:color w:val="000000"/>
          <w:sz w:val="16"/>
          <w:szCs w:val="16"/>
        </w:rPr>
        <w:t>f 2020, respectively, and $21 million and $62 million in the third quarter and first nine months of 2019, respectively, with corresponding reductions to the Other category.</w:t>
      </w:r>
    </w:p>
    <w:p w:rsidR="00000000" w:rsidRDefault="00795D39">
      <w:pPr>
        <w:ind w:hanging="360"/>
        <w:jc w:val="both"/>
        <w:divId w:val="183929793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of Other represents the impact of hedge accounting on ou</w:t>
      </w:r>
      <w:r>
        <w:rPr>
          <w:rFonts w:eastAsia="Times New Roman"/>
          <w:color w:val="000000"/>
          <w:sz w:val="16"/>
          <w:szCs w:val="16"/>
        </w:rPr>
        <w:t xml:space="preserve">r loan portfolios and the offsetting reduction of the taxable-equivalent adjustments of our commercial loans as described above. </w:t>
      </w:r>
    </w:p>
    <w:p w:rsidR="00000000" w:rsidRDefault="00795D39">
      <w:pPr>
        <w:ind w:hanging="360"/>
        <w:jc w:val="both"/>
        <w:divId w:val="2102950680"/>
        <w:rPr>
          <w:rFonts w:eastAsia="Times New Roman"/>
        </w:rPr>
      </w:pPr>
      <w:r>
        <w:rPr>
          <w:rFonts w:eastAsia="Times New Roman"/>
          <w:color w:val="000000"/>
          <w:sz w:val="16"/>
          <w:szCs w:val="16"/>
        </w:rPr>
        <w:t>**    Not meaningful.</w:t>
      </w:r>
    </w:p>
    <w:p w:rsidR="00000000" w:rsidRDefault="00795D39">
      <w:pPr>
        <w:jc w:val="both"/>
        <w:divId w:val="1853181295"/>
        <w:rPr>
          <w:rFonts w:eastAsia="Times New Roman"/>
        </w:rPr>
      </w:pPr>
      <w:r>
        <w:rPr>
          <w:rFonts w:eastAsia="Times New Roman"/>
          <w:color w:val="000000"/>
          <w:sz w:val="20"/>
          <w:szCs w:val="20"/>
        </w:rPr>
        <w:t>Net interest income decreased by $182 million to $5.6 billion in the third quarter of 2020 compared to t</w:t>
      </w:r>
      <w:r>
        <w:rPr>
          <w:rFonts w:eastAsia="Times New Roman"/>
          <w:color w:val="000000"/>
          <w:sz w:val="20"/>
          <w:szCs w:val="20"/>
        </w:rPr>
        <w:t xml:space="preserve">he third quarter of 2019, and decreased by $234 million to $17.0 billion in the first nine months of 2020 compared to the first nine months of 2019 primarily driven by lower outstanding balances and lower yields in Domestic Card, partially offset by lower </w:t>
      </w:r>
      <w:r>
        <w:rPr>
          <w:rFonts w:eastAsia="Times New Roman"/>
          <w:color w:val="000000"/>
          <w:sz w:val="20"/>
          <w:szCs w:val="20"/>
        </w:rPr>
        <w:t>interest expense on interest-bearing liabilities.</w:t>
      </w:r>
    </w:p>
    <w:p w:rsidR="00000000" w:rsidRDefault="00795D39">
      <w:pPr>
        <w:jc w:val="both"/>
        <w:divId w:val="1138182493"/>
        <w:rPr>
          <w:rFonts w:eastAsia="Times New Roman"/>
        </w:rPr>
      </w:pPr>
      <w:r>
        <w:rPr>
          <w:rFonts w:eastAsia="Times New Roman"/>
          <w:color w:val="000000"/>
          <w:sz w:val="20"/>
          <w:szCs w:val="20"/>
        </w:rPr>
        <w:t>Net interest margin decreased by 105 basis points to 5.68% in the third quarter of 2020 compared to the third quarter of 2019, and decreased by 74 basis points to 6.06% in the first nine months of 2020 comp</w:t>
      </w:r>
      <w:r>
        <w:rPr>
          <w:rFonts w:eastAsia="Times New Roman"/>
          <w:color w:val="000000"/>
          <w:sz w:val="20"/>
          <w:szCs w:val="20"/>
        </w:rPr>
        <w:t xml:space="preserve">ared to the first nine months of 2019 primarily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8302514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8302514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8302514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0" style="width:0;height:1.5pt" o:hralign="center" o:hrstd="t" o:hr="t" fillcolor="#a0a0a0" stroked="f"/>
        </w:pict>
      </w:r>
    </w:p>
    <w:p w:rsidR="00000000" w:rsidRDefault="00795D39">
      <w:pPr>
        <w:jc w:val="both"/>
        <w:divId w:val="9502969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1853911472"/>
        <w:rPr>
          <w:rFonts w:eastAsia="Times New Roman"/>
        </w:rPr>
      </w:pPr>
      <w:r>
        <w:rPr>
          <w:rFonts w:eastAsia="Times New Roman"/>
          <w:color w:val="000000"/>
          <w:sz w:val="20"/>
          <w:szCs w:val="20"/>
        </w:rPr>
        <w:t xml:space="preserve">driven by a shift in our asset mix with cash balances representing a greater proportion of total average interest-earning assets as compared to </w:t>
      </w:r>
      <w:r>
        <w:rPr>
          <w:rFonts w:eastAsia="Times New Roman"/>
          <w:color w:val="000000"/>
          <w:sz w:val="20"/>
          <w:szCs w:val="20"/>
        </w:rPr>
        <w:t xml:space="preserve">loans, partially offset by the lower interest rate paid on interest-bearing deposits. </w:t>
      </w:r>
    </w:p>
    <w:p w:rsidR="00000000" w:rsidRDefault="00795D39">
      <w:pPr>
        <w:jc w:val="both"/>
        <w:divId w:val="473330661"/>
        <w:rPr>
          <w:rFonts w:eastAsia="Times New Roman"/>
        </w:rPr>
      </w:pPr>
      <w:r>
        <w:rPr>
          <w:rFonts w:eastAsia="Times New Roman"/>
          <w:color w:val="000000"/>
          <w:sz w:val="20"/>
          <w:szCs w:val="20"/>
        </w:rPr>
        <w:t>Table 3 displays the change in our net interest income between periods and the extent to which the variance is attributable to:</w:t>
      </w:r>
    </w:p>
    <w:p w:rsidR="00000000" w:rsidRDefault="00795D39">
      <w:pPr>
        <w:ind w:hanging="360"/>
        <w:jc w:val="both"/>
        <w:divId w:val="1297493053"/>
        <w:rPr>
          <w:rFonts w:eastAsia="Times New Roman"/>
        </w:rPr>
      </w:pPr>
      <w:r>
        <w:rPr>
          <w:rFonts w:eastAsia="Times New Roman"/>
          <w:color w:val="000000"/>
          <w:sz w:val="20"/>
          <w:szCs w:val="20"/>
        </w:rPr>
        <w:t>•changes in the volume of our interest-ea</w:t>
      </w:r>
      <w:r>
        <w:rPr>
          <w:rFonts w:eastAsia="Times New Roman"/>
          <w:color w:val="000000"/>
          <w:sz w:val="20"/>
          <w:szCs w:val="20"/>
        </w:rPr>
        <w:t>rning assets and interest-bearing liabilities; or</w:t>
      </w:r>
    </w:p>
    <w:p w:rsidR="00000000" w:rsidRDefault="00795D39">
      <w:pPr>
        <w:ind w:hanging="360"/>
        <w:jc w:val="both"/>
        <w:divId w:val="1127041011"/>
        <w:rPr>
          <w:rFonts w:eastAsia="Times New Roman"/>
        </w:rPr>
      </w:pPr>
      <w:r>
        <w:rPr>
          <w:rFonts w:eastAsia="Times New Roman"/>
          <w:color w:val="000000"/>
          <w:sz w:val="20"/>
          <w:szCs w:val="20"/>
        </w:rPr>
        <w:t>•changes in the interest rates related to these assets and liabilities.</w:t>
      </w:r>
    </w:p>
    <w:p w:rsidR="00000000" w:rsidRDefault="00795D39">
      <w:pPr>
        <w:divId w:val="1588226185"/>
        <w:rPr>
          <w:rFonts w:eastAsia="Times New Roman"/>
        </w:rPr>
      </w:pPr>
      <w:r>
        <w:rPr>
          <w:rFonts w:eastAsia="Times New Roman"/>
          <w:b/>
          <w:bCs/>
          <w:color w:val="000000"/>
          <w:sz w:val="18"/>
          <w:szCs w:val="18"/>
        </w:rPr>
        <w:t>Table 3: Rate/Volume Analysis of Net Interest Incom</w:t>
      </w:r>
      <w:r>
        <w:rPr>
          <w:rFonts w:eastAsia="Times New Roman"/>
          <w:b/>
          <w:bCs/>
          <w:color w:val="000000"/>
          <w:sz w:val="18"/>
          <w:szCs w:val="18"/>
        </w:rPr>
        <w:t>e</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1"/>
        <w:gridCol w:w="3686"/>
        <w:gridCol w:w="40"/>
        <w:gridCol w:w="36"/>
        <w:gridCol w:w="36"/>
        <w:gridCol w:w="36"/>
        <w:gridCol w:w="111"/>
        <w:gridCol w:w="570"/>
        <w:gridCol w:w="37"/>
        <w:gridCol w:w="36"/>
        <w:gridCol w:w="36"/>
        <w:gridCol w:w="36"/>
        <w:gridCol w:w="111"/>
        <w:gridCol w:w="495"/>
        <w:gridCol w:w="37"/>
        <w:gridCol w:w="36"/>
        <w:gridCol w:w="36"/>
        <w:gridCol w:w="36"/>
        <w:gridCol w:w="110"/>
        <w:gridCol w:w="390"/>
        <w:gridCol w:w="36"/>
        <w:gridCol w:w="36"/>
        <w:gridCol w:w="36"/>
        <w:gridCol w:w="36"/>
        <w:gridCol w:w="110"/>
        <w:gridCol w:w="525"/>
        <w:gridCol w:w="36"/>
        <w:gridCol w:w="36"/>
        <w:gridCol w:w="36"/>
        <w:gridCol w:w="36"/>
        <w:gridCol w:w="111"/>
        <w:gridCol w:w="492"/>
        <w:gridCol w:w="36"/>
        <w:gridCol w:w="36"/>
        <w:gridCol w:w="36"/>
        <w:gridCol w:w="36"/>
        <w:gridCol w:w="110"/>
        <w:gridCol w:w="525"/>
        <w:gridCol w:w="36"/>
      </w:tblGrid>
      <w:tr w:rsidR="00000000">
        <w:trPr>
          <w:divId w:val="805322190"/>
        </w:trPr>
        <w:tc>
          <w:tcPr>
            <w:tcW w:w="50" w:type="pct"/>
            <w:vAlign w:val="center"/>
            <w:hideMark/>
          </w:tcPr>
          <w:p w:rsidR="00000000" w:rsidRDefault="00795D39">
            <w:pPr>
              <w:rPr>
                <w:rFonts w:eastAsia="Times New Roman"/>
              </w:rPr>
            </w:pPr>
          </w:p>
        </w:tc>
        <w:tc>
          <w:tcPr>
            <w:tcW w:w="237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0532219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r>
      <w:tr w:rsidR="00000000">
        <w:trPr>
          <w:divId w:val="80532219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 vs.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 vs. 2019</w:t>
            </w:r>
          </w:p>
        </w:tc>
      </w:tr>
      <w:tr w:rsidR="00000000">
        <w:trPr>
          <w:divId w:val="80532219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Rate</w:t>
            </w:r>
          </w:p>
        </w:tc>
      </w:tr>
      <w:tr w:rsidR="00000000">
        <w:trPr>
          <w:divId w:val="80532219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0532219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0532219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(1,291)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(1,367)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CCEEFF"/>
            <w:tcMar>
              <w:top w:w="30" w:type="dxa"/>
              <w:left w:w="20" w:type="dxa"/>
              <w:bottom w:w="30" w:type="dxa"/>
              <w:right w:w="20" w:type="dxa"/>
            </w:tcMar>
            <w:vAlign w:val="center"/>
            <w:hideMark/>
          </w:tcPr>
          <w:p w:rsidR="00000000" w:rsidRDefault="00795D39">
            <w:pPr>
              <w:divId w:val="1809973494"/>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FFFFFF"/>
            <w:tcMar>
              <w:top w:w="30" w:type="dxa"/>
              <w:left w:w="20" w:type="dxa"/>
              <w:bottom w:w="30" w:type="dxa"/>
              <w:right w:w="20" w:type="dxa"/>
            </w:tcMar>
            <w:vAlign w:val="center"/>
            <w:hideMark/>
          </w:tcPr>
          <w:p w:rsidR="00000000" w:rsidRDefault="00795D39">
            <w:pPr>
              <w:divId w:val="1975938735"/>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loans, including loans held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(1,604)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Investment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(860)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(822)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(1,601)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(2,215)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0532219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(977)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borrowings and 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(716)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(1,367)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(1,528)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0532219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848103883"/>
        <w:rPr>
          <w:rFonts w:eastAsia="Times New Roman"/>
        </w:rPr>
      </w:pPr>
      <w:r>
        <w:rPr>
          <w:rFonts w:eastAsia="Times New Roman"/>
          <w:color w:val="000000"/>
          <w:sz w:val="20"/>
          <w:szCs w:val="20"/>
        </w:rPr>
        <w:t>__________</w:t>
      </w:r>
    </w:p>
    <w:p w:rsidR="00000000" w:rsidRDefault="00795D39">
      <w:pPr>
        <w:ind w:hanging="360"/>
        <w:jc w:val="both"/>
        <w:divId w:val="112592907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int</w:t>
      </w:r>
      <w:r>
        <w:rPr>
          <w:rFonts w:eastAsia="Times New Roman"/>
          <w:color w:val="000000"/>
          <w:sz w:val="16"/>
          <w:szCs w:val="16"/>
        </w:rPr>
        <w:t xml:space="preserve">erest income and interest expense separately for each item. The portion of interest income or interest expense attributable to both volume and rate is allocated proportionately when the calculation results in a positive value. When the portion of interest </w:t>
      </w:r>
      <w:r>
        <w:rPr>
          <w:rFonts w:eastAsia="Times New Roman"/>
          <w:color w:val="000000"/>
          <w:sz w:val="16"/>
          <w:szCs w:val="16"/>
        </w:rPr>
        <w:t>income or interest expense attributable to both volume and rate results in a negative value, the total amount is allocated to volume or rate, depending on which amount is positive.</w:t>
      </w:r>
    </w:p>
    <w:p w:rsidR="00000000" w:rsidRDefault="00795D39">
      <w:pPr>
        <w:ind w:hanging="360"/>
        <w:jc w:val="both"/>
        <w:divId w:val="149961380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we</w:t>
      </w:r>
      <w:r>
        <w:rPr>
          <w:rFonts w:eastAsia="Times New Roman"/>
          <w:color w:val="000000"/>
          <w:sz w:val="16"/>
          <w:szCs w:val="16"/>
        </w:rPr>
        <w:t xml:space="preserve"> present our Commercial Banking interest income and yields on a taxable-equivalent basis, calculated using the federal statutory rate of 21% and state taxes where applicable, with offsetting reductions to the Other category.</w:t>
      </w:r>
    </w:p>
    <w:p w:rsidR="00000000" w:rsidRDefault="00795D39">
      <w:pPr>
        <w:ind w:hanging="360"/>
        <w:jc w:val="both"/>
        <w:divId w:val="51773671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of O</w:t>
      </w:r>
      <w:r>
        <w:rPr>
          <w:rFonts w:eastAsia="Times New Roman"/>
          <w:color w:val="000000"/>
          <w:sz w:val="16"/>
          <w:szCs w:val="16"/>
        </w:rPr>
        <w:t>ther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35430315"/>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3543031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543031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1" style="width:0;height:1.5pt" o:hralign="center" o:hrstd="t" o:hr="t" fillcolor="#a0a0a0" stroked="f"/>
        </w:pict>
      </w:r>
    </w:p>
    <w:p w:rsidR="00000000" w:rsidRDefault="00795D39">
      <w:pPr>
        <w:jc w:val="both"/>
        <w:divId w:val="32055140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1361858004"/>
        <w:rPr>
          <w:rFonts w:eastAsia="Times New Roman"/>
        </w:rPr>
      </w:pPr>
      <w:r>
        <w:rPr>
          <w:rFonts w:eastAsia="Times New Roman"/>
          <w:b/>
          <w:bCs/>
          <w:color w:val="000000"/>
          <w:sz w:val="20"/>
          <w:szCs w:val="20"/>
        </w:rPr>
        <w:t>Non-Interest Income</w:t>
      </w:r>
    </w:p>
    <w:p w:rsidR="00000000" w:rsidRDefault="00795D39">
      <w:pPr>
        <w:jc w:val="both"/>
        <w:divId w:val="1700083622"/>
        <w:rPr>
          <w:rFonts w:eastAsia="Times New Roman"/>
        </w:rPr>
      </w:pPr>
      <w:r>
        <w:rPr>
          <w:rFonts w:eastAsia="Times New Roman"/>
          <w:color w:val="000000"/>
          <w:sz w:val="20"/>
          <w:szCs w:val="20"/>
        </w:rPr>
        <w:t>Table 4 displays the components of non-interest income for the third quarter and first nine months of 2020 and 2019.</w:t>
      </w:r>
    </w:p>
    <w:p w:rsidR="00000000" w:rsidRDefault="00795D39">
      <w:pPr>
        <w:divId w:val="1670715438"/>
        <w:rPr>
          <w:rFonts w:eastAsia="Times New Roman"/>
        </w:rPr>
      </w:pPr>
      <w:r>
        <w:rPr>
          <w:rFonts w:eastAsia="Times New Roman"/>
          <w:b/>
          <w:bCs/>
          <w:color w:val="000000"/>
          <w:sz w:val="18"/>
          <w:szCs w:val="18"/>
        </w:rPr>
        <w:t>Table 4: Non-Interest Income</w:t>
      </w:r>
    </w:p>
    <w:tbl>
      <w:tblPr>
        <w:tblW w:w="4992" w:type="pct"/>
        <w:tblCellMar>
          <w:top w:w="15" w:type="dxa"/>
          <w:left w:w="15" w:type="dxa"/>
          <w:bottom w:w="15" w:type="dxa"/>
          <w:right w:w="15" w:type="dxa"/>
        </w:tblCellMar>
        <w:tblLook w:val="04A0" w:firstRow="1" w:lastRow="0" w:firstColumn="1" w:lastColumn="0" w:noHBand="0" w:noVBand="1"/>
      </w:tblPr>
      <w:tblGrid>
        <w:gridCol w:w="40"/>
        <w:gridCol w:w="3821"/>
        <w:gridCol w:w="38"/>
        <w:gridCol w:w="36"/>
        <w:gridCol w:w="36"/>
        <w:gridCol w:w="36"/>
        <w:gridCol w:w="110"/>
        <w:gridCol w:w="832"/>
        <w:gridCol w:w="36"/>
        <w:gridCol w:w="36"/>
        <w:gridCol w:w="36"/>
        <w:gridCol w:w="36"/>
        <w:gridCol w:w="110"/>
        <w:gridCol w:w="832"/>
        <w:gridCol w:w="36"/>
        <w:gridCol w:w="36"/>
        <w:gridCol w:w="36"/>
        <w:gridCol w:w="36"/>
        <w:gridCol w:w="110"/>
        <w:gridCol w:w="820"/>
        <w:gridCol w:w="36"/>
        <w:gridCol w:w="36"/>
        <w:gridCol w:w="36"/>
        <w:gridCol w:w="36"/>
        <w:gridCol w:w="110"/>
        <w:gridCol w:w="822"/>
        <w:gridCol w:w="36"/>
        <w:gridCol w:w="36"/>
        <w:gridCol w:w="36"/>
      </w:tblGrid>
      <w:tr w:rsidR="00000000">
        <w:trPr>
          <w:divId w:val="183440467"/>
        </w:trPr>
        <w:tc>
          <w:tcPr>
            <w:tcW w:w="50" w:type="pct"/>
            <w:vAlign w:val="center"/>
            <w:hideMark/>
          </w:tcPr>
          <w:p w:rsidR="00000000" w:rsidRDefault="00795D39">
            <w:pPr>
              <w:rPr>
                <w:rFonts w:eastAsia="Times New Roman"/>
              </w:rPr>
            </w:pPr>
          </w:p>
        </w:tc>
        <w:tc>
          <w:tcPr>
            <w:tcW w:w="23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tcMar>
              <w:top w:w="30" w:type="dxa"/>
              <w:left w:w="135"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Interchange fees, net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Service charges and other customer-related fees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988 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Net securities gains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shd w:val="clear" w:color="auto" w:fill="FFFFFF"/>
            <w:tcMar>
              <w:top w:w="30" w:type="dxa"/>
              <w:left w:w="20" w:type="dxa"/>
              <w:bottom w:w="30" w:type="dxa"/>
              <w:right w:w="20" w:type="dxa"/>
            </w:tcMar>
            <w:vAlign w:val="bottom"/>
            <w:hideMark/>
          </w:tcPr>
          <w:p w:rsidR="00000000" w:rsidRDefault="00795D39">
            <w:pPr>
              <w:divId w:val="853031503"/>
              <w:rPr>
                <w:rFonts w:eastAsia="Times New Roman"/>
              </w:rPr>
            </w:pPr>
            <w:r>
              <w:rPr>
                <w:rFonts w:eastAsia="Times New Roman"/>
                <w:color w:val="000000"/>
                <w:sz w:val="18"/>
                <w:szCs w:val="18"/>
              </w:rPr>
              <w:t>Other non-interest income</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shd w:val="clear" w:color="auto" w:fill="CCEEFF"/>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8"/>
                <w:szCs w:val="18"/>
              </w:rPr>
              <w:t>Mortgage banking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shd w:val="clear" w:color="auto" w:fill="FFFFFF"/>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8"/>
                <w:szCs w:val="18"/>
              </w:rPr>
              <w:t>Treasury and other investment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2C2C2C"/>
                <w:sz w:val="18"/>
                <w:szCs w:val="18"/>
              </w:rPr>
              <w:t>139 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shd w:val="clear" w:color="auto" w:fill="CCEEFF"/>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226 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Total other non-interest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1,017</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2C2C2C"/>
                <w:sz w:val="18"/>
                <w:szCs w:val="18"/>
              </w:rPr>
              <w:t>492 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3440467"/>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3,892 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1202471658"/>
        <w:rPr>
          <w:rFonts w:eastAsia="Times New Roman"/>
        </w:rPr>
      </w:pPr>
      <w:r>
        <w:rPr>
          <w:rFonts w:eastAsia="Times New Roman"/>
          <w:color w:val="000000"/>
          <w:sz w:val="20"/>
          <w:szCs w:val="20"/>
        </w:rPr>
        <w:t>________</w:t>
      </w:r>
    </w:p>
    <w:p w:rsidR="00000000" w:rsidRDefault="00795D39">
      <w:pPr>
        <w:ind w:hanging="360"/>
        <w:jc w:val="both"/>
        <w:divId w:val="767196042"/>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Includes</w:t>
      </w:r>
      <w:r>
        <w:rPr>
          <w:rFonts w:eastAsia="Times New Roman"/>
          <w:color w:val="000000"/>
          <w:sz w:val="16"/>
          <w:szCs w:val="16"/>
        </w:rPr>
        <w:t xml:space="preserve"> gains </w:t>
      </w:r>
      <w:r>
        <w:rPr>
          <w:rFonts w:eastAsia="Times New Roman"/>
          <w:color w:val="000000"/>
          <w:sz w:val="16"/>
          <w:szCs w:val="16"/>
          <w:shd w:val="clear" w:color="auto" w:fill="FFFFFF"/>
        </w:rPr>
        <w:t xml:space="preserve">of </w:t>
      </w:r>
      <w:r>
        <w:rPr>
          <w:rFonts w:eastAsia="Times New Roman"/>
          <w:color w:val="000000"/>
          <w:sz w:val="16"/>
          <w:szCs w:val="16"/>
        </w:rPr>
        <w:t>$19 million</w:t>
      </w:r>
      <w:r>
        <w:rPr>
          <w:rFonts w:eastAsia="Times New Roman"/>
          <w:color w:val="000000"/>
          <w:sz w:val="16"/>
          <w:szCs w:val="16"/>
          <w:shd w:val="clear" w:color="auto" w:fill="FFFFFF"/>
        </w:rPr>
        <w:t xml:space="preserve"> and </w:t>
      </w:r>
      <w:r>
        <w:rPr>
          <w:rFonts w:eastAsia="Times New Roman"/>
          <w:color w:val="000000"/>
          <w:sz w:val="16"/>
          <w:szCs w:val="16"/>
        </w:rPr>
        <w:t>$4 million</w:t>
      </w:r>
      <w:r>
        <w:rPr>
          <w:rFonts w:eastAsia="Times New Roman"/>
          <w:color w:val="000000"/>
          <w:sz w:val="16"/>
          <w:szCs w:val="16"/>
          <w:shd w:val="clear" w:color="auto" w:fill="FFFFFF"/>
        </w:rPr>
        <w:t xml:space="preserve"> on deferred compensation plan investments for the third quarter and first nine months of 2020, respectively, and gains of $1 million and $39 million for the third quarter and first nine months of 2019, respectively.</w:t>
      </w:r>
    </w:p>
    <w:p w:rsidR="00000000" w:rsidRDefault="00795D39">
      <w:pPr>
        <w:jc w:val="both"/>
        <w:divId w:val="70322297"/>
        <w:rPr>
          <w:rFonts w:eastAsia="Times New Roman"/>
        </w:rPr>
      </w:pPr>
      <w:r>
        <w:rPr>
          <w:rFonts w:eastAsia="Times New Roman"/>
          <w:color w:val="000000"/>
          <w:sz w:val="20"/>
          <w:szCs w:val="20"/>
          <w:shd w:val="clear" w:color="auto" w:fill="FFFFFF"/>
        </w:rPr>
        <w:t>Non-interest inco</w:t>
      </w:r>
      <w:r>
        <w:rPr>
          <w:rFonts w:eastAsia="Times New Roman"/>
          <w:color w:val="000000"/>
          <w:sz w:val="20"/>
          <w:szCs w:val="20"/>
        </w:rPr>
        <w:t>me increased</w:t>
      </w:r>
      <w:r>
        <w:rPr>
          <w:rFonts w:eastAsia="Times New Roman"/>
          <w:color w:val="000000"/>
          <w:sz w:val="20"/>
          <w:szCs w:val="20"/>
        </w:rPr>
        <w:t xml:space="preserve"> by $604 million to $1.8 billion in the third quarter of 2020 compared to the third quarter of 2019 and increased by $254 million to $4.1 billion in the first nine months of 2020 compared to the first nine months of 2019 primarily driven by a gain of $470 </w:t>
      </w:r>
      <w:r>
        <w:rPr>
          <w:rFonts w:eastAsia="Times New Roman"/>
          <w:color w:val="000000"/>
          <w:sz w:val="20"/>
          <w:szCs w:val="20"/>
        </w:rPr>
        <w:t>million on our equity investment in Snowflake Inc., which recently completed its initial public offering.</w:t>
      </w:r>
    </w:p>
    <w:p w:rsidR="00000000" w:rsidRDefault="00795D39">
      <w:pPr>
        <w:divId w:val="470024729"/>
        <w:rPr>
          <w:rFonts w:eastAsia="Times New Roman"/>
        </w:rPr>
      </w:pPr>
      <w:r>
        <w:rPr>
          <w:rFonts w:eastAsia="Times New Roman"/>
          <w:b/>
          <w:bCs/>
          <w:color w:val="000000"/>
          <w:sz w:val="20"/>
          <w:szCs w:val="20"/>
          <w:shd w:val="clear" w:color="auto" w:fill="FFFFFF"/>
        </w:rPr>
        <w:t>Provision for Credit Losses</w:t>
      </w:r>
    </w:p>
    <w:p w:rsidR="00000000" w:rsidRDefault="00795D39">
      <w:pPr>
        <w:jc w:val="both"/>
        <w:divId w:val="2142647050"/>
        <w:rPr>
          <w:rFonts w:eastAsia="Times New Roman"/>
        </w:rPr>
      </w:pPr>
      <w:r>
        <w:rPr>
          <w:rFonts w:eastAsia="Times New Roman"/>
          <w:color w:val="000000"/>
          <w:sz w:val="20"/>
          <w:szCs w:val="20"/>
          <w:shd w:val="clear" w:color="auto" w:fill="FFFFFF"/>
        </w:rPr>
        <w:t>Our provision for credit losses in each period is driven by net charge-offs, changes to the allowance for credit losses and changes to the reserve for unfunded lending commitments. Beginning in the first quarter of 2020, our allowance for credit losses and</w:t>
      </w:r>
      <w:r>
        <w:rPr>
          <w:rFonts w:eastAsia="Times New Roman"/>
          <w:color w:val="000000"/>
          <w:sz w:val="20"/>
          <w:szCs w:val="20"/>
          <w:shd w:val="clear" w:color="auto" w:fill="FFFFFF"/>
        </w:rPr>
        <w:t xml:space="preserve"> reserve for unfunded lending commitments are measured under the CECL standard. </w:t>
      </w:r>
    </w:p>
    <w:p w:rsidR="00000000" w:rsidRDefault="00795D39">
      <w:pPr>
        <w:jc w:val="both"/>
        <w:divId w:val="489562915"/>
        <w:rPr>
          <w:rFonts w:eastAsia="Times New Roman"/>
        </w:rPr>
      </w:pPr>
      <w:r>
        <w:rPr>
          <w:rFonts w:eastAsia="Times New Roman"/>
          <w:color w:val="000000"/>
          <w:sz w:val="20"/>
          <w:szCs w:val="20"/>
          <w:shd w:val="clear" w:color="auto" w:fill="FFFFFF"/>
        </w:rPr>
        <w:t xml:space="preserve">Our provision for </w:t>
      </w:r>
      <w:r>
        <w:rPr>
          <w:rFonts w:eastAsia="Times New Roman"/>
          <w:color w:val="000000"/>
          <w:sz w:val="20"/>
          <w:szCs w:val="20"/>
        </w:rPr>
        <w:t>credit losses decreased by $1.1 billion to $331 million in the third quarter of 2020 compared to the third quarter of 2019 primarily driven by an allowance r</w:t>
      </w:r>
      <w:r>
        <w:rPr>
          <w:rFonts w:eastAsia="Times New Roman"/>
          <w:color w:val="000000"/>
          <w:sz w:val="20"/>
          <w:szCs w:val="20"/>
        </w:rPr>
        <w:t xml:space="preserve">elease due to lower loan balances in Domestic Card and Commercial Banking, including a $327 million release for credit card loans moved to held-for-sale. Our provision increased by $5.6 billion to $10.0 billion in the first nine months of 2020 compared to </w:t>
      </w:r>
      <w:r>
        <w:rPr>
          <w:rFonts w:eastAsia="Times New Roman"/>
          <w:color w:val="000000"/>
          <w:sz w:val="20"/>
          <w:szCs w:val="20"/>
        </w:rPr>
        <w:t>the first nine months of 2019 primarily driven by allowance builds in the first and second quarters of 2020 due to expectations of economic worsening as a result of the COVID-19 pandemic.</w:t>
      </w:r>
    </w:p>
    <w:p w:rsidR="00000000" w:rsidRDefault="00795D39">
      <w:pPr>
        <w:jc w:val="both"/>
        <w:divId w:val="119619184"/>
        <w:rPr>
          <w:rFonts w:eastAsia="Times New Roman"/>
        </w:rPr>
      </w:pPr>
      <w:r>
        <w:rPr>
          <w:rFonts w:eastAsia="Times New Roman"/>
          <w:color w:val="000000"/>
          <w:sz w:val="20"/>
          <w:szCs w:val="20"/>
          <w:shd w:val="clear" w:color="auto" w:fill="FFFFFF"/>
        </w:rPr>
        <w:t>We provide additional information on the provision for credit losses</w:t>
      </w:r>
      <w:r>
        <w:rPr>
          <w:rFonts w:eastAsia="Times New Roman"/>
          <w:color w:val="000000"/>
          <w:sz w:val="20"/>
          <w:szCs w:val="20"/>
          <w:shd w:val="clear" w:color="auto" w:fill="FFFFFF"/>
        </w:rPr>
        <w:t xml:space="preserve"> and changes in the allowance for credit losses within “MD&amp;A—Credit Risk Profile” and “Note 4—Allowance for Credit Losses and Reserve for Unfunded Lending Commitments.” For information on the allowance methodology for each of our loan categories, see “Note</w:t>
      </w:r>
      <w:r>
        <w:rPr>
          <w:rFonts w:eastAsia="Times New Roman"/>
          <w:color w:val="000000"/>
          <w:sz w:val="20"/>
          <w:szCs w:val="20"/>
          <w:shd w:val="clear" w:color="auto" w:fill="FFFFFF"/>
        </w:rPr>
        <w:t xml:space="preserve"> 1—Summary of Significant Accounting Policies.”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23017351"/>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23017351"/>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23017351"/>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2" style="width:0;height:1.5pt" o:hralign="center" o:hrstd="t" o:hr="t" fillcolor="#a0a0a0" stroked="f"/>
        </w:pict>
      </w:r>
    </w:p>
    <w:p w:rsidR="00000000" w:rsidRDefault="00795D39">
      <w:pPr>
        <w:jc w:val="both"/>
        <w:divId w:val="106148973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1460954850"/>
        <w:rPr>
          <w:rFonts w:eastAsia="Times New Roman"/>
        </w:rPr>
      </w:pPr>
      <w:r>
        <w:rPr>
          <w:rFonts w:eastAsia="Times New Roman"/>
          <w:b/>
          <w:bCs/>
          <w:color w:val="000000"/>
          <w:sz w:val="20"/>
          <w:szCs w:val="20"/>
        </w:rPr>
        <w:t>Non-Interest Expense</w:t>
      </w:r>
    </w:p>
    <w:p w:rsidR="00000000" w:rsidRDefault="00795D39">
      <w:pPr>
        <w:jc w:val="both"/>
        <w:divId w:val="271401825"/>
        <w:rPr>
          <w:rFonts w:eastAsia="Times New Roman"/>
        </w:rPr>
      </w:pPr>
      <w:r>
        <w:rPr>
          <w:rFonts w:eastAsia="Times New Roman"/>
          <w:color w:val="000000"/>
          <w:sz w:val="20"/>
          <w:szCs w:val="20"/>
        </w:rPr>
        <w:t xml:space="preserve">Table 5 displays the components of non-interest expense for the third quarter and first nine months of 2020 and 2019. </w:t>
      </w:r>
    </w:p>
    <w:p w:rsidR="00000000" w:rsidRDefault="00795D39">
      <w:pPr>
        <w:divId w:val="14188290"/>
        <w:rPr>
          <w:rFonts w:eastAsia="Times New Roman"/>
        </w:rPr>
      </w:pPr>
      <w:r>
        <w:rPr>
          <w:rFonts w:eastAsia="Times New Roman"/>
          <w:b/>
          <w:bCs/>
          <w:color w:val="000000"/>
          <w:sz w:val="18"/>
          <w:szCs w:val="18"/>
        </w:rPr>
        <w:t>Tabl</w:t>
      </w:r>
      <w:r>
        <w:rPr>
          <w:rFonts w:eastAsia="Times New Roman"/>
          <w:b/>
          <w:bCs/>
          <w:color w:val="000000"/>
          <w:sz w:val="18"/>
          <w:szCs w:val="18"/>
        </w:rPr>
        <w:t>e 5: Non-Interest Expense</w:t>
      </w:r>
    </w:p>
    <w:tbl>
      <w:tblPr>
        <w:tblW w:w="4992" w:type="pct"/>
        <w:tblCellMar>
          <w:top w:w="15" w:type="dxa"/>
          <w:left w:w="15" w:type="dxa"/>
          <w:bottom w:w="15" w:type="dxa"/>
          <w:right w:w="15" w:type="dxa"/>
        </w:tblCellMar>
        <w:tblLook w:val="04A0" w:firstRow="1" w:lastRow="0" w:firstColumn="1" w:lastColumn="0" w:noHBand="0" w:noVBand="1"/>
      </w:tblPr>
      <w:tblGrid>
        <w:gridCol w:w="41"/>
        <w:gridCol w:w="3795"/>
        <w:gridCol w:w="40"/>
        <w:gridCol w:w="36"/>
        <w:gridCol w:w="36"/>
        <w:gridCol w:w="36"/>
        <w:gridCol w:w="110"/>
        <w:gridCol w:w="832"/>
        <w:gridCol w:w="36"/>
        <w:gridCol w:w="36"/>
        <w:gridCol w:w="36"/>
        <w:gridCol w:w="36"/>
        <w:gridCol w:w="110"/>
        <w:gridCol w:w="832"/>
        <w:gridCol w:w="36"/>
        <w:gridCol w:w="36"/>
        <w:gridCol w:w="36"/>
        <w:gridCol w:w="36"/>
        <w:gridCol w:w="110"/>
        <w:gridCol w:w="832"/>
        <w:gridCol w:w="36"/>
        <w:gridCol w:w="36"/>
        <w:gridCol w:w="36"/>
        <w:gridCol w:w="36"/>
        <w:gridCol w:w="110"/>
        <w:gridCol w:w="833"/>
        <w:gridCol w:w="36"/>
        <w:gridCol w:w="36"/>
        <w:gridCol w:w="36"/>
      </w:tblGrid>
      <w:tr w:rsidR="00000000">
        <w:trPr>
          <w:divId w:val="954671959"/>
        </w:trPr>
        <w:tc>
          <w:tcPr>
            <w:tcW w:w="50" w:type="pct"/>
            <w:vAlign w:val="center"/>
            <w:hideMark/>
          </w:tcPr>
          <w:p w:rsidR="00000000" w:rsidRDefault="00795D39">
            <w:pPr>
              <w:rPr>
                <w:rFonts w:eastAsia="Times New Roman"/>
              </w:rPr>
            </w:pPr>
          </w:p>
        </w:tc>
        <w:tc>
          <w:tcPr>
            <w:tcW w:w="233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6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502938496"/>
              <w:rPr>
                <w:rFonts w:eastAsia="Times New Roman"/>
              </w:rPr>
            </w:pPr>
            <w:r>
              <w:rPr>
                <w:rFonts w:eastAsia="Times New Roman"/>
                <w:color w:val="000000"/>
                <w:sz w:val="18"/>
                <w:szCs w:val="18"/>
              </w:rPr>
              <w:t>Salaries and associate benefit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Occupancy and equipment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1,533 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Professional services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Communications and data processing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Bankcard, regulatory and other fee assessments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Collections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Fraud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CCEEFF"/>
            <w:tcMar>
              <w:top w:w="30" w:type="dxa"/>
              <w:left w:w="20" w:type="dxa"/>
              <w:bottom w:w="30" w:type="dxa"/>
              <w:right w:w="20" w:type="dxa"/>
            </w:tcMar>
            <w:vAlign w:val="center"/>
            <w:hideMark/>
          </w:tcPr>
          <w:p w:rsidR="00000000" w:rsidRDefault="00795D39">
            <w:pPr>
              <w:divId w:val="106024608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other non-interest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5467195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3,548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1453356056"/>
        <w:rPr>
          <w:rFonts w:eastAsia="Times New Roman"/>
        </w:rPr>
      </w:pPr>
      <w:r>
        <w:rPr>
          <w:rFonts w:eastAsia="Times New Roman"/>
          <w:color w:val="000000"/>
          <w:sz w:val="20"/>
          <w:szCs w:val="20"/>
        </w:rPr>
        <w:t>_________</w:t>
      </w:r>
    </w:p>
    <w:p w:rsidR="00000000" w:rsidRDefault="00795D39">
      <w:pPr>
        <w:ind w:hanging="360"/>
        <w:jc w:val="both"/>
        <w:divId w:val="1931815093"/>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Includes expense of </w:t>
      </w:r>
      <w:r>
        <w:rPr>
          <w:rFonts w:eastAsia="Times New Roman"/>
          <w:color w:val="000000"/>
          <w:sz w:val="16"/>
          <w:szCs w:val="16"/>
        </w:rPr>
        <w:t>$19 million</w:t>
      </w:r>
      <w:r>
        <w:rPr>
          <w:rFonts w:eastAsia="Times New Roman"/>
          <w:color w:val="000000"/>
          <w:sz w:val="16"/>
          <w:szCs w:val="16"/>
          <w:shd w:val="clear" w:color="auto" w:fill="FFFFFF"/>
        </w:rPr>
        <w:t xml:space="preserve"> a</w:t>
      </w:r>
      <w:r>
        <w:rPr>
          <w:rFonts w:eastAsia="Times New Roman"/>
          <w:color w:val="000000"/>
          <w:sz w:val="16"/>
          <w:szCs w:val="16"/>
        </w:rPr>
        <w:t xml:space="preserve">nd $4 million for </w:t>
      </w:r>
      <w:r>
        <w:rPr>
          <w:rFonts w:eastAsia="Times New Roman"/>
          <w:color w:val="000000"/>
          <w:sz w:val="16"/>
          <w:szCs w:val="16"/>
          <w:shd w:val="clear" w:color="auto" w:fill="FFFFFF"/>
        </w:rPr>
        <w:t>the third quarter a</w:t>
      </w:r>
      <w:r>
        <w:rPr>
          <w:rFonts w:eastAsia="Times New Roman"/>
          <w:color w:val="000000"/>
          <w:sz w:val="16"/>
          <w:szCs w:val="16"/>
          <w:shd w:val="clear" w:color="auto" w:fill="FFFFFF"/>
        </w:rPr>
        <w:t>nd first nine months of 2020, respectively, and $1 million and $39 million related to our deferred compensation plan investments for the third quarter and first nine months of 2019, respectively</w:t>
      </w:r>
      <w:r>
        <w:rPr>
          <w:rFonts w:eastAsia="Times New Roman"/>
          <w:color w:val="000000"/>
          <w:sz w:val="16"/>
          <w:szCs w:val="16"/>
        </w:rPr>
        <w:t>. These amounts have corresponding offsets in other non-intere</w:t>
      </w:r>
      <w:r>
        <w:rPr>
          <w:rFonts w:eastAsia="Times New Roman"/>
          <w:color w:val="000000"/>
          <w:sz w:val="16"/>
          <w:szCs w:val="16"/>
        </w:rPr>
        <w:t>st income.</w:t>
      </w:r>
    </w:p>
    <w:p w:rsidR="00000000" w:rsidRDefault="00795D39">
      <w:pPr>
        <w:ind w:hanging="360"/>
        <w:jc w:val="both"/>
        <w:divId w:val="75000795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legal reserve builds of $40 million and $350 million, and net Cybersecurity Incident expenses of $6 million and $21 million in the third quarter and first nine months of 2020, respectively.</w:t>
      </w:r>
    </w:p>
    <w:p w:rsidR="00000000" w:rsidRDefault="00795D39">
      <w:pPr>
        <w:jc w:val="both"/>
        <w:divId w:val="1397699624"/>
        <w:rPr>
          <w:rFonts w:eastAsia="Times New Roman"/>
        </w:rPr>
      </w:pPr>
      <w:r>
        <w:rPr>
          <w:rFonts w:eastAsia="Times New Roman"/>
          <w:color w:val="000000"/>
          <w:sz w:val="20"/>
          <w:szCs w:val="20"/>
        </w:rPr>
        <w:t>Non-interest expense decreased by $324 mill</w:t>
      </w:r>
      <w:r>
        <w:rPr>
          <w:rFonts w:eastAsia="Times New Roman"/>
          <w:color w:val="000000"/>
          <w:sz w:val="20"/>
          <w:szCs w:val="20"/>
        </w:rPr>
        <w:t>ion</w:t>
      </w:r>
      <w:r>
        <w:rPr>
          <w:rFonts w:eastAsia="Times New Roman"/>
          <w:color w:val="000000"/>
          <w:sz w:val="20"/>
          <w:szCs w:val="20"/>
          <w:shd w:val="clear" w:color="auto" w:fill="FFFFFF"/>
        </w:rPr>
        <w:t xml:space="preserve"> to </w:t>
      </w:r>
      <w:r>
        <w:rPr>
          <w:rFonts w:eastAsia="Times New Roman"/>
          <w:color w:val="000000"/>
          <w:sz w:val="20"/>
          <w:szCs w:val="20"/>
        </w:rPr>
        <w:t>$3.5 billion in the third quarter of 2020 compared to the third quarter of 2019</w:t>
      </w:r>
      <w:r>
        <w:rPr>
          <w:rFonts w:eastAsia="Times New Roman"/>
          <w:color w:val="000000"/>
          <w:sz w:val="20"/>
          <w:szCs w:val="20"/>
          <w:shd w:val="clear" w:color="auto" w:fill="FFFFFF"/>
        </w:rPr>
        <w:t xml:space="preserve"> and decreased by $275 million to </w:t>
      </w:r>
      <w:r>
        <w:rPr>
          <w:rFonts w:eastAsia="Times New Roman"/>
          <w:color w:val="000000"/>
          <w:sz w:val="20"/>
          <w:szCs w:val="20"/>
        </w:rPr>
        <w:t>$11.0 billion</w:t>
      </w:r>
      <w:r>
        <w:rPr>
          <w:rFonts w:eastAsia="Times New Roman"/>
          <w:color w:val="000000"/>
          <w:sz w:val="20"/>
          <w:szCs w:val="20"/>
          <w:shd w:val="clear" w:color="auto" w:fill="FFFFFF"/>
        </w:rPr>
        <w:t xml:space="preserve"> in </w:t>
      </w:r>
      <w:r>
        <w:rPr>
          <w:rFonts w:eastAsia="Times New Roman"/>
          <w:color w:val="000000"/>
          <w:sz w:val="20"/>
          <w:szCs w:val="20"/>
        </w:rPr>
        <w:t>the first nine months of 2020 compared to the first nine months of 2019</w:t>
      </w:r>
      <w:r>
        <w:rPr>
          <w:rFonts w:eastAsia="Times New Roman"/>
          <w:color w:val="000000"/>
          <w:sz w:val="20"/>
          <w:szCs w:val="20"/>
          <w:shd w:val="clear" w:color="auto" w:fill="FFFFFF"/>
        </w:rPr>
        <w:t xml:space="preserve"> primarily driven by</w:t>
      </w:r>
      <w:r>
        <w:rPr>
          <w:rFonts w:eastAsia="Times New Roman"/>
          <w:color w:val="000000"/>
          <w:sz w:val="20"/>
          <w:szCs w:val="20"/>
        </w:rPr>
        <w:t xml:space="preserve"> lower marketing expense.</w:t>
      </w:r>
    </w:p>
    <w:p w:rsidR="00000000" w:rsidRDefault="00795D39">
      <w:pPr>
        <w:divId w:val="1840387391"/>
        <w:rPr>
          <w:rFonts w:eastAsia="Times New Roman"/>
        </w:rPr>
      </w:pPr>
      <w:r>
        <w:rPr>
          <w:rFonts w:eastAsia="Times New Roman"/>
          <w:b/>
          <w:bCs/>
          <w:color w:val="000000"/>
          <w:sz w:val="20"/>
          <w:szCs w:val="20"/>
          <w:shd w:val="clear" w:color="auto" w:fill="FFFFFF"/>
        </w:rPr>
        <w:t>In</w:t>
      </w:r>
      <w:r>
        <w:rPr>
          <w:rFonts w:eastAsia="Times New Roman"/>
          <w:b/>
          <w:bCs/>
          <w:color w:val="000000"/>
          <w:sz w:val="20"/>
          <w:szCs w:val="20"/>
          <w:shd w:val="clear" w:color="auto" w:fill="FFFFFF"/>
        </w:rPr>
        <w:t>come Taxes</w:t>
      </w:r>
    </w:p>
    <w:p w:rsidR="00000000" w:rsidRDefault="00795D39">
      <w:pPr>
        <w:jc w:val="both"/>
        <w:divId w:val="510948512"/>
        <w:rPr>
          <w:rFonts w:eastAsia="Times New Roman"/>
        </w:rPr>
      </w:pPr>
      <w:r>
        <w:rPr>
          <w:rFonts w:eastAsia="Times New Roman"/>
          <w:color w:val="000000"/>
          <w:sz w:val="20"/>
          <w:szCs w:val="20"/>
          <w:shd w:val="clear" w:color="auto" w:fill="FFFFFF"/>
        </w:rPr>
        <w:t>We recorded income t</w:t>
      </w:r>
      <w:r>
        <w:rPr>
          <w:rFonts w:eastAsia="Times New Roman"/>
          <w:color w:val="000000"/>
          <w:sz w:val="20"/>
          <w:szCs w:val="20"/>
        </w:rPr>
        <w:t>ax expense of $1.1 billion (31.3% e</w:t>
      </w:r>
      <w:r>
        <w:rPr>
          <w:rFonts w:eastAsia="Times New Roman"/>
          <w:color w:val="000000"/>
          <w:sz w:val="20"/>
          <w:szCs w:val="20"/>
          <w:shd w:val="clear" w:color="auto" w:fill="FFFFFF"/>
        </w:rPr>
        <w:t xml:space="preserve">ffective income tax rate) and an income tax benefit of </w:t>
      </w:r>
      <w:r>
        <w:rPr>
          <w:rFonts w:eastAsia="Times New Roman"/>
          <w:color w:val="000000"/>
          <w:sz w:val="20"/>
          <w:szCs w:val="20"/>
        </w:rPr>
        <w:t>$10 million</w:t>
      </w:r>
      <w:r>
        <w:rPr>
          <w:rFonts w:eastAsia="Times New Roman"/>
          <w:color w:val="000000"/>
          <w:sz w:val="20"/>
          <w:szCs w:val="20"/>
          <w:shd w:val="clear" w:color="auto" w:fill="FFFFFF"/>
        </w:rPr>
        <w:t xml:space="preserve"> (negative </w:t>
      </w:r>
      <w:r>
        <w:rPr>
          <w:rFonts w:eastAsia="Times New Roman"/>
          <w:color w:val="000000"/>
          <w:sz w:val="20"/>
          <w:szCs w:val="20"/>
        </w:rPr>
        <w:t>7.2%</w:t>
      </w:r>
      <w:r>
        <w:rPr>
          <w:rFonts w:eastAsia="Times New Roman"/>
          <w:color w:val="000000"/>
          <w:sz w:val="20"/>
          <w:szCs w:val="20"/>
          <w:shd w:val="clear" w:color="auto" w:fill="FFFFFF"/>
        </w:rPr>
        <w:t xml:space="preserve"> effective income tax rate) in the third quarter and first nine months of 2020, respectively, compared to inc</w:t>
      </w:r>
      <w:r>
        <w:rPr>
          <w:rFonts w:eastAsia="Times New Roman"/>
          <w:color w:val="000000"/>
          <w:sz w:val="20"/>
          <w:szCs w:val="20"/>
          <w:shd w:val="clear" w:color="auto" w:fill="FFFFFF"/>
        </w:rPr>
        <w:t>ome tax expense of $375 million (22.0% effective income tax rate) and $1.1 billion (19.7% effective income tax rate) in the third quarter and first nine months of 2019, respectively. Our effective income tax rate decreased for the nine months ended Septemb</w:t>
      </w:r>
      <w:r>
        <w:rPr>
          <w:rFonts w:eastAsia="Times New Roman"/>
          <w:color w:val="000000"/>
          <w:sz w:val="20"/>
          <w:szCs w:val="20"/>
          <w:shd w:val="clear" w:color="auto" w:fill="FFFFFF"/>
        </w:rPr>
        <w:t>er, 30, 2020 as compared to the same period in 2019 primarily driven by the relationship of our tax credits and discrete tax benefits in proportion to our pre-tax earnings. Our third quarter effective income tax rate increased in 2020 as compared to 2019 p</w:t>
      </w:r>
      <w:r>
        <w:rPr>
          <w:rFonts w:eastAsia="Times New Roman"/>
          <w:color w:val="000000"/>
          <w:sz w:val="20"/>
          <w:szCs w:val="20"/>
          <w:shd w:val="clear" w:color="auto" w:fill="FFFFFF"/>
        </w:rPr>
        <w:t>rimarily driven by changes in expectations of pre-tax income due to the impacts of the COVID-19 pandemic.</w:t>
      </w:r>
    </w:p>
    <w:p w:rsidR="00000000" w:rsidRDefault="00795D39">
      <w:pPr>
        <w:jc w:val="both"/>
        <w:divId w:val="1164588956"/>
        <w:rPr>
          <w:rFonts w:eastAsia="Times New Roman"/>
        </w:rPr>
      </w:pPr>
      <w:r>
        <w:rPr>
          <w:rFonts w:eastAsia="Times New Roman"/>
          <w:color w:val="000000"/>
          <w:sz w:val="20"/>
          <w:szCs w:val="20"/>
        </w:rPr>
        <w:t>We provide additional information on items affecting our income taxes and effective tax rate in “Note 1—Summary of Significant Accounting Policies” in this Report and “Note 15—Income Taxes” in our 2019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8522675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8522675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8522675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3" style="width:0;height:1.5pt" o:hralign="center" o:hrstd="t" o:hr="t" fillcolor="#a0a0a0" stroked="f"/>
        </w:pict>
      </w:r>
    </w:p>
    <w:p w:rsidR="00000000" w:rsidRDefault="00795D39">
      <w:pPr>
        <w:jc w:val="both"/>
        <w:divId w:val="570895051"/>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203131193"/>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0313119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CONSOLIDATED BALANCE SHEETS ANALYSIS</w:t>
            </w:r>
          </w:p>
        </w:tc>
      </w:tr>
    </w:tbl>
    <w:p w:rsidR="00000000" w:rsidRDefault="00795D39">
      <w:pPr>
        <w:jc w:val="both"/>
        <w:divId w:val="1687713307"/>
        <w:rPr>
          <w:rFonts w:eastAsia="Times New Roman"/>
        </w:rPr>
      </w:pPr>
      <w:r>
        <w:rPr>
          <w:rFonts w:eastAsia="Times New Roman"/>
          <w:color w:val="000000"/>
          <w:sz w:val="20"/>
          <w:szCs w:val="20"/>
        </w:rPr>
        <w:t>Total assets increased by $31.5 billion to $421.9 billion as of September 30, 2020 from December 31, 2019 primarily driven by an increase in our cash balances from deposit growth due to increased consumer savings aided by the impact of government stimulus,</w:t>
      </w:r>
      <w:r>
        <w:rPr>
          <w:rFonts w:eastAsia="Times New Roman"/>
          <w:color w:val="000000"/>
          <w:sz w:val="20"/>
          <w:szCs w:val="20"/>
        </w:rPr>
        <w:t xml:space="preserve"> partially offset by a decline in loan balances.</w:t>
      </w:r>
    </w:p>
    <w:p w:rsidR="00000000" w:rsidRDefault="00795D39">
      <w:pPr>
        <w:jc w:val="both"/>
        <w:divId w:val="382295327"/>
        <w:rPr>
          <w:rFonts w:eastAsia="Times New Roman"/>
        </w:rPr>
      </w:pPr>
      <w:r>
        <w:rPr>
          <w:rFonts w:eastAsia="Times New Roman"/>
          <w:color w:val="000000"/>
          <w:sz w:val="20"/>
          <w:szCs w:val="20"/>
        </w:rPr>
        <w:t>Total liabilities increased by $31.1 billion to $363.5 billion as of September 30, 2020 from December 31, 2019 primarily driven by deposit growth from increased consumer savings aided by the impact of govern</w:t>
      </w:r>
      <w:r>
        <w:rPr>
          <w:rFonts w:eastAsia="Times New Roman"/>
          <w:color w:val="000000"/>
          <w:sz w:val="20"/>
          <w:szCs w:val="20"/>
        </w:rPr>
        <w:t>ment stimulus.</w:t>
      </w:r>
    </w:p>
    <w:p w:rsidR="00000000" w:rsidRDefault="00795D39">
      <w:pPr>
        <w:jc w:val="both"/>
        <w:divId w:val="62071746"/>
        <w:rPr>
          <w:rFonts w:eastAsia="Times New Roman"/>
        </w:rPr>
      </w:pPr>
      <w:r>
        <w:rPr>
          <w:rFonts w:eastAsia="Times New Roman"/>
          <w:color w:val="000000"/>
          <w:sz w:val="20"/>
          <w:szCs w:val="20"/>
        </w:rPr>
        <w:t>Stockholders’ equity increased by $413 million to $58.4 billion as of September 30, 2020 from December 31, 2019 primarily driven by a $2.7 billion increase in accumulated other comprehensive income from an increase in the fair value of our i</w:t>
      </w:r>
      <w:r>
        <w:rPr>
          <w:rFonts w:eastAsia="Times New Roman"/>
          <w:color w:val="000000"/>
          <w:sz w:val="20"/>
          <w:szCs w:val="20"/>
        </w:rPr>
        <w:t>nvestment securities and derivatives driven by the decline in interest rates, offset by the $2.2 billion impact on retained earnings for the adoption of the CECL standard in the first quarter of 2020.</w:t>
      </w:r>
    </w:p>
    <w:p w:rsidR="00000000" w:rsidRDefault="00795D39">
      <w:pPr>
        <w:jc w:val="both"/>
        <w:divId w:val="1759132753"/>
        <w:rPr>
          <w:rFonts w:eastAsia="Times New Roman"/>
        </w:rPr>
      </w:pPr>
      <w:r>
        <w:rPr>
          <w:rFonts w:eastAsia="Times New Roman"/>
          <w:color w:val="000000"/>
          <w:sz w:val="20"/>
          <w:szCs w:val="20"/>
        </w:rPr>
        <w:t>The following is a discussion of material changes in th</w:t>
      </w:r>
      <w:r>
        <w:rPr>
          <w:rFonts w:eastAsia="Times New Roman"/>
          <w:color w:val="000000"/>
          <w:sz w:val="20"/>
          <w:szCs w:val="20"/>
        </w:rPr>
        <w:t>e major components of our assets and liabilities during the first nine months of 2020. Period-end balance sheet amounts may vary from average balance sheet amounts due to liquidity and balance sheet management activities that are intended to support the ad</w:t>
      </w:r>
      <w:r>
        <w:rPr>
          <w:rFonts w:eastAsia="Times New Roman"/>
          <w:color w:val="000000"/>
          <w:sz w:val="20"/>
          <w:szCs w:val="20"/>
        </w:rPr>
        <w:t>equacy of capital while managing our liquidity requirements, our customers and our market risk exposure in accordance with our risk appetite.</w:t>
      </w:r>
    </w:p>
    <w:p w:rsidR="00000000" w:rsidRDefault="00795D39">
      <w:pPr>
        <w:divId w:val="329137011"/>
        <w:rPr>
          <w:rFonts w:eastAsia="Times New Roman"/>
        </w:rPr>
      </w:pPr>
      <w:r>
        <w:rPr>
          <w:rFonts w:eastAsia="Times New Roman"/>
          <w:b/>
          <w:bCs/>
          <w:color w:val="000000"/>
          <w:sz w:val="20"/>
          <w:szCs w:val="20"/>
        </w:rPr>
        <w:t xml:space="preserve">Investment Securities </w:t>
      </w:r>
    </w:p>
    <w:p w:rsidR="00000000" w:rsidRDefault="00795D39">
      <w:pPr>
        <w:jc w:val="both"/>
        <w:divId w:val="1408916999"/>
        <w:rPr>
          <w:rFonts w:eastAsia="Times New Roman"/>
        </w:rPr>
      </w:pPr>
      <w:r>
        <w:rPr>
          <w:rFonts w:eastAsia="Times New Roman"/>
          <w:color w:val="000000"/>
          <w:sz w:val="20"/>
          <w:szCs w:val="20"/>
        </w:rPr>
        <w:t>Our investment securities portfolio consists of the following: U.S. Treasury securities, U.</w:t>
      </w:r>
      <w:r>
        <w:rPr>
          <w:rFonts w:eastAsia="Times New Roman"/>
          <w:color w:val="000000"/>
          <w:sz w:val="20"/>
          <w:szCs w:val="20"/>
        </w:rPr>
        <w:t>S. government-sponsored enterprise or agency (“Agency”) and non-agency residential mortgage-backed securities (“RMBS”), Agency commercial mortgage-backed securities (“CMBS”) and other securities. Agency securities include Government National Mortgage Assoc</w:t>
      </w:r>
      <w:r>
        <w:rPr>
          <w:rFonts w:eastAsia="Times New Roman"/>
          <w:color w:val="000000"/>
          <w:sz w:val="20"/>
          <w:szCs w:val="20"/>
        </w:rPr>
        <w:t>iation (“Ginnie Mae”) guaranteed securities, Federal National Mortgage Association (“Fannie Mae”) and Federal Home Loan Mortgage Corporation (“Freddie Mac”) issued securities. The carrying value of our investments in U.S. Treasury and Agency securities rep</w:t>
      </w:r>
      <w:r>
        <w:rPr>
          <w:rFonts w:eastAsia="Times New Roman"/>
          <w:color w:val="000000"/>
          <w:sz w:val="20"/>
          <w:szCs w:val="20"/>
        </w:rPr>
        <w:t>resented 96% of our total investment securities portfolio, as of both September 30, 2020 and December 31, 2019.</w:t>
      </w:r>
    </w:p>
    <w:p w:rsidR="00000000" w:rsidRDefault="00795D39">
      <w:pPr>
        <w:jc w:val="both"/>
        <w:divId w:val="1469786548"/>
        <w:rPr>
          <w:rFonts w:eastAsia="Times New Roman"/>
        </w:rPr>
      </w:pPr>
      <w:r>
        <w:rPr>
          <w:rFonts w:eastAsia="Times New Roman"/>
          <w:color w:val="000000"/>
          <w:sz w:val="20"/>
          <w:szCs w:val="20"/>
        </w:rPr>
        <w:t>The fair value of our available for sale securities portfolio increased by $20.6 billion to $99.9 billion as of September 30, 2020 from December</w:t>
      </w:r>
      <w:r>
        <w:rPr>
          <w:rFonts w:eastAsia="Times New Roman"/>
          <w:color w:val="000000"/>
          <w:sz w:val="20"/>
          <w:szCs w:val="20"/>
        </w:rPr>
        <w:t xml:space="preserve"> 31, 2019, primarily driven by net purchases. See “Note 2—Investment Securities” for more information. </w:t>
      </w:r>
    </w:p>
    <w:p w:rsidR="00000000" w:rsidRDefault="00795D39">
      <w:pPr>
        <w:jc w:val="both"/>
        <w:divId w:val="1993564008"/>
        <w:rPr>
          <w:rFonts w:eastAsia="Times New Roman"/>
        </w:rPr>
      </w:pPr>
      <w:r>
        <w:rPr>
          <w:rFonts w:eastAsia="Times New Roman"/>
          <w:color w:val="000000"/>
          <w:sz w:val="20"/>
          <w:szCs w:val="20"/>
        </w:rPr>
        <w:t xml:space="preserve">Table 6 presents the amortized cost and fair value for the major security types in our available for sale securities portfolio as of September 30, 2020 </w:t>
      </w:r>
      <w:r>
        <w:rPr>
          <w:rFonts w:eastAsia="Times New Roman"/>
          <w:color w:val="000000"/>
          <w:sz w:val="20"/>
          <w:szCs w:val="20"/>
        </w:rPr>
        <w:t>and December 31, 2019.</w:t>
      </w:r>
    </w:p>
    <w:p w:rsidR="00000000" w:rsidRDefault="00795D39">
      <w:pPr>
        <w:divId w:val="984554922"/>
        <w:rPr>
          <w:rFonts w:eastAsia="Times New Roman"/>
        </w:rPr>
      </w:pPr>
      <w:r>
        <w:rPr>
          <w:rFonts w:eastAsia="Times New Roman"/>
          <w:b/>
          <w:bCs/>
          <w:color w:val="000000"/>
          <w:sz w:val="18"/>
          <w:szCs w:val="18"/>
        </w:rPr>
        <w:t>Table 6: Investment Securities</w:t>
      </w:r>
    </w:p>
    <w:tbl>
      <w:tblPr>
        <w:tblW w:w="4978" w:type="pct"/>
        <w:tblCellMar>
          <w:top w:w="15" w:type="dxa"/>
          <w:left w:w="15" w:type="dxa"/>
          <w:bottom w:w="15" w:type="dxa"/>
          <w:right w:w="15" w:type="dxa"/>
        </w:tblCellMar>
        <w:tblLook w:val="04A0" w:firstRow="1" w:lastRow="0" w:firstColumn="1" w:lastColumn="0" w:noHBand="0" w:noVBand="1"/>
      </w:tblPr>
      <w:tblGrid>
        <w:gridCol w:w="38"/>
        <w:gridCol w:w="4448"/>
        <w:gridCol w:w="37"/>
        <w:gridCol w:w="36"/>
        <w:gridCol w:w="36"/>
        <w:gridCol w:w="36"/>
        <w:gridCol w:w="111"/>
        <w:gridCol w:w="680"/>
        <w:gridCol w:w="36"/>
        <w:gridCol w:w="36"/>
        <w:gridCol w:w="36"/>
        <w:gridCol w:w="36"/>
        <w:gridCol w:w="110"/>
        <w:gridCol w:w="540"/>
        <w:gridCol w:w="36"/>
        <w:gridCol w:w="36"/>
        <w:gridCol w:w="36"/>
        <w:gridCol w:w="36"/>
        <w:gridCol w:w="111"/>
        <w:gridCol w:w="680"/>
        <w:gridCol w:w="36"/>
        <w:gridCol w:w="36"/>
        <w:gridCol w:w="36"/>
        <w:gridCol w:w="36"/>
        <w:gridCol w:w="110"/>
        <w:gridCol w:w="540"/>
        <w:gridCol w:w="36"/>
        <w:gridCol w:w="36"/>
        <w:gridCol w:w="36"/>
        <w:gridCol w:w="36"/>
        <w:gridCol w:w="36"/>
        <w:gridCol w:w="36"/>
        <w:gridCol w:w="36"/>
        <w:gridCol w:w="36"/>
        <w:gridCol w:w="36"/>
      </w:tblGrid>
      <w:tr w:rsidR="00000000">
        <w:trPr>
          <w:divId w:val="258219769"/>
        </w:trPr>
        <w:tc>
          <w:tcPr>
            <w:tcW w:w="50" w:type="pct"/>
            <w:vAlign w:val="center"/>
            <w:hideMark/>
          </w:tcPr>
          <w:p w:rsidR="00000000" w:rsidRDefault="00795D39">
            <w:pPr>
              <w:rPr>
                <w:rFonts w:eastAsia="Times New Roman"/>
              </w:rPr>
            </w:pPr>
          </w:p>
        </w:tc>
        <w:tc>
          <w:tcPr>
            <w:tcW w:w="28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5821976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72,948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75,366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62,003 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62,839 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74,041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76,659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63,238 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64,338 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11,435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9,426 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shd w:val="clear" w:color="auto" w:fill="FFFFFF"/>
            <w:tcMar>
              <w:top w:w="30" w:type="dxa"/>
              <w:left w:w="20" w:type="dxa"/>
              <w:bottom w:w="30" w:type="dxa"/>
              <w:right w:w="20" w:type="dxa"/>
            </w:tcMar>
            <w:vAlign w:val="center"/>
            <w:hideMark/>
          </w:tcPr>
          <w:p w:rsidR="00000000" w:rsidRDefault="00795D39">
            <w:pPr>
              <w:divId w:val="333338232"/>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96,735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99,853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79,213 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5821976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1174805652"/>
        <w:rPr>
          <w:rFonts w:eastAsia="Times New Roman"/>
        </w:rPr>
      </w:pPr>
      <w:r>
        <w:rPr>
          <w:rFonts w:eastAsia="Times New Roman"/>
          <w:color w:val="000000"/>
          <w:sz w:val="20"/>
          <w:szCs w:val="20"/>
        </w:rPr>
        <w:t>__________</w:t>
      </w:r>
    </w:p>
    <w:p w:rsidR="00000000" w:rsidRDefault="00795D39">
      <w:pPr>
        <w:ind w:hanging="360"/>
        <w:jc w:val="both"/>
        <w:divId w:val="203950504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$1.5 billion and $117 million of asset-backed securities as of September 30, 2020, and December 31, 2019, respectively. The remaining amount is primarily comprised of supranational bonds and foreign government bonds.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16027465"/>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1602746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1602746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4" style="width:0;height:1.5pt" o:hralign="center" o:hrstd="t" o:hr="t" fillcolor="#a0a0a0" stroked="f"/>
        </w:pict>
      </w:r>
    </w:p>
    <w:p w:rsidR="00000000" w:rsidRDefault="00795D39">
      <w:pPr>
        <w:jc w:val="both"/>
        <w:divId w:val="68163927"/>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1594671"/>
        <w:rPr>
          <w:rFonts w:eastAsia="Times New Roman"/>
        </w:rPr>
      </w:pPr>
      <w:r>
        <w:rPr>
          <w:rFonts w:eastAsia="Times New Roman"/>
          <w:b/>
          <w:bCs/>
          <w:color w:val="000000"/>
          <w:sz w:val="20"/>
          <w:szCs w:val="20"/>
        </w:rPr>
        <w:t>Loans Held for Investment</w:t>
      </w:r>
    </w:p>
    <w:p w:rsidR="00000000" w:rsidRDefault="00795D39">
      <w:pPr>
        <w:jc w:val="both"/>
        <w:divId w:val="57436803"/>
        <w:rPr>
          <w:rFonts w:eastAsia="Times New Roman"/>
        </w:rPr>
      </w:pPr>
      <w:r>
        <w:rPr>
          <w:rFonts w:eastAsia="Times New Roman"/>
          <w:color w:val="000000"/>
          <w:sz w:val="20"/>
          <w:szCs w:val="20"/>
        </w:rPr>
        <w:t>Total loans held for investment consist of both unsecuritized loans and loans held in our consolidated trusts. Table 7</w:t>
      </w:r>
      <w:r>
        <w:rPr>
          <w:rFonts w:eastAsia="Times New Roman"/>
          <w:color w:val="000000"/>
          <w:sz w:val="20"/>
          <w:szCs w:val="20"/>
        </w:rPr>
        <w:t xml:space="preserve"> summarizes the carrying value of our loans held for investment by portfolio segment, the allowance for credit losses and net loan balance as of September 30, 2020 and December 31, 2019.</w:t>
      </w:r>
    </w:p>
    <w:p w:rsidR="00000000" w:rsidRDefault="00795D39">
      <w:pPr>
        <w:divId w:val="1208297933"/>
        <w:rPr>
          <w:rFonts w:eastAsia="Times New Roman"/>
        </w:rPr>
      </w:pPr>
      <w:r>
        <w:rPr>
          <w:rFonts w:eastAsia="Times New Roman"/>
          <w:b/>
          <w:bCs/>
          <w:color w:val="000000"/>
          <w:sz w:val="18"/>
          <w:szCs w:val="18"/>
        </w:rPr>
        <w:t xml:space="preserve">Table 7: Loans Held for Investment </w:t>
      </w:r>
    </w:p>
    <w:tbl>
      <w:tblPr>
        <w:tblW w:w="4985" w:type="pct"/>
        <w:tblCellMar>
          <w:top w:w="15" w:type="dxa"/>
          <w:left w:w="15" w:type="dxa"/>
          <w:bottom w:w="15" w:type="dxa"/>
          <w:right w:w="15" w:type="dxa"/>
        </w:tblCellMar>
        <w:tblLook w:val="04A0" w:firstRow="1" w:lastRow="0" w:firstColumn="1" w:lastColumn="0" w:noHBand="0" w:noVBand="1"/>
      </w:tblPr>
      <w:tblGrid>
        <w:gridCol w:w="39"/>
        <w:gridCol w:w="2856"/>
        <w:gridCol w:w="38"/>
        <w:gridCol w:w="36"/>
        <w:gridCol w:w="36"/>
        <w:gridCol w:w="36"/>
        <w:gridCol w:w="110"/>
        <w:gridCol w:w="630"/>
        <w:gridCol w:w="36"/>
        <w:gridCol w:w="36"/>
        <w:gridCol w:w="36"/>
        <w:gridCol w:w="36"/>
        <w:gridCol w:w="111"/>
        <w:gridCol w:w="651"/>
        <w:gridCol w:w="36"/>
        <w:gridCol w:w="36"/>
        <w:gridCol w:w="36"/>
        <w:gridCol w:w="36"/>
        <w:gridCol w:w="110"/>
        <w:gridCol w:w="630"/>
        <w:gridCol w:w="36"/>
        <w:gridCol w:w="36"/>
        <w:gridCol w:w="36"/>
        <w:gridCol w:w="36"/>
        <w:gridCol w:w="110"/>
        <w:gridCol w:w="630"/>
        <w:gridCol w:w="36"/>
        <w:gridCol w:w="36"/>
        <w:gridCol w:w="36"/>
        <w:gridCol w:w="36"/>
        <w:gridCol w:w="111"/>
        <w:gridCol w:w="651"/>
        <w:gridCol w:w="36"/>
        <w:gridCol w:w="36"/>
        <w:gridCol w:w="36"/>
        <w:gridCol w:w="36"/>
        <w:gridCol w:w="110"/>
        <w:gridCol w:w="630"/>
        <w:gridCol w:w="36"/>
      </w:tblGrid>
      <w:tr w:rsidR="00000000">
        <w:trPr>
          <w:divId w:val="569003813"/>
        </w:trPr>
        <w:tc>
          <w:tcPr>
            <w:tcW w:w="50" w:type="pct"/>
            <w:vAlign w:val="center"/>
            <w:hideMark/>
          </w:tcPr>
          <w:p w:rsidR="00000000" w:rsidRDefault="00795D39">
            <w:pPr>
              <w:rPr>
                <w:rFonts w:eastAsia="Times New Roman"/>
              </w:rPr>
            </w:pPr>
          </w:p>
        </w:tc>
        <w:tc>
          <w:tcPr>
            <w:tcW w:w="226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6900381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56900381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Loans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Loans</w:t>
            </w:r>
          </w:p>
        </w:tc>
      </w:tr>
      <w:tr w:rsidR="00000000">
        <w:trPr>
          <w:divId w:val="56900381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11,612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92,029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128,236 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5,395 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122,841 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6900381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68,688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65,941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63,065 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62,027 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6900381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75,894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74,508 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775 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73,733 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6900381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248,223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232,094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265,809 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7,208 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258,601 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divId w:val="1508785307"/>
        <w:rPr>
          <w:rFonts w:eastAsia="Times New Roman"/>
        </w:rPr>
      </w:pPr>
      <w:r>
        <w:rPr>
          <w:rFonts w:eastAsia="Times New Roman"/>
          <w:color w:val="000000"/>
          <w:sz w:val="20"/>
          <w:szCs w:val="20"/>
        </w:rPr>
        <w:t xml:space="preserve">Loans held for investment decreased by </w:t>
      </w:r>
      <w:r>
        <w:rPr>
          <w:rFonts w:eastAsia="Times New Roman"/>
          <w:color w:val="000000"/>
          <w:sz w:val="20"/>
          <w:szCs w:val="20"/>
        </w:rPr>
        <w:t>$17.6 billion to $248.2 billion as of September 30, 2020 from December 31, 2019 primarily driven by a decline in purchase volume and higher payments in Domestic Card driven by the customer response to the COVID-19 pandemic, partially offset by growth in ou</w:t>
      </w:r>
      <w:r>
        <w:rPr>
          <w:rFonts w:eastAsia="Times New Roman"/>
          <w:color w:val="000000"/>
          <w:sz w:val="20"/>
          <w:szCs w:val="20"/>
        </w:rPr>
        <w:t>r auto and commercial loan portfolios.</w:t>
      </w:r>
    </w:p>
    <w:p w:rsidR="00000000" w:rsidRDefault="00795D39">
      <w:pPr>
        <w:jc w:val="both"/>
        <w:divId w:val="651368007"/>
        <w:rPr>
          <w:rFonts w:eastAsia="Times New Roman"/>
        </w:rPr>
      </w:pPr>
      <w:r>
        <w:rPr>
          <w:rFonts w:eastAsia="Times New Roman"/>
          <w:color w:val="000000"/>
          <w:sz w:val="20"/>
          <w:szCs w:val="20"/>
        </w:rPr>
        <w:t>We provide additional information on the composition of our loan portfolio and credit quality below in “MD&amp;A—Credit Risk Profile,” “MD&amp;A—Consolidated Results of Operations” and “Note 3—Loans.”</w:t>
      </w:r>
    </w:p>
    <w:p w:rsidR="00000000" w:rsidRDefault="00795D39">
      <w:pPr>
        <w:divId w:val="644092625"/>
        <w:rPr>
          <w:rFonts w:eastAsia="Times New Roman"/>
        </w:rPr>
      </w:pPr>
      <w:r>
        <w:rPr>
          <w:rFonts w:eastAsia="Times New Roman"/>
          <w:b/>
          <w:bCs/>
          <w:color w:val="000000"/>
          <w:sz w:val="20"/>
          <w:szCs w:val="20"/>
        </w:rPr>
        <w:t>Funding Sources</w:t>
      </w:r>
    </w:p>
    <w:p w:rsidR="00000000" w:rsidRDefault="00795D39">
      <w:pPr>
        <w:divId w:val="1651523897"/>
        <w:rPr>
          <w:rFonts w:eastAsia="Times New Roman"/>
        </w:rPr>
      </w:pPr>
      <w:r>
        <w:rPr>
          <w:rFonts w:eastAsia="Times New Roman"/>
          <w:color w:val="000000"/>
          <w:sz w:val="20"/>
          <w:szCs w:val="20"/>
        </w:rPr>
        <w:t>Our prim</w:t>
      </w:r>
      <w:r>
        <w:rPr>
          <w:rFonts w:eastAsia="Times New Roman"/>
          <w:color w:val="000000"/>
          <w:sz w:val="20"/>
          <w:szCs w:val="20"/>
        </w:rPr>
        <w:t>ary source of funding comes from deposits, as they are a stable and relatively low cost source of funding. In addition to deposits, we raise funding through the issuance of senior and subordinated notes, securitized debt obligations, federal funds purchase</w:t>
      </w:r>
      <w:r>
        <w:rPr>
          <w:rFonts w:eastAsia="Times New Roman"/>
          <w:color w:val="000000"/>
          <w:sz w:val="20"/>
          <w:szCs w:val="20"/>
        </w:rPr>
        <w:t xml:space="preserve">d, securities loaned or sold under agreements to repurchase, and Federal Home Loan Banks (“FHLB”) advances secured by certain portions of our loan and securities portfolios. </w:t>
      </w:r>
    </w:p>
    <w:p w:rsidR="00000000" w:rsidRDefault="00795D39">
      <w:pPr>
        <w:divId w:val="1432122543"/>
        <w:rPr>
          <w:rFonts w:eastAsia="Times New Roman"/>
        </w:rPr>
      </w:pPr>
      <w:r>
        <w:rPr>
          <w:rFonts w:eastAsia="Times New Roman"/>
          <w:color w:val="000000"/>
          <w:sz w:val="20"/>
          <w:szCs w:val="20"/>
        </w:rPr>
        <w:t>Table 8 provides the composition of our primary sources of funding as of Septembe</w:t>
      </w:r>
      <w:r>
        <w:rPr>
          <w:rFonts w:eastAsia="Times New Roman"/>
          <w:color w:val="000000"/>
          <w:sz w:val="20"/>
          <w:szCs w:val="20"/>
        </w:rPr>
        <w:t>r 30, 2020 and December 31, 2019.</w:t>
      </w:r>
    </w:p>
    <w:p w:rsidR="00000000" w:rsidRDefault="00795D39">
      <w:pPr>
        <w:divId w:val="310061468"/>
        <w:rPr>
          <w:rFonts w:eastAsia="Times New Roman"/>
        </w:rPr>
      </w:pPr>
      <w:r>
        <w:rPr>
          <w:rFonts w:eastAsia="Times New Roman"/>
          <w:b/>
          <w:bCs/>
          <w:color w:val="000000"/>
          <w:sz w:val="18"/>
          <w:szCs w:val="18"/>
        </w:rPr>
        <w:t xml:space="preserve">Table 8: Funding Sources Composition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630"/>
        <w:gridCol w:w="36"/>
        <w:gridCol w:w="36"/>
        <w:gridCol w:w="36"/>
        <w:gridCol w:w="36"/>
        <w:gridCol w:w="44"/>
        <w:gridCol w:w="485"/>
        <w:gridCol w:w="200"/>
        <w:gridCol w:w="36"/>
        <w:gridCol w:w="36"/>
        <w:gridCol w:w="36"/>
        <w:gridCol w:w="110"/>
        <w:gridCol w:w="630"/>
        <w:gridCol w:w="36"/>
        <w:gridCol w:w="36"/>
        <w:gridCol w:w="36"/>
        <w:gridCol w:w="36"/>
        <w:gridCol w:w="44"/>
        <w:gridCol w:w="498"/>
        <w:gridCol w:w="170"/>
      </w:tblGrid>
      <w:tr w:rsidR="00000000">
        <w:trPr>
          <w:divId w:val="1436637281"/>
        </w:trPr>
        <w:tc>
          <w:tcPr>
            <w:tcW w:w="50" w:type="pct"/>
            <w:vAlign w:val="center"/>
            <w:hideMark/>
          </w:tcPr>
          <w:p w:rsidR="00000000" w:rsidRDefault="00795D39">
            <w:pPr>
              <w:rPr>
                <w:rFonts w:eastAsia="Times New Roman"/>
              </w:rPr>
            </w:pPr>
          </w:p>
        </w:tc>
        <w:tc>
          <w:tcPr>
            <w:tcW w:w="293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36637281"/>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436637281"/>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r>
      <w:tr w:rsidR="00000000">
        <w:trPr>
          <w:divId w:val="14366372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3663728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249,684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213,099 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43663728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36,783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32,134 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36637281"/>
        </w:trPr>
        <w:tc>
          <w:tcPr>
            <w:tcW w:w="0" w:type="auto"/>
            <w:gridSpan w:val="3"/>
            <w:shd w:val="clear" w:color="auto" w:fill="FFFFFF"/>
            <w:tcMar>
              <w:top w:w="30" w:type="dxa"/>
              <w:left w:w="20" w:type="dxa"/>
              <w:bottom w:w="30" w:type="dxa"/>
              <w:right w:w="20" w:type="dxa"/>
            </w:tcMar>
            <w:vAlign w:val="center"/>
            <w:hideMark/>
          </w:tcPr>
          <w:p w:rsidR="00000000" w:rsidRDefault="00795D39">
            <w:pPr>
              <w:divId w:val="1230964317"/>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17,464 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3663728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305,725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262,697 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3663728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13,566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17,808 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3663728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debt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29,229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37,889 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3663728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funding sources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348,520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318,394 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divId w:val="524100137"/>
        <w:rPr>
          <w:rFonts w:eastAsia="Times New Roman"/>
        </w:rPr>
      </w:pPr>
      <w:r>
        <w:rPr>
          <w:rFonts w:eastAsia="Times New Roman"/>
          <w:color w:val="000000"/>
          <w:sz w:val="20"/>
          <w:szCs w:val="20"/>
        </w:rPr>
        <w:t>__________</w:t>
      </w:r>
    </w:p>
    <w:p w:rsidR="00000000" w:rsidRDefault="00795D39">
      <w:pPr>
        <w:ind w:hanging="360"/>
        <w:jc w:val="both"/>
        <w:divId w:val="46681749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brokered deposits of $18.3 billion and $16.7 billion as of September 30, 2020 and December 31, 2019,</w:t>
      </w:r>
      <w:r>
        <w:rPr>
          <w:rFonts w:eastAsia="Times New Roman"/>
          <w:color w:val="000000"/>
          <w:sz w:val="16"/>
          <w:szCs w:val="16"/>
        </w:rPr>
        <w:t xml:space="preserve"> respectively.</w:t>
      </w:r>
    </w:p>
    <w:p w:rsidR="00000000" w:rsidRDefault="00795D39">
      <w:pPr>
        <w:jc w:val="both"/>
        <w:divId w:val="917863724"/>
        <w:rPr>
          <w:rFonts w:eastAsia="Times New Roman"/>
        </w:rPr>
      </w:pPr>
      <w:r>
        <w:rPr>
          <w:rFonts w:eastAsia="Times New Roman"/>
          <w:color w:val="000000"/>
          <w:sz w:val="20"/>
          <w:szCs w:val="20"/>
        </w:rPr>
        <w:t>Total deposits increased by $43.0 billion to $305.7 billion as of September 30, 2020 from December 31, 2019 primarily driven by deposit growth from increased consumer savings aided by the impact of government stimulus.</w:t>
      </w:r>
    </w:p>
    <w:p w:rsidR="00000000" w:rsidRDefault="00795D39">
      <w:pPr>
        <w:jc w:val="both"/>
        <w:divId w:val="972952836"/>
        <w:rPr>
          <w:rFonts w:eastAsia="Times New Roman"/>
        </w:rPr>
      </w:pPr>
      <w:r>
        <w:rPr>
          <w:rFonts w:eastAsia="Times New Roman"/>
          <w:color w:val="000000"/>
          <w:sz w:val="20"/>
          <w:szCs w:val="20"/>
        </w:rPr>
        <w:t>Securitized debt oblig</w:t>
      </w:r>
      <w:r>
        <w:rPr>
          <w:rFonts w:eastAsia="Times New Roman"/>
          <w:color w:val="000000"/>
          <w:sz w:val="20"/>
          <w:szCs w:val="20"/>
        </w:rPr>
        <w:t>ations decreased by $4.2 billion to $13.6 billion as of September 30, 2020 from December 31, 2019 primarily driven by net maturities in our credit card securitization program, partially offset by net issuances in our auto securitization program.</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17338097"/>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1733809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1733809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5" style="width:0;height:1.5pt" o:hralign="center" o:hrstd="t" o:hr="t" fillcolor="#a0a0a0" stroked="f"/>
        </w:pict>
      </w:r>
    </w:p>
    <w:p w:rsidR="00000000" w:rsidRDefault="00795D39">
      <w:pPr>
        <w:jc w:val="both"/>
        <w:divId w:val="13765536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452016418"/>
        <w:rPr>
          <w:rFonts w:eastAsia="Times New Roman"/>
        </w:rPr>
      </w:pPr>
      <w:r>
        <w:rPr>
          <w:rFonts w:eastAsia="Times New Roman"/>
          <w:color w:val="000000"/>
          <w:sz w:val="20"/>
          <w:szCs w:val="20"/>
        </w:rPr>
        <w:t>Other debt decreased by $8.7 billion to $29.2 billion as of September 30, 2020 from December 31, 2019 primarily driven by maturities of our shor</w:t>
      </w:r>
      <w:r>
        <w:rPr>
          <w:rFonts w:eastAsia="Times New Roman"/>
          <w:color w:val="000000"/>
          <w:sz w:val="20"/>
          <w:szCs w:val="20"/>
        </w:rPr>
        <w:t>t-term FHLB advances and the repurchase of a portion of our senior unsecured debt.</w:t>
      </w:r>
    </w:p>
    <w:p w:rsidR="00000000" w:rsidRDefault="00795D39">
      <w:pPr>
        <w:jc w:val="both"/>
        <w:divId w:val="1783383722"/>
        <w:rPr>
          <w:rFonts w:eastAsia="Times New Roman"/>
        </w:rPr>
      </w:pPr>
      <w:r>
        <w:rPr>
          <w:rFonts w:eastAsia="Times New Roman"/>
          <w:color w:val="000000"/>
          <w:sz w:val="20"/>
          <w:szCs w:val="20"/>
        </w:rPr>
        <w:t>We provide additional information on our funding sources in “MD&amp;A—Liquidity Risk Profile” and “Note 7—Deposits and Borrowings.”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82328145"/>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8232814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 xml:space="preserve">OFF-BALANCE SHEET ARRANGEMENTS </w:t>
            </w:r>
          </w:p>
        </w:tc>
      </w:tr>
    </w:tbl>
    <w:p w:rsidR="00000000" w:rsidRDefault="00795D39">
      <w:pPr>
        <w:jc w:val="both"/>
        <w:divId w:val="664555548"/>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“Note 5—Variable Interest Entities and Securitizations” and “Note 13—Commitments, Contingencies, Guarantees and Others.”</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50271643"/>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027164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BUSINESS SEGMENT FINANCIAL PERFORMANCE</w:t>
            </w:r>
          </w:p>
        </w:tc>
      </w:tr>
    </w:tbl>
    <w:p w:rsidR="00000000" w:rsidRDefault="00795D39">
      <w:pPr>
        <w:jc w:val="both"/>
        <w:divId w:val="1762490169"/>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our existing business segments. Certain activities that are not part of a segment, such as management of our corporate investment portfolio and asset/liability management by our ce</w:t>
      </w:r>
      <w:r>
        <w:rPr>
          <w:rFonts w:eastAsia="Times New Roman"/>
          <w:color w:val="000000"/>
          <w:sz w:val="20"/>
          <w:szCs w:val="20"/>
        </w:rPr>
        <w:t>ntralized Corporate Treasury group and residual tax expense or benefit to arrive at the consolidated effective tax rate that is not assessed to our primary business segments, are included in the Other category.</w:t>
      </w:r>
    </w:p>
    <w:p w:rsidR="00000000" w:rsidRDefault="00795D39">
      <w:pPr>
        <w:jc w:val="both"/>
        <w:divId w:val="1680693076"/>
        <w:rPr>
          <w:rFonts w:eastAsia="Times New Roman"/>
        </w:rPr>
      </w:pPr>
      <w:r>
        <w:rPr>
          <w:rFonts w:eastAsia="Times New Roman"/>
          <w:color w:val="000000"/>
          <w:sz w:val="20"/>
          <w:szCs w:val="20"/>
        </w:rPr>
        <w:t>The results of our individual businesses, whi</w:t>
      </w:r>
      <w:r>
        <w:rPr>
          <w:rFonts w:eastAsia="Times New Roman"/>
          <w:color w:val="000000"/>
          <w:sz w:val="20"/>
          <w:szCs w:val="20"/>
        </w:rPr>
        <w:t>ch we report on a continuing operations basis, reflect the manner in which management evaluates performance and makes decisions about funding our operations and allocating resources. We may periodically change our business segments or reclassify business s</w:t>
      </w:r>
      <w:r>
        <w:rPr>
          <w:rFonts w:eastAsia="Times New Roman"/>
          <w:color w:val="000000"/>
          <w:sz w:val="20"/>
          <w:szCs w:val="20"/>
        </w:rPr>
        <w:t>egment results based on modifications to our management reporting methodologies and changes in organizational alignment. Our business segment results are intended to reflect each segment as if it were a stand-alone business. We use an internal management a</w:t>
      </w:r>
      <w:r>
        <w:rPr>
          <w:rFonts w:eastAsia="Times New Roman"/>
          <w:color w:val="000000"/>
          <w:sz w:val="20"/>
          <w:szCs w:val="20"/>
        </w:rPr>
        <w:t>nd reporting process to derive our business segment results. Our internal management and reporting process employs various allocation methodologies, including funds transfer pricing, to assign certain balance sheet assets, deposits and other liabilities an</w:t>
      </w:r>
      <w:r>
        <w:rPr>
          <w:rFonts w:eastAsia="Times New Roman"/>
          <w:color w:val="000000"/>
          <w:sz w:val="20"/>
          <w:szCs w:val="20"/>
        </w:rPr>
        <w:t>d their related revenue and expenses directly or indirectly attributable to each business segment. Total interest income and non-interest income are directly attributable to the segment in which they are reported. The net interest income of each segment re</w:t>
      </w:r>
      <w:r>
        <w:rPr>
          <w:rFonts w:eastAsia="Times New Roman"/>
          <w:color w:val="000000"/>
          <w:sz w:val="20"/>
          <w:szCs w:val="20"/>
        </w:rPr>
        <w:t>flects the results of our funds transfer pricing process, which is primarily based on a matched funding concept that takes into consideration market interest rates. Our funds transfer pricing process provides a funds credit for sources of funds, such as de</w:t>
      </w:r>
      <w:r>
        <w:rPr>
          <w:rFonts w:eastAsia="Times New Roman"/>
          <w:color w:val="000000"/>
          <w:sz w:val="20"/>
          <w:szCs w:val="20"/>
        </w:rPr>
        <w:t>posits generated by our Consumer Banking and Commercial Banking businesses, and a charge for the use of funds by each segment. The allocation process is unique to each business segment and acquired business. We regularly assess the assumptions, methodologi</w:t>
      </w:r>
      <w:r>
        <w:rPr>
          <w:rFonts w:eastAsia="Times New Roman"/>
          <w:color w:val="000000"/>
          <w:sz w:val="20"/>
          <w:szCs w:val="20"/>
        </w:rPr>
        <w:t>es and reporting classifications used for segment reporting, which may result in the implementation of refinements or changes in future periods. We provide additional information on the allocation methodologies used to derive our business segment results i</w:t>
      </w:r>
      <w:r>
        <w:rPr>
          <w:rFonts w:eastAsia="Times New Roman"/>
          <w:color w:val="000000"/>
          <w:sz w:val="20"/>
          <w:szCs w:val="20"/>
        </w:rPr>
        <w:t>n “Note 17—Business Segments and Revenue from Contracts with Customers” in our 2019 Form 10-K.</w:t>
      </w:r>
    </w:p>
    <w:p w:rsidR="00000000" w:rsidRDefault="00795D39">
      <w:pPr>
        <w:jc w:val="both"/>
        <w:divId w:val="1513299532"/>
        <w:rPr>
          <w:rFonts w:eastAsia="Times New Roman"/>
        </w:rPr>
      </w:pPr>
      <w:r>
        <w:rPr>
          <w:rFonts w:eastAsia="Times New Roman"/>
          <w:color w:val="000000"/>
          <w:sz w:val="20"/>
          <w:szCs w:val="20"/>
        </w:rPr>
        <w:t>We refer to the business segment results derived from our internal management accounting and reporting process as our “managed” presentation, which differs in so</w:t>
      </w:r>
      <w:r>
        <w:rPr>
          <w:rFonts w:eastAsia="Times New Roman"/>
          <w:color w:val="000000"/>
          <w:sz w:val="20"/>
          <w:szCs w:val="20"/>
        </w:rPr>
        <w:t>me cases from our reported results prepared based on U.S. GAAP. There is no comprehensive authoritative body of guidance for management accounting equivalent to U.S. GAAP; therefore, the managed presentation of our business segment results may not be compa</w:t>
      </w:r>
      <w:r>
        <w:rPr>
          <w:rFonts w:eastAsia="Times New Roman"/>
          <w:color w:val="000000"/>
          <w:sz w:val="20"/>
          <w:szCs w:val="20"/>
        </w:rPr>
        <w:t>rable to similar information provided by other financial services companies. In addition, our individual business segment results should not be used as a substitute for comparable results determined in accordance with U.S. GAAP.</w:t>
      </w:r>
    </w:p>
    <w:p w:rsidR="00000000" w:rsidRDefault="00795D39">
      <w:pPr>
        <w:jc w:val="both"/>
        <w:divId w:val="1368484388"/>
        <w:rPr>
          <w:rFonts w:eastAsia="Times New Roman"/>
        </w:rPr>
      </w:pPr>
      <w:r>
        <w:rPr>
          <w:rFonts w:eastAsia="Times New Roman"/>
          <w:color w:val="000000"/>
          <w:sz w:val="20"/>
          <w:szCs w:val="20"/>
        </w:rPr>
        <w:t>We summarize our business s</w:t>
      </w:r>
      <w:r>
        <w:rPr>
          <w:rFonts w:eastAsia="Times New Roman"/>
          <w:color w:val="000000"/>
          <w:sz w:val="20"/>
          <w:szCs w:val="20"/>
        </w:rPr>
        <w:t>egment results for the third quarter and first nine months of 2020 and 2019 and provide a comparative discussion of these results, as well as changes in our financial condition and credit performance metrics as of September 30, 2020 compared to December 31</w:t>
      </w:r>
      <w:r>
        <w:rPr>
          <w:rFonts w:eastAsia="Times New Roman"/>
          <w:color w:val="000000"/>
          <w:sz w:val="20"/>
          <w:szCs w:val="20"/>
        </w:rPr>
        <w:t>, 2019. We provide a reconciliation of our total business segment results to our reported consolidated results in “Note 12—Business Segments and Revenue from Contracts with Customers.”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49655996"/>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4965599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4965599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6" style="width:0;height:1.5pt" o:hralign="center" o:hrstd="t" o:hr="t" fillcolor="#a0a0a0" stroked="f"/>
        </w:pict>
      </w:r>
    </w:p>
    <w:p w:rsidR="00000000" w:rsidRDefault="00795D39">
      <w:pPr>
        <w:jc w:val="both"/>
        <w:divId w:val="163822503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598178725"/>
        <w:rPr>
          <w:rFonts w:eastAsia="Times New Roman"/>
        </w:rPr>
      </w:pPr>
      <w:r>
        <w:rPr>
          <w:rFonts w:eastAsia="Times New Roman"/>
          <w:b/>
          <w:bCs/>
          <w:i/>
          <w:iCs/>
          <w:color w:val="000000"/>
          <w:sz w:val="20"/>
          <w:szCs w:val="20"/>
        </w:rPr>
        <w:t>Business Segment Financial Performance</w:t>
      </w:r>
    </w:p>
    <w:p w:rsidR="00000000" w:rsidRDefault="00795D39">
      <w:pPr>
        <w:jc w:val="both"/>
        <w:divId w:val="174535720"/>
        <w:rPr>
          <w:rFonts w:eastAsia="Times New Roman"/>
        </w:rPr>
      </w:pPr>
      <w:r>
        <w:rPr>
          <w:rFonts w:eastAsia="Times New Roman"/>
          <w:color w:val="000000"/>
          <w:sz w:val="20"/>
          <w:szCs w:val="20"/>
        </w:rPr>
        <w:t xml:space="preserve">Table 9 summarizes our business segment results, which we report based on revenue and income (loss) from </w:t>
      </w:r>
      <w:r>
        <w:rPr>
          <w:rFonts w:eastAsia="Times New Roman"/>
          <w:color w:val="000000"/>
          <w:sz w:val="20"/>
          <w:szCs w:val="20"/>
        </w:rPr>
        <w:t xml:space="preserve">continuing operations, for the third quarter and first nine months of 2020 and 2019. </w:t>
      </w:r>
    </w:p>
    <w:p w:rsidR="00000000" w:rsidRDefault="00795D39">
      <w:pPr>
        <w:divId w:val="1807160051"/>
        <w:rPr>
          <w:rFonts w:eastAsia="Times New Roman"/>
        </w:rPr>
      </w:pPr>
      <w:r>
        <w:rPr>
          <w:rFonts w:eastAsia="Times New Roman"/>
          <w:b/>
          <w:bCs/>
          <w:color w:val="000000"/>
          <w:sz w:val="18"/>
          <w:szCs w:val="18"/>
        </w:rPr>
        <w:t xml:space="preserve">Table 9: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39"/>
        <w:gridCol w:w="2118"/>
        <w:gridCol w:w="38"/>
        <w:gridCol w:w="36"/>
        <w:gridCol w:w="36"/>
        <w:gridCol w:w="36"/>
        <w:gridCol w:w="111"/>
        <w:gridCol w:w="509"/>
        <w:gridCol w:w="36"/>
        <w:gridCol w:w="36"/>
        <w:gridCol w:w="36"/>
        <w:gridCol w:w="36"/>
        <w:gridCol w:w="56"/>
        <w:gridCol w:w="344"/>
        <w:gridCol w:w="200"/>
        <w:gridCol w:w="36"/>
        <w:gridCol w:w="36"/>
        <w:gridCol w:w="36"/>
        <w:gridCol w:w="111"/>
        <w:gridCol w:w="507"/>
        <w:gridCol w:w="36"/>
        <w:gridCol w:w="36"/>
        <w:gridCol w:w="36"/>
        <w:gridCol w:w="36"/>
        <w:gridCol w:w="58"/>
        <w:gridCol w:w="342"/>
        <w:gridCol w:w="200"/>
        <w:gridCol w:w="36"/>
        <w:gridCol w:w="36"/>
        <w:gridCol w:w="36"/>
        <w:gridCol w:w="111"/>
        <w:gridCol w:w="507"/>
        <w:gridCol w:w="37"/>
        <w:gridCol w:w="36"/>
        <w:gridCol w:w="36"/>
        <w:gridCol w:w="36"/>
        <w:gridCol w:w="58"/>
        <w:gridCol w:w="342"/>
        <w:gridCol w:w="170"/>
        <w:gridCol w:w="36"/>
        <w:gridCol w:w="36"/>
        <w:gridCol w:w="36"/>
        <w:gridCol w:w="111"/>
        <w:gridCol w:w="507"/>
        <w:gridCol w:w="36"/>
        <w:gridCol w:w="36"/>
        <w:gridCol w:w="36"/>
        <w:gridCol w:w="36"/>
        <w:gridCol w:w="58"/>
        <w:gridCol w:w="342"/>
        <w:gridCol w:w="170"/>
        <w:gridCol w:w="36"/>
        <w:gridCol w:w="36"/>
        <w:gridCol w:w="36"/>
        <w:gridCol w:w="36"/>
        <w:gridCol w:w="36"/>
        <w:gridCol w:w="36"/>
        <w:gridCol w:w="36"/>
        <w:gridCol w:w="36"/>
      </w:tblGrid>
      <w:tr w:rsidR="00000000">
        <w:trPr>
          <w:divId w:val="1675574698"/>
        </w:trPr>
        <w:tc>
          <w:tcPr>
            <w:tcW w:w="50" w:type="pct"/>
            <w:vAlign w:val="center"/>
            <w:hideMark/>
          </w:tcPr>
          <w:p w:rsidR="00000000" w:rsidRDefault="00795D39">
            <w:pPr>
              <w:rPr>
                <w:rFonts w:eastAsia="Times New Roman"/>
              </w:rPr>
            </w:pPr>
          </w:p>
        </w:tc>
        <w:tc>
          <w:tcPr>
            <w:tcW w:w="182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5574698"/>
        </w:trPr>
        <w:tc>
          <w:tcPr>
            <w:tcW w:w="0" w:type="auto"/>
            <w:gridSpan w:val="3"/>
            <w:tcMar>
              <w:top w:w="30" w:type="dxa"/>
              <w:left w:w="20" w:type="dxa"/>
              <w:bottom w:w="30" w:type="dxa"/>
              <w:right w:w="20" w:type="dxa"/>
            </w:tcMar>
            <w:vAlign w:val="bottom"/>
            <w:hideMark/>
          </w:tcPr>
          <w:p w:rsidR="00000000" w:rsidRDefault="00795D39">
            <w:pPr>
              <w:divId w:val="2045520027"/>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45"/>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5574698"/>
        </w:trPr>
        <w:tc>
          <w:tcPr>
            <w:tcW w:w="0" w:type="auto"/>
            <w:gridSpan w:val="3"/>
            <w:tcMar>
              <w:top w:w="30" w:type="dxa"/>
              <w:left w:w="20" w:type="dxa"/>
              <w:bottom w:w="30" w:type="dxa"/>
              <w:right w:w="20" w:type="dxa"/>
            </w:tcMar>
            <w:vAlign w:val="bottom"/>
            <w:hideMark/>
          </w:tcPr>
          <w:p w:rsidR="00000000" w:rsidRDefault="00795D39">
            <w:pPr>
              <w:divId w:val="1676154329"/>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5574698"/>
        </w:trPr>
        <w:tc>
          <w:tcPr>
            <w:tcW w:w="0" w:type="auto"/>
            <w:gridSpan w:val="3"/>
            <w:tcMar>
              <w:top w:w="30" w:type="dxa"/>
              <w:left w:w="20" w:type="dxa"/>
              <w:bottom w:w="30" w:type="dxa"/>
              <w:right w:w="20" w:type="dxa"/>
            </w:tcMar>
            <w:vAlign w:val="bottom"/>
            <w:hideMark/>
          </w:tcPr>
          <w:p w:rsidR="00000000" w:rsidRDefault="00795D39">
            <w:pPr>
              <w:divId w:val="758450518"/>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Income</w:t>
            </w:r>
          </w:p>
          <w:p w:rsidR="00000000" w:rsidRDefault="00795D39">
            <w:pPr>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Income</w:t>
            </w:r>
          </w:p>
          <w:p w:rsidR="00000000" w:rsidRDefault="00795D39">
            <w:pPr>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5574698"/>
        </w:trPr>
        <w:tc>
          <w:tcPr>
            <w:tcW w:w="0" w:type="auto"/>
            <w:gridSpan w:val="3"/>
            <w:tcMar>
              <w:top w:w="30" w:type="dxa"/>
              <w:left w:w="20" w:type="dxa"/>
              <w:bottom w:w="30" w:type="dxa"/>
              <w:right w:w="20" w:type="dxa"/>
            </w:tcMar>
            <w:vAlign w:val="bottom"/>
            <w:hideMark/>
          </w:tcPr>
          <w:p w:rsidR="00000000" w:rsidRDefault="00795D39">
            <w:pPr>
              <w:divId w:val="537084187"/>
              <w:rPr>
                <w:rFonts w:eastAsia="Times New Roman"/>
              </w:rPr>
            </w:pPr>
            <w:r>
              <w:rPr>
                <w:rFonts w:eastAsia="Times New Roman"/>
                <w:i/>
                <w:iCs/>
                <w:color w:val="000000"/>
                <w:sz w:val="18"/>
                <w:szCs w:val="18"/>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167557469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105879237"/>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1675574698"/>
        </w:trPr>
        <w:tc>
          <w:tcPr>
            <w:tcW w:w="0" w:type="auto"/>
            <w:gridSpan w:val="3"/>
            <w:shd w:val="clear" w:color="auto" w:fill="FFFFFF"/>
            <w:tcMar>
              <w:top w:w="30" w:type="dxa"/>
              <w:left w:w="20" w:type="dxa"/>
              <w:bottom w:w="30" w:type="dxa"/>
              <w:right w:w="20" w:type="dxa"/>
            </w:tcMar>
            <w:vAlign w:val="center"/>
            <w:hideMark/>
          </w:tcPr>
          <w:p w:rsidR="00000000" w:rsidRDefault="00795D39">
            <w:pPr>
              <w:divId w:val="2055961066"/>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1675574698"/>
        </w:trPr>
        <w:tc>
          <w:tcPr>
            <w:tcW w:w="0" w:type="auto"/>
            <w:gridSpan w:val="3"/>
            <w:shd w:val="clear" w:color="auto" w:fill="CCEEFF"/>
            <w:tcMar>
              <w:top w:w="30" w:type="dxa"/>
              <w:left w:w="20" w:type="dxa"/>
              <w:bottom w:w="30" w:type="dxa"/>
              <w:right w:w="20" w:type="dxa"/>
            </w:tcMar>
            <w:vAlign w:val="center"/>
            <w:hideMark/>
          </w:tcPr>
          <w:p w:rsidR="00000000" w:rsidRDefault="00795D39">
            <w:pPr>
              <w:divId w:val="876085428"/>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1675574698"/>
        </w:trPr>
        <w:tc>
          <w:tcPr>
            <w:tcW w:w="0" w:type="auto"/>
            <w:gridSpan w:val="3"/>
            <w:shd w:val="clear" w:color="auto" w:fill="FFFFFF"/>
            <w:tcMar>
              <w:top w:w="30" w:type="dxa"/>
              <w:left w:w="20" w:type="dxa"/>
              <w:bottom w:w="30" w:type="dxa"/>
              <w:right w:w="20" w:type="dxa"/>
            </w:tcMar>
            <w:vAlign w:val="center"/>
            <w:hideMark/>
          </w:tcPr>
          <w:p w:rsidR="00000000" w:rsidRDefault="00795D39">
            <w:pPr>
              <w:divId w:val="2031906877"/>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1675574698"/>
        </w:trPr>
        <w:tc>
          <w:tcPr>
            <w:tcW w:w="0" w:type="auto"/>
            <w:gridSpan w:val="3"/>
            <w:shd w:val="clear" w:color="auto" w:fill="CCEEFF"/>
            <w:tcMar>
              <w:top w:w="30" w:type="dxa"/>
              <w:left w:w="20" w:type="dxa"/>
              <w:bottom w:w="30" w:type="dxa"/>
              <w:right w:w="20" w:type="dxa"/>
            </w:tcMar>
            <w:vAlign w:val="center"/>
            <w:hideMark/>
          </w:tcPr>
          <w:p w:rsidR="00000000" w:rsidRDefault="00795D39">
            <w:pPr>
              <w:divId w:val="12272466"/>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7,381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6,959 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5574698"/>
          <w:trHeight w:val="30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2010"/>
        <w:gridCol w:w="38"/>
        <w:gridCol w:w="36"/>
        <w:gridCol w:w="36"/>
        <w:gridCol w:w="36"/>
        <w:gridCol w:w="110"/>
        <w:gridCol w:w="540"/>
        <w:gridCol w:w="36"/>
        <w:gridCol w:w="36"/>
        <w:gridCol w:w="36"/>
        <w:gridCol w:w="36"/>
        <w:gridCol w:w="58"/>
        <w:gridCol w:w="342"/>
        <w:gridCol w:w="200"/>
        <w:gridCol w:w="36"/>
        <w:gridCol w:w="36"/>
        <w:gridCol w:w="36"/>
        <w:gridCol w:w="111"/>
        <w:gridCol w:w="507"/>
        <w:gridCol w:w="36"/>
        <w:gridCol w:w="36"/>
        <w:gridCol w:w="36"/>
        <w:gridCol w:w="36"/>
        <w:gridCol w:w="60"/>
        <w:gridCol w:w="350"/>
        <w:gridCol w:w="200"/>
        <w:gridCol w:w="36"/>
        <w:gridCol w:w="36"/>
        <w:gridCol w:w="36"/>
        <w:gridCol w:w="110"/>
        <w:gridCol w:w="540"/>
        <w:gridCol w:w="36"/>
        <w:gridCol w:w="36"/>
        <w:gridCol w:w="36"/>
        <w:gridCol w:w="36"/>
        <w:gridCol w:w="58"/>
        <w:gridCol w:w="342"/>
        <w:gridCol w:w="170"/>
        <w:gridCol w:w="36"/>
        <w:gridCol w:w="36"/>
        <w:gridCol w:w="36"/>
        <w:gridCol w:w="111"/>
        <w:gridCol w:w="507"/>
        <w:gridCol w:w="36"/>
        <w:gridCol w:w="36"/>
        <w:gridCol w:w="36"/>
        <w:gridCol w:w="36"/>
        <w:gridCol w:w="58"/>
        <w:gridCol w:w="342"/>
        <w:gridCol w:w="170"/>
        <w:gridCol w:w="36"/>
        <w:gridCol w:w="36"/>
        <w:gridCol w:w="36"/>
        <w:gridCol w:w="36"/>
        <w:gridCol w:w="36"/>
        <w:gridCol w:w="36"/>
        <w:gridCol w:w="36"/>
        <w:gridCol w:w="36"/>
      </w:tblGrid>
      <w:tr w:rsidR="00000000">
        <w:trPr>
          <w:divId w:val="315770418"/>
        </w:trPr>
        <w:tc>
          <w:tcPr>
            <w:tcW w:w="50" w:type="pct"/>
            <w:vAlign w:val="center"/>
            <w:hideMark/>
          </w:tcPr>
          <w:p w:rsidR="00000000" w:rsidRDefault="00795D39">
            <w:pPr>
              <w:jc w:val="both"/>
              <w:rPr>
                <w:rFonts w:eastAsia="Times New Roman"/>
              </w:rPr>
            </w:pPr>
          </w:p>
        </w:tc>
        <w:tc>
          <w:tcPr>
            <w:tcW w:w="183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315770418"/>
        </w:trPr>
        <w:tc>
          <w:tcPr>
            <w:tcW w:w="0" w:type="auto"/>
            <w:gridSpan w:val="3"/>
            <w:tcMar>
              <w:top w:w="30" w:type="dxa"/>
              <w:left w:w="20" w:type="dxa"/>
              <w:bottom w:w="30" w:type="dxa"/>
              <w:right w:w="20" w:type="dxa"/>
            </w:tcMar>
            <w:vAlign w:val="bottom"/>
            <w:hideMark/>
          </w:tcPr>
          <w:p w:rsidR="00000000" w:rsidRDefault="00795D39">
            <w:pPr>
              <w:divId w:val="1335498938"/>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45"/>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315770418"/>
        </w:trPr>
        <w:tc>
          <w:tcPr>
            <w:tcW w:w="0" w:type="auto"/>
            <w:gridSpan w:val="3"/>
            <w:tcMar>
              <w:top w:w="30" w:type="dxa"/>
              <w:left w:w="20" w:type="dxa"/>
              <w:bottom w:w="30" w:type="dxa"/>
              <w:right w:w="20" w:type="dxa"/>
            </w:tcMar>
            <w:vAlign w:val="bottom"/>
            <w:hideMark/>
          </w:tcPr>
          <w:p w:rsidR="00000000" w:rsidRDefault="00795D39">
            <w:pPr>
              <w:divId w:val="522281238"/>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315770418"/>
        </w:trPr>
        <w:tc>
          <w:tcPr>
            <w:tcW w:w="0" w:type="auto"/>
            <w:gridSpan w:val="3"/>
            <w:tcMar>
              <w:top w:w="30" w:type="dxa"/>
              <w:left w:w="20" w:type="dxa"/>
              <w:bottom w:w="30" w:type="dxa"/>
              <w:right w:w="20" w:type="dxa"/>
            </w:tcMar>
            <w:vAlign w:val="bottom"/>
            <w:hideMark/>
          </w:tcPr>
          <w:p w:rsidR="00000000" w:rsidRDefault="00795D39">
            <w:pPr>
              <w:divId w:val="966665399"/>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Income</w:t>
            </w:r>
          </w:p>
          <w:p w:rsidR="00000000" w:rsidRDefault="00795D39">
            <w:pPr>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Income</w:t>
            </w:r>
          </w:p>
          <w:p w:rsidR="00000000" w:rsidRDefault="00795D39">
            <w:pPr>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315770418"/>
        </w:trPr>
        <w:tc>
          <w:tcPr>
            <w:tcW w:w="0" w:type="auto"/>
            <w:gridSpan w:val="3"/>
            <w:tcMar>
              <w:top w:w="30" w:type="dxa"/>
              <w:left w:w="20" w:type="dxa"/>
              <w:bottom w:w="30" w:type="dxa"/>
              <w:right w:w="20" w:type="dxa"/>
            </w:tcMar>
            <w:vAlign w:val="bottom"/>
            <w:hideMark/>
          </w:tcPr>
          <w:p w:rsidR="00000000" w:rsidRDefault="00795D39">
            <w:pPr>
              <w:divId w:val="413087408"/>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31577041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589852832"/>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13,132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13,525 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315770418"/>
        </w:trPr>
        <w:tc>
          <w:tcPr>
            <w:tcW w:w="0" w:type="auto"/>
            <w:gridSpan w:val="3"/>
            <w:shd w:val="clear" w:color="auto" w:fill="FFFFFF"/>
            <w:tcMar>
              <w:top w:w="30" w:type="dxa"/>
              <w:left w:w="20" w:type="dxa"/>
              <w:bottom w:w="30" w:type="dxa"/>
              <w:right w:w="20" w:type="dxa"/>
            </w:tcMar>
            <w:vAlign w:val="center"/>
            <w:hideMark/>
          </w:tcPr>
          <w:p w:rsidR="00000000" w:rsidRDefault="00795D39">
            <w:pPr>
              <w:divId w:val="1582327075"/>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1,516 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315770418"/>
        </w:trPr>
        <w:tc>
          <w:tcPr>
            <w:tcW w:w="0" w:type="auto"/>
            <w:gridSpan w:val="3"/>
            <w:shd w:val="clear" w:color="auto" w:fill="CCEEFF"/>
            <w:tcMar>
              <w:top w:w="30" w:type="dxa"/>
              <w:left w:w="20" w:type="dxa"/>
              <w:bottom w:w="30" w:type="dxa"/>
              <w:right w:w="20" w:type="dxa"/>
            </w:tcMar>
            <w:vAlign w:val="center"/>
            <w:hideMark/>
          </w:tcPr>
          <w:p w:rsidR="00000000" w:rsidRDefault="00795D39">
            <w:pPr>
              <w:divId w:val="230578185"/>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2,097 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315770418"/>
        </w:trPr>
        <w:tc>
          <w:tcPr>
            <w:tcW w:w="0" w:type="auto"/>
            <w:gridSpan w:val="3"/>
            <w:shd w:val="clear" w:color="auto" w:fill="FFFFFF"/>
            <w:tcMar>
              <w:top w:w="30" w:type="dxa"/>
              <w:left w:w="20" w:type="dxa"/>
              <w:bottom w:w="30" w:type="dxa"/>
              <w:right w:w="20" w:type="dxa"/>
            </w:tcMar>
            <w:vAlign w:val="center"/>
            <w:hideMark/>
          </w:tcPr>
          <w:p w:rsidR="00000000" w:rsidRDefault="00795D39">
            <w:pPr>
              <w:divId w:val="184058352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315770418"/>
        </w:trPr>
        <w:tc>
          <w:tcPr>
            <w:tcW w:w="0" w:type="auto"/>
            <w:gridSpan w:val="3"/>
            <w:shd w:val="clear" w:color="auto" w:fill="CCEEFF"/>
            <w:tcMar>
              <w:top w:w="30" w:type="dxa"/>
              <w:left w:w="20" w:type="dxa"/>
              <w:bottom w:w="30" w:type="dxa"/>
              <w:right w:w="20" w:type="dxa"/>
            </w:tcMar>
            <w:vAlign w:val="center"/>
            <w:hideMark/>
          </w:tcPr>
          <w:p w:rsidR="00000000" w:rsidRDefault="00795D39">
            <w:pPr>
              <w:divId w:val="1411611389"/>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21,186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21,166 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27529852"/>
        <w:rPr>
          <w:rFonts w:eastAsia="Times New Roman"/>
        </w:rPr>
      </w:pPr>
      <w:r>
        <w:rPr>
          <w:rFonts w:eastAsia="Times New Roman"/>
          <w:color w:val="000000"/>
          <w:sz w:val="20"/>
          <w:szCs w:val="20"/>
        </w:rPr>
        <w:t>__________</w:t>
      </w:r>
    </w:p>
    <w:p w:rsidR="00000000" w:rsidRDefault="00795D39">
      <w:pPr>
        <w:ind w:hanging="360"/>
        <w:jc w:val="both"/>
        <w:divId w:val="60453634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revenue (loss) consists of net interest income and non-interest income.</w:t>
      </w:r>
    </w:p>
    <w:p w:rsidR="00000000" w:rsidRDefault="00795D39">
      <w:pPr>
        <w:ind w:hanging="360"/>
        <w:jc w:val="both"/>
        <w:divId w:val="209265811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 Other category is based on income (loss) from continuing operations, net of tax.</w:t>
      </w:r>
    </w:p>
    <w:p w:rsidR="00000000" w:rsidRDefault="00795D39">
      <w:pPr>
        <w:ind w:hanging="360"/>
        <w:jc w:val="both"/>
        <w:divId w:val="139573496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w:t>
      </w:r>
      <w:r>
        <w:rPr>
          <w:rFonts w:eastAsia="Times New Roman"/>
          <w:color w:val="000000"/>
          <w:sz w:val="16"/>
          <w:szCs w:val="16"/>
        </w:rPr>
        <w:t xml:space="preserve">ercial investments generate tax-exempt income, tax credits or other tax benefits. Accordingly, we present our Commercial Banking revenue and yields on a taxable-equivalent basis, calculated using the federal statutory tax rate of 21% and state taxes where </w:t>
      </w:r>
      <w:r>
        <w:rPr>
          <w:rFonts w:eastAsia="Times New Roman"/>
          <w:color w:val="000000"/>
          <w:sz w:val="16"/>
          <w:szCs w:val="16"/>
        </w:rPr>
        <w:t>applicable, with offsetting reductions to the Other category</w:t>
      </w:r>
      <w:r>
        <w:rPr>
          <w:rFonts w:eastAsia="Times New Roman"/>
          <w:color w:val="000000"/>
          <w:sz w:val="16"/>
          <w:szCs w:val="16"/>
        </w:rPr>
        <w:t>.</w:t>
      </w:r>
      <w:r>
        <w:rPr>
          <w:rFonts w:eastAsia="Times New Roman"/>
          <w:color w:val="000000"/>
          <w:sz w:val="10"/>
          <w:szCs w:val="10"/>
        </w:rPr>
        <w:t xml:space="preserve"> </w:t>
      </w:r>
    </w:p>
    <w:tbl>
      <w:tblPr>
        <w:tblW w:w="4978" w:type="pct"/>
        <w:tblCellMar>
          <w:top w:w="15" w:type="dxa"/>
          <w:left w:w="15" w:type="dxa"/>
          <w:bottom w:w="15" w:type="dxa"/>
          <w:right w:w="15" w:type="dxa"/>
        </w:tblCellMar>
        <w:tblLook w:val="04A0" w:firstRow="1" w:lastRow="0" w:firstColumn="1" w:lastColumn="0" w:noHBand="0" w:noVBand="1"/>
      </w:tblPr>
      <w:tblGrid>
        <w:gridCol w:w="51"/>
        <w:gridCol w:w="2849"/>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4"/>
        <w:gridCol w:w="36"/>
        <w:gridCol w:w="36"/>
        <w:gridCol w:w="36"/>
        <w:gridCol w:w="36"/>
        <w:gridCol w:w="36"/>
        <w:gridCol w:w="435"/>
        <w:gridCol w:w="36"/>
        <w:gridCol w:w="36"/>
        <w:gridCol w:w="36"/>
        <w:gridCol w:w="36"/>
        <w:gridCol w:w="36"/>
        <w:gridCol w:w="36"/>
        <w:gridCol w:w="36"/>
        <w:gridCol w:w="36"/>
        <w:gridCol w:w="36"/>
        <w:gridCol w:w="36"/>
        <w:gridCol w:w="36"/>
        <w:gridCol w:w="36"/>
        <w:gridCol w:w="36"/>
      </w:tblGrid>
      <w:tr w:rsidR="00000000">
        <w:trPr>
          <w:divId w:val="1435785211"/>
        </w:trPr>
        <w:tc>
          <w:tcPr>
            <w:tcW w:w="50" w:type="pct"/>
            <w:vAlign w:val="center"/>
            <w:hideMark/>
          </w:tcPr>
          <w:p w:rsidR="00000000" w:rsidRDefault="00795D39">
            <w:pPr>
              <w:ind w:hanging="360"/>
              <w:jc w:val="both"/>
              <w:rPr>
                <w:rFonts w:eastAsia="Times New Roman"/>
              </w:rPr>
            </w:pPr>
          </w:p>
        </w:tc>
        <w:tc>
          <w:tcPr>
            <w:tcW w:w="183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Height w:val="6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3578521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7" style="width:0;height:1.5pt" o:hralign="center" o:hrstd="t" o:hr="t" fillcolor="#a0a0a0" stroked="f"/>
        </w:pict>
      </w:r>
    </w:p>
    <w:p w:rsidR="00000000" w:rsidRDefault="00795D39">
      <w:pPr>
        <w:jc w:val="both"/>
        <w:divId w:val="46878515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852768255"/>
        <w:rPr>
          <w:rFonts w:eastAsia="Times New Roman"/>
        </w:rPr>
      </w:pPr>
      <w:r>
        <w:rPr>
          <w:rFonts w:eastAsia="Times New Roman"/>
          <w:b/>
          <w:bCs/>
          <w:color w:val="000000"/>
          <w:sz w:val="20"/>
          <w:szCs w:val="20"/>
        </w:rPr>
        <w:t>Credit Card Business</w:t>
      </w:r>
    </w:p>
    <w:p w:rsidR="00000000" w:rsidRDefault="00795D39">
      <w:pPr>
        <w:jc w:val="both"/>
        <w:divId w:val="182788904"/>
        <w:rPr>
          <w:rFonts w:eastAsia="Times New Roman"/>
        </w:rPr>
      </w:pPr>
      <w:r>
        <w:rPr>
          <w:rFonts w:eastAsia="Times New Roman"/>
          <w:color w:val="000000"/>
          <w:sz w:val="20"/>
          <w:szCs w:val="20"/>
        </w:rPr>
        <w:t>The primary sources of revenue for our Credit Card business are net interest income, net interchange income and fees collected from customers. Expenses primarily consist of the provision for credit losses, operating costs and marketing expenses.</w:t>
      </w:r>
    </w:p>
    <w:p w:rsidR="00000000" w:rsidRDefault="00795D39">
      <w:pPr>
        <w:jc w:val="both"/>
        <w:divId w:val="890265221"/>
        <w:rPr>
          <w:rFonts w:eastAsia="Times New Roman"/>
        </w:rPr>
      </w:pPr>
      <w:r>
        <w:rPr>
          <w:rFonts w:eastAsia="Times New Roman"/>
          <w:color w:val="000000"/>
          <w:sz w:val="20"/>
          <w:szCs w:val="20"/>
        </w:rPr>
        <w:t>Our Credit</w:t>
      </w:r>
      <w:r>
        <w:rPr>
          <w:rFonts w:eastAsia="Times New Roman"/>
          <w:color w:val="000000"/>
          <w:sz w:val="20"/>
          <w:szCs w:val="20"/>
        </w:rPr>
        <w:t xml:space="preserve"> Card business generated net income from continuing operations of $1.4 billion in the third quarter of 2020 and a net loss of $110 million in the first nine months of 2020, compared to net income of $734 million and $2.4 billion in the third quarter and fi</w:t>
      </w:r>
      <w:r>
        <w:rPr>
          <w:rFonts w:eastAsia="Times New Roman"/>
          <w:color w:val="000000"/>
          <w:sz w:val="20"/>
          <w:szCs w:val="20"/>
        </w:rPr>
        <w:t>rst nine months of 2019, respectively.</w:t>
      </w:r>
    </w:p>
    <w:p w:rsidR="00000000" w:rsidRDefault="00795D39">
      <w:pPr>
        <w:jc w:val="both"/>
        <w:divId w:val="769348893"/>
        <w:rPr>
          <w:rFonts w:eastAsia="Times New Roman"/>
        </w:rPr>
      </w:pPr>
      <w:r>
        <w:rPr>
          <w:rFonts w:eastAsia="Times New Roman"/>
          <w:color w:val="000000"/>
          <w:sz w:val="20"/>
          <w:szCs w:val="20"/>
        </w:rPr>
        <w:t>Table 10 summarizes the financial results of our Credit Card business and displays selected key metrics for the periods indicated.</w:t>
      </w:r>
    </w:p>
    <w:p w:rsidR="00000000" w:rsidRDefault="00795D39">
      <w:pPr>
        <w:divId w:val="1821578606"/>
        <w:rPr>
          <w:rFonts w:eastAsia="Times New Roman"/>
        </w:rPr>
      </w:pPr>
      <w:r>
        <w:rPr>
          <w:rFonts w:eastAsia="Times New Roman"/>
          <w:b/>
          <w:bCs/>
          <w:color w:val="000000"/>
          <w:sz w:val="18"/>
          <w:szCs w:val="18"/>
        </w:rPr>
        <w:t>Table 10: Credit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2219"/>
        <w:gridCol w:w="40"/>
        <w:gridCol w:w="36"/>
        <w:gridCol w:w="36"/>
        <w:gridCol w:w="36"/>
        <w:gridCol w:w="110"/>
        <w:gridCol w:w="630"/>
        <w:gridCol w:w="200"/>
        <w:gridCol w:w="36"/>
        <w:gridCol w:w="36"/>
        <w:gridCol w:w="36"/>
        <w:gridCol w:w="110"/>
        <w:gridCol w:w="630"/>
        <w:gridCol w:w="170"/>
        <w:gridCol w:w="36"/>
        <w:gridCol w:w="36"/>
        <w:gridCol w:w="36"/>
        <w:gridCol w:w="73"/>
        <w:gridCol w:w="485"/>
        <w:gridCol w:w="271"/>
        <w:gridCol w:w="36"/>
        <w:gridCol w:w="36"/>
        <w:gridCol w:w="36"/>
        <w:gridCol w:w="110"/>
        <w:gridCol w:w="630"/>
        <w:gridCol w:w="200"/>
        <w:gridCol w:w="36"/>
        <w:gridCol w:w="36"/>
        <w:gridCol w:w="36"/>
        <w:gridCol w:w="110"/>
        <w:gridCol w:w="630"/>
        <w:gridCol w:w="170"/>
        <w:gridCol w:w="36"/>
        <w:gridCol w:w="36"/>
        <w:gridCol w:w="36"/>
        <w:gridCol w:w="73"/>
        <w:gridCol w:w="485"/>
        <w:gridCol w:w="271"/>
      </w:tblGrid>
      <w:tr w:rsidR="00000000">
        <w:trPr>
          <w:divId w:val="246115347"/>
        </w:trPr>
        <w:tc>
          <w:tcPr>
            <w:tcW w:w="50" w:type="pct"/>
            <w:vAlign w:val="center"/>
            <w:hideMark/>
          </w:tcPr>
          <w:p w:rsidR="00000000" w:rsidRDefault="00795D39">
            <w:pPr>
              <w:rPr>
                <w:rFonts w:eastAsia="Times New Roman"/>
              </w:rPr>
            </w:pPr>
          </w:p>
        </w:tc>
        <w:tc>
          <w:tcPr>
            <w:tcW w:w="18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46115347"/>
        </w:trPr>
        <w:tc>
          <w:tcPr>
            <w:tcW w:w="0" w:type="auto"/>
            <w:gridSpan w:val="3"/>
            <w:tcMar>
              <w:top w:w="30" w:type="dxa"/>
              <w:left w:w="495"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r>
      <w:tr w:rsidR="00000000">
        <w:trPr>
          <w:divId w:val="24611534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r>
      <w:tr w:rsidR="00000000">
        <w:trPr>
          <w:divId w:val="24611534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10,667 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2,858 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46115347"/>
        </w:trPr>
        <w:tc>
          <w:tcPr>
            <w:tcW w:w="0" w:type="auto"/>
            <w:gridSpan w:val="3"/>
            <w:shd w:val="clear" w:color="auto" w:fill="FFFFFF"/>
            <w:tcMar>
              <w:top w:w="30" w:type="dxa"/>
              <w:left w:w="20" w:type="dxa"/>
              <w:bottom w:w="30" w:type="dxa"/>
              <w:right w:w="20" w:type="dxa"/>
            </w:tcMar>
            <w:vAlign w:val="center"/>
            <w:hideMark/>
          </w:tcPr>
          <w:p w:rsidR="00000000" w:rsidRDefault="00795D39">
            <w:pPr>
              <w:divId w:val="490676187"/>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13,132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13,525 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3,571 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461153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2,360 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1,852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91 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bottom"/>
            <w:hideMark/>
          </w:tcPr>
          <w:p w:rsidR="00000000" w:rsidRDefault="00795D39">
            <w:pPr>
              <w:jc w:val="right"/>
              <w:rPr>
                <w:rFonts w:eastAsia="Times New Roman"/>
              </w:rPr>
            </w:pPr>
            <w:r>
              <w:rPr>
                <w:rFonts w:eastAsia="Times New Roman"/>
                <w:color w:val="000000"/>
                <w:sz w:val="18"/>
                <w:szCs w:val="18"/>
              </w:rPr>
              <w:t>**</w:t>
            </w:r>
          </w:p>
        </w:tc>
      </w:tr>
      <w:tr w:rsidR="00000000">
        <w:trPr>
          <w:divId w:val="2461153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2461153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divId w:val="568077007"/>
              <w:rPr>
                <w:rFonts w:eastAsia="Times New Roman"/>
              </w:rPr>
            </w:pPr>
            <w:r>
              <w:rPr>
                <w:rFonts w:eastAsia="Times New Roman"/>
                <w:color w:val="000000"/>
                <w:sz w:val="18"/>
                <w:szCs w:val="18"/>
              </w:rPr>
              <w:t>Average loans held for investmen</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105,367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112,371 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112,272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111,545 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46115347"/>
        </w:trPr>
        <w:tc>
          <w:tcPr>
            <w:tcW w:w="0" w:type="auto"/>
            <w:gridSpan w:val="3"/>
            <w:shd w:val="clear" w:color="auto" w:fill="FFFFFF"/>
            <w:tcMar>
              <w:top w:w="30" w:type="dxa"/>
              <w:left w:w="20" w:type="dxa"/>
              <w:bottom w:w="30" w:type="dxa"/>
              <w:right w:w="20" w:type="dxa"/>
            </w:tcMar>
            <w:vAlign w:val="center"/>
            <w:hideMark/>
          </w:tcPr>
          <w:p w:rsidR="00000000" w:rsidRDefault="00795D39">
            <w:pPr>
              <w:divId w:val="1428886424"/>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15.55 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15.66 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divId w:val="1078019574"/>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15.72 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16.17 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461153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1,151 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3,835 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4.09 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4.58 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2461153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107,102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108,034 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297,171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308,134 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246115347"/>
          <w:trHeight w:val="240"/>
        </w:trPr>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tcMar>
              <w:top w:w="30" w:type="dxa"/>
              <w:left w:w="20" w:type="dxa"/>
              <w:bottom w:w="30" w:type="dxa"/>
              <w:right w:w="20" w:type="dxa"/>
            </w:tcMar>
            <w:vAlign w:val="center"/>
            <w:hideMark/>
          </w:tcPr>
          <w:p w:rsidR="00000000" w:rsidRDefault="00795D39">
            <w:pPr>
              <w:divId w:val="429593917"/>
              <w:rPr>
                <w:rFonts w:eastAsia="Times New Roman"/>
              </w:rPr>
            </w:pPr>
            <w:r>
              <w:rPr>
                <w:rFonts w:eastAsia="Times New Roman"/>
                <w:color w:val="000000"/>
                <w:sz w:val="18"/>
                <w:szCs w:val="18"/>
              </w:rPr>
              <w:t>Loans held for investmen</w:t>
            </w:r>
            <w:r>
              <w:rPr>
                <w:rFonts w:eastAsia="Times New Roman"/>
                <w:color w:val="000000"/>
                <w:sz w:val="18"/>
                <w:szCs w:val="18"/>
              </w:rPr>
              <w:t>t</w:t>
            </w:r>
            <w:r>
              <w:rPr>
                <w:rFonts w:eastAsia="Times New Roman"/>
                <w:color w:val="000000"/>
                <w:sz w:val="12"/>
                <w:szCs w:val="12"/>
              </w:rPr>
              <w:t>(2)(5</w:t>
            </w:r>
            <w:r>
              <w:rPr>
                <w:rFonts w:eastAsia="Times New Roman"/>
                <w:color w:val="000000"/>
                <w:sz w:val="12"/>
                <w:szCs w:val="12"/>
              </w:rPr>
              <w:t>)</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103,641</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128,236 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3.89 </w:t>
            </w:r>
          </w:p>
        </w:tc>
        <w:tc>
          <w:tcPr>
            <w:tcW w:w="0" w:type="auto"/>
            <w:shd w:val="clear" w:color="auto" w:fill="CCEEFF"/>
            <w:tcMar>
              <w:top w:w="30" w:type="dxa"/>
              <w:left w:w="0" w:type="dxa"/>
              <w:bottom w:w="30" w:type="dxa"/>
              <w:right w:w="2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(169)</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30+ day delinquency rate</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3.91 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(170)</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divId w:val="1716470132"/>
              <w:rPr>
                <w:rFonts w:eastAsia="Times New Roman"/>
              </w:rPr>
            </w:pPr>
            <w:r>
              <w:rPr>
                <w:rFonts w:eastAsia="Times New Roman"/>
                <w:color w:val="000000"/>
                <w:sz w:val="18"/>
                <w:szCs w:val="18"/>
              </w:rPr>
              <w:t>Nonperforming loan rat</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0.02 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tcMar>
              <w:top w:w="30" w:type="dxa"/>
              <w:left w:w="20" w:type="dxa"/>
              <w:bottom w:w="30" w:type="dxa"/>
              <w:right w:w="20" w:type="dxa"/>
            </w:tcMar>
            <w:vAlign w:val="center"/>
            <w:hideMark/>
          </w:tcPr>
          <w:p w:rsidR="00000000" w:rsidRDefault="00795D39">
            <w:pPr>
              <w:divId w:val="521895428"/>
              <w:rPr>
                <w:rFonts w:eastAsia="Times New Roman"/>
              </w:rPr>
            </w:pPr>
            <w:r>
              <w:rPr>
                <w:rFonts w:eastAsia="Times New Roman"/>
                <w:color w:val="000000"/>
                <w:sz w:val="18"/>
                <w:szCs w:val="18"/>
              </w:rPr>
              <w:t>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11,612</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5,395 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115 </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461153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11.20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4.21 </w:t>
            </w:r>
          </w:p>
        </w:tc>
        <w:tc>
          <w:tcPr>
            <w:tcW w:w="0" w:type="auto"/>
            <w:shd w:val="clear" w:color="auto" w:fill="CCEEFF"/>
            <w:tcMar>
              <w:top w:w="30" w:type="dxa"/>
              <w:left w:w="0" w:type="dxa"/>
              <w:bottom w:w="30" w:type="dxa"/>
              <w:right w:w="2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699 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bl>
    <w:p w:rsidR="00000000" w:rsidRDefault="00795D39">
      <w:pPr>
        <w:divId w:val="941645300"/>
        <w:rPr>
          <w:rFonts w:eastAsia="Times New Roman"/>
        </w:rPr>
      </w:pPr>
      <w:r>
        <w:rPr>
          <w:rFonts w:eastAsia="Times New Roman"/>
          <w:color w:val="000000"/>
          <w:sz w:val="20"/>
          <w:szCs w:val="20"/>
        </w:rPr>
        <w:t>__________</w:t>
      </w:r>
    </w:p>
    <w:p w:rsidR="00000000" w:rsidRDefault="00795D39">
      <w:pPr>
        <w:ind w:hanging="360"/>
        <w:jc w:val="both"/>
        <w:divId w:val="16359363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charge-off uncollectible amounts. Total net reve</w:t>
      </w:r>
      <w:r>
        <w:rPr>
          <w:rFonts w:eastAsia="Times New Roman"/>
          <w:color w:val="000000"/>
          <w:sz w:val="16"/>
          <w:szCs w:val="16"/>
        </w:rPr>
        <w:t>nue was reduced by $235 million and $942 million in the third quarter and first nine months of 2020 for finance charges and fees charged-off as uncollectible and by $330 million and $1.0 billion in the third quarter and first nine months of 2019 for the es</w:t>
      </w:r>
      <w:r>
        <w:rPr>
          <w:rFonts w:eastAsia="Times New Roman"/>
          <w:color w:val="000000"/>
          <w:sz w:val="16"/>
          <w:szCs w:val="16"/>
        </w:rPr>
        <w:t>timated uncollectible amount of billed finance charges and fees and related losses.</w:t>
      </w:r>
    </w:p>
    <w:p w:rsidR="00000000" w:rsidRDefault="00795D39">
      <w:pPr>
        <w:ind w:hanging="360"/>
        <w:jc w:val="both"/>
        <w:divId w:val="211281788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Period-end loans held for investment and average loans held for investment include billed finance charges and fees. Concurrent with our adoption of the CECL standard in </w:t>
      </w:r>
      <w:r>
        <w:rPr>
          <w:rFonts w:eastAsia="Times New Roman"/>
          <w:color w:val="000000"/>
          <w:sz w:val="16"/>
          <w:szCs w:val="16"/>
        </w:rPr>
        <w:t>the first quarter of 2020, we reclassified our finance charge and fee reserve to our allowance for credit losses, with a corresponding increase to credit card loans held for investment.</w:t>
      </w:r>
    </w:p>
    <w:p w:rsidR="00000000" w:rsidRDefault="00795D39">
      <w:pPr>
        <w:ind w:hanging="360"/>
        <w:jc w:val="both"/>
        <w:divId w:val="85068506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on loans held for investment is calculated by dividin</w:t>
      </w:r>
      <w:r>
        <w:rPr>
          <w:rFonts w:eastAsia="Times New Roman"/>
          <w:color w:val="000000"/>
          <w:sz w:val="16"/>
          <w:szCs w:val="16"/>
        </w:rPr>
        <w:t>g interest income for the period by average loans held for investment during the period. Interest income excludes various allocations including funds transfer pricing that assigns certain balance sheet assets, deposits and other liabilities and their relat</w:t>
      </w:r>
      <w:r>
        <w:rPr>
          <w:rFonts w:eastAsia="Times New Roman"/>
          <w:color w:val="000000"/>
          <w:sz w:val="16"/>
          <w:szCs w:val="16"/>
        </w:rPr>
        <w:t xml:space="preserve">ed revenue and expenses attributable to each business segment. </w:t>
      </w:r>
    </w:p>
    <w:p w:rsidR="00000000" w:rsidRDefault="00795D39">
      <w:pPr>
        <w:ind w:hanging="360"/>
        <w:jc w:val="both"/>
        <w:divId w:val="47429415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Total net revenue margin is calculated by dividing annualized total net revenue for the period by average loans held for investment during the period. Interest income also includes interest</w:t>
      </w:r>
      <w:r>
        <w:rPr>
          <w:rFonts w:eastAsia="Times New Roman"/>
          <w:color w:val="000000"/>
          <w:sz w:val="16"/>
          <w:szCs w:val="16"/>
        </w:rPr>
        <w:t xml:space="preserve"> income on loans held for sale. </w:t>
      </w:r>
    </w:p>
    <w:p w:rsidR="00000000" w:rsidRDefault="00795D39">
      <w:pPr>
        <w:ind w:hanging="360"/>
        <w:jc w:val="both"/>
        <w:divId w:val="959338304"/>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 xml:space="preserve">We transferred a $2.1 billion partnership loan portfolio to held for sale as of September 30, 2020.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16051556"/>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71605155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1605155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8" style="width:0;height:1.5pt" o:hralign="center" o:hrstd="t" o:hr="t" fillcolor="#a0a0a0" stroked="f"/>
        </w:pict>
      </w:r>
    </w:p>
    <w:p w:rsidR="00000000" w:rsidRDefault="00795D39">
      <w:pPr>
        <w:jc w:val="both"/>
        <w:divId w:val="126919292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ind w:hanging="360"/>
        <w:jc w:val="both"/>
        <w:divId w:val="1768691398"/>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Within our credit card loan portfolio, only certain loans in our international card businesses are classified as nonperforming. See “MD&amp;A—Nonperforming Loans and Other Nonperforming Assets” for additional information.</w:t>
      </w:r>
    </w:p>
    <w:p w:rsidR="00000000" w:rsidRDefault="00795D39">
      <w:pPr>
        <w:ind w:hanging="360"/>
        <w:jc w:val="both"/>
        <w:divId w:val="996307348"/>
        <w:rPr>
          <w:rFonts w:eastAsia="Times New Roman"/>
        </w:rPr>
      </w:pPr>
      <w:r>
        <w:rPr>
          <w:rFonts w:eastAsia="Times New Roman"/>
          <w:color w:val="000000"/>
          <w:sz w:val="16"/>
          <w:szCs w:val="16"/>
        </w:rPr>
        <w:t>**    Not meaningful</w:t>
      </w:r>
    </w:p>
    <w:p w:rsidR="00000000" w:rsidRDefault="00795D39">
      <w:pPr>
        <w:jc w:val="both"/>
        <w:divId w:val="1434739391"/>
        <w:rPr>
          <w:rFonts w:eastAsia="Times New Roman"/>
        </w:rPr>
      </w:pPr>
      <w:r>
        <w:rPr>
          <w:rFonts w:eastAsia="Times New Roman"/>
          <w:color w:val="000000"/>
          <w:sz w:val="20"/>
          <w:szCs w:val="20"/>
        </w:rPr>
        <w:t>Key factors affec</w:t>
      </w:r>
      <w:r>
        <w:rPr>
          <w:rFonts w:eastAsia="Times New Roman"/>
          <w:color w:val="000000"/>
          <w:sz w:val="20"/>
          <w:szCs w:val="20"/>
        </w:rPr>
        <w:t xml:space="preserve">ting the results of our Credit Card business for the third quarter and first nine months of 2020 compared to the third quarter and first nine months of 2019, and changes in financial condition and credit performance between September 30, 2020 and December </w:t>
      </w:r>
      <w:r>
        <w:rPr>
          <w:rFonts w:eastAsia="Times New Roman"/>
          <w:color w:val="000000"/>
          <w:sz w:val="20"/>
          <w:szCs w:val="20"/>
        </w:rPr>
        <w:t>31, 2019 include the following:</w:t>
      </w:r>
    </w:p>
    <w:p w:rsidR="00000000" w:rsidRDefault="00795D39">
      <w:pPr>
        <w:ind w:hanging="360"/>
        <w:jc w:val="both"/>
        <w:divId w:val="1420712279"/>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decreased by $254 million to $3.3 billion in the third quarter of 2020 primarily driven by lower margins and lower average loan balances from customer behavior in response to the COV</w:t>
      </w:r>
      <w:r>
        <w:rPr>
          <w:rFonts w:eastAsia="Times New Roman"/>
          <w:color w:val="000000"/>
          <w:sz w:val="20"/>
          <w:szCs w:val="20"/>
        </w:rPr>
        <w:t>ID-19 pandemic. Net interest income decreased by $304 million to $10.4 billion in the first nine months of 2020 primarily driven by lower margins, partially offset by growth in our domestic credit card loan portfolio, including the acquired Walmart portfol</w:t>
      </w:r>
      <w:r>
        <w:rPr>
          <w:rFonts w:eastAsia="Times New Roman"/>
          <w:color w:val="000000"/>
          <w:sz w:val="20"/>
          <w:szCs w:val="20"/>
        </w:rPr>
        <w:t xml:space="preserve">io. </w:t>
      </w:r>
    </w:p>
    <w:p w:rsidR="00000000" w:rsidRDefault="00795D39">
      <w:pPr>
        <w:ind w:hanging="360"/>
        <w:jc w:val="both"/>
        <w:divId w:val="194735907"/>
        <w:rPr>
          <w:rFonts w:eastAsia="Times New Roman"/>
        </w:rPr>
      </w:pPr>
      <w:r>
        <w:rPr>
          <w:rFonts w:eastAsia="Times New Roman"/>
          <w:color w:val="000000"/>
          <w:sz w:val="20"/>
          <w:szCs w:val="20"/>
        </w:rPr>
        <w:t>•</w:t>
      </w:r>
      <w:r>
        <w:rPr>
          <w:rFonts w:eastAsia="Times New Roman"/>
          <w:i/>
          <w:iCs/>
          <w:color w:val="000000"/>
          <w:sz w:val="20"/>
          <w:szCs w:val="20"/>
        </w:rPr>
        <w:t xml:space="preserve">Non-Interest Income: </w:t>
      </w:r>
      <w:r>
        <w:rPr>
          <w:rFonts w:eastAsia="Times New Roman"/>
          <w:color w:val="000000"/>
          <w:sz w:val="20"/>
          <w:szCs w:val="20"/>
        </w:rPr>
        <w:t>Non-interest income increased by $143 million to $1.0 billion in the third quarter of 2020 primarily driven by higher revenues from card partnership arrangements and a release in our U.K. PPI reserve in the current quarter compar</w:t>
      </w:r>
      <w:r>
        <w:rPr>
          <w:rFonts w:eastAsia="Times New Roman"/>
          <w:color w:val="000000"/>
          <w:sz w:val="20"/>
          <w:szCs w:val="20"/>
        </w:rPr>
        <w:t>ed to a build in the prior year quarter. Non-interest income decreased by $89 million to $2.8 billion in the first nine months of 2020 primarily driven by lower net interchange fees from a decline in purchase volume, partially offset by higher revenues fro</w:t>
      </w:r>
      <w:r>
        <w:rPr>
          <w:rFonts w:eastAsia="Times New Roman"/>
          <w:color w:val="000000"/>
          <w:sz w:val="20"/>
          <w:szCs w:val="20"/>
        </w:rPr>
        <w:t>m card partnership arrangements.</w:t>
      </w:r>
    </w:p>
    <w:p w:rsidR="00000000" w:rsidRDefault="00795D39">
      <w:pPr>
        <w:ind w:hanging="360"/>
        <w:jc w:val="both"/>
        <w:divId w:val="1288122044"/>
        <w:rPr>
          <w:rFonts w:eastAsia="Times New Roman"/>
        </w:rPr>
      </w:pPr>
      <w:r>
        <w:rPr>
          <w:rFonts w:eastAsia="Times New Roman"/>
          <w:color w:val="000000"/>
          <w:sz w:val="20"/>
          <w:szCs w:val="20"/>
          <w:shd w:val="clear" w:color="auto" w:fill="FFFFFF"/>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decreased by $637 million to $450 million in the third quarter of 2020 primarily driven by an allowance release for partnership loans moved to held-for sale and lowe</w:t>
      </w:r>
      <w:r>
        <w:rPr>
          <w:rFonts w:eastAsia="Times New Roman"/>
          <w:color w:val="000000"/>
          <w:sz w:val="20"/>
          <w:szCs w:val="20"/>
        </w:rPr>
        <w:t>r loan balances. Provision for credit losses increased by $3.5 billion to $7.1 billion in the first nine months of 2020 driven by allowance builds in the first and second quarters of 2020 due to expectations of economic worsening as a result of the COVID-1</w:t>
      </w:r>
      <w:r>
        <w:rPr>
          <w:rFonts w:eastAsia="Times New Roman"/>
          <w:color w:val="000000"/>
          <w:sz w:val="20"/>
          <w:szCs w:val="20"/>
        </w:rPr>
        <w:t>9 pandemic.</w:t>
      </w:r>
    </w:p>
    <w:p w:rsidR="00000000" w:rsidRDefault="00795D39">
      <w:pPr>
        <w:ind w:hanging="360"/>
        <w:jc w:val="both"/>
        <w:divId w:val="1797020286"/>
        <w:rPr>
          <w:rFonts w:eastAsia="Times New Roman"/>
        </w:rPr>
      </w:pPr>
      <w:r>
        <w:rPr>
          <w:rFonts w:eastAsia="Times New Roman"/>
          <w:color w:val="000000"/>
          <w:sz w:val="20"/>
          <w:szCs w:val="20"/>
        </w:rPr>
        <w:t>•</w:t>
      </w:r>
      <w:r>
        <w:rPr>
          <w:rFonts w:eastAsia="Times New Roman"/>
          <w:i/>
          <w:iCs/>
          <w:color w:val="000000"/>
          <w:sz w:val="20"/>
          <w:szCs w:val="20"/>
        </w:rPr>
        <w:t>Non-Interest Expense:</w:t>
      </w:r>
      <w:r>
        <w:rPr>
          <w:rFonts w:eastAsia="Times New Roman"/>
          <w:color w:val="000000"/>
          <w:sz w:val="20"/>
          <w:szCs w:val="20"/>
        </w:rPr>
        <w:t xml:space="preserve"> Non-interest expense decreased by $357 million to $2.0 billion in the third quarter of 2020 and decreased by $604 million to $6.2 billion in the first nine months of 2020 primarily driven by our decision to decrease marke</w:t>
      </w:r>
      <w:r>
        <w:rPr>
          <w:rFonts w:eastAsia="Times New Roman"/>
          <w:color w:val="000000"/>
          <w:sz w:val="20"/>
          <w:szCs w:val="20"/>
        </w:rPr>
        <w:t>ting spend in the current economic environment. The third quarter of 2020 also benefited from a release in our U.K. PPI reserve compared to a build in the prior year quarter.</w:t>
      </w:r>
    </w:p>
    <w:p w:rsidR="00000000" w:rsidRDefault="00795D39">
      <w:pPr>
        <w:ind w:hanging="360"/>
        <w:jc w:val="both"/>
        <w:divId w:val="675041435"/>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rsidR="00000000" w:rsidRDefault="00795D39">
      <w:pPr>
        <w:spacing w:before="180" w:after="180"/>
        <w:ind w:hanging="360"/>
        <w:jc w:val="both"/>
        <w:divId w:val="2001811762"/>
        <w:rPr>
          <w:rFonts w:eastAsia="Times New Roman"/>
        </w:rPr>
      </w:pPr>
      <w:r>
        <w:rPr>
          <w:rFonts w:eastAsia="Times New Roman"/>
          <w:color w:val="000000"/>
          <w:sz w:val="20"/>
          <w:szCs w:val="20"/>
        </w:rPr>
        <w:t>◦</w:t>
      </w:r>
      <w:r>
        <w:rPr>
          <w:rFonts w:eastAsia="Times New Roman"/>
          <w:color w:val="000000"/>
          <w:sz w:val="20"/>
          <w:szCs w:val="20"/>
        </w:rPr>
        <w:t>Period-end loans held for investment decreased by $</w:t>
      </w:r>
      <w:r>
        <w:rPr>
          <w:rFonts w:eastAsia="Times New Roman"/>
          <w:color w:val="000000"/>
          <w:sz w:val="20"/>
          <w:szCs w:val="20"/>
        </w:rPr>
        <w:t>24.6 billion to $103.6 billion as of September 30, 2020 from December 31, 2019 and average loans held for investment decreased by $7.0 billion to $105.4 billion in the third quarter of 2020 compared to the third quarter of 2019 primarily due to a decline i</w:t>
      </w:r>
      <w:r>
        <w:rPr>
          <w:rFonts w:eastAsia="Times New Roman"/>
          <w:color w:val="000000"/>
          <w:sz w:val="20"/>
          <w:szCs w:val="20"/>
        </w:rPr>
        <w:t>n purchase volume and higher payments in response to the COVID-19 pandemic. Period-end loans held for investment also declined due to the transfer of a $2.1 billion partnership loan portfolio to held for sale as of September 30, 2020.</w:t>
      </w:r>
    </w:p>
    <w:p w:rsidR="00000000" w:rsidRDefault="00795D39">
      <w:pPr>
        <w:spacing w:before="180" w:after="180"/>
        <w:ind w:hanging="360"/>
        <w:jc w:val="both"/>
        <w:divId w:val="1534612461"/>
        <w:rPr>
          <w:rFonts w:eastAsia="Times New Roman"/>
        </w:rPr>
      </w:pPr>
      <w:r>
        <w:rPr>
          <w:rFonts w:eastAsia="Times New Roman"/>
          <w:color w:val="000000"/>
          <w:sz w:val="20"/>
          <w:szCs w:val="20"/>
        </w:rPr>
        <w:t>◦</w:t>
      </w:r>
      <w:r>
        <w:rPr>
          <w:rFonts w:eastAsia="Times New Roman"/>
          <w:color w:val="000000"/>
          <w:sz w:val="20"/>
          <w:szCs w:val="20"/>
        </w:rPr>
        <w:t>Average loans held for investment increased by $727 million to $112.3 billion in the first nine months of 2020 compared to the first nine months of 2019 primarily due to the acquired Walmart portfolio, largely offset by a decline in purchase volume and hig</w:t>
      </w:r>
      <w:r>
        <w:rPr>
          <w:rFonts w:eastAsia="Times New Roman"/>
          <w:color w:val="000000"/>
          <w:sz w:val="20"/>
          <w:szCs w:val="20"/>
        </w:rPr>
        <w:t>her payments in response to the COVID-19 pandemic.</w:t>
      </w:r>
    </w:p>
    <w:p w:rsidR="00000000" w:rsidRDefault="00795D39">
      <w:pPr>
        <w:ind w:hanging="360"/>
        <w:jc w:val="both"/>
        <w:divId w:val="1002196453"/>
        <w:rPr>
          <w:rFonts w:eastAsia="Times New Roman"/>
        </w:rPr>
      </w:pPr>
      <w:r>
        <w:rPr>
          <w:rFonts w:eastAsia="Times New Roman"/>
          <w:color w:val="000000"/>
          <w:sz w:val="20"/>
          <w:szCs w:val="20"/>
        </w:rPr>
        <w:t>•</w:t>
      </w:r>
      <w:r>
        <w:rPr>
          <w:rFonts w:eastAsia="Times New Roman"/>
          <w:i/>
          <w:iCs/>
          <w:color w:val="000000"/>
          <w:sz w:val="20"/>
          <w:szCs w:val="20"/>
        </w:rPr>
        <w:t>Net Charge-Off and Delinquency Metrics:</w:t>
      </w:r>
      <w:r>
        <w:rPr>
          <w:rFonts w:eastAsia="Times New Roman"/>
          <w:color w:val="000000"/>
          <w:sz w:val="20"/>
          <w:szCs w:val="20"/>
        </w:rPr>
        <w:t xml:space="preserve"> The net charge-off rate decreased by 51 basis points to 3.58% in the third quarter of 2020 compared to the third quarter of 2019 and decreased by 32 basis points to</w:t>
      </w:r>
      <w:r>
        <w:rPr>
          <w:rFonts w:eastAsia="Times New Roman"/>
          <w:color w:val="000000"/>
          <w:sz w:val="20"/>
          <w:szCs w:val="20"/>
        </w:rPr>
        <w:t xml:space="preserve"> 4.26% in the first nine months of 2020 compared to the first nine months of 2019 primarily driven by strong credit performance in Domestic Card due to consumer payment behavior, the impact of the government stimulus, and the impact of the acquired Walmart</w:t>
      </w:r>
      <w:r>
        <w:rPr>
          <w:rFonts w:eastAsia="Times New Roman"/>
          <w:color w:val="000000"/>
          <w:sz w:val="20"/>
          <w:szCs w:val="20"/>
        </w:rPr>
        <w:t xml:space="preserve"> portfolio.</w:t>
      </w:r>
    </w:p>
    <w:p w:rsidR="00000000" w:rsidRDefault="00795D39">
      <w:pPr>
        <w:jc w:val="both"/>
        <w:divId w:val="1896045250"/>
        <w:rPr>
          <w:rFonts w:eastAsia="Times New Roman"/>
        </w:rPr>
      </w:pPr>
      <w:r>
        <w:rPr>
          <w:rFonts w:eastAsia="Times New Roman"/>
          <w:color w:val="000000"/>
          <w:sz w:val="20"/>
          <w:szCs w:val="20"/>
        </w:rPr>
        <w:t>The 30+ day delinquency rate decreased by 170 basis points to 2.21% as of September 30, 2020 from December 31, 2019 due to lower delinquency inventories in our domestic credit card loan portfolio primarily driven by consumer payment behavior, t</w:t>
      </w:r>
      <w:r>
        <w:rPr>
          <w:rFonts w:eastAsia="Times New Roman"/>
          <w:color w:val="000000"/>
          <w:sz w:val="20"/>
          <w:szCs w:val="20"/>
        </w:rPr>
        <w:t>he impact of government stimulus, and seasonality.</w:t>
      </w:r>
    </w:p>
    <w:p w:rsidR="00000000" w:rsidRDefault="00795D39">
      <w:pPr>
        <w:divId w:val="181293907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9920265"/>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0992026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0992026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49" style="width:0;height:1.5pt" o:hralign="center" o:hrstd="t" o:hr="t" fillcolor="#a0a0a0" stroked="f"/>
        </w:pict>
      </w:r>
    </w:p>
    <w:p w:rsidR="00000000" w:rsidRDefault="00795D39">
      <w:pPr>
        <w:jc w:val="both"/>
        <w:divId w:val="15145422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1886527257"/>
        <w:rPr>
          <w:rFonts w:eastAsia="Times New Roman"/>
        </w:rPr>
      </w:pPr>
      <w:r>
        <w:rPr>
          <w:rFonts w:eastAsia="Times New Roman"/>
          <w:b/>
          <w:bCs/>
          <w:color w:val="000000"/>
          <w:sz w:val="20"/>
          <w:szCs w:val="20"/>
        </w:rPr>
        <w:t>Domestic Card Business</w:t>
      </w:r>
    </w:p>
    <w:p w:rsidR="00000000" w:rsidRDefault="00795D39">
      <w:pPr>
        <w:jc w:val="both"/>
        <w:divId w:val="392044519"/>
        <w:rPr>
          <w:rFonts w:eastAsia="Times New Roman"/>
        </w:rPr>
      </w:pPr>
      <w:r>
        <w:rPr>
          <w:rFonts w:eastAsia="Times New Roman"/>
          <w:color w:val="000000"/>
          <w:sz w:val="20"/>
          <w:szCs w:val="20"/>
        </w:rPr>
        <w:t>The Domestic Card business generated net income from continuing operations of $1.3 billion in the third quarter of 2020 and net loss of $192 million in the first nine months of 2020, compared to net income from continuing operations of $837 million and $2.</w:t>
      </w:r>
      <w:r>
        <w:rPr>
          <w:rFonts w:eastAsia="Times New Roman"/>
          <w:color w:val="000000"/>
          <w:sz w:val="20"/>
          <w:szCs w:val="20"/>
        </w:rPr>
        <w:t>4 billion in the third quarter and first nine months of 2019, respectively. In the third quarter and first nine months of 2020 and 2019, the Domestic Card business accounted for greater than 90% of total net revenue of our Credit Card business.</w:t>
      </w:r>
    </w:p>
    <w:p w:rsidR="00000000" w:rsidRDefault="00795D39">
      <w:pPr>
        <w:jc w:val="both"/>
        <w:divId w:val="2109108251"/>
        <w:rPr>
          <w:rFonts w:eastAsia="Times New Roman"/>
        </w:rPr>
      </w:pPr>
      <w:r>
        <w:rPr>
          <w:rFonts w:eastAsia="Times New Roman"/>
          <w:color w:val="000000"/>
          <w:sz w:val="20"/>
          <w:szCs w:val="20"/>
        </w:rPr>
        <w:t xml:space="preserve">Table 10.1 </w:t>
      </w:r>
      <w:r>
        <w:rPr>
          <w:rFonts w:eastAsia="Times New Roman"/>
          <w:color w:val="000000"/>
          <w:sz w:val="20"/>
          <w:szCs w:val="20"/>
        </w:rPr>
        <w:t>summarizes the financial results for Domestic Card business and displays selected key metrics for the periods indicated.</w:t>
      </w:r>
    </w:p>
    <w:p w:rsidR="00000000" w:rsidRDefault="00795D39">
      <w:pPr>
        <w:divId w:val="1851069333"/>
        <w:rPr>
          <w:rFonts w:eastAsia="Times New Roman"/>
        </w:rPr>
      </w:pPr>
      <w:r>
        <w:rPr>
          <w:rFonts w:eastAsia="Times New Roman"/>
          <w:b/>
          <w:bCs/>
          <w:color w:val="000000"/>
          <w:sz w:val="18"/>
          <w:szCs w:val="18"/>
        </w:rPr>
        <w:t>Table 10.1: Domestic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2309"/>
        <w:gridCol w:w="40"/>
        <w:gridCol w:w="36"/>
        <w:gridCol w:w="36"/>
        <w:gridCol w:w="36"/>
        <w:gridCol w:w="110"/>
        <w:gridCol w:w="540"/>
        <w:gridCol w:w="200"/>
        <w:gridCol w:w="36"/>
        <w:gridCol w:w="36"/>
        <w:gridCol w:w="36"/>
        <w:gridCol w:w="110"/>
        <w:gridCol w:w="630"/>
        <w:gridCol w:w="170"/>
        <w:gridCol w:w="36"/>
        <w:gridCol w:w="36"/>
        <w:gridCol w:w="36"/>
        <w:gridCol w:w="73"/>
        <w:gridCol w:w="485"/>
        <w:gridCol w:w="271"/>
        <w:gridCol w:w="36"/>
        <w:gridCol w:w="36"/>
        <w:gridCol w:w="36"/>
        <w:gridCol w:w="110"/>
        <w:gridCol w:w="630"/>
        <w:gridCol w:w="200"/>
        <w:gridCol w:w="36"/>
        <w:gridCol w:w="36"/>
        <w:gridCol w:w="36"/>
        <w:gridCol w:w="110"/>
        <w:gridCol w:w="630"/>
        <w:gridCol w:w="170"/>
        <w:gridCol w:w="36"/>
        <w:gridCol w:w="36"/>
        <w:gridCol w:w="36"/>
        <w:gridCol w:w="73"/>
        <w:gridCol w:w="485"/>
        <w:gridCol w:w="271"/>
      </w:tblGrid>
      <w:tr w:rsidR="00000000">
        <w:trPr>
          <w:divId w:val="537399619"/>
        </w:trPr>
        <w:tc>
          <w:tcPr>
            <w:tcW w:w="50" w:type="pct"/>
            <w:vAlign w:val="center"/>
            <w:hideMark/>
          </w:tcPr>
          <w:p w:rsidR="00000000" w:rsidRDefault="00795D39">
            <w:pPr>
              <w:rPr>
                <w:rFonts w:eastAsia="Times New Roman"/>
              </w:rPr>
            </w:pPr>
          </w:p>
        </w:tc>
        <w:tc>
          <w:tcPr>
            <w:tcW w:w="18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3739961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r>
      <w:tr w:rsidR="00000000">
        <w:trPr>
          <w:divId w:val="53739961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r>
      <w:tr w:rsidR="00000000">
        <w:trPr>
          <w:divId w:val="53739961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9,792 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2,722 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37399619"/>
        </w:trPr>
        <w:tc>
          <w:tcPr>
            <w:tcW w:w="0" w:type="auto"/>
            <w:gridSpan w:val="3"/>
            <w:shd w:val="clear" w:color="auto" w:fill="FFFFFF"/>
            <w:tcMar>
              <w:top w:w="30" w:type="dxa"/>
              <w:left w:w="20" w:type="dxa"/>
              <w:bottom w:w="30" w:type="dxa"/>
              <w:right w:w="20" w:type="dxa"/>
            </w:tcMar>
            <w:vAlign w:val="center"/>
            <w:hideMark/>
          </w:tcPr>
          <w:p w:rsidR="00000000" w:rsidRDefault="00795D39">
            <w:pPr>
              <w:divId w:val="1428843321"/>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4,177 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12,059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3739961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2,076 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6,059 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1,767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bottom"/>
            <w:hideMark/>
          </w:tcPr>
          <w:p w:rsidR="00000000" w:rsidRDefault="00795D39">
            <w:pPr>
              <w:jc w:val="right"/>
              <w:rPr>
                <w:rFonts w:eastAsia="Times New Roman"/>
              </w:rPr>
            </w:pPr>
            <w:r>
              <w:rPr>
                <w:rFonts w:eastAsia="Times New Roman"/>
                <w:color w:val="000000"/>
                <w:sz w:val="18"/>
                <w:szCs w:val="18"/>
              </w:rPr>
              <w:t>**</w:t>
            </w:r>
          </w:p>
        </w:tc>
      </w:tr>
      <w:tr w:rsidR="00000000">
        <w:trPr>
          <w:divId w:val="53739961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53739961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divId w:val="566190819"/>
              <w:rPr>
                <w:rFonts w:eastAsia="Times New Roman"/>
              </w:rPr>
            </w:pPr>
            <w:r>
              <w:rPr>
                <w:rFonts w:eastAsia="Times New Roman"/>
                <w:color w:val="000000"/>
                <w:sz w:val="18"/>
                <w:szCs w:val="18"/>
              </w:rPr>
              <w:t>Average loans held for investmen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97,306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103,426 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103,980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102,677 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37399619"/>
        </w:trPr>
        <w:tc>
          <w:tcPr>
            <w:tcW w:w="0" w:type="auto"/>
            <w:gridSpan w:val="3"/>
            <w:shd w:val="clear" w:color="auto" w:fill="FFFFFF"/>
            <w:tcMar>
              <w:top w:w="30" w:type="dxa"/>
              <w:left w:w="20" w:type="dxa"/>
              <w:bottom w:w="30" w:type="dxa"/>
              <w:right w:w="20" w:type="dxa"/>
            </w:tcMar>
            <w:vAlign w:val="center"/>
            <w:hideMark/>
          </w:tcPr>
          <w:p w:rsidR="00000000" w:rsidRDefault="00795D39">
            <w:pPr>
              <w:divId w:val="834343702"/>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15.74 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15.67 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divId w:val="1133861997"/>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53739961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4.67 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53739961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98,107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99,087 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273,215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282,878 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537399619"/>
          <w:trHeight w:val="240"/>
        </w:trPr>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tcMar>
              <w:top w:w="30" w:type="dxa"/>
              <w:left w:w="20" w:type="dxa"/>
              <w:bottom w:w="30" w:type="dxa"/>
              <w:right w:w="20" w:type="dxa"/>
            </w:tcMar>
            <w:vAlign w:val="center"/>
            <w:hideMark/>
          </w:tcPr>
          <w:p w:rsidR="00000000" w:rsidRDefault="00795D39">
            <w:pPr>
              <w:divId w:val="1845508326"/>
              <w:rPr>
                <w:rFonts w:eastAsia="Times New Roman"/>
              </w:rPr>
            </w:pPr>
            <w:r>
              <w:rPr>
                <w:rFonts w:eastAsia="Times New Roman"/>
                <w:color w:val="000000"/>
                <w:sz w:val="18"/>
                <w:szCs w:val="18"/>
              </w:rPr>
              <w:t>Loans held for investmen</w:t>
            </w:r>
            <w:r>
              <w:rPr>
                <w:rFonts w:eastAsia="Times New Roman"/>
                <w:color w:val="000000"/>
                <w:sz w:val="18"/>
                <w:szCs w:val="18"/>
              </w:rPr>
              <w:t>t</w:t>
            </w:r>
            <w:r>
              <w:rPr>
                <w:rFonts w:eastAsia="Times New Roman"/>
                <w:color w:val="000000"/>
                <w:sz w:val="12"/>
                <w:szCs w:val="12"/>
              </w:rPr>
              <w:t>(3)(6</w:t>
            </w:r>
            <w:r>
              <w:rPr>
                <w:rFonts w:eastAsia="Times New Roman"/>
                <w:color w:val="000000"/>
                <w:sz w:val="12"/>
                <w:szCs w:val="12"/>
              </w:rPr>
              <w:t>)</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95,541</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118,606 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3.93 </w:t>
            </w:r>
          </w:p>
        </w:tc>
        <w:tc>
          <w:tcPr>
            <w:tcW w:w="0" w:type="auto"/>
            <w:shd w:val="clear" w:color="auto" w:fill="CCEEFF"/>
            <w:tcMar>
              <w:top w:w="30" w:type="dxa"/>
              <w:left w:w="0" w:type="dxa"/>
              <w:bottom w:w="30" w:type="dxa"/>
              <w:right w:w="2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(172)</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for credit losses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11,062</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4,997 </w:t>
            </w:r>
          </w:p>
        </w:tc>
        <w:tc>
          <w:tcPr>
            <w:tcW w:w="0" w:type="auto"/>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121 </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11.58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4.21 </w:t>
            </w:r>
          </w:p>
        </w:tc>
        <w:tc>
          <w:tcPr>
            <w:tcW w:w="0" w:type="auto"/>
            <w:shd w:val="clear" w:color="auto" w:fill="CCEEFF"/>
            <w:tcMar>
              <w:top w:w="30" w:type="dxa"/>
              <w:left w:w="0" w:type="dxa"/>
              <w:bottom w:w="30" w:type="dxa"/>
              <w:right w:w="2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737 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3739961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53739961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926498571"/>
        <w:rPr>
          <w:rFonts w:eastAsia="Times New Roman"/>
        </w:rPr>
      </w:pPr>
      <w:r>
        <w:rPr>
          <w:rFonts w:eastAsia="Times New Roman"/>
          <w:color w:val="000000"/>
          <w:sz w:val="20"/>
          <w:szCs w:val="20"/>
        </w:rPr>
        <w:t>__________</w:t>
      </w:r>
    </w:p>
    <w:p w:rsidR="00000000" w:rsidRDefault="00795D39">
      <w:pPr>
        <w:ind w:hanging="360"/>
        <w:jc w:val="both"/>
        <w:divId w:val="39416370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charge-off uncollectible amounts. Finance charges and fees charged-off as uncollectible are reflected as a reductio</w:t>
      </w:r>
      <w:r>
        <w:rPr>
          <w:rFonts w:eastAsia="Times New Roman"/>
          <w:color w:val="000000"/>
          <w:sz w:val="16"/>
          <w:szCs w:val="16"/>
        </w:rPr>
        <w:t>n in total net revenue.</w:t>
      </w:r>
    </w:p>
    <w:p w:rsidR="00000000" w:rsidRDefault="00795D39">
      <w:pPr>
        <w:ind w:hanging="360"/>
        <w:jc w:val="both"/>
        <w:divId w:val="212954497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We pay bounties to third parties for new accounts, which are considered loan origination costs and therefore deferred and amortized as an offset to revenue. Total net revenue was reduced by $97 million and $370 million in the thi</w:t>
      </w:r>
      <w:r>
        <w:rPr>
          <w:rFonts w:eastAsia="Times New Roman"/>
          <w:color w:val="000000"/>
          <w:sz w:val="16"/>
          <w:szCs w:val="16"/>
        </w:rPr>
        <w:t>rd quarter and first nine months of 2020 and by $127 million and $333 million in the third quarter and first nine months of 2019 due to the amortization of these bounties. As of September 30, 2020, approximately $95 million of deferred bounty payments rema</w:t>
      </w:r>
      <w:r>
        <w:rPr>
          <w:rFonts w:eastAsia="Times New Roman"/>
          <w:color w:val="000000"/>
          <w:sz w:val="16"/>
          <w:szCs w:val="16"/>
        </w:rPr>
        <w:t>ined to be amortized in future periods.</w:t>
      </w:r>
    </w:p>
    <w:p w:rsidR="00000000" w:rsidRDefault="00795D39">
      <w:pPr>
        <w:ind w:hanging="360"/>
        <w:jc w:val="both"/>
        <w:divId w:val="133865211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Period-end loans held for investment and average loans held for investment include billed finance charges and fees. Concurrent with our adoption of the CECL standard in the first quarter of 2020, we reclassified o</w:t>
      </w:r>
      <w:r>
        <w:rPr>
          <w:rFonts w:eastAsia="Times New Roman"/>
          <w:color w:val="000000"/>
          <w:sz w:val="16"/>
          <w:szCs w:val="16"/>
        </w:rPr>
        <w:t>ur finance charge and fee reserve to our allowance for credit losses, with a corresponding increase to credit card loans held for investment.</w:t>
      </w:r>
    </w:p>
    <w:p w:rsidR="00000000" w:rsidRDefault="00795D39">
      <w:pPr>
        <w:ind w:hanging="360"/>
        <w:jc w:val="both"/>
        <w:divId w:val="110469407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Average yield on loans held for investment is calculated by dividing annualized interest income for the period </w:t>
      </w:r>
      <w:r>
        <w:rPr>
          <w:rFonts w:eastAsia="Times New Roman"/>
          <w:color w:val="000000"/>
          <w:sz w:val="16"/>
          <w:szCs w:val="16"/>
        </w:rPr>
        <w:t>by average loans held for investment during the period. Interest income excludes various allocations including funds transfer pricing that assigns certain balance sheet assets, deposits and other liabilities and their related revenue and expenses attributa</w:t>
      </w:r>
      <w:r>
        <w:rPr>
          <w:rFonts w:eastAsia="Times New Roman"/>
          <w:color w:val="000000"/>
          <w:sz w:val="16"/>
          <w:szCs w:val="16"/>
        </w:rPr>
        <w:t>ble to each business segment</w:t>
      </w:r>
      <w:r>
        <w:rPr>
          <w:rFonts w:eastAsia="Times New Roman"/>
          <w:color w:val="000000"/>
          <w:sz w:val="20"/>
          <w:szCs w:val="20"/>
        </w:rPr>
        <w:t>.</w:t>
      </w:r>
      <w:r>
        <w:rPr>
          <w:rFonts w:eastAsia="Times New Roman"/>
          <w:color w:val="000000"/>
          <w:sz w:val="16"/>
          <w:szCs w:val="16"/>
        </w:rPr>
        <w:t xml:space="preserve"> </w:t>
      </w:r>
    </w:p>
    <w:p w:rsidR="00000000" w:rsidRDefault="00795D39">
      <w:pPr>
        <w:ind w:hanging="360"/>
        <w:jc w:val="both"/>
        <w:divId w:val="75713127"/>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net revenue margin is calculated by dividing annualized total net revenue for the period by average loans held for investment during the period.</w:t>
      </w:r>
    </w:p>
    <w:p w:rsidR="00000000" w:rsidRDefault="00795D39">
      <w:pPr>
        <w:ind w:hanging="360"/>
        <w:jc w:val="both"/>
        <w:divId w:val="1770462927"/>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We transferred a $2.1 billion partnership loan portfolio to held for</w:t>
      </w:r>
      <w:r>
        <w:rPr>
          <w:rFonts w:eastAsia="Times New Roman"/>
          <w:color w:val="000000"/>
          <w:sz w:val="16"/>
          <w:szCs w:val="16"/>
        </w:rPr>
        <w:t xml:space="preserve"> sale as of September 30, 2020. </w:t>
      </w:r>
    </w:p>
    <w:p w:rsidR="00000000" w:rsidRDefault="00795D39">
      <w:pPr>
        <w:ind w:hanging="360"/>
        <w:jc w:val="both"/>
        <w:divId w:val="60106271"/>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34381886"/>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3438188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3438188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0" style="width:0;height:1.5pt" o:hralign="center" o:hrstd="t" o:hr="t" fillcolor="#a0a0a0" stroked="f"/>
        </w:pict>
      </w:r>
    </w:p>
    <w:p w:rsidR="00000000" w:rsidRDefault="00795D39">
      <w:pPr>
        <w:jc w:val="both"/>
        <w:divId w:val="191103576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1476677905"/>
        <w:rPr>
          <w:rFonts w:eastAsia="Times New Roman"/>
        </w:rPr>
      </w:pPr>
      <w:r>
        <w:rPr>
          <w:rFonts w:eastAsia="Times New Roman"/>
          <w:color w:val="000000"/>
          <w:sz w:val="20"/>
          <w:szCs w:val="20"/>
        </w:rPr>
        <w:t>Because our Domestic Card business accounts for the substantial majority of our Credit Card business, the key factors driving the results are si</w:t>
      </w:r>
      <w:r>
        <w:rPr>
          <w:rFonts w:eastAsia="Times New Roman"/>
          <w:color w:val="000000"/>
          <w:sz w:val="20"/>
          <w:szCs w:val="20"/>
        </w:rPr>
        <w:t>milar to the key factors affecting our total Credit Card business. Net Income for our Domestic Card business increased in the third quarter of 2020 compared to the third quarter of 2019 and decreased in the first nine months of 2020 compared to the first n</w:t>
      </w:r>
      <w:r>
        <w:rPr>
          <w:rFonts w:eastAsia="Times New Roman"/>
          <w:color w:val="000000"/>
          <w:sz w:val="20"/>
          <w:szCs w:val="20"/>
        </w:rPr>
        <w:t xml:space="preserve">ine months of 2019 primarily driven by: </w:t>
      </w:r>
    </w:p>
    <w:p w:rsidR="00000000" w:rsidRDefault="00795D39">
      <w:pPr>
        <w:ind w:hanging="360"/>
        <w:jc w:val="both"/>
        <w:divId w:val="737214971"/>
        <w:rPr>
          <w:rFonts w:eastAsia="Times New Roman"/>
        </w:rPr>
      </w:pPr>
      <w:r>
        <w:rPr>
          <w:rFonts w:eastAsia="Times New Roman"/>
          <w:color w:val="000000"/>
          <w:sz w:val="20"/>
          <w:szCs w:val="20"/>
          <w:shd w:val="clear" w:color="auto" w:fill="FFFFFF"/>
        </w:rPr>
        <w:t>•</w:t>
      </w:r>
      <w:r>
        <w:rPr>
          <w:rFonts w:eastAsia="Times New Roman"/>
          <w:color w:val="000000"/>
          <w:sz w:val="20"/>
          <w:szCs w:val="20"/>
        </w:rPr>
        <w:t>lower provision for credit losses in the third quarter of 2020 due to an allowance release for partnership loans moved to held-for sale and lower loan balances, and higher provision for credit losses in the first n</w:t>
      </w:r>
      <w:r>
        <w:rPr>
          <w:rFonts w:eastAsia="Times New Roman"/>
          <w:color w:val="000000"/>
          <w:sz w:val="20"/>
          <w:szCs w:val="20"/>
        </w:rPr>
        <w:t>ine months of 2020 driven by allowance builds in the first and second quarters of 2020 due to expectations of economic worsening as a result of the COVID-19 pandemic;</w:t>
      </w:r>
    </w:p>
    <w:p w:rsidR="00000000" w:rsidRDefault="00795D39">
      <w:pPr>
        <w:ind w:hanging="360"/>
        <w:jc w:val="both"/>
        <w:divId w:val="1981570474"/>
        <w:rPr>
          <w:rFonts w:eastAsia="Times New Roman"/>
        </w:rPr>
      </w:pPr>
      <w:r>
        <w:rPr>
          <w:rFonts w:eastAsia="Times New Roman"/>
          <w:color w:val="000000"/>
          <w:sz w:val="20"/>
          <w:szCs w:val="20"/>
        </w:rPr>
        <w:t>•</w:t>
      </w:r>
      <w:r>
        <w:rPr>
          <w:rFonts w:eastAsia="Times New Roman"/>
          <w:color w:val="000000"/>
          <w:sz w:val="20"/>
          <w:szCs w:val="20"/>
        </w:rPr>
        <w:t>lower net interest income in the third quarter of 2020 due to lower margins and lower average loan balances from customer behavior in response to the COVID-19 pandemic, and lower net interest income in the first nine months of 2020 due to lower margins, pa</w:t>
      </w:r>
      <w:r>
        <w:rPr>
          <w:rFonts w:eastAsia="Times New Roman"/>
          <w:color w:val="000000"/>
          <w:sz w:val="20"/>
          <w:szCs w:val="20"/>
        </w:rPr>
        <w:t xml:space="preserve">rtially offset by growth in our domestic credit card loan portfolio, including the acquired Walmart portfolio; </w:t>
      </w:r>
    </w:p>
    <w:p w:rsidR="00000000" w:rsidRDefault="00795D39">
      <w:pPr>
        <w:ind w:hanging="360"/>
        <w:jc w:val="both"/>
        <w:divId w:val="1460613896"/>
        <w:rPr>
          <w:rFonts w:eastAsia="Times New Roman"/>
        </w:rPr>
      </w:pPr>
      <w:r>
        <w:rPr>
          <w:rFonts w:eastAsia="Times New Roman"/>
          <w:color w:val="000000"/>
          <w:sz w:val="20"/>
          <w:szCs w:val="20"/>
        </w:rPr>
        <w:t>•higher non-interest income in the third quarter of 2020 primarily driven by higher revenues from card partnership arrangements, and lower non-i</w:t>
      </w:r>
      <w:r>
        <w:rPr>
          <w:rFonts w:eastAsia="Times New Roman"/>
          <w:color w:val="000000"/>
          <w:sz w:val="20"/>
          <w:szCs w:val="20"/>
        </w:rPr>
        <w:t>nterest income in the first nine months of 2020 primarily driven by lower net interchange fees from a decline in purchase volume, partially offset by higher revenues from card partnership arrangements; and</w:t>
      </w:r>
    </w:p>
    <w:p w:rsidR="00000000" w:rsidRDefault="00795D39">
      <w:pPr>
        <w:ind w:hanging="360"/>
        <w:jc w:val="both"/>
        <w:divId w:val="1659773417"/>
        <w:rPr>
          <w:rFonts w:eastAsia="Times New Roman"/>
        </w:rPr>
      </w:pPr>
      <w:r>
        <w:rPr>
          <w:rFonts w:eastAsia="Times New Roman"/>
          <w:color w:val="000000"/>
          <w:sz w:val="20"/>
          <w:szCs w:val="20"/>
        </w:rPr>
        <w:t>•</w:t>
      </w:r>
      <w:r>
        <w:rPr>
          <w:rFonts w:eastAsia="Times New Roman"/>
          <w:color w:val="000000"/>
          <w:sz w:val="20"/>
          <w:szCs w:val="20"/>
        </w:rPr>
        <w:t>lower non-interest expense primarily driven by our decision to decrease marketing spend in the current economic environment.</w:t>
      </w:r>
    </w:p>
    <w:p w:rsidR="00000000" w:rsidRDefault="00795D39">
      <w:pPr>
        <w:divId w:val="186463252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17246943"/>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1724694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61724694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1" style="width:0;height:1.5pt" o:hralign="center" o:hrstd="t" o:hr="t" fillcolor="#a0a0a0" stroked="f"/>
        </w:pict>
      </w:r>
    </w:p>
    <w:p w:rsidR="00000000" w:rsidRDefault="00795D39">
      <w:pPr>
        <w:jc w:val="both"/>
        <w:divId w:val="169923891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705520259"/>
        <w:rPr>
          <w:rFonts w:eastAsia="Times New Roman"/>
        </w:rPr>
      </w:pPr>
      <w:r>
        <w:rPr>
          <w:rFonts w:eastAsia="Times New Roman"/>
          <w:b/>
          <w:bCs/>
          <w:color w:val="000000"/>
          <w:sz w:val="20"/>
          <w:szCs w:val="20"/>
        </w:rPr>
        <w:t>Consumer Banking Business</w:t>
      </w:r>
    </w:p>
    <w:p w:rsidR="00000000" w:rsidRDefault="00795D39">
      <w:pPr>
        <w:jc w:val="both"/>
        <w:divId w:val="1517378665"/>
        <w:rPr>
          <w:rFonts w:eastAsia="Times New Roman"/>
        </w:rPr>
      </w:pPr>
      <w:r>
        <w:rPr>
          <w:rFonts w:eastAsia="Times New Roman"/>
          <w:color w:val="000000"/>
          <w:sz w:val="20"/>
          <w:szCs w:val="20"/>
        </w:rPr>
        <w:t xml:space="preserve">The primary sources of revenue for our Consumer Banking business are net interest income from loans and deposits, net </w:t>
      </w:r>
      <w:r>
        <w:rPr>
          <w:rFonts w:eastAsia="Times New Roman"/>
          <w:color w:val="000000"/>
          <w:sz w:val="20"/>
          <w:szCs w:val="20"/>
        </w:rPr>
        <w:t>interchange income and service charges and customer-related fees. Expenses primarily consist of the provision for credit losses, operating costs and marketing expenses.</w:t>
      </w:r>
    </w:p>
    <w:p w:rsidR="00000000" w:rsidRDefault="00795D39">
      <w:pPr>
        <w:jc w:val="both"/>
        <w:divId w:val="1378817476"/>
        <w:rPr>
          <w:rFonts w:eastAsia="Times New Roman"/>
        </w:rPr>
      </w:pPr>
      <w:r>
        <w:rPr>
          <w:rFonts w:eastAsia="Times New Roman"/>
          <w:color w:val="000000"/>
          <w:sz w:val="20"/>
          <w:szCs w:val="20"/>
        </w:rPr>
        <w:t>Our Consumer Banking business generated net income from continuing operations of $796 m</w:t>
      </w:r>
      <w:r>
        <w:rPr>
          <w:rFonts w:eastAsia="Times New Roman"/>
          <w:color w:val="000000"/>
          <w:sz w:val="20"/>
          <w:szCs w:val="20"/>
        </w:rPr>
        <w:t xml:space="preserve">illion and $630 million in the third quarter and first nine months of 2020, respectively, and $505 million and $1.5 billion in the third quarter and first nine months of 2019, respectively. </w:t>
      </w:r>
    </w:p>
    <w:p w:rsidR="00000000" w:rsidRDefault="00795D39">
      <w:pPr>
        <w:jc w:val="both"/>
        <w:divId w:val="232207230"/>
        <w:rPr>
          <w:rFonts w:eastAsia="Times New Roman"/>
        </w:rPr>
      </w:pPr>
      <w:r>
        <w:rPr>
          <w:rFonts w:eastAsia="Times New Roman"/>
          <w:color w:val="000000"/>
          <w:sz w:val="20"/>
          <w:szCs w:val="20"/>
        </w:rPr>
        <w:t>Table 11 summarizes the financial results of our Consumer Banking</w:t>
      </w:r>
      <w:r>
        <w:rPr>
          <w:rFonts w:eastAsia="Times New Roman"/>
          <w:color w:val="000000"/>
          <w:sz w:val="20"/>
          <w:szCs w:val="20"/>
        </w:rPr>
        <w:t xml:space="preserve"> business and displays selected key metrics for the periods indicated.</w:t>
      </w:r>
    </w:p>
    <w:p w:rsidR="00000000" w:rsidRDefault="00795D39">
      <w:pPr>
        <w:divId w:val="87318111"/>
        <w:rPr>
          <w:rFonts w:eastAsia="Times New Roman"/>
        </w:rPr>
      </w:pPr>
      <w:r>
        <w:rPr>
          <w:rFonts w:eastAsia="Times New Roman"/>
          <w:b/>
          <w:bCs/>
          <w:color w:val="000000"/>
          <w:sz w:val="18"/>
          <w:szCs w:val="18"/>
        </w:rPr>
        <w:t xml:space="preserve">Table 11: Consumer Banking Business Results </w:t>
      </w:r>
    </w:p>
    <w:tbl>
      <w:tblPr>
        <w:tblW w:w="5000" w:type="pct"/>
        <w:tblCellMar>
          <w:top w:w="15" w:type="dxa"/>
          <w:left w:w="15" w:type="dxa"/>
          <w:bottom w:w="15" w:type="dxa"/>
          <w:right w:w="15" w:type="dxa"/>
        </w:tblCellMar>
        <w:tblLook w:val="04A0" w:firstRow="1" w:lastRow="0" w:firstColumn="1" w:lastColumn="0" w:noHBand="0" w:noVBand="1"/>
      </w:tblPr>
      <w:tblGrid>
        <w:gridCol w:w="41"/>
        <w:gridCol w:w="2220"/>
        <w:gridCol w:w="39"/>
        <w:gridCol w:w="36"/>
        <w:gridCol w:w="36"/>
        <w:gridCol w:w="36"/>
        <w:gridCol w:w="110"/>
        <w:gridCol w:w="630"/>
        <w:gridCol w:w="200"/>
        <w:gridCol w:w="36"/>
        <w:gridCol w:w="36"/>
        <w:gridCol w:w="36"/>
        <w:gridCol w:w="110"/>
        <w:gridCol w:w="630"/>
        <w:gridCol w:w="170"/>
        <w:gridCol w:w="36"/>
        <w:gridCol w:w="36"/>
        <w:gridCol w:w="36"/>
        <w:gridCol w:w="73"/>
        <w:gridCol w:w="485"/>
        <w:gridCol w:w="271"/>
        <w:gridCol w:w="36"/>
        <w:gridCol w:w="36"/>
        <w:gridCol w:w="36"/>
        <w:gridCol w:w="110"/>
        <w:gridCol w:w="630"/>
        <w:gridCol w:w="200"/>
        <w:gridCol w:w="36"/>
        <w:gridCol w:w="36"/>
        <w:gridCol w:w="36"/>
        <w:gridCol w:w="110"/>
        <w:gridCol w:w="630"/>
        <w:gridCol w:w="170"/>
        <w:gridCol w:w="36"/>
        <w:gridCol w:w="36"/>
        <w:gridCol w:w="36"/>
        <w:gridCol w:w="73"/>
        <w:gridCol w:w="485"/>
        <w:gridCol w:w="271"/>
      </w:tblGrid>
      <w:tr w:rsidR="00000000">
        <w:trPr>
          <w:divId w:val="1045325303"/>
        </w:trPr>
        <w:tc>
          <w:tcPr>
            <w:tcW w:w="50" w:type="pct"/>
            <w:vAlign w:val="center"/>
            <w:hideMark/>
          </w:tcPr>
          <w:p w:rsidR="00000000" w:rsidRDefault="00795D39">
            <w:pPr>
              <w:rPr>
                <w:rFonts w:eastAsia="Times New Roman"/>
              </w:rPr>
            </w:pPr>
          </w:p>
        </w:tc>
        <w:tc>
          <w:tcPr>
            <w:tcW w:w="18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45325303"/>
        </w:trPr>
        <w:tc>
          <w:tcPr>
            <w:tcW w:w="0" w:type="auto"/>
            <w:gridSpan w:val="3"/>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r>
      <w:tr w:rsidR="00000000">
        <w:trPr>
          <w:divId w:val="104532530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r>
      <w:tr w:rsidR="00000000">
        <w:trPr>
          <w:divId w:val="10453253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1,682 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5,070 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985 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2,981 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58 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xml:space="preserve">Income tax provision </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64,476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58,517 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62,434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57,282 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2,752 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2,790 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67,822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61,269 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65,457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60,072 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divId w:val="240679521"/>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8.47 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8.41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8.33 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248,418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204,933 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231,988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203,404 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1.43 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 loan originations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8,175 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21,723 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045325303"/>
          <w:trHeight w:val="240"/>
        </w:trPr>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65,394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60,362 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68,688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63,065 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30+ day performing delinquency rate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30+ day delinquency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0.81 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divId w:val="2126733236"/>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0.91 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4532530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249,684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213,099 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bl>
    <w:p w:rsidR="00000000" w:rsidRDefault="00795D39">
      <w:pPr>
        <w:divId w:val="1411125132"/>
        <w:rPr>
          <w:rFonts w:eastAsia="Times New Roman"/>
        </w:rPr>
      </w:pPr>
      <w:r>
        <w:rPr>
          <w:rFonts w:eastAsia="Times New Roman"/>
          <w:color w:val="000000"/>
          <w:sz w:val="20"/>
          <w:szCs w:val="20"/>
        </w:rPr>
        <w:t>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85032291"/>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85032291"/>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85032291"/>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2" style="width:0;height:1.5pt" o:hralign="center" o:hrstd="t" o:hr="t" fillcolor="#a0a0a0" stroked="f"/>
        </w:pict>
      </w:r>
    </w:p>
    <w:p w:rsidR="00000000" w:rsidRDefault="00795D39">
      <w:pPr>
        <w:jc w:val="both"/>
        <w:divId w:val="187315474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ind w:hanging="360"/>
        <w:jc w:val="both"/>
        <w:divId w:val="55057692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on loans held for investment is calculated by dividing annualized interest income for the period by average loans held for investment during the period. Interest income excludes various allocations including funds transfer pricing that assign</w:t>
      </w:r>
      <w:r>
        <w:rPr>
          <w:rFonts w:eastAsia="Times New Roman"/>
          <w:color w:val="000000"/>
          <w:sz w:val="16"/>
          <w:szCs w:val="16"/>
        </w:rPr>
        <w:t>s certain balance sheet assets, deposits and other liabilities and their related revenue and expenses attributable to each business segment.</w:t>
      </w:r>
    </w:p>
    <w:p w:rsidR="00000000" w:rsidRDefault="00795D39">
      <w:pPr>
        <w:ind w:hanging="360"/>
        <w:jc w:val="both"/>
        <w:divId w:val="143000539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assets primarily consist of nonperforming loans and repossessed assets. The total nonperforming as</w:t>
      </w:r>
      <w:r>
        <w:rPr>
          <w:rFonts w:eastAsia="Times New Roman"/>
          <w:color w:val="000000"/>
          <w:sz w:val="16"/>
          <w:szCs w:val="16"/>
        </w:rPr>
        <w:t xml:space="preserve">set rate is calculated based on total nonperforming assets divided by the combined period-end total loans held for investment and repossessed assets. </w:t>
      </w:r>
    </w:p>
    <w:p w:rsidR="00000000" w:rsidRDefault="00795D39">
      <w:pPr>
        <w:ind w:hanging="360"/>
        <w:jc w:val="both"/>
        <w:divId w:val="752824202"/>
        <w:rPr>
          <w:rFonts w:eastAsia="Times New Roman"/>
        </w:rPr>
      </w:pPr>
      <w:r>
        <w:rPr>
          <w:rFonts w:eastAsia="Times New Roman"/>
          <w:color w:val="000000"/>
          <w:sz w:val="16"/>
          <w:szCs w:val="16"/>
        </w:rPr>
        <w:t>**    Not meaningful.</w:t>
      </w:r>
    </w:p>
    <w:p w:rsidR="00000000" w:rsidRDefault="00795D39">
      <w:pPr>
        <w:jc w:val="both"/>
        <w:divId w:val="1528714250"/>
        <w:rPr>
          <w:rFonts w:eastAsia="Times New Roman"/>
        </w:rPr>
      </w:pPr>
      <w:r>
        <w:rPr>
          <w:rFonts w:eastAsia="Times New Roman"/>
          <w:color w:val="000000"/>
          <w:sz w:val="20"/>
          <w:szCs w:val="20"/>
        </w:rPr>
        <w:t>Key factors affecting the results of our Consumer Banking business for the third qu</w:t>
      </w:r>
      <w:r>
        <w:rPr>
          <w:rFonts w:eastAsia="Times New Roman"/>
          <w:color w:val="000000"/>
          <w:sz w:val="20"/>
          <w:szCs w:val="20"/>
        </w:rPr>
        <w:t>arter and first nine months of 2020 compared to the third quarter and first nine months of 2019, and changes in financial condition and credit performance between September 30, 2020 and December 31, 2019 include the following:</w:t>
      </w:r>
    </w:p>
    <w:p w:rsidR="00000000" w:rsidRDefault="00795D39">
      <w:pPr>
        <w:ind w:hanging="360"/>
        <w:jc w:val="both"/>
        <w:divId w:val="512183305"/>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Net int</w:t>
      </w:r>
      <w:r>
        <w:rPr>
          <w:rFonts w:eastAsia="Times New Roman"/>
          <w:color w:val="000000"/>
          <w:sz w:val="20"/>
          <w:szCs w:val="20"/>
        </w:rPr>
        <w:t>erest income increased by $222 million to $1.9 billion in the third quarter of 2020 primarily driven by growth in our auto loan portfolio. Net interest income increased by $156 million to $5.2 billion in the first nine months of 2020 primarily driven by gr</w:t>
      </w:r>
      <w:r>
        <w:rPr>
          <w:rFonts w:eastAsia="Times New Roman"/>
          <w:color w:val="000000"/>
          <w:sz w:val="20"/>
          <w:szCs w:val="20"/>
        </w:rPr>
        <w:t>owth in our auto loan portfolio, partially offset by lower margins in our Retail Banking business due to a decline in interest rates.</w:t>
      </w:r>
    </w:p>
    <w:p w:rsidR="00000000" w:rsidRDefault="00795D39">
      <w:pPr>
        <w:ind w:hanging="360"/>
        <w:jc w:val="both"/>
        <w:divId w:val="151869605"/>
        <w:rPr>
          <w:rFonts w:eastAsia="Times New Roman"/>
        </w:rPr>
      </w:pPr>
      <w:r>
        <w:rPr>
          <w:rFonts w:eastAsia="Times New Roman"/>
          <w:color w:val="000000"/>
          <w:sz w:val="20"/>
          <w:szCs w:val="20"/>
        </w:rPr>
        <w:t>•</w:t>
      </w:r>
      <w:r>
        <w:rPr>
          <w:rFonts w:eastAsia="Times New Roman"/>
          <w:i/>
          <w:iCs/>
          <w:color w:val="000000"/>
          <w:sz w:val="20"/>
          <w:szCs w:val="20"/>
        </w:rPr>
        <w:t xml:space="preserve">Non-Interest Income: </w:t>
      </w:r>
      <w:r>
        <w:rPr>
          <w:rFonts w:eastAsia="Times New Roman"/>
          <w:color w:val="000000"/>
          <w:sz w:val="20"/>
          <w:szCs w:val="20"/>
        </w:rPr>
        <w:t>Non-interest income decreased by $58 million to $107 million in the third quarter of 2020 and decrea</w:t>
      </w:r>
      <w:r>
        <w:rPr>
          <w:rFonts w:eastAsia="Times New Roman"/>
          <w:color w:val="000000"/>
          <w:sz w:val="20"/>
          <w:szCs w:val="20"/>
        </w:rPr>
        <w:t>sed by $161 million to $330 million in the first nine months of 2020 primarily driven by lower service charges and fees on deposit accounts as a result of the COVID-19 pandemic.</w:t>
      </w:r>
    </w:p>
    <w:p w:rsidR="00000000" w:rsidRDefault="00795D39">
      <w:pPr>
        <w:ind w:hanging="360"/>
        <w:jc w:val="both"/>
        <w:divId w:val="1324506960"/>
        <w:rPr>
          <w:rFonts w:eastAsia="Times New Roman"/>
        </w:rPr>
      </w:pPr>
      <w:r>
        <w:rPr>
          <w:rFonts w:eastAsia="Times New Roman"/>
          <w:color w:val="000000"/>
          <w:sz w:val="20"/>
          <w:szCs w:val="20"/>
          <w:shd w:val="clear" w:color="auto" w:fill="FFFFFF"/>
        </w:rPr>
        <w:t>•</w:t>
      </w:r>
      <w:r>
        <w:rPr>
          <w:rFonts w:eastAsia="Times New Roman"/>
          <w:i/>
          <w:iCs/>
          <w:color w:val="000000"/>
          <w:sz w:val="20"/>
          <w:szCs w:val="20"/>
        </w:rPr>
        <w:t xml:space="preserve">Provision for Credit Losses: </w:t>
      </w:r>
      <w:r>
        <w:rPr>
          <w:rFonts w:eastAsia="Times New Roman"/>
          <w:color w:val="000000"/>
          <w:sz w:val="20"/>
          <w:szCs w:val="20"/>
        </w:rPr>
        <w:t>Provision for credit losses decreased by $246 mi</w:t>
      </w:r>
      <w:r>
        <w:rPr>
          <w:rFonts w:eastAsia="Times New Roman"/>
          <w:color w:val="000000"/>
          <w:sz w:val="20"/>
          <w:szCs w:val="20"/>
        </w:rPr>
        <w:t>llion to a benefit of $43 million in the third quarter of 2020 due to lower losses due to short-term payment extensions offered to affected auto borrowers in response to the COVID-19 pandemic and an allowance release due to favorable auction prices. Provis</w:t>
      </w:r>
      <w:r>
        <w:rPr>
          <w:rFonts w:eastAsia="Times New Roman"/>
          <w:color w:val="000000"/>
          <w:sz w:val="20"/>
          <w:szCs w:val="20"/>
        </w:rPr>
        <w:t>ion for credit losses increased by $1.1 billion to $1.7 billion in the first nine months of 2020 driven by allowance builds in the first and second quarters of 2020 due to expectations of economic worsening as a result of the COVID-19 pandemic.</w:t>
      </w:r>
    </w:p>
    <w:p w:rsidR="00000000" w:rsidRDefault="00795D39">
      <w:pPr>
        <w:ind w:hanging="360"/>
        <w:jc w:val="both"/>
        <w:divId w:val="509562589"/>
        <w:rPr>
          <w:rFonts w:eastAsia="Times New Roman"/>
        </w:rPr>
      </w:pPr>
      <w:r>
        <w:rPr>
          <w:rFonts w:eastAsia="Times New Roman"/>
          <w:i/>
          <w:iCs/>
          <w:color w:val="000000"/>
          <w:sz w:val="20"/>
          <w:szCs w:val="20"/>
        </w:rPr>
        <w:t>•Non-Intere</w:t>
      </w:r>
      <w:r>
        <w:rPr>
          <w:rFonts w:eastAsia="Times New Roman"/>
          <w:i/>
          <w:iCs/>
          <w:color w:val="000000"/>
          <w:sz w:val="20"/>
          <w:szCs w:val="20"/>
        </w:rPr>
        <w:t>st Expense:</w:t>
      </w:r>
      <w:r>
        <w:rPr>
          <w:rFonts w:eastAsia="Times New Roman"/>
          <w:color w:val="000000"/>
          <w:sz w:val="20"/>
          <w:szCs w:val="20"/>
        </w:rPr>
        <w:t xml:space="preserve"> Non-interest expense increased by $26 million to $1.0 billion in the third quarter of 2020 and increased by $57 million to $3.0 billion in the first nine months of 2020 primarily driven by continued investment in technology and infrastructure.</w:t>
      </w:r>
    </w:p>
    <w:p w:rsidR="00000000" w:rsidRDefault="00795D39">
      <w:pPr>
        <w:ind w:hanging="360"/>
        <w:jc w:val="both"/>
        <w:divId w:val="565799005"/>
        <w:rPr>
          <w:rFonts w:eastAsia="Times New Roman"/>
        </w:rPr>
      </w:pPr>
      <w:r>
        <w:rPr>
          <w:rFonts w:eastAsia="Times New Roman"/>
          <w:i/>
          <w:iCs/>
          <w:color w:val="000000"/>
          <w:sz w:val="20"/>
          <w:szCs w:val="20"/>
        </w:rPr>
        <w:t>•Loans Held for Investment:</w:t>
      </w:r>
      <w:r>
        <w:rPr>
          <w:rFonts w:eastAsia="Times New Roman"/>
          <w:color w:val="000000"/>
          <w:sz w:val="20"/>
          <w:szCs w:val="20"/>
        </w:rPr>
        <w:t> Period-end loans held for investment increased by $5.6 billion to $68.7 billion as of September 30, 2020 from December 31, 2019, and average loans held for investment increased by $6.6 billion to $67.8 billion in the third quart</w:t>
      </w:r>
      <w:r>
        <w:rPr>
          <w:rFonts w:eastAsia="Times New Roman"/>
          <w:color w:val="000000"/>
          <w:sz w:val="20"/>
          <w:szCs w:val="20"/>
        </w:rPr>
        <w:t>er of 2020 compared to the third quarter of 2019 and increased by $5.4 billion to $65.5 billion in the first nine months of 2020 compared to the first nine months of 2019 primarily due to growth in our auto loan portfolio.</w:t>
      </w:r>
    </w:p>
    <w:p w:rsidR="00000000" w:rsidRDefault="00795D39">
      <w:pPr>
        <w:ind w:hanging="360"/>
        <w:jc w:val="both"/>
        <w:divId w:val="1510945751"/>
        <w:rPr>
          <w:rFonts w:eastAsia="Times New Roman"/>
        </w:rPr>
      </w:pPr>
      <w:r>
        <w:rPr>
          <w:rFonts w:eastAsia="Times New Roman"/>
          <w:i/>
          <w:iCs/>
          <w:color w:val="000000"/>
          <w:sz w:val="20"/>
          <w:szCs w:val="20"/>
        </w:rPr>
        <w:t>•Deposits:</w:t>
      </w:r>
      <w:r>
        <w:rPr>
          <w:rFonts w:eastAsia="Times New Roman"/>
          <w:color w:val="000000"/>
          <w:sz w:val="20"/>
          <w:szCs w:val="20"/>
        </w:rPr>
        <w:t> Period-end deposits in</w:t>
      </w:r>
      <w:r>
        <w:rPr>
          <w:rFonts w:eastAsia="Times New Roman"/>
          <w:color w:val="000000"/>
          <w:sz w:val="20"/>
          <w:szCs w:val="20"/>
        </w:rPr>
        <w:t xml:space="preserve">creased by $36.6 billion to $249.7 billion as of September 30, 2020 from December 31, 2019 primarily driven by deposit growth from increased consumer savings aided by the impact of government stimulus. </w:t>
      </w:r>
    </w:p>
    <w:p w:rsidR="00000000" w:rsidRDefault="00795D39">
      <w:pPr>
        <w:ind w:hanging="360"/>
        <w:jc w:val="both"/>
        <w:divId w:val="1578520003"/>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The net char</w:t>
      </w:r>
      <w:r>
        <w:rPr>
          <w:rFonts w:eastAsia="Times New Roman"/>
          <w:color w:val="000000"/>
          <w:sz w:val="20"/>
          <w:szCs w:val="20"/>
        </w:rPr>
        <w:t>ge-off rate decreased by 136 basis points to 0.28% in the third quarter of 2020 compared to the third quarter of 2019 and decreased by 44 basis points to 0.99% in the first nine months of 2020 compared to the first nine months of 2019 primarily driven by t</w:t>
      </w:r>
      <w:r>
        <w:rPr>
          <w:rFonts w:eastAsia="Times New Roman"/>
          <w:color w:val="000000"/>
          <w:sz w:val="20"/>
          <w:szCs w:val="20"/>
        </w:rPr>
        <w:t>he impact of short-term payment extensions offered to affected auto borrowers in response to the COVID-19 pandemic.</w:t>
      </w:r>
    </w:p>
    <w:p w:rsidR="00000000" w:rsidRDefault="00795D39">
      <w:pPr>
        <w:ind w:hanging="360"/>
        <w:jc w:val="both"/>
        <w:divId w:val="1112867763"/>
        <w:rPr>
          <w:rFonts w:eastAsia="Times New Roman"/>
        </w:rPr>
      </w:pPr>
      <w:r>
        <w:rPr>
          <w:rFonts w:eastAsia="Times New Roman"/>
          <w:color w:val="000000"/>
          <w:sz w:val="20"/>
          <w:szCs w:val="20"/>
        </w:rPr>
        <w:t>•The 30+ day delinquency rate decreased by 344 basis points to 3.90% as of September 30, 2020 from December 31, 2019 driven by lower auto de</w:t>
      </w:r>
      <w:r>
        <w:rPr>
          <w:rFonts w:eastAsia="Times New Roman"/>
          <w:color w:val="000000"/>
          <w:sz w:val="20"/>
          <w:szCs w:val="20"/>
        </w:rPr>
        <w:t>linquency inventories resulting from the short-term payment extensions offered to affected auto borrowers in response to the COVID-19 pandemic.</w:t>
      </w:r>
    </w:p>
    <w:p w:rsidR="00000000" w:rsidRDefault="00795D39">
      <w:pPr>
        <w:divId w:val="214514986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24248107"/>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2424810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2424810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3" style="width:0;height:1.5pt" o:hralign="center" o:hrstd="t" o:hr="t" fillcolor="#a0a0a0" stroked="f"/>
        </w:pict>
      </w:r>
    </w:p>
    <w:p w:rsidR="00000000" w:rsidRDefault="00795D39">
      <w:pPr>
        <w:jc w:val="both"/>
        <w:divId w:val="121060724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630016174"/>
        <w:rPr>
          <w:rFonts w:eastAsia="Times New Roman"/>
        </w:rPr>
      </w:pPr>
      <w:r>
        <w:rPr>
          <w:rFonts w:eastAsia="Times New Roman"/>
          <w:b/>
          <w:bCs/>
          <w:color w:val="000000"/>
          <w:sz w:val="20"/>
          <w:szCs w:val="20"/>
        </w:rPr>
        <w:t>Commercial Banking Business</w:t>
      </w:r>
    </w:p>
    <w:p w:rsidR="00000000" w:rsidRDefault="00795D39">
      <w:pPr>
        <w:jc w:val="both"/>
        <w:divId w:val="1369138050"/>
        <w:rPr>
          <w:rFonts w:eastAsia="Times New Roman"/>
        </w:rPr>
      </w:pPr>
      <w:r>
        <w:rPr>
          <w:rFonts w:eastAsia="Times New Roman"/>
          <w:color w:val="000000"/>
          <w:sz w:val="20"/>
          <w:szCs w:val="20"/>
        </w:rPr>
        <w:t>The primary sources of revenue for our Commercial Banking business are net interest income from loans and deposits and non-interest income from transaction fees and other products and services. Because our Commercial Banking business has loans and investme</w:t>
      </w:r>
      <w:r>
        <w:rPr>
          <w:rFonts w:eastAsia="Times New Roman"/>
          <w:color w:val="000000"/>
          <w:sz w:val="20"/>
          <w:szCs w:val="20"/>
        </w:rPr>
        <w:t>nts that generate tax-exempt income, tax credits or other tax benefits, we present the revenues on a taxable-equivalent basis. Expenses primarily consist of the provision for credit losses and operating costs.</w:t>
      </w:r>
    </w:p>
    <w:p w:rsidR="00000000" w:rsidRDefault="00795D39">
      <w:pPr>
        <w:jc w:val="both"/>
        <w:divId w:val="388695120"/>
        <w:rPr>
          <w:rFonts w:eastAsia="Times New Roman"/>
        </w:rPr>
      </w:pPr>
      <w:r>
        <w:rPr>
          <w:rFonts w:eastAsia="Times New Roman"/>
          <w:color w:val="000000"/>
          <w:sz w:val="20"/>
          <w:szCs w:val="20"/>
        </w:rPr>
        <w:t xml:space="preserve">Our Commercial Banking business generated net </w:t>
      </w:r>
      <w:r>
        <w:rPr>
          <w:rFonts w:eastAsia="Times New Roman"/>
          <w:color w:val="000000"/>
          <w:sz w:val="20"/>
          <w:szCs w:val="20"/>
        </w:rPr>
        <w:t>income from continuing operations of $309 million in the third quarter of 2020 and a net loss of $220 million in the first nine months of 2020, compared to net income of $154 million and $457 million in the third quarter and first nine months of 2019, resp</w:t>
      </w:r>
      <w:r>
        <w:rPr>
          <w:rFonts w:eastAsia="Times New Roman"/>
          <w:color w:val="000000"/>
          <w:sz w:val="20"/>
          <w:szCs w:val="20"/>
        </w:rPr>
        <w:t xml:space="preserve">ectively. </w:t>
      </w:r>
    </w:p>
    <w:p w:rsidR="00000000" w:rsidRDefault="00795D39">
      <w:pPr>
        <w:jc w:val="both"/>
        <w:divId w:val="2095931840"/>
        <w:rPr>
          <w:rFonts w:eastAsia="Times New Roman"/>
        </w:rPr>
      </w:pPr>
      <w:r>
        <w:rPr>
          <w:rFonts w:eastAsia="Times New Roman"/>
          <w:color w:val="000000"/>
          <w:sz w:val="20"/>
          <w:szCs w:val="20"/>
        </w:rPr>
        <w:t>Table 12 summarizes the financial results of our Commercial Banking business and displays selected key metrics for the periods indicated.</w:t>
      </w:r>
    </w:p>
    <w:p w:rsidR="00000000" w:rsidRDefault="00795D39">
      <w:pPr>
        <w:divId w:val="54895334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51307323"/>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5130732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5130732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4" style="width:0;height:1.5pt" o:hralign="center" o:hrstd="t" o:hr="t" fillcolor="#a0a0a0" stroked="f"/>
        </w:pict>
      </w:r>
    </w:p>
    <w:p w:rsidR="00000000" w:rsidRDefault="00795D39">
      <w:pPr>
        <w:jc w:val="both"/>
        <w:divId w:val="166431371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2096124251"/>
        <w:rPr>
          <w:rFonts w:eastAsia="Times New Roman"/>
        </w:rPr>
      </w:pPr>
      <w:r>
        <w:rPr>
          <w:rFonts w:eastAsia="Times New Roman"/>
          <w:b/>
          <w:bCs/>
          <w:color w:val="000000"/>
          <w:sz w:val="18"/>
          <w:szCs w:val="18"/>
        </w:rPr>
        <w:t>Table 12: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2579"/>
        <w:gridCol w:w="40"/>
        <w:gridCol w:w="36"/>
        <w:gridCol w:w="36"/>
        <w:gridCol w:w="36"/>
        <w:gridCol w:w="110"/>
        <w:gridCol w:w="540"/>
        <w:gridCol w:w="200"/>
        <w:gridCol w:w="36"/>
        <w:gridCol w:w="36"/>
        <w:gridCol w:w="36"/>
        <w:gridCol w:w="110"/>
        <w:gridCol w:w="540"/>
        <w:gridCol w:w="170"/>
        <w:gridCol w:w="36"/>
        <w:gridCol w:w="36"/>
        <w:gridCol w:w="36"/>
        <w:gridCol w:w="73"/>
        <w:gridCol w:w="485"/>
        <w:gridCol w:w="271"/>
        <w:gridCol w:w="36"/>
        <w:gridCol w:w="36"/>
        <w:gridCol w:w="36"/>
        <w:gridCol w:w="110"/>
        <w:gridCol w:w="540"/>
        <w:gridCol w:w="200"/>
        <w:gridCol w:w="36"/>
        <w:gridCol w:w="36"/>
        <w:gridCol w:w="36"/>
        <w:gridCol w:w="110"/>
        <w:gridCol w:w="540"/>
        <w:gridCol w:w="170"/>
        <w:gridCol w:w="36"/>
        <w:gridCol w:w="36"/>
        <w:gridCol w:w="36"/>
        <w:gridCol w:w="73"/>
        <w:gridCol w:w="485"/>
        <w:gridCol w:w="271"/>
      </w:tblGrid>
      <w:tr w:rsidR="00000000">
        <w:trPr>
          <w:divId w:val="1800341396"/>
        </w:trPr>
        <w:tc>
          <w:tcPr>
            <w:tcW w:w="50" w:type="pct"/>
            <w:vAlign w:val="center"/>
            <w:hideMark/>
          </w:tcPr>
          <w:p w:rsidR="00000000" w:rsidRDefault="00795D39">
            <w:pPr>
              <w:rPr>
                <w:rFonts w:eastAsia="Times New Roman"/>
              </w:rPr>
            </w:pPr>
          </w:p>
        </w:tc>
        <w:tc>
          <w:tcPr>
            <w:tcW w:w="18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0034139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r>
      <w:tr w:rsidR="00000000">
        <w:trPr>
          <w:divId w:val="180034139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r>
      <w:tr w:rsidR="00000000">
        <w:trPr>
          <w:divId w:val="18003413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divId w:val="1058629795"/>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divId w:val="1821193200"/>
              <w:rPr>
                <w:rFonts w:eastAsia="Times New Roman"/>
              </w:rPr>
            </w:pPr>
            <w:r>
              <w:rPr>
                <w:rFonts w:eastAsia="Times New Roman"/>
                <w:color w:val="000000"/>
                <w:sz w:val="18"/>
                <w:szCs w:val="18"/>
              </w:rPr>
              <w:t>Provision (benefit)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bottom"/>
            <w:hideMark/>
          </w:tcPr>
          <w:p w:rsidR="00000000" w:rsidRDefault="00795D39">
            <w:pPr>
              <w:jc w:val="right"/>
              <w:rPr>
                <w:rFonts w:eastAsia="Times New Roman"/>
              </w:rPr>
            </w:pPr>
            <w:r>
              <w:rPr>
                <w:rFonts w:eastAsia="Times New Roman"/>
                <w:color w:val="000000"/>
                <w:sz w:val="18"/>
                <w:szCs w:val="18"/>
              </w:rPr>
              <w:t>**</w:t>
            </w: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30,918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29,698 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31,239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29,418 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0034139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45,404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42,807 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46,264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42,474 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00341396"/>
        </w:trPr>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lending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76,322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72,505 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77,503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71,892 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0034139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Small-ticket commercial real estate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76,322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72,507 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77,503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71,985 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divId w:val="260261279"/>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36,278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30,693 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34,391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30,957 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1.21 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36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0.33 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0.17 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r>
      <w:tr w:rsidR="00000000">
        <w:trPr>
          <w:divId w:val="1800341396"/>
          <w:trHeight w:val="240"/>
        </w:trPr>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31,197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30,245 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44,697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44,263 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034139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75,894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0.60 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divId w:val="2049185751"/>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0.60 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divId w:val="691803327"/>
              <w:rPr>
                <w:rFonts w:eastAsia="Times New Roman"/>
              </w:rPr>
            </w:pPr>
            <w:r>
              <w:rPr>
                <w:rFonts w:eastAsia="Times New Roman"/>
                <w:color w:val="000000"/>
                <w:sz w:val="18"/>
                <w:szCs w:val="18"/>
              </w:rPr>
              <w:t>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1.04 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36,783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32,134 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34139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serviced for others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41,602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38,481 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bl>
    <w:p w:rsidR="00000000" w:rsidRDefault="00795D39">
      <w:pPr>
        <w:divId w:val="1301808236"/>
        <w:rPr>
          <w:rFonts w:eastAsia="Times New Roman"/>
        </w:rPr>
      </w:pPr>
      <w:r>
        <w:rPr>
          <w:rFonts w:eastAsia="Times New Roman"/>
          <w:color w:val="000000"/>
          <w:sz w:val="20"/>
          <w:szCs w:val="20"/>
        </w:rPr>
        <w:t>__________</w:t>
      </w:r>
    </w:p>
    <w:p w:rsidR="00000000" w:rsidRDefault="00795D39">
      <w:pPr>
        <w:ind w:hanging="360"/>
        <w:jc w:val="both"/>
        <w:divId w:val="10590864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rsidR="00000000" w:rsidRDefault="00795D39">
      <w:pPr>
        <w:ind w:hanging="360"/>
        <w:jc w:val="both"/>
        <w:divId w:val="180893753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provision for losses on unfunded lending commitments is included in the provision for credit losses in our consolidated statements of income and the related reserve is inc</w:t>
      </w:r>
      <w:r>
        <w:rPr>
          <w:rFonts w:eastAsia="Times New Roman"/>
          <w:color w:val="000000"/>
          <w:sz w:val="16"/>
          <w:szCs w:val="16"/>
        </w:rPr>
        <w:t>luded in other liabilities on our consolidated balance sheets. Our reserve for unfunded lending commitments totaled $195 million and $130 million as of September 30, 2020 and December 31, 2019, respectively.</w:t>
      </w:r>
    </w:p>
    <w:p w:rsidR="00000000" w:rsidRDefault="00795D39">
      <w:pPr>
        <w:ind w:hanging="360"/>
        <w:jc w:val="both"/>
        <w:divId w:val="81549401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on loans held for investment is</w:t>
      </w:r>
      <w:r>
        <w:rPr>
          <w:rFonts w:eastAsia="Times New Roman"/>
          <w:color w:val="000000"/>
          <w:sz w:val="16"/>
          <w:szCs w:val="16"/>
        </w:rPr>
        <w:t xml:space="preserve"> calculated by dividing annualized interest income for the period by average loans held for investment during the period. Interest income excludes various allocations including funds transfer pricing that assigns certain balance sheet assets, deposits and </w:t>
      </w:r>
      <w:r>
        <w:rPr>
          <w:rFonts w:eastAsia="Times New Roman"/>
          <w:color w:val="000000"/>
          <w:sz w:val="16"/>
          <w:szCs w:val="16"/>
        </w:rPr>
        <w:t>other liabilities and their related revenue and expenses attributable to each business segment.</w:t>
      </w:r>
    </w:p>
    <w:p w:rsidR="00000000" w:rsidRDefault="00795D39">
      <w:pPr>
        <w:ind w:hanging="360"/>
        <w:jc w:val="both"/>
        <w:divId w:val="18941315"/>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The total nonperforming asset rate is calculated based on total nonperformin</w:t>
      </w:r>
      <w:r>
        <w:rPr>
          <w:rFonts w:eastAsia="Times New Roman"/>
          <w:color w:val="000000"/>
          <w:sz w:val="16"/>
          <w:szCs w:val="16"/>
        </w:rPr>
        <w:t>g assets divided by the combined period-end total loans held for investment and other foreclosed assets.</w:t>
      </w:r>
    </w:p>
    <w:p w:rsidR="00000000" w:rsidRDefault="00795D39">
      <w:pPr>
        <w:ind w:hanging="360"/>
        <w:jc w:val="both"/>
        <w:divId w:val="191580859"/>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32259050"/>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3225905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3225905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5" style="width:0;height:1.5pt" o:hralign="center" o:hrstd="t" o:hr="t" fillcolor="#a0a0a0" stroked="f"/>
        </w:pict>
      </w:r>
    </w:p>
    <w:p w:rsidR="00000000" w:rsidRDefault="00795D39">
      <w:pPr>
        <w:jc w:val="both"/>
        <w:divId w:val="99957556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551622888"/>
        <w:rPr>
          <w:rFonts w:eastAsia="Times New Roman"/>
        </w:rPr>
      </w:pPr>
      <w:r>
        <w:rPr>
          <w:rFonts w:eastAsia="Times New Roman"/>
          <w:color w:val="000000"/>
          <w:sz w:val="20"/>
          <w:szCs w:val="20"/>
        </w:rPr>
        <w:t>Key factors affecting the results of our Commercial Banking business for the third quarter and first nine months of 2020 compared to the third q</w:t>
      </w:r>
      <w:r>
        <w:rPr>
          <w:rFonts w:eastAsia="Times New Roman"/>
          <w:color w:val="000000"/>
          <w:sz w:val="20"/>
          <w:szCs w:val="20"/>
        </w:rPr>
        <w:t>uarter and first nine months of 2019, and changes in financial condition and credit performance between September 30, 2020 and December 31, 2019 include the following:</w:t>
      </w:r>
    </w:p>
    <w:p w:rsidR="00000000" w:rsidRDefault="00795D39">
      <w:pPr>
        <w:ind w:hanging="360"/>
        <w:jc w:val="both"/>
        <w:divId w:val="242302180"/>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increased by $31 million to $517 million in th</w:t>
      </w:r>
      <w:r>
        <w:rPr>
          <w:rFonts w:eastAsia="Times New Roman"/>
          <w:color w:val="000000"/>
          <w:sz w:val="20"/>
          <w:szCs w:val="20"/>
        </w:rPr>
        <w:t>e third quarter of 2020 and increased by $37 million to $1.5 billion in the first nine months of 2020 as higher average loans and deposits were partially offset by slightly lower loan margins.</w:t>
      </w:r>
    </w:p>
    <w:p w:rsidR="00000000" w:rsidRDefault="00795D39">
      <w:pPr>
        <w:ind w:hanging="360"/>
        <w:jc w:val="both"/>
        <w:divId w:val="498152393"/>
        <w:rPr>
          <w:rFonts w:eastAsia="Times New Roman"/>
        </w:rPr>
      </w:pPr>
      <w:r>
        <w:rPr>
          <w:rFonts w:eastAsia="Times New Roman"/>
          <w:i/>
          <w:iCs/>
          <w:color w:val="000000"/>
          <w:sz w:val="20"/>
          <w:szCs w:val="20"/>
        </w:rPr>
        <w:t xml:space="preserve">•Non-Interest Income: </w:t>
      </w:r>
      <w:r>
        <w:rPr>
          <w:rFonts w:eastAsia="Times New Roman"/>
          <w:color w:val="000000"/>
          <w:sz w:val="20"/>
          <w:szCs w:val="20"/>
        </w:rPr>
        <w:t>Non-interest income increased by $16 mill</w:t>
      </w:r>
      <w:r>
        <w:rPr>
          <w:rFonts w:eastAsia="Times New Roman"/>
          <w:color w:val="000000"/>
          <w:sz w:val="20"/>
          <w:szCs w:val="20"/>
        </w:rPr>
        <w:t>ion to $237 million in the third quarter of 2020 primarily driven by higher revenue from our agency business partially offset by lower activity in our capital markets business and increased by $47 million to $655 million in the first nine months of 2020 pr</w:t>
      </w:r>
      <w:r>
        <w:rPr>
          <w:rFonts w:eastAsia="Times New Roman"/>
          <w:color w:val="000000"/>
          <w:sz w:val="20"/>
          <w:szCs w:val="20"/>
        </w:rPr>
        <w:t>imarily driven by higher revenue from our agency and capital markets businesses.</w:t>
      </w:r>
    </w:p>
    <w:p w:rsidR="00000000" w:rsidRDefault="00795D39">
      <w:pPr>
        <w:ind w:hanging="360"/>
        <w:jc w:val="both"/>
        <w:divId w:val="1190558783"/>
        <w:rPr>
          <w:rFonts w:eastAsia="Times New Roman"/>
        </w:rPr>
      </w:pPr>
      <w:r>
        <w:rPr>
          <w:rFonts w:eastAsia="Times New Roman"/>
          <w:color w:val="000000"/>
          <w:sz w:val="20"/>
          <w:szCs w:val="20"/>
          <w:shd w:val="clear" w:color="auto" w:fill="FFFFFF"/>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decreased by $167 million to a benefit of $74 million in the third quarter of 2020 driven by an allowance release pri</w:t>
      </w:r>
      <w:r>
        <w:rPr>
          <w:rFonts w:eastAsia="Times New Roman"/>
          <w:color w:val="000000"/>
          <w:sz w:val="20"/>
          <w:szCs w:val="20"/>
        </w:rPr>
        <w:t>marily due to lower loan balances. Provision for credit losses increased by $965 million to $1.2 billion in the first nine months of 2020 driven by allowance builds in the first and second quarters of 2020 due to expectations of economic worsening as a res</w:t>
      </w:r>
      <w:r>
        <w:rPr>
          <w:rFonts w:eastAsia="Times New Roman"/>
          <w:color w:val="000000"/>
          <w:sz w:val="20"/>
          <w:szCs w:val="20"/>
        </w:rPr>
        <w:t xml:space="preserve">ult of the COVID-19 pandemic as well as credit deterioration in our energy loan portfolio. </w:t>
      </w:r>
    </w:p>
    <w:p w:rsidR="00000000" w:rsidRDefault="00795D39">
      <w:pPr>
        <w:ind w:hanging="360"/>
        <w:jc w:val="both"/>
        <w:divId w:val="1016006890"/>
        <w:rPr>
          <w:rFonts w:eastAsia="Times New Roman"/>
        </w:rPr>
      </w:pPr>
      <w:r>
        <w:rPr>
          <w:rFonts w:eastAsia="Times New Roman"/>
          <w:color w:val="000000"/>
          <w:sz w:val="20"/>
          <w:szCs w:val="20"/>
        </w:rPr>
        <w:t>•</w:t>
      </w:r>
      <w:r>
        <w:rPr>
          <w:rFonts w:eastAsia="Times New Roman"/>
          <w:i/>
          <w:iCs/>
          <w:color w:val="000000"/>
          <w:sz w:val="20"/>
          <w:szCs w:val="20"/>
        </w:rPr>
        <w:t xml:space="preserve">Non-Interest Expense: </w:t>
      </w:r>
      <w:r>
        <w:rPr>
          <w:rFonts w:eastAsia="Times New Roman"/>
          <w:color w:val="000000"/>
          <w:sz w:val="20"/>
          <w:szCs w:val="20"/>
        </w:rPr>
        <w:t>Non-interest expense remained substantially flat at $424 million in the third quarter of 2020 and $1.3 billion in the first nine months of 20</w:t>
      </w:r>
      <w:r>
        <w:rPr>
          <w:rFonts w:eastAsia="Times New Roman"/>
          <w:color w:val="000000"/>
          <w:sz w:val="20"/>
          <w:szCs w:val="20"/>
        </w:rPr>
        <w:t>20.</w:t>
      </w:r>
    </w:p>
    <w:p w:rsidR="00000000" w:rsidRDefault="00795D39">
      <w:pPr>
        <w:ind w:hanging="360"/>
        <w:jc w:val="both"/>
        <w:divId w:val="301883667"/>
        <w:rPr>
          <w:rFonts w:eastAsia="Times New Roman"/>
        </w:rPr>
      </w:pPr>
      <w:r>
        <w:rPr>
          <w:rFonts w:eastAsia="Times New Roman"/>
          <w:color w:val="000000"/>
          <w:sz w:val="20"/>
          <w:szCs w:val="20"/>
        </w:rPr>
        <w:t>•</w:t>
      </w:r>
      <w:r>
        <w:rPr>
          <w:rFonts w:eastAsia="Times New Roman"/>
          <w:i/>
          <w:iCs/>
          <w:color w:val="000000"/>
          <w:sz w:val="20"/>
          <w:szCs w:val="20"/>
        </w:rPr>
        <w:t>Loans Held for Investment:</w:t>
      </w:r>
      <w:r>
        <w:rPr>
          <w:rFonts w:eastAsia="Times New Roman"/>
          <w:color w:val="000000"/>
          <w:sz w:val="20"/>
          <w:szCs w:val="20"/>
        </w:rPr>
        <w:t xml:space="preserve"> Period-end loans held for investment increased by $1.4 billion to $75.9 billion as of September 30, 2020 from December 31, 2019, and average loans held for investment increased by $3.8 billion to $76.3 billion in the third q</w:t>
      </w:r>
      <w:r>
        <w:rPr>
          <w:rFonts w:eastAsia="Times New Roman"/>
          <w:color w:val="000000"/>
          <w:sz w:val="20"/>
          <w:szCs w:val="20"/>
        </w:rPr>
        <w:t xml:space="preserve">uarter of 2020 compared to the third quarter of 2019 and increased by $5.5 billion to $77.5 billion in the first nine months of 2020 compared to the first nine months of 2019 driven by growth across our commercial loan portfolio. </w:t>
      </w:r>
    </w:p>
    <w:p w:rsidR="00000000" w:rsidRDefault="00795D39">
      <w:pPr>
        <w:ind w:hanging="360"/>
        <w:jc w:val="both"/>
        <w:divId w:val="754135990"/>
        <w:rPr>
          <w:rFonts w:eastAsia="Times New Roman"/>
        </w:rPr>
      </w:pPr>
      <w:r>
        <w:rPr>
          <w:rFonts w:eastAsia="Times New Roman"/>
          <w:color w:val="000000"/>
          <w:sz w:val="20"/>
          <w:szCs w:val="20"/>
        </w:rPr>
        <w:t>•</w:t>
      </w:r>
      <w:r>
        <w:rPr>
          <w:rFonts w:eastAsia="Times New Roman"/>
          <w:i/>
          <w:iCs/>
          <w:color w:val="000000"/>
          <w:sz w:val="20"/>
          <w:szCs w:val="20"/>
        </w:rPr>
        <w:t>Deposits:</w:t>
      </w:r>
      <w:r>
        <w:rPr>
          <w:rFonts w:eastAsia="Times New Roman"/>
          <w:color w:val="000000"/>
          <w:sz w:val="20"/>
          <w:szCs w:val="20"/>
        </w:rPr>
        <w:t xml:space="preserve"> </w:t>
      </w:r>
      <w:r>
        <w:rPr>
          <w:rFonts w:eastAsia="Times New Roman"/>
          <w:color w:val="000000"/>
          <w:sz w:val="20"/>
          <w:szCs w:val="20"/>
        </w:rPr>
        <w:t>Period-end deposits increased by $4.6 billion to $36.8 billion as of September 30, 2020 from December 31, 2019 primarily driven by elevated client liquidity.</w:t>
      </w:r>
    </w:p>
    <w:p w:rsidR="00000000" w:rsidRDefault="00795D39">
      <w:pPr>
        <w:ind w:hanging="360"/>
        <w:jc w:val="both"/>
        <w:divId w:val="1661543213"/>
        <w:rPr>
          <w:rFonts w:eastAsia="Times New Roman"/>
        </w:rPr>
      </w:pPr>
      <w:r>
        <w:rPr>
          <w:rFonts w:eastAsia="Times New Roman"/>
          <w:color w:val="000000"/>
          <w:sz w:val="20"/>
          <w:szCs w:val="20"/>
        </w:rPr>
        <w:t>•</w:t>
      </w:r>
      <w:r>
        <w:rPr>
          <w:rFonts w:eastAsia="Times New Roman"/>
          <w:i/>
          <w:iCs/>
          <w:color w:val="000000"/>
          <w:sz w:val="20"/>
          <w:szCs w:val="20"/>
        </w:rPr>
        <w:t>Net Charge-Off and Nonperforming Metrics:</w:t>
      </w:r>
      <w:r>
        <w:rPr>
          <w:rFonts w:eastAsia="Times New Roman"/>
          <w:color w:val="000000"/>
          <w:sz w:val="20"/>
          <w:szCs w:val="20"/>
        </w:rPr>
        <w:t xml:space="preserve"> The net charge-off rate increased by 10 basis points to</w:t>
      </w:r>
      <w:r>
        <w:rPr>
          <w:rFonts w:eastAsia="Times New Roman"/>
          <w:color w:val="000000"/>
          <w:sz w:val="20"/>
          <w:szCs w:val="20"/>
        </w:rPr>
        <w:t xml:space="preserve"> 0.43% in the third quarter of 2020 primarily driven by isolated charge-offs in our real estate portfolio and increased by 33 basis points to 0.50% in the first nine months of 2020 primarily driven by elevated charge-offs in our energy loan portfolio.</w:t>
      </w:r>
    </w:p>
    <w:p w:rsidR="00000000" w:rsidRDefault="00795D39">
      <w:pPr>
        <w:jc w:val="both"/>
        <w:divId w:val="392700049"/>
        <w:rPr>
          <w:rFonts w:eastAsia="Times New Roman"/>
        </w:rPr>
      </w:pPr>
      <w:r>
        <w:rPr>
          <w:rFonts w:eastAsia="Times New Roman"/>
          <w:color w:val="000000"/>
          <w:sz w:val="20"/>
          <w:szCs w:val="20"/>
        </w:rPr>
        <w:t xml:space="preserve">The </w:t>
      </w:r>
      <w:r>
        <w:rPr>
          <w:rFonts w:eastAsia="Times New Roman"/>
          <w:color w:val="000000"/>
          <w:sz w:val="20"/>
          <w:szCs w:val="20"/>
        </w:rPr>
        <w:t>nonperforming loan rate increased by 41 basis points to 1.01% as of September 30, 2020 from December 31, 2019 driven by credit downgrades in industries that are impacted by the COVID-19 pandemic.</w:t>
      </w:r>
    </w:p>
    <w:p w:rsidR="00000000" w:rsidRDefault="00795D39">
      <w:pPr>
        <w:divId w:val="2051882236"/>
        <w:rPr>
          <w:rFonts w:eastAsia="Times New Roman"/>
        </w:rPr>
      </w:pPr>
      <w:r>
        <w:rPr>
          <w:rFonts w:eastAsia="Times New Roman"/>
          <w:b/>
          <w:bCs/>
          <w:color w:val="000000"/>
          <w:sz w:val="20"/>
          <w:szCs w:val="20"/>
        </w:rPr>
        <w:t>Other Category</w:t>
      </w:r>
    </w:p>
    <w:p w:rsidR="00000000" w:rsidRDefault="00795D39">
      <w:pPr>
        <w:jc w:val="both"/>
        <w:divId w:val="682321073"/>
        <w:rPr>
          <w:rFonts w:eastAsia="Times New Roman"/>
        </w:rPr>
      </w:pPr>
      <w:r>
        <w:rPr>
          <w:rFonts w:eastAsia="Times New Roman"/>
          <w:color w:val="000000"/>
          <w:sz w:val="20"/>
          <w:szCs w:val="20"/>
        </w:rPr>
        <w:t>Other includes unallocated amounts related to</w:t>
      </w:r>
      <w:r>
        <w:rPr>
          <w:rFonts w:eastAsia="Times New Roman"/>
          <w:color w:val="000000"/>
          <w:sz w:val="20"/>
          <w:szCs w:val="20"/>
        </w:rPr>
        <w:t xml:space="preserve"> our centralized Corporate Treasury group activities, such as management of our corporate investment securities portfolio, asset/liability management and certain capital management activities. Other also includes:</w:t>
      </w:r>
    </w:p>
    <w:p w:rsidR="00000000" w:rsidRDefault="00795D39">
      <w:pPr>
        <w:ind w:hanging="360"/>
        <w:jc w:val="both"/>
        <w:divId w:val="1966503414"/>
        <w:rPr>
          <w:rFonts w:eastAsia="Times New Roman"/>
        </w:rPr>
      </w:pPr>
      <w:r>
        <w:rPr>
          <w:rFonts w:eastAsia="Times New Roman"/>
          <w:color w:val="000000"/>
          <w:sz w:val="20"/>
          <w:szCs w:val="20"/>
        </w:rPr>
        <w:t>•unallocated corporate revenue and expense</w:t>
      </w:r>
      <w:r>
        <w:rPr>
          <w:rFonts w:eastAsia="Times New Roman"/>
          <w:color w:val="000000"/>
          <w:sz w:val="20"/>
          <w:szCs w:val="20"/>
        </w:rPr>
        <w:t>s that do not directly support the operations of the business segments or for which the business segments are not considered financially accountable in evaluating their performance, such as certain restructuring charges;</w:t>
      </w:r>
    </w:p>
    <w:p w:rsidR="00000000" w:rsidRDefault="00795D39">
      <w:pPr>
        <w:ind w:hanging="360"/>
        <w:jc w:val="both"/>
        <w:divId w:val="382564812"/>
        <w:rPr>
          <w:rFonts w:eastAsia="Times New Roman"/>
        </w:rPr>
      </w:pPr>
      <w:r>
        <w:rPr>
          <w:rFonts w:eastAsia="Times New Roman"/>
          <w:color w:val="000000"/>
          <w:sz w:val="20"/>
          <w:szCs w:val="20"/>
        </w:rPr>
        <w:t>•offsets related to certain line-it</w:t>
      </w:r>
      <w:r>
        <w:rPr>
          <w:rFonts w:eastAsia="Times New Roman"/>
          <w:color w:val="000000"/>
          <w:sz w:val="20"/>
          <w:szCs w:val="20"/>
        </w:rPr>
        <w:t>em reclassifications;</w:t>
      </w:r>
    </w:p>
    <w:p w:rsidR="00000000" w:rsidRDefault="00795D39">
      <w:pPr>
        <w:ind w:hanging="360"/>
        <w:jc w:val="both"/>
        <w:divId w:val="807628560"/>
        <w:rPr>
          <w:rFonts w:eastAsia="Times New Roman"/>
        </w:rPr>
      </w:pPr>
      <w:r>
        <w:rPr>
          <w:rFonts w:eastAsia="Times New Roman"/>
          <w:color w:val="000000"/>
          <w:sz w:val="20"/>
          <w:szCs w:val="20"/>
        </w:rPr>
        <w:t>•residual tax expense or benefit to arrive at the consolidated effective tax rate that is not assessed to our primary business segments; and</w:t>
      </w:r>
    </w:p>
    <w:p w:rsidR="00000000" w:rsidRDefault="00795D39">
      <w:pPr>
        <w:ind w:hanging="360"/>
        <w:jc w:val="both"/>
        <w:divId w:val="1374234701"/>
        <w:rPr>
          <w:rFonts w:eastAsia="Times New Roman"/>
        </w:rPr>
      </w:pPr>
      <w:r>
        <w:rPr>
          <w:rFonts w:eastAsia="Times New Roman"/>
          <w:color w:val="000000"/>
          <w:sz w:val="20"/>
          <w:szCs w:val="20"/>
        </w:rPr>
        <w:t>•foreign exchange-rate fluctuations on foreign currency-denominated balances.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06224218"/>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0622421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0622421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6" style="width:0;height:1.5pt" o:hralign="center" o:hrstd="t" o:hr="t" fillcolor="#a0a0a0" stroked="f"/>
        </w:pict>
      </w:r>
    </w:p>
    <w:p w:rsidR="00000000" w:rsidRDefault="00795D39">
      <w:pPr>
        <w:jc w:val="both"/>
        <w:divId w:val="16752364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664283130"/>
        <w:rPr>
          <w:rFonts w:eastAsia="Times New Roman"/>
        </w:rPr>
      </w:pPr>
      <w:r>
        <w:rPr>
          <w:rFonts w:eastAsia="Times New Roman"/>
          <w:color w:val="000000"/>
          <w:sz w:val="20"/>
          <w:szCs w:val="20"/>
        </w:rPr>
        <w:t>Table 13 summarizes the financial results of our Other category for the periods indicated.</w:t>
      </w:r>
    </w:p>
    <w:p w:rsidR="00000000" w:rsidRDefault="00795D39">
      <w:pPr>
        <w:divId w:val="1197767352"/>
        <w:rPr>
          <w:rFonts w:eastAsia="Times New Roman"/>
        </w:rPr>
      </w:pPr>
      <w:r>
        <w:rPr>
          <w:rFonts w:eastAsia="Times New Roman"/>
          <w:b/>
          <w:bCs/>
          <w:color w:val="000000"/>
          <w:sz w:val="18"/>
          <w:szCs w:val="18"/>
        </w:rPr>
        <w:t>Table 13: Other Category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3009"/>
        <w:gridCol w:w="37"/>
        <w:gridCol w:w="36"/>
        <w:gridCol w:w="36"/>
        <w:gridCol w:w="36"/>
        <w:gridCol w:w="110"/>
        <w:gridCol w:w="683"/>
        <w:gridCol w:w="36"/>
        <w:gridCol w:w="36"/>
        <w:gridCol w:w="36"/>
        <w:gridCol w:w="36"/>
        <w:gridCol w:w="110"/>
        <w:gridCol w:w="683"/>
        <w:gridCol w:w="36"/>
        <w:gridCol w:w="36"/>
        <w:gridCol w:w="36"/>
        <w:gridCol w:w="36"/>
        <w:gridCol w:w="73"/>
        <w:gridCol w:w="485"/>
        <w:gridCol w:w="170"/>
        <w:gridCol w:w="36"/>
        <w:gridCol w:w="36"/>
        <w:gridCol w:w="36"/>
        <w:gridCol w:w="110"/>
        <w:gridCol w:w="541"/>
        <w:gridCol w:w="36"/>
        <w:gridCol w:w="36"/>
        <w:gridCol w:w="36"/>
        <w:gridCol w:w="36"/>
        <w:gridCol w:w="110"/>
        <w:gridCol w:w="627"/>
        <w:gridCol w:w="36"/>
        <w:gridCol w:w="36"/>
        <w:gridCol w:w="36"/>
        <w:gridCol w:w="36"/>
        <w:gridCol w:w="73"/>
        <w:gridCol w:w="485"/>
        <w:gridCol w:w="170"/>
      </w:tblGrid>
      <w:tr w:rsidR="00000000">
        <w:trPr>
          <w:divId w:val="1501042914"/>
        </w:trPr>
        <w:tc>
          <w:tcPr>
            <w:tcW w:w="50" w:type="pct"/>
            <w:vAlign w:val="center"/>
            <w:hideMark/>
          </w:tcPr>
          <w:p w:rsidR="00000000" w:rsidRDefault="00795D39">
            <w:pPr>
              <w:rPr>
                <w:rFonts w:eastAsia="Times New Roman"/>
              </w:rPr>
            </w:pPr>
          </w:p>
        </w:tc>
        <w:tc>
          <w:tcPr>
            <w:tcW w:w="186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0104291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r>
      <w:tr w:rsidR="00000000">
        <w:trPr>
          <w:divId w:val="150104291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Change</w:t>
            </w:r>
          </w:p>
        </w:tc>
      </w:tr>
      <w:tr w:rsidR="00000000">
        <w:trPr>
          <w:divId w:val="15010429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0104291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 (loss)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50104291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501042914"/>
        </w:trPr>
        <w:tc>
          <w:tcPr>
            <w:tcW w:w="0" w:type="auto"/>
            <w:gridSpan w:val="3"/>
            <w:shd w:val="clear" w:color="auto" w:fill="FFFFFF"/>
            <w:tcMar>
              <w:top w:w="30" w:type="dxa"/>
              <w:left w:w="20" w:type="dxa"/>
              <w:bottom w:w="30" w:type="dxa"/>
              <w:right w:w="20" w:type="dxa"/>
            </w:tcMar>
            <w:vAlign w:val="center"/>
            <w:hideMark/>
          </w:tcPr>
          <w:p w:rsidR="00000000" w:rsidRDefault="00795D39">
            <w:pPr>
              <w:divId w:val="424498085"/>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50104291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501042914"/>
        </w:trPr>
        <w:tc>
          <w:tcPr>
            <w:tcW w:w="0" w:type="auto"/>
            <w:gridSpan w:val="3"/>
            <w:shd w:val="clear" w:color="auto" w:fill="FFFFFF"/>
            <w:tcMar>
              <w:top w:w="30" w:type="dxa"/>
              <w:left w:w="20" w:type="dxa"/>
              <w:bottom w:w="30" w:type="dxa"/>
              <w:right w:w="20" w:type="dxa"/>
            </w:tcMar>
            <w:vAlign w:val="center"/>
            <w:hideMark/>
          </w:tcPr>
          <w:p w:rsidR="00000000" w:rsidRDefault="00795D39">
            <w:pPr>
              <w:divId w:val="310445389"/>
              <w:rPr>
                <w:rFonts w:eastAsia="Times New Roman"/>
              </w:rPr>
            </w:pPr>
            <w:r>
              <w:rPr>
                <w:rFonts w:eastAsia="Times New Roman"/>
                <w:color w:val="000000"/>
                <w:sz w:val="18"/>
                <w:szCs w:val="18"/>
              </w:rPr>
              <w:t>Non-interest expens</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r>
      <w:tr w:rsidR="00000000">
        <w:trPr>
          <w:divId w:val="150104291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bottom"/>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50104291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104291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w:t>
            </w:r>
          </w:p>
        </w:tc>
      </w:tr>
    </w:tbl>
    <w:p w:rsidR="00000000" w:rsidRDefault="00795D39">
      <w:pPr>
        <w:divId w:val="513610847"/>
        <w:rPr>
          <w:rFonts w:eastAsia="Times New Roman"/>
        </w:rPr>
      </w:pPr>
      <w:r>
        <w:rPr>
          <w:rFonts w:eastAsia="Times New Roman"/>
          <w:color w:val="000000"/>
          <w:sz w:val="20"/>
          <w:szCs w:val="20"/>
        </w:rPr>
        <w:t>__________</w:t>
      </w:r>
    </w:p>
    <w:p w:rsidR="00000000" w:rsidRDefault="00795D39">
      <w:pPr>
        <w:ind w:hanging="360"/>
        <w:jc w:val="both"/>
        <w:divId w:val="6596071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w:t>
      </w:r>
      <w:r>
        <w:rPr>
          <w:rFonts w:eastAsia="Times New Roman"/>
          <w:color w:val="000000"/>
          <w:sz w:val="16"/>
          <w:szCs w:val="16"/>
        </w:rPr>
        <w:t>resent our Commercial Banking revenue and yields on a taxable-equivalent basis, calculated using the federal statutory tax rate of 21% and state taxes where applicable, with offsetting reductions to the Other category.</w:t>
      </w:r>
    </w:p>
    <w:p w:rsidR="00000000" w:rsidRDefault="00795D39">
      <w:pPr>
        <w:ind w:hanging="360"/>
        <w:jc w:val="both"/>
        <w:divId w:val="124329618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legal reserve builds of $40 million and $350 million, and net Cybersecurity Incident expenses of $6 million and $21 million in the third quarter and first nine months of 2020, respectively.</w:t>
      </w:r>
    </w:p>
    <w:p w:rsidR="00000000" w:rsidRDefault="00795D39">
      <w:pPr>
        <w:ind w:hanging="360"/>
        <w:jc w:val="both"/>
        <w:divId w:val="1598632561"/>
        <w:rPr>
          <w:rFonts w:eastAsia="Times New Roman"/>
        </w:rPr>
      </w:pPr>
      <w:r>
        <w:rPr>
          <w:rFonts w:eastAsia="Times New Roman"/>
          <w:color w:val="000000"/>
          <w:sz w:val="16"/>
          <w:szCs w:val="16"/>
        </w:rPr>
        <w:t>**    Not meaningful.</w:t>
      </w:r>
    </w:p>
    <w:p w:rsidR="00000000" w:rsidRDefault="00795D39">
      <w:pPr>
        <w:jc w:val="both"/>
        <w:divId w:val="1063524527"/>
        <w:rPr>
          <w:rFonts w:eastAsia="Times New Roman"/>
        </w:rPr>
      </w:pPr>
      <w:r>
        <w:rPr>
          <w:rFonts w:eastAsia="Times New Roman"/>
          <w:color w:val="000000"/>
          <w:sz w:val="20"/>
          <w:szCs w:val="20"/>
        </w:rPr>
        <w:t>Net loss from continuing operations</w:t>
      </w:r>
      <w:r>
        <w:rPr>
          <w:rFonts w:eastAsia="Times New Roman"/>
          <w:color w:val="000000"/>
          <w:sz w:val="20"/>
          <w:szCs w:val="20"/>
        </w:rPr>
        <w:t xml:space="preserve"> was $113 million and $64 million in the third quarter of 2020 and 2019, respectively, primarily driven by an increase in income tax provision due to changes in expectations in pre-tax income for 2020, partially offset by a gain of $470 million on our equi</w:t>
      </w:r>
      <w:r>
        <w:rPr>
          <w:rFonts w:eastAsia="Times New Roman"/>
          <w:color w:val="000000"/>
          <w:sz w:val="20"/>
          <w:szCs w:val="20"/>
        </w:rPr>
        <w:t xml:space="preserve">ty investment in Snowflake Inc., which recently completed its initial public offering. </w:t>
      </w:r>
    </w:p>
    <w:p w:rsidR="00000000" w:rsidRDefault="00795D39">
      <w:pPr>
        <w:jc w:val="both"/>
        <w:divId w:val="1875337842"/>
        <w:rPr>
          <w:rFonts w:eastAsia="Times New Roman"/>
        </w:rPr>
      </w:pPr>
      <w:r>
        <w:rPr>
          <w:rFonts w:eastAsia="Times New Roman"/>
          <w:color w:val="000000"/>
          <w:sz w:val="20"/>
          <w:szCs w:val="20"/>
        </w:rPr>
        <w:t>Net loss from continuing operations was $151 million and $41 million in the first nine months of 2020 and 2019, respectively, primarily driven by legal reserve builds a</w:t>
      </w:r>
      <w:r>
        <w:rPr>
          <w:rFonts w:eastAsia="Times New Roman"/>
          <w:color w:val="000000"/>
          <w:sz w:val="20"/>
          <w:szCs w:val="20"/>
        </w:rPr>
        <w:t>nd reduced income tax benefit, partially offset by the gain on our equity investment in Snowflake Inc. noted above.</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82008533"/>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8200853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CRITICAL ACCOUNTING POLICIES AND ESTIMATES</w:t>
            </w:r>
          </w:p>
        </w:tc>
      </w:tr>
    </w:tbl>
    <w:p w:rsidR="00000000" w:rsidRDefault="00795D39">
      <w:pPr>
        <w:jc w:val="both"/>
        <w:divId w:val="816066631"/>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“Note </w:t>
      </w:r>
      <w:r>
        <w:rPr>
          <w:rFonts w:eastAsia="Times New Roman"/>
          <w:color w:val="000000"/>
          <w:sz w:val="20"/>
          <w:szCs w:val="20"/>
        </w:rPr>
        <w:t xml:space="preserve">1—Summary of Significant Accounting Policies” in this Report and in our December 31, 2019 Form 10-K. </w:t>
      </w:r>
    </w:p>
    <w:p w:rsidR="00000000" w:rsidRDefault="00795D39">
      <w:pPr>
        <w:jc w:val="both"/>
        <w:divId w:val="600727153"/>
        <w:rPr>
          <w:rFonts w:eastAsia="Times New Roman"/>
        </w:rPr>
      </w:pPr>
      <w:r>
        <w:rPr>
          <w:rFonts w:eastAsia="Times New Roman"/>
          <w:color w:val="000000"/>
          <w:sz w:val="20"/>
          <w:szCs w:val="20"/>
        </w:rPr>
        <w:t>We have identified the following accounting estimates as critical because they require significant judgments and assumptions about highly complex and inhe</w:t>
      </w:r>
      <w:r>
        <w:rPr>
          <w:rFonts w:eastAsia="Times New Roman"/>
          <w:color w:val="000000"/>
          <w:sz w:val="20"/>
          <w:szCs w:val="20"/>
        </w:rPr>
        <w:t>rently uncertain matters and the use of reasonably different estimates and assumptions could have a material impact on our results of operations or financial condition. Our critical accounting policies and estimates are as follows:</w:t>
      </w:r>
    </w:p>
    <w:p w:rsidR="00000000" w:rsidRDefault="00795D39">
      <w:pPr>
        <w:ind w:hanging="360"/>
        <w:divId w:val="1113327876"/>
        <w:rPr>
          <w:rFonts w:eastAsia="Times New Roman"/>
        </w:rPr>
      </w:pPr>
      <w:r>
        <w:rPr>
          <w:rFonts w:eastAsia="Times New Roman"/>
          <w:color w:val="000000"/>
          <w:sz w:val="20"/>
          <w:szCs w:val="20"/>
        </w:rPr>
        <w:t>•Loan loss reserves</w:t>
      </w:r>
    </w:p>
    <w:p w:rsidR="00000000" w:rsidRDefault="00795D39">
      <w:pPr>
        <w:ind w:hanging="360"/>
        <w:divId w:val="1650210466"/>
        <w:rPr>
          <w:rFonts w:eastAsia="Times New Roman"/>
        </w:rPr>
      </w:pPr>
      <w:r>
        <w:rPr>
          <w:rFonts w:eastAsia="Times New Roman"/>
          <w:color w:val="000000"/>
          <w:sz w:val="20"/>
          <w:szCs w:val="20"/>
        </w:rPr>
        <w:t>•Ass</w:t>
      </w:r>
      <w:r>
        <w:rPr>
          <w:rFonts w:eastAsia="Times New Roman"/>
          <w:color w:val="000000"/>
          <w:sz w:val="20"/>
          <w:szCs w:val="20"/>
        </w:rPr>
        <w:t>et impairment</w:t>
      </w:r>
    </w:p>
    <w:p w:rsidR="00000000" w:rsidRDefault="00795D39">
      <w:pPr>
        <w:ind w:hanging="360"/>
        <w:divId w:val="229003402"/>
        <w:rPr>
          <w:rFonts w:eastAsia="Times New Roman"/>
        </w:rPr>
      </w:pPr>
      <w:r>
        <w:rPr>
          <w:rFonts w:eastAsia="Times New Roman"/>
          <w:color w:val="000000"/>
          <w:sz w:val="20"/>
          <w:szCs w:val="20"/>
        </w:rPr>
        <w:t>•Fair value of financial instruments</w:t>
      </w:r>
    </w:p>
    <w:p w:rsidR="00000000" w:rsidRDefault="00795D39">
      <w:pPr>
        <w:ind w:hanging="360"/>
        <w:divId w:val="1539514098"/>
        <w:rPr>
          <w:rFonts w:eastAsia="Times New Roman"/>
        </w:rPr>
      </w:pPr>
      <w:r>
        <w:rPr>
          <w:rFonts w:eastAsia="Times New Roman"/>
          <w:color w:val="000000"/>
          <w:sz w:val="20"/>
          <w:szCs w:val="20"/>
        </w:rPr>
        <w:t>•Customer rewards reserve</w:t>
      </w:r>
    </w:p>
    <w:p w:rsidR="00000000" w:rsidRDefault="00795D39">
      <w:pPr>
        <w:jc w:val="both"/>
        <w:divId w:val="1159615083"/>
        <w:rPr>
          <w:rFonts w:eastAsia="Times New Roman"/>
        </w:rPr>
      </w:pPr>
      <w:r>
        <w:rPr>
          <w:rFonts w:eastAsia="Times New Roman"/>
          <w:color w:val="000000"/>
          <w:sz w:val="20"/>
          <w:szCs w:val="20"/>
        </w:rPr>
        <w:t>We evaluate our critical accounting estimates and judgments on an ongoing basis and update them as necessary, based on changing conditions.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791995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791995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9791995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7" style="width:0;height:1.5pt" o:hralign="center" o:hrstd="t" o:hr="t" fillcolor="#a0a0a0" stroked="f"/>
        </w:pict>
      </w:r>
    </w:p>
    <w:p w:rsidR="00000000" w:rsidRDefault="00795D39">
      <w:pPr>
        <w:jc w:val="both"/>
        <w:divId w:val="2413999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1272470397"/>
        <w:rPr>
          <w:rFonts w:eastAsia="Times New Roman"/>
        </w:rPr>
      </w:pPr>
      <w:r>
        <w:rPr>
          <w:rFonts w:eastAsia="Times New Roman"/>
          <w:b/>
          <w:bCs/>
          <w:color w:val="000000"/>
          <w:sz w:val="20"/>
          <w:szCs w:val="20"/>
        </w:rPr>
        <w:t>Loan Loss Reserves</w:t>
      </w:r>
    </w:p>
    <w:p w:rsidR="00000000" w:rsidRDefault="00795D39">
      <w:pPr>
        <w:jc w:val="both"/>
        <w:divId w:val="1909998276"/>
        <w:rPr>
          <w:rFonts w:eastAsia="Times New Roman"/>
        </w:rPr>
      </w:pPr>
      <w:r>
        <w:rPr>
          <w:rFonts w:eastAsia="Times New Roman"/>
          <w:color w:val="000000"/>
          <w:sz w:val="20"/>
          <w:szCs w:val="20"/>
        </w:rPr>
        <w:t>In the first quarter of 2020, we adopted Accounting Standards Update (“ASU”) No. 2016-13, Financial Instruments—Credit Losses</w:t>
      </w:r>
      <w:r>
        <w:rPr>
          <w:rFonts w:eastAsia="Times New Roman"/>
          <w:color w:val="000000"/>
          <w:sz w:val="20"/>
          <w:szCs w:val="20"/>
        </w:rPr>
        <w:t xml:space="preserve"> (Topic 326): </w:t>
      </w:r>
      <w:r>
        <w:rPr>
          <w:rFonts w:eastAsia="Times New Roman"/>
          <w:i/>
          <w:iCs/>
          <w:color w:val="000000"/>
          <w:sz w:val="20"/>
          <w:szCs w:val="20"/>
        </w:rPr>
        <w:t>Measurement of Credit Losses on Financial Instruments</w:t>
      </w:r>
      <w:r>
        <w:rPr>
          <w:rFonts w:eastAsia="Times New Roman"/>
          <w:color w:val="000000"/>
          <w:sz w:val="20"/>
          <w:szCs w:val="20"/>
        </w:rPr>
        <w:t xml:space="preserve"> (“CECL”) and updated our critical accounting policy and estimate for loan loss reserves. We maintain an allowance for credit losses that represents management’s current estimate of expecte</w:t>
      </w:r>
      <w:r>
        <w:rPr>
          <w:rFonts w:eastAsia="Times New Roman"/>
          <w:color w:val="000000"/>
          <w:sz w:val="20"/>
          <w:szCs w:val="20"/>
        </w:rPr>
        <w:t>d credit losses inherent in our credit card, consumer banking and commercial banking loans held for investment as of each balance sheet date. We also separately reserve for unfunded lending commitments that are not unconditionally cancellable. For all such</w:t>
      </w:r>
      <w:r>
        <w:rPr>
          <w:rFonts w:eastAsia="Times New Roman"/>
          <w:color w:val="000000"/>
          <w:sz w:val="20"/>
          <w:szCs w:val="20"/>
        </w:rPr>
        <w:t xml:space="preserve"> loans and unfunded lending commitments, our estimate of expected credit losses includes a reasonable and supportable forecast period of one year and then reverts over a one-year period to historical losses. We build our allowance for credit losses and res</w:t>
      </w:r>
      <w:r>
        <w:rPr>
          <w:rFonts w:eastAsia="Times New Roman"/>
          <w:color w:val="000000"/>
          <w:sz w:val="20"/>
          <w:szCs w:val="20"/>
        </w:rPr>
        <w:t>erve for unfunded lending commitments through the provision for credit losses, which is driven by charge-offs, changes in the allowance for credit losses and changes in the reserve for unfunded lending commitments. The allowance for credit losses was $16.1</w:t>
      </w:r>
      <w:r>
        <w:rPr>
          <w:rFonts w:eastAsia="Times New Roman"/>
          <w:color w:val="000000"/>
          <w:sz w:val="20"/>
          <w:szCs w:val="20"/>
        </w:rPr>
        <w:t xml:space="preserve"> billion as of September 30, 2020 and $7.2 billion as of December 31, 2019.</w:t>
      </w:r>
    </w:p>
    <w:p w:rsidR="00000000" w:rsidRDefault="00795D39">
      <w:pPr>
        <w:jc w:val="both"/>
        <w:divId w:val="2109424868"/>
        <w:rPr>
          <w:rFonts w:eastAsia="Times New Roman"/>
        </w:rPr>
      </w:pPr>
      <w:r>
        <w:rPr>
          <w:rFonts w:eastAsia="Times New Roman"/>
          <w:color w:val="000000"/>
          <w:sz w:val="20"/>
          <w:szCs w:val="20"/>
        </w:rPr>
        <w:t>We have an established process, using analytical tools and management judgment, to determine our allowance for credit losses. Establishing the allowance each quarter involves evalu</w:t>
      </w:r>
      <w:r>
        <w:rPr>
          <w:rFonts w:eastAsia="Times New Roman"/>
          <w:color w:val="000000"/>
          <w:sz w:val="20"/>
          <w:szCs w:val="20"/>
        </w:rPr>
        <w:t xml:space="preserve">ating many factors including, but not limited to, historical loss and recovery experience, recent trends in delinquencies and charge-offs, risk ratings, the impact of bankruptcy filings, the value of collateral underlying secured loans, account seasoning, </w:t>
      </w:r>
      <w:r>
        <w:rPr>
          <w:rFonts w:eastAsia="Times New Roman"/>
          <w:color w:val="000000"/>
          <w:sz w:val="20"/>
          <w:szCs w:val="20"/>
        </w:rPr>
        <w:t>changes in our credit evaluation, underwriting and collection management policies, seasonality, credit bureau scores, current general economic conditions, our reasonable and supportable forecasts of future economic conditions, changes in the legal and regu</w:t>
      </w:r>
      <w:r>
        <w:rPr>
          <w:rFonts w:eastAsia="Times New Roman"/>
          <w:color w:val="000000"/>
          <w:sz w:val="20"/>
          <w:szCs w:val="20"/>
        </w:rPr>
        <w:t xml:space="preserve">latory environment and uncertainties in forecasting and modeling techniques used in estimating our allowance for credit losses. Key factors that have a significant impact on our allowance for credit losses include assumptions about employment levels, home </w:t>
      </w:r>
      <w:r>
        <w:rPr>
          <w:rFonts w:eastAsia="Times New Roman"/>
          <w:color w:val="000000"/>
          <w:sz w:val="20"/>
          <w:szCs w:val="20"/>
        </w:rPr>
        <w:t>prices and the valuation of commercial properties, automobiles and other collateral.</w:t>
      </w:r>
    </w:p>
    <w:p w:rsidR="00000000" w:rsidRDefault="00795D39">
      <w:pPr>
        <w:jc w:val="both"/>
        <w:divId w:val="24717535"/>
        <w:rPr>
          <w:rFonts w:eastAsia="Times New Roman"/>
        </w:rPr>
      </w:pPr>
      <w:r>
        <w:rPr>
          <w:rFonts w:eastAsia="Times New Roman"/>
          <w:color w:val="000000"/>
          <w:sz w:val="20"/>
          <w:szCs w:val="20"/>
        </w:rPr>
        <w:t>We have a governance framework intended to ensure that our estimate of the allowance for credit losses is appropriate. Our governance framework provides for oversight of m</w:t>
      </w:r>
      <w:r>
        <w:rPr>
          <w:rFonts w:eastAsia="Times New Roman"/>
          <w:color w:val="000000"/>
          <w:sz w:val="20"/>
          <w:szCs w:val="20"/>
        </w:rPr>
        <w:t>ethods, models, qualitative adjustments, process controls and results. At least quarterly, representatives from the Finance and Risk Management organizations review and assess our allowance methodologies, key assumptions and the appropriateness of the allo</w:t>
      </w:r>
      <w:r>
        <w:rPr>
          <w:rFonts w:eastAsia="Times New Roman"/>
          <w:color w:val="000000"/>
          <w:sz w:val="20"/>
          <w:szCs w:val="20"/>
        </w:rPr>
        <w:t>wance for credit losses.</w:t>
      </w:r>
    </w:p>
    <w:p w:rsidR="00000000" w:rsidRDefault="00795D39">
      <w:pPr>
        <w:jc w:val="both"/>
        <w:divId w:val="2131896866"/>
        <w:rPr>
          <w:rFonts w:eastAsia="Times New Roman"/>
        </w:rPr>
      </w:pPr>
      <w:r>
        <w:rPr>
          <w:rFonts w:eastAsia="Times New Roman"/>
          <w:color w:val="000000"/>
          <w:sz w:val="20"/>
          <w:szCs w:val="20"/>
        </w:rPr>
        <w:t>Groups independent of our estimation functions pa</w:t>
      </w:r>
      <w:r>
        <w:rPr>
          <w:rFonts w:eastAsia="Times New Roman"/>
          <w:color w:val="000000"/>
          <w:sz w:val="20"/>
          <w:szCs w:val="20"/>
        </w:rPr>
        <w:t>rticipate in the review and validation process. Tasks performed by these groups include periodic review of the rationale for and quantification of inputs requiring judgment as well as adjustments to results.</w:t>
      </w:r>
    </w:p>
    <w:p w:rsidR="00000000" w:rsidRDefault="00795D39">
      <w:pPr>
        <w:jc w:val="both"/>
        <w:divId w:val="2091193422"/>
        <w:rPr>
          <w:rFonts w:eastAsia="Times New Roman"/>
        </w:rPr>
      </w:pPr>
      <w:r>
        <w:rPr>
          <w:rFonts w:eastAsia="Times New Roman"/>
          <w:color w:val="000000"/>
          <w:sz w:val="20"/>
          <w:szCs w:val="20"/>
        </w:rPr>
        <w:t>We have a model policy, established by an independent Model Risk Office, which governs the validation of models and related supporting documentation to ensure the appropriate use of models for estimating credit losses. The Model Risk Office validates all m</w:t>
      </w:r>
      <w:r>
        <w:rPr>
          <w:rFonts w:eastAsia="Times New Roman"/>
          <w:color w:val="000000"/>
          <w:sz w:val="20"/>
          <w:szCs w:val="20"/>
        </w:rPr>
        <w:t>odels and requires ongoing monitoring of their performance.</w:t>
      </w:r>
    </w:p>
    <w:p w:rsidR="00000000" w:rsidRDefault="00795D39">
      <w:pPr>
        <w:jc w:val="both"/>
        <w:divId w:val="1960842192"/>
        <w:rPr>
          <w:rFonts w:eastAsia="Times New Roman"/>
        </w:rPr>
      </w:pPr>
      <w:r>
        <w:rPr>
          <w:rFonts w:eastAsia="Times New Roman"/>
          <w:color w:val="000000"/>
          <w:sz w:val="20"/>
          <w:szCs w:val="20"/>
        </w:rPr>
        <w:t>In addition to the allowance for credit losses, on a quarterly basis, we review and assess our estimate of expected losses related to unfunded lending commitments that are not unconditionally canc</w:t>
      </w:r>
      <w:r>
        <w:rPr>
          <w:rFonts w:eastAsia="Times New Roman"/>
          <w:color w:val="000000"/>
          <w:sz w:val="20"/>
          <w:szCs w:val="20"/>
        </w:rPr>
        <w:t>ellable. The factors impacting our assessment generally align with those considered in our evaluation of the allowance for credit losses for the Commercial Banking business. Changes to the reserve for losses on unfunded lending commitments are recorded thr</w:t>
      </w:r>
      <w:r>
        <w:rPr>
          <w:rFonts w:eastAsia="Times New Roman"/>
          <w:color w:val="000000"/>
          <w:sz w:val="20"/>
          <w:szCs w:val="20"/>
        </w:rPr>
        <w:t>ough the provision for credit losses in the consolidated statements of income and to other liabilities on the consolidated balance sheets.</w:t>
      </w:r>
    </w:p>
    <w:p w:rsidR="00000000" w:rsidRDefault="00795D39">
      <w:pPr>
        <w:jc w:val="both"/>
        <w:divId w:val="386416724"/>
        <w:rPr>
          <w:rFonts w:eastAsia="Times New Roman"/>
        </w:rPr>
      </w:pPr>
      <w:r>
        <w:rPr>
          <w:rFonts w:eastAsia="Times New Roman"/>
          <w:color w:val="000000"/>
          <w:sz w:val="20"/>
          <w:szCs w:val="20"/>
        </w:rPr>
        <w:t>Although we examine a variety of externally available data, as well as our internal loan performance data, to determi</w:t>
      </w:r>
      <w:r>
        <w:rPr>
          <w:rFonts w:eastAsia="Times New Roman"/>
          <w:color w:val="000000"/>
          <w:sz w:val="20"/>
          <w:szCs w:val="20"/>
        </w:rPr>
        <w:t>ne our allowance for credit losses and reserve for unfunded lending commitments, our estimation process is subject to risks and uncertainties, including a reliance on historical loss and trend information that may not be representative of current condition</w:t>
      </w:r>
      <w:r>
        <w:rPr>
          <w:rFonts w:eastAsia="Times New Roman"/>
          <w:color w:val="000000"/>
          <w:sz w:val="20"/>
          <w:szCs w:val="20"/>
        </w:rPr>
        <w:t>s and indicative of future performance as well as economic forecasts that may not align with actual future economic conditions. Accordingly, our actual credit loss experience may not be in line with our expectations. We provide additional information on th</w:t>
      </w:r>
      <w:r>
        <w:rPr>
          <w:rFonts w:eastAsia="Times New Roman"/>
          <w:color w:val="000000"/>
          <w:sz w:val="20"/>
          <w:szCs w:val="20"/>
        </w:rPr>
        <w:t>e methodologies and key assumptions used in determining our allowance for credit losses for each of our loan portfolio segments in “Note 1—Summary of Significant Accounting Policies” and changes in our allowance in “Note 4—Allowance for Credit Losses and R</w:t>
      </w:r>
      <w:r>
        <w:rPr>
          <w:rFonts w:eastAsia="Times New Roman"/>
          <w:color w:val="000000"/>
          <w:sz w:val="20"/>
          <w:szCs w:val="20"/>
        </w:rPr>
        <w:t>eserve for Unfunded Lending Commitments.”</w:t>
      </w:r>
    </w:p>
    <w:p w:rsidR="00000000" w:rsidRDefault="00795D39">
      <w:pPr>
        <w:divId w:val="1609465411"/>
        <w:rPr>
          <w:rFonts w:eastAsia="Times New Roman"/>
        </w:rPr>
      </w:pPr>
      <w:r>
        <w:rPr>
          <w:rFonts w:eastAsia="Times New Roman"/>
          <w:b/>
          <w:bCs/>
          <w:i/>
          <w:iCs/>
          <w:color w:val="000000"/>
          <w:sz w:val="20"/>
          <w:szCs w:val="20"/>
        </w:rPr>
        <w:t>Finance Charge and Fee Reserve</w:t>
      </w:r>
    </w:p>
    <w:p w:rsidR="00000000" w:rsidRDefault="00795D39">
      <w:pPr>
        <w:jc w:val="both"/>
        <w:divId w:val="177700862"/>
        <w:rPr>
          <w:rFonts w:eastAsia="Times New Roman"/>
        </w:rPr>
      </w:pPr>
      <w:r>
        <w:rPr>
          <w:rFonts w:eastAsia="Times New Roman"/>
          <w:color w:val="000000"/>
          <w:sz w:val="20"/>
          <w:szCs w:val="20"/>
        </w:rPr>
        <w:t>Finance charges and fees on credit card loans are recorded in revenue when earned. Billed finance charges and fees on credit card loans are included in loans held for investment while</w:t>
      </w:r>
      <w:r>
        <w:rPr>
          <w:rFonts w:eastAsia="Times New Roman"/>
          <w:color w:val="000000"/>
          <w:sz w:val="20"/>
          <w:szCs w:val="20"/>
        </w:rPr>
        <w:t xml:space="preserve"> unbilled finance charges and fees are included in interest receivable. We continue to accrue finance charges and fees on credit card loans until the account is charged off. Billed finance charges and fees that are charged-off are reflected as a reduction </w:t>
      </w:r>
      <w:r>
        <w:rPr>
          <w:rFonts w:eastAsia="Times New Roman"/>
          <w:color w:val="000000"/>
          <w:sz w:val="20"/>
          <w:szCs w:val="20"/>
        </w:rPr>
        <w:t>to revenue.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01370374"/>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10137037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0137037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8" style="width:0;height:1.5pt" o:hralign="center" o:hrstd="t" o:hr="t" fillcolor="#a0a0a0" stroked="f"/>
        </w:pict>
      </w:r>
    </w:p>
    <w:p w:rsidR="00000000" w:rsidRDefault="00795D39">
      <w:pPr>
        <w:jc w:val="both"/>
        <w:divId w:val="210495412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428426673"/>
        <w:rPr>
          <w:rFonts w:eastAsia="Times New Roman"/>
        </w:rPr>
      </w:pPr>
      <w:r>
        <w:rPr>
          <w:rFonts w:eastAsia="Times New Roman"/>
          <w:color w:val="000000"/>
          <w:sz w:val="20"/>
          <w:szCs w:val="20"/>
        </w:rPr>
        <w:t>Concurrent with our adoption of the CECL standard in the first quarter of 2020, we reclassified our finance charge and fee reserve of $462 milli</w:t>
      </w:r>
      <w:r>
        <w:rPr>
          <w:rFonts w:eastAsia="Times New Roman"/>
          <w:color w:val="000000"/>
          <w:sz w:val="20"/>
          <w:szCs w:val="20"/>
        </w:rPr>
        <w:t>on to our allowance for credit losses, with a corresponding increase to credit card loans held for investment. We review and assess the appropriateness of our finance charge and fee reserve on a quarterly basis. Our methodology for estimating the uncollect</w:t>
      </w:r>
      <w:r>
        <w:rPr>
          <w:rFonts w:eastAsia="Times New Roman"/>
          <w:color w:val="000000"/>
          <w:sz w:val="20"/>
          <w:szCs w:val="20"/>
        </w:rPr>
        <w:t>ible portion of finance charges and fees is consistent with the methodology we use to estimate the allowance for credit losses on the principal portion of our credit card loan receivables.</w:t>
      </w:r>
    </w:p>
    <w:p w:rsidR="00000000" w:rsidRDefault="00795D39">
      <w:pPr>
        <w:divId w:val="707340091"/>
        <w:rPr>
          <w:rFonts w:eastAsia="Times New Roman"/>
        </w:rPr>
      </w:pPr>
      <w:r>
        <w:rPr>
          <w:rFonts w:eastAsia="Times New Roman"/>
          <w:b/>
          <w:bCs/>
          <w:color w:val="000000"/>
          <w:sz w:val="20"/>
          <w:szCs w:val="20"/>
        </w:rPr>
        <w:t>Asset Impairment</w:t>
      </w:r>
    </w:p>
    <w:p w:rsidR="00000000" w:rsidRDefault="00795D39">
      <w:pPr>
        <w:jc w:val="both"/>
        <w:divId w:val="476995871"/>
        <w:rPr>
          <w:rFonts w:eastAsia="Times New Roman"/>
        </w:rPr>
      </w:pPr>
      <w:r>
        <w:rPr>
          <w:rFonts w:eastAsia="Times New Roman"/>
          <w:color w:val="000000"/>
          <w:sz w:val="20"/>
          <w:szCs w:val="20"/>
        </w:rPr>
        <w:t>In addition to our loan portfolio, we review other</w:t>
      </w:r>
      <w:r>
        <w:rPr>
          <w:rFonts w:eastAsia="Times New Roman"/>
          <w:color w:val="000000"/>
          <w:sz w:val="20"/>
          <w:szCs w:val="20"/>
        </w:rPr>
        <w:t xml:space="preserve"> assets for impairment on a regular basis in accordance with applicable accounting guidance. This process requires significant management judgment and involves various estimates and assumptions. </w:t>
      </w:r>
    </w:p>
    <w:p w:rsidR="00000000" w:rsidRDefault="00795D39">
      <w:pPr>
        <w:divId w:val="374432627"/>
        <w:rPr>
          <w:rFonts w:eastAsia="Times New Roman"/>
        </w:rPr>
      </w:pPr>
      <w:r>
        <w:rPr>
          <w:rFonts w:eastAsia="Times New Roman"/>
          <w:b/>
          <w:bCs/>
          <w:i/>
          <w:iCs/>
          <w:color w:val="000000"/>
          <w:sz w:val="20"/>
          <w:szCs w:val="20"/>
        </w:rPr>
        <w:t>Goodwill</w:t>
      </w:r>
    </w:p>
    <w:p w:rsidR="00000000" w:rsidRDefault="00795D39">
      <w:pPr>
        <w:jc w:val="both"/>
        <w:divId w:val="1233926555"/>
        <w:rPr>
          <w:rFonts w:eastAsia="Times New Roman"/>
        </w:rPr>
      </w:pPr>
      <w:r>
        <w:rPr>
          <w:rFonts w:eastAsia="Times New Roman"/>
          <w:color w:val="000000"/>
          <w:sz w:val="20"/>
          <w:szCs w:val="20"/>
        </w:rPr>
        <w:t>We perform our goodwill impairment test annually on</w:t>
      </w:r>
      <w:r>
        <w:rPr>
          <w:rFonts w:eastAsia="Times New Roman"/>
          <w:color w:val="000000"/>
          <w:sz w:val="20"/>
          <w:szCs w:val="20"/>
        </w:rPr>
        <w:t xml:space="preserve"> October 1 at a reporting unit level. As of our last annual test and as of September 30, 2020, we had four reporting units which included Credit Card, Auto Finance, Other Consumer Banking and Commercial Banking. We are also required to test goodwill for im</w:t>
      </w:r>
      <w:r>
        <w:rPr>
          <w:rFonts w:eastAsia="Times New Roman"/>
          <w:color w:val="000000"/>
          <w:sz w:val="20"/>
          <w:szCs w:val="20"/>
        </w:rPr>
        <w:t>pairment when a triggering event occurs that indicates it is more likely than not that the fair value of a reporting unit is below its carrying amount. The macroeconomic, industry and market factors previously identified in the first quarter of 2020 coinci</w:t>
      </w:r>
      <w:r>
        <w:rPr>
          <w:rFonts w:eastAsia="Times New Roman"/>
          <w:color w:val="000000"/>
          <w:sz w:val="20"/>
          <w:szCs w:val="20"/>
        </w:rPr>
        <w:t>ding with the COVID-19 pandemic have persisted in both the second and third quarters as there continued to be disruption in the economy and interest rates remain low. We determined it was more likely than not that the fair value of our reporting units rema</w:t>
      </w:r>
      <w:r>
        <w:rPr>
          <w:rFonts w:eastAsia="Times New Roman"/>
          <w:color w:val="000000"/>
          <w:sz w:val="20"/>
          <w:szCs w:val="20"/>
        </w:rPr>
        <w:t>ined in excess of their carrying values as of September 30, 2020. We will continue to monitor developments regarding the COVID-19 pandemic and measures implemented in response to the COVID-19 pandemic, our market capitalization, overall economic conditions</w:t>
      </w:r>
      <w:r>
        <w:rPr>
          <w:rFonts w:eastAsia="Times New Roman"/>
          <w:color w:val="000000"/>
          <w:sz w:val="20"/>
          <w:szCs w:val="20"/>
        </w:rPr>
        <w:t xml:space="preserve"> and any other triggering events or circumstances that may cause an impairment of goodwill in the future. </w:t>
      </w:r>
    </w:p>
    <w:p w:rsidR="00000000" w:rsidRDefault="00795D39">
      <w:pPr>
        <w:jc w:val="both"/>
        <w:divId w:val="43674746"/>
        <w:rPr>
          <w:rFonts w:eastAsia="Times New Roman"/>
        </w:rPr>
      </w:pPr>
      <w:r>
        <w:rPr>
          <w:rFonts w:eastAsia="Times New Roman"/>
          <w:color w:val="000000"/>
          <w:sz w:val="20"/>
          <w:szCs w:val="20"/>
        </w:rPr>
        <w:t xml:space="preserve">In the first quarter of 2020, we adopted ASU 2017-04, Intangibles—Goodwill and Other (Topic 350): </w:t>
      </w:r>
      <w:r>
        <w:rPr>
          <w:rFonts w:eastAsia="Times New Roman"/>
          <w:i/>
          <w:iCs/>
          <w:color w:val="000000"/>
          <w:sz w:val="20"/>
          <w:szCs w:val="20"/>
        </w:rPr>
        <w:t>Simplifying the Test for Goodwill Impairment</w:t>
      </w:r>
      <w:r>
        <w:rPr>
          <w:rFonts w:eastAsia="Times New Roman"/>
          <w:color w:val="000000"/>
          <w:sz w:val="20"/>
          <w:szCs w:val="20"/>
        </w:rPr>
        <w:t xml:space="preserve"> and up</w:t>
      </w:r>
      <w:r>
        <w:rPr>
          <w:rFonts w:eastAsia="Times New Roman"/>
          <w:color w:val="000000"/>
          <w:sz w:val="20"/>
          <w:szCs w:val="20"/>
        </w:rPr>
        <w:t xml:space="preserve">dated our critical accounting policy for goodwill impairment. Historical guidance for goodwill impairment testing prescribed that the company must compare each reporting unit’s carrying value to its fair value. If the carrying value exceeds fair value, an </w:t>
      </w:r>
      <w:r>
        <w:rPr>
          <w:rFonts w:eastAsia="Times New Roman"/>
          <w:color w:val="000000"/>
          <w:sz w:val="20"/>
          <w:szCs w:val="20"/>
        </w:rPr>
        <w:t>entity performs the second step, which assigns the reporting unit’s fair value to its assets and liabilities, including unrecognized assets and liabilities, in the same manner as required in purchase accounting to determine the impairment. This ASU elimina</w:t>
      </w:r>
      <w:r>
        <w:rPr>
          <w:rFonts w:eastAsia="Times New Roman"/>
          <w:color w:val="000000"/>
          <w:sz w:val="20"/>
          <w:szCs w:val="20"/>
        </w:rPr>
        <w:t>tes the second step. Under the new guidance, an impairment of a reporting unit’s goodwill is determined based on the amount by which the reporting unit’s carrying value exceeds its fair value, limited to the amount of goodwill allocated to the reporting un</w:t>
      </w:r>
      <w:r>
        <w:rPr>
          <w:rFonts w:eastAsia="Times New Roman"/>
          <w:color w:val="000000"/>
          <w:sz w:val="20"/>
          <w:szCs w:val="20"/>
        </w:rPr>
        <w:t>it.</w:t>
      </w:r>
    </w:p>
    <w:p w:rsidR="00000000" w:rsidRDefault="00795D39">
      <w:pPr>
        <w:jc w:val="both"/>
        <w:divId w:val="467090296"/>
        <w:rPr>
          <w:rFonts w:eastAsia="Times New Roman"/>
        </w:rPr>
      </w:pPr>
      <w:r>
        <w:rPr>
          <w:rFonts w:eastAsia="Times New Roman"/>
          <w:color w:val="000000"/>
          <w:sz w:val="20"/>
          <w:szCs w:val="20"/>
        </w:rPr>
        <w:t>There have been no additional changes to our critical accounting policies and estimates described in our December 31, 2019 Form 10-K under “MD&amp;A—Critical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54357120"/>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5435712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ACCOUNTING CHANGES AND DEVELOPMENTS</w:t>
            </w:r>
          </w:p>
        </w:tc>
      </w:tr>
    </w:tbl>
    <w:p w:rsidR="00000000" w:rsidRDefault="00795D39">
      <w:pPr>
        <w:divId w:val="1996376310"/>
        <w:rPr>
          <w:rFonts w:eastAsia="Times New Roman"/>
        </w:rPr>
      </w:pPr>
      <w:r>
        <w:rPr>
          <w:rFonts w:eastAsia="Times New Roman"/>
          <w:b/>
          <w:bCs/>
          <w:color w:val="000000"/>
          <w:sz w:val="20"/>
          <w:szCs w:val="20"/>
        </w:rPr>
        <w:t xml:space="preserve">Accounting Standards Issued but Not Adopted as of September 30, 2020 </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7"/>
        <w:gridCol w:w="36"/>
        <w:gridCol w:w="36"/>
        <w:gridCol w:w="36"/>
        <w:gridCol w:w="40"/>
        <w:gridCol w:w="2592"/>
        <w:gridCol w:w="36"/>
        <w:gridCol w:w="36"/>
        <w:gridCol w:w="36"/>
        <w:gridCol w:w="36"/>
        <w:gridCol w:w="41"/>
        <w:gridCol w:w="2606"/>
        <w:gridCol w:w="38"/>
      </w:tblGrid>
      <w:tr w:rsidR="00000000">
        <w:trPr>
          <w:divId w:val="1990476191"/>
          <w:jc w:val="center"/>
        </w:trPr>
        <w:tc>
          <w:tcPr>
            <w:tcW w:w="50" w:type="pct"/>
            <w:vAlign w:val="center"/>
            <w:hideMark/>
          </w:tcPr>
          <w:p w:rsidR="00000000" w:rsidRDefault="00795D39">
            <w:pPr>
              <w:rPr>
                <w:rFonts w:eastAsia="Times New Roman"/>
              </w:rPr>
            </w:pPr>
          </w:p>
        </w:tc>
        <w:tc>
          <w:tcPr>
            <w:tcW w:w="15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5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5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90476191"/>
          <w:jc w:val="center"/>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Adoption Timing and Financial Statement Impacts</w:t>
            </w:r>
          </w:p>
        </w:tc>
      </w:tr>
      <w:tr w:rsidR="00000000">
        <w:trPr>
          <w:divId w:val="1990476191"/>
          <w:jc w:val="center"/>
        </w:trPr>
        <w:tc>
          <w:tcPr>
            <w:tcW w:w="0" w:type="auto"/>
            <w:gridSpan w:val="3"/>
            <w:tcBorders>
              <w:top w:val="single" w:sz="8" w:space="0" w:color="000000"/>
            </w:tcBorders>
            <w:tcMar>
              <w:top w:w="30" w:type="dxa"/>
              <w:left w:w="20" w:type="dxa"/>
              <w:bottom w:w="30" w:type="dxa"/>
              <w:right w:w="20" w:type="dxa"/>
            </w:tcMar>
            <w:hideMark/>
          </w:tcPr>
          <w:p w:rsidR="00000000" w:rsidRDefault="00795D39">
            <w:pPr>
              <w:divId w:val="634144428"/>
              <w:rPr>
                <w:rFonts w:eastAsia="Times New Roman"/>
              </w:rPr>
            </w:pPr>
            <w:r>
              <w:rPr>
                <w:rFonts w:eastAsia="Times New Roman"/>
                <w:b/>
                <w:bCs/>
                <w:color w:val="000000"/>
                <w:sz w:val="18"/>
                <w:szCs w:val="18"/>
              </w:rPr>
              <w:t>Reference Rate Reform</w:t>
            </w:r>
          </w:p>
          <w:p w:rsidR="00000000" w:rsidRDefault="00795D39">
            <w:pPr>
              <w:divId w:val="1395272479"/>
              <w:rPr>
                <w:rFonts w:eastAsia="Times New Roman"/>
              </w:rPr>
            </w:pPr>
            <w:r>
              <w:rPr>
                <w:rFonts w:eastAsia="Times New Roman"/>
                <w:color w:val="000000"/>
                <w:sz w:val="18"/>
                <w:szCs w:val="18"/>
              </w:rPr>
              <w:t xml:space="preserve">ASU No. 2020-04, Reference Rate Reform (Topic 848): </w:t>
            </w:r>
            <w:r>
              <w:rPr>
                <w:rFonts w:eastAsia="Times New Roman"/>
                <w:i/>
                <w:iCs/>
                <w:color w:val="000000"/>
                <w:sz w:val="18"/>
                <w:szCs w:val="18"/>
              </w:rPr>
              <w:t>Facilitation of the Effect of Reference Rate Reform on Financial Reporting</w:t>
            </w:r>
          </w:p>
          <w:p w:rsidR="00000000" w:rsidRDefault="00795D39">
            <w:pPr>
              <w:divId w:val="1323581330"/>
              <w:rPr>
                <w:rFonts w:eastAsia="Times New Roman"/>
              </w:rPr>
            </w:pPr>
            <w:r>
              <w:rPr>
                <w:rFonts w:eastAsia="Times New Roman"/>
                <w:i/>
                <w:iCs/>
                <w:color w:val="000000"/>
                <w:sz w:val="18"/>
                <w:szCs w:val="18"/>
              </w:rPr>
              <w:t>Issued March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divId w:val="1332369365"/>
              <w:rPr>
                <w:rFonts w:eastAsia="Times New Roman"/>
              </w:rPr>
            </w:pPr>
            <w:r>
              <w:rPr>
                <w:rFonts w:eastAsia="Times New Roman"/>
                <w:color w:val="000000"/>
                <w:sz w:val="18"/>
                <w:szCs w:val="18"/>
              </w:rPr>
              <w:t>The amendments in this ASU provide optional expedients and exceptions for applying generally accepted accounting principles (GAAP) to contracts, hedging relationships, and other transactions affected by reference rate reform if certain criteria are met.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 xml:space="preserve">This ASU is effective from March 12, 2020 through December 31, 2022 with early adoption as of January 1, 2020 permitted. </w:t>
            </w:r>
            <w:r>
              <w:rPr>
                <w:rFonts w:eastAsia="Times New Roman"/>
                <w:color w:val="000000"/>
                <w:sz w:val="18"/>
                <w:szCs w:val="18"/>
              </w:rPr>
              <w:br/>
            </w:r>
            <w:r>
              <w:rPr>
                <w:rFonts w:eastAsia="Times New Roman"/>
                <w:color w:val="000000"/>
                <w:sz w:val="18"/>
                <w:szCs w:val="18"/>
              </w:rPr>
              <w:br/>
              <w:t>We are evaluating the expected impact of and our operational readiness for this ASU.</w:t>
            </w:r>
          </w:p>
        </w:tc>
      </w:tr>
      <w:tr w:rsidR="00000000">
        <w:trPr>
          <w:divId w:val="1990476191"/>
          <w:jc w:val="center"/>
        </w:trPr>
        <w:tc>
          <w:tcPr>
            <w:tcW w:w="0" w:type="auto"/>
            <w:gridSpan w:val="3"/>
            <w:tcBorders>
              <w:top w:val="single" w:sz="8" w:space="0" w:color="000000"/>
            </w:tcBorders>
            <w:tcMar>
              <w:top w:w="30" w:type="dxa"/>
              <w:left w:w="20" w:type="dxa"/>
              <w:bottom w:w="30" w:type="dxa"/>
              <w:right w:w="20" w:type="dxa"/>
            </w:tcMar>
            <w:hideMark/>
          </w:tcPr>
          <w:p w:rsidR="00000000" w:rsidRDefault="00795D39">
            <w:pPr>
              <w:divId w:val="892345970"/>
              <w:rPr>
                <w:rFonts w:eastAsia="Times New Roman"/>
              </w:rPr>
            </w:pPr>
            <w:r>
              <w:rPr>
                <w:rFonts w:eastAsia="Times New Roman"/>
                <w:b/>
                <w:bCs/>
                <w:color w:val="000000"/>
                <w:sz w:val="18"/>
                <w:szCs w:val="18"/>
              </w:rPr>
              <w:t>Income Tax Accounting Simplification</w:t>
            </w:r>
          </w:p>
          <w:p w:rsidR="00000000" w:rsidRDefault="00795D39">
            <w:pPr>
              <w:divId w:val="226041876"/>
              <w:rPr>
                <w:rFonts w:eastAsia="Times New Roman"/>
              </w:rPr>
            </w:pPr>
            <w:r>
              <w:rPr>
                <w:rFonts w:eastAsia="Times New Roman"/>
                <w:color w:val="000000"/>
                <w:sz w:val="18"/>
                <w:szCs w:val="18"/>
              </w:rPr>
              <w:t>ASU N</w:t>
            </w:r>
            <w:r>
              <w:rPr>
                <w:rFonts w:eastAsia="Times New Roman"/>
                <w:color w:val="000000"/>
                <w:sz w:val="18"/>
                <w:szCs w:val="18"/>
              </w:rPr>
              <w:t>o. 2019-12, Income Taxes (Topic 740):</w:t>
            </w:r>
            <w:r>
              <w:rPr>
                <w:rFonts w:eastAsia="Times New Roman"/>
                <w:i/>
                <w:iCs/>
                <w:color w:val="000000"/>
                <w:sz w:val="18"/>
                <w:szCs w:val="18"/>
              </w:rPr>
              <w:t xml:space="preserve"> Simplifying the Accounting for Income Taxes</w:t>
            </w:r>
          </w:p>
          <w:p w:rsidR="00000000" w:rsidRDefault="00795D39">
            <w:pPr>
              <w:divId w:val="792595556"/>
              <w:rPr>
                <w:rFonts w:eastAsia="Times New Roman"/>
              </w:rPr>
            </w:pPr>
            <w:r>
              <w:rPr>
                <w:rFonts w:eastAsia="Times New Roman"/>
                <w:i/>
                <w:iCs/>
                <w:color w:val="000000"/>
                <w:sz w:val="18"/>
                <w:szCs w:val="18"/>
              </w:rPr>
              <w:t>Issued December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divId w:val="1561205401"/>
              <w:rPr>
                <w:rFonts w:eastAsia="Times New Roman"/>
              </w:rPr>
            </w:pPr>
            <w:r>
              <w:rPr>
                <w:rFonts w:eastAsia="Times New Roman"/>
                <w:color w:val="000000"/>
                <w:sz w:val="18"/>
                <w:szCs w:val="18"/>
              </w:rPr>
              <w:t>Simplifies various aspects of the guidance on accounting for income taxes.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 xml:space="preserve">This ASU is effective January 1, 2021 with early adoption permitted, using the retrospective, modified retrospective and prospective methods of adoption. </w:t>
            </w:r>
            <w:r>
              <w:rPr>
                <w:rFonts w:eastAsia="Times New Roman"/>
                <w:color w:val="000000"/>
                <w:sz w:val="18"/>
                <w:szCs w:val="18"/>
              </w:rPr>
              <w:br/>
            </w:r>
            <w:r>
              <w:rPr>
                <w:rFonts w:eastAsia="Times New Roman"/>
                <w:color w:val="000000"/>
                <w:sz w:val="18"/>
                <w:szCs w:val="18"/>
              </w:rPr>
              <w:br/>
              <w:t>We are currently evaluating the impact of adopting this standard.</w:t>
            </w:r>
          </w:p>
        </w:tc>
      </w:tr>
      <w:tr w:rsidR="00000000">
        <w:trPr>
          <w:divId w:val="1990476191"/>
          <w:jc w:val="center"/>
        </w:trPr>
        <w:tc>
          <w:tcPr>
            <w:tcW w:w="0" w:type="auto"/>
            <w:gridSpan w:val="3"/>
            <w:vAlign w:val="center"/>
            <w:hideMark/>
          </w:tcPr>
          <w:p w:rsidR="00000000" w:rsidRDefault="00795D39">
            <w:pP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jc w:val="both"/>
        <w:divId w:val="55053144"/>
        <w:rPr>
          <w:rFonts w:eastAsia="Times New Roman"/>
        </w:rPr>
      </w:pPr>
      <w:r>
        <w:rPr>
          <w:rFonts w:eastAsia="Times New Roman"/>
          <w:color w:val="000000"/>
          <w:sz w:val="20"/>
          <w:szCs w:val="20"/>
        </w:rPr>
        <w:t>See “</w:t>
      </w:r>
      <w:r>
        <w:rPr>
          <w:rFonts w:eastAsia="Times New Roman"/>
          <w:color w:val="000000"/>
          <w:sz w:val="20"/>
          <w:szCs w:val="20"/>
        </w:rPr>
        <w:t>Note 1—Summary of Significant Accounting Policies” for information on the accounting standards we adopted in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95969504"/>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9596950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9596950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59" style="width:0;height:1.5pt" o:hralign="center" o:hrstd="t" o:hr="t" fillcolor="#a0a0a0" stroked="f"/>
        </w:pict>
      </w:r>
    </w:p>
    <w:p w:rsidR="00000000" w:rsidRDefault="00795D39">
      <w:pPr>
        <w:jc w:val="both"/>
        <w:divId w:val="764963669"/>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59562961"/>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59562961"/>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20"/>
                <w:szCs w:val="20"/>
              </w:rPr>
              <w:t>CAPITAL MANAGEMENT</w:t>
            </w:r>
          </w:p>
        </w:tc>
      </w:tr>
    </w:tbl>
    <w:p w:rsidR="00000000" w:rsidRDefault="00795D39">
      <w:pPr>
        <w:jc w:val="both"/>
        <w:divId w:val="800805644"/>
        <w:rPr>
          <w:rFonts w:eastAsia="Times New Roman"/>
        </w:rPr>
      </w:pPr>
      <w:r>
        <w:rPr>
          <w:rFonts w:eastAsia="Times New Roman"/>
          <w:color w:val="000000"/>
          <w:sz w:val="20"/>
          <w:szCs w:val="20"/>
        </w:rPr>
        <w:t>The level and composition of our capital are determined by multiple factors, including our consolidated regulatory capital requirements and internal risk-based capital assessments such as internal stress testing and economic capital. The level and composit</w:t>
      </w:r>
      <w:r>
        <w:rPr>
          <w:rFonts w:eastAsia="Times New Roman"/>
          <w:color w:val="000000"/>
          <w:sz w:val="20"/>
          <w:szCs w:val="20"/>
        </w:rPr>
        <w:t>ion of our capital may also be influenced by rating agency guidelines, subsidiary capital requirements, business environment, conditions in the financial markets and assessments of potential future losses due to adverse changes in our business and market e</w:t>
      </w:r>
      <w:r>
        <w:rPr>
          <w:rFonts w:eastAsia="Times New Roman"/>
          <w:color w:val="000000"/>
          <w:sz w:val="20"/>
          <w:szCs w:val="20"/>
        </w:rPr>
        <w:t>nvironments.</w:t>
      </w:r>
    </w:p>
    <w:p w:rsidR="00000000" w:rsidRDefault="00795D39">
      <w:pPr>
        <w:divId w:val="250546814"/>
        <w:rPr>
          <w:rFonts w:eastAsia="Times New Roman"/>
        </w:rPr>
      </w:pPr>
      <w:r>
        <w:rPr>
          <w:rFonts w:eastAsia="Times New Roman"/>
          <w:b/>
          <w:bCs/>
          <w:color w:val="000000"/>
          <w:sz w:val="20"/>
          <w:szCs w:val="20"/>
        </w:rPr>
        <w:t>Capital Standards and Prompt Corrective Action</w:t>
      </w:r>
    </w:p>
    <w:p w:rsidR="00000000" w:rsidRDefault="00795D39">
      <w:pPr>
        <w:jc w:val="both"/>
        <w:divId w:val="77486355"/>
        <w:rPr>
          <w:rFonts w:eastAsia="Times New Roman"/>
        </w:rPr>
      </w:pPr>
      <w:r>
        <w:rPr>
          <w:rFonts w:eastAsia="Times New Roman"/>
          <w:color w:val="000000"/>
          <w:sz w:val="20"/>
          <w:szCs w:val="20"/>
        </w:rPr>
        <w:t>We are subject to capital adequacy standards adopted by the Board of Governors of the Federal Reserve System (“Federal Reserve”), Office of the Comptroller of the Currency (“OCC”) and Federal Depo</w:t>
      </w:r>
      <w:r>
        <w:rPr>
          <w:rFonts w:eastAsia="Times New Roman"/>
          <w:color w:val="000000"/>
          <w:sz w:val="20"/>
          <w:szCs w:val="20"/>
        </w:rPr>
        <w:t>sit Insurance Corporation (“FDIC”) (collectively, the “Federal Banking Agencies”), including the capital rules that implemented the Basel III capital framework (“Basel III Capital Rule”) developed by the Basel Committee on Banking Supervision (“Basel Commi</w:t>
      </w:r>
      <w:r>
        <w:rPr>
          <w:rFonts w:eastAsia="Times New Roman"/>
          <w:color w:val="000000"/>
          <w:sz w:val="20"/>
          <w:szCs w:val="20"/>
        </w:rPr>
        <w:t>ttee”). Moreover, the Banks, as insured depository institutions, are subject to Prompt Corrective Action (“PCA”) capital regulations.</w:t>
      </w:r>
    </w:p>
    <w:p w:rsidR="00000000" w:rsidRDefault="00795D39">
      <w:pPr>
        <w:jc w:val="both"/>
        <w:divId w:val="1322083147"/>
        <w:rPr>
          <w:rFonts w:eastAsia="Times New Roman"/>
        </w:rPr>
      </w:pPr>
      <w:r>
        <w:rPr>
          <w:rFonts w:eastAsia="Times New Roman"/>
          <w:color w:val="000000"/>
          <w:sz w:val="20"/>
          <w:szCs w:val="20"/>
        </w:rPr>
        <w:t>The Basel III Capital Rule includes the “Basel III Standardized Approach” and the “Basel III Advanced Approaches.” We ente</w:t>
      </w:r>
      <w:r>
        <w:rPr>
          <w:rFonts w:eastAsia="Times New Roman"/>
          <w:color w:val="000000"/>
          <w:sz w:val="20"/>
          <w:szCs w:val="20"/>
        </w:rPr>
        <w:t>red parallel run under Basel III Advanced Approaches on January 1, 2015, during which we were required to calculate capital ratios under both the Basel III Standardized Approach and the Basel III Advanced Approaches, though we used the Standardized Approac</w:t>
      </w:r>
      <w:r>
        <w:rPr>
          <w:rFonts w:eastAsia="Times New Roman"/>
          <w:color w:val="000000"/>
          <w:sz w:val="20"/>
          <w:szCs w:val="20"/>
        </w:rPr>
        <w:t>h for purposes of meeting regulatory capital requirements.</w:t>
      </w:r>
    </w:p>
    <w:p w:rsidR="00000000" w:rsidRDefault="00795D39">
      <w:pPr>
        <w:jc w:val="both"/>
        <w:divId w:val="1377848600"/>
        <w:rPr>
          <w:rFonts w:eastAsia="Times New Roman"/>
        </w:rPr>
      </w:pPr>
      <w:r>
        <w:rPr>
          <w:rFonts w:eastAsia="Times New Roman"/>
          <w:color w:val="000000"/>
          <w:sz w:val="20"/>
          <w:szCs w:val="20"/>
        </w:rPr>
        <w:t>In October 2019, the Federal Banking Agencies amended the Basel III Capital Rule to provide for tailored application of certain capital requirements across different categories of banking instituti</w:t>
      </w:r>
      <w:r>
        <w:rPr>
          <w:rFonts w:eastAsia="Times New Roman"/>
          <w:color w:val="000000"/>
          <w:sz w:val="20"/>
          <w:szCs w:val="20"/>
        </w:rPr>
        <w:t>ons (“Tailoring Rules”). As a bank holding company (“BHC”) with total consolidated assets of at least $250 billion that does not exceed any of the applicable risk-based thresholds, we are a Category III institution under the Tailoring Rules. As such, we ar</w:t>
      </w:r>
      <w:r>
        <w:rPr>
          <w:rFonts w:eastAsia="Times New Roman"/>
          <w:color w:val="000000"/>
          <w:sz w:val="20"/>
          <w:szCs w:val="20"/>
        </w:rPr>
        <w:t>e no longer subject to the Basel III Advanced Approaches and certain associated capital requirements and have the option of excluding certain elements of accumulated other comprehensive income (“AOCI”) from our regulatory capital. Effective in the first qu</w:t>
      </w:r>
      <w:r>
        <w:rPr>
          <w:rFonts w:eastAsia="Times New Roman"/>
          <w:color w:val="000000"/>
          <w:sz w:val="20"/>
          <w:szCs w:val="20"/>
        </w:rPr>
        <w:t>arter of 2020, we excluded certain elements of AOCI from our regulatory capital as permitted by the Tailoring Rules.</w:t>
      </w:r>
    </w:p>
    <w:p w:rsidR="00000000" w:rsidRDefault="00795D39">
      <w:pPr>
        <w:jc w:val="both"/>
        <w:divId w:val="969019167"/>
        <w:rPr>
          <w:rFonts w:eastAsia="Times New Roman"/>
        </w:rPr>
      </w:pPr>
      <w:r>
        <w:rPr>
          <w:rFonts w:eastAsia="Times New Roman"/>
          <w:color w:val="000000"/>
          <w:sz w:val="20"/>
          <w:szCs w:val="20"/>
        </w:rPr>
        <w:t>In July 2019, the Federal Banking Agencies finalized certain changes in the Basel III Capital Rule for institutions not subject to the Base</w:t>
      </w:r>
      <w:r>
        <w:rPr>
          <w:rFonts w:eastAsia="Times New Roman"/>
          <w:color w:val="000000"/>
          <w:sz w:val="20"/>
          <w:szCs w:val="20"/>
        </w:rPr>
        <w:t>l III Advanced Approaches, including Capital One (“Capital Simplification Rule”). These changes, effective January 1, 2020, generally raise the threshold above which institutions subject to the Capital Simplification Rule must deduct certain assets from th</w:t>
      </w:r>
      <w:r>
        <w:rPr>
          <w:rFonts w:eastAsia="Times New Roman"/>
          <w:color w:val="000000"/>
          <w:sz w:val="20"/>
          <w:szCs w:val="20"/>
        </w:rPr>
        <w:t>eir common equity Tier 1 capital, including certain deferred tax assets, mortgage servicing assets, and investments in unconsolidated financial institutions. While the higher thresholds will not impact our current capital levels, in stress scenarios they m</w:t>
      </w:r>
      <w:r>
        <w:rPr>
          <w:rFonts w:eastAsia="Times New Roman"/>
          <w:color w:val="000000"/>
          <w:sz w:val="20"/>
          <w:szCs w:val="20"/>
        </w:rPr>
        <w:t xml:space="preserve">ay provide a benefit by enabling us to include more deferred tax assets in our common equity Tier 1 capital. The Tailoring Rules and Capital Simplification Rule have, taken together, decreased our capital requirements. </w:t>
      </w:r>
    </w:p>
    <w:p w:rsidR="00000000" w:rsidRDefault="00795D39">
      <w:pPr>
        <w:jc w:val="both"/>
        <w:divId w:val="891159542"/>
        <w:rPr>
          <w:rFonts w:eastAsia="Times New Roman"/>
        </w:rPr>
      </w:pPr>
      <w:r>
        <w:rPr>
          <w:rFonts w:eastAsia="Times New Roman"/>
          <w:color w:val="000000"/>
          <w:sz w:val="20"/>
          <w:szCs w:val="20"/>
        </w:rPr>
        <w:t xml:space="preserve">The Basel III Capital Rule requires </w:t>
      </w:r>
      <w:r>
        <w:rPr>
          <w:rFonts w:eastAsia="Times New Roman"/>
          <w:color w:val="000000"/>
          <w:sz w:val="20"/>
          <w:szCs w:val="20"/>
        </w:rPr>
        <w:t>banking institutions to maintain a capital conservation buffer, composed of common equity Tier 1 capital, above the regulatory minimum ratios. In March 2020, the Federal Reserve issued a final rule to implement the stress capital buffer requirement (“Stres</w:t>
      </w:r>
      <w:r>
        <w:rPr>
          <w:rFonts w:eastAsia="Times New Roman"/>
          <w:color w:val="000000"/>
          <w:sz w:val="20"/>
          <w:szCs w:val="20"/>
        </w:rPr>
        <w:t>s Capital Buffer Final Rule”). Pursuant to the Stress Capital Buffer Final Rule, which became effective in May 2020, the Federal Reserve will use the results of its supervisory stress test to determine the size of a banking institution’s stress capital buf</w:t>
      </w:r>
      <w:r>
        <w:rPr>
          <w:rFonts w:eastAsia="Times New Roman"/>
          <w:color w:val="000000"/>
          <w:sz w:val="20"/>
          <w:szCs w:val="20"/>
        </w:rPr>
        <w:t>fer requirement. In particular, a banking institution’s stress capital buffer requirement will equal, subject to a floor of 2.5%, the sum of (i) the difference between the banking institution’s starting common equity Tier 1 capital ratio and its lowest pro</w:t>
      </w:r>
      <w:r>
        <w:rPr>
          <w:rFonts w:eastAsia="Times New Roman"/>
          <w:color w:val="000000"/>
          <w:sz w:val="20"/>
          <w:szCs w:val="20"/>
        </w:rPr>
        <w:t>jected common equity Tier 1 capital ratio under the severely adverse scenario of the Federal Reserve’s supervisory stress test plus (ii) the ratio of the banking institution’s projected four quarters of common stock dividends (for the fourth to seventh qua</w:t>
      </w:r>
      <w:r>
        <w:rPr>
          <w:rFonts w:eastAsia="Times New Roman"/>
          <w:color w:val="000000"/>
          <w:sz w:val="20"/>
          <w:szCs w:val="20"/>
        </w:rPr>
        <w:t>rters of the planning horizon) to the projected risk-weighted assets for the quarter in which the banking institution’s projected common equity Tier 1 capital ratio reaches its minimum under the supervisory stress test.</w:t>
      </w:r>
    </w:p>
    <w:p w:rsidR="00000000" w:rsidRDefault="00795D39">
      <w:pPr>
        <w:jc w:val="both"/>
        <w:divId w:val="2073309831"/>
        <w:rPr>
          <w:rFonts w:eastAsia="Times New Roman"/>
        </w:rPr>
      </w:pPr>
      <w:r>
        <w:rPr>
          <w:rFonts w:eastAsia="Times New Roman"/>
          <w:color w:val="000000"/>
          <w:sz w:val="20"/>
          <w:szCs w:val="20"/>
        </w:rPr>
        <w:t>In addition, Category III institutio</w:t>
      </w:r>
      <w:r>
        <w:rPr>
          <w:rFonts w:eastAsia="Times New Roman"/>
          <w:color w:val="000000"/>
          <w:sz w:val="20"/>
          <w:szCs w:val="20"/>
        </w:rPr>
        <w:t xml:space="preserve">ns, including the Company and the Banks, are subject to certain capital requirements formerly applicable only to Basel III Advanced Approaches banking organizations. Category III institutions are subject to a supplementary leverage ratio of 3.0% and their </w:t>
      </w:r>
      <w:r>
        <w:rPr>
          <w:rFonts w:eastAsia="Times New Roman"/>
          <w:color w:val="000000"/>
          <w:sz w:val="20"/>
          <w:szCs w:val="20"/>
        </w:rPr>
        <w:t>capital conservation buffer may be supplemented by an incremental countercyclical capital buffer of up to 2.5% composed of common equity Tier 1 capital and set at the discretion of the Federal Banking Agencies. As of September 30, 2020, the countercyclical</w:t>
      </w:r>
      <w:r>
        <w:rPr>
          <w:rFonts w:eastAsia="Times New Roman"/>
          <w:color w:val="000000"/>
          <w:sz w:val="20"/>
          <w:szCs w:val="20"/>
        </w:rPr>
        <w:t xml:space="preserve"> capital buffer was zero percent in the United States. A determination to increase the countercyclical capital buffer generally would be effective twelve months after the announcement of such an increase, unless the Federal Banking Agencies set an earlier </w:t>
      </w:r>
      <w:r>
        <w:rPr>
          <w:rFonts w:eastAsia="Times New Roman"/>
          <w:color w:val="000000"/>
          <w:sz w:val="20"/>
          <w:szCs w:val="20"/>
        </w:rPr>
        <w:t xml:space="preserve">effective date.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8484354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8484354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8484354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0" style="width:0;height:1.5pt" o:hralign="center" o:hrstd="t" o:hr="t" fillcolor="#a0a0a0" stroked="f"/>
        </w:pict>
      </w:r>
    </w:p>
    <w:p w:rsidR="00000000" w:rsidRDefault="00795D39">
      <w:pPr>
        <w:jc w:val="both"/>
        <w:divId w:val="14466419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904994196"/>
        <w:rPr>
          <w:rFonts w:eastAsia="Times New Roman"/>
        </w:rPr>
      </w:pPr>
      <w:r>
        <w:rPr>
          <w:rFonts w:eastAsia="Times New Roman"/>
          <w:color w:val="000000"/>
          <w:sz w:val="20"/>
          <w:szCs w:val="20"/>
        </w:rPr>
        <w:t>The Market Risk Rule requires institutions subject to the rule to adjust their risk-based capital ratios to reflect the market risk in their tra</w:t>
      </w:r>
      <w:r>
        <w:rPr>
          <w:rFonts w:eastAsia="Times New Roman"/>
          <w:color w:val="000000"/>
          <w:sz w:val="20"/>
          <w:szCs w:val="20"/>
        </w:rPr>
        <w:t xml:space="preserve">ding portfolios. As of September 30, 2020, the Company and CONA are subject to the Market Risk Rule. See “MD&amp;A—Market Risk Profile” below for additional information. </w:t>
      </w:r>
    </w:p>
    <w:p w:rsidR="00000000" w:rsidRDefault="00795D39">
      <w:pPr>
        <w:jc w:val="both"/>
        <w:divId w:val="1384909959"/>
        <w:rPr>
          <w:rFonts w:eastAsia="Times New Roman"/>
        </w:rPr>
      </w:pPr>
      <w:r>
        <w:rPr>
          <w:rFonts w:eastAsia="Times New Roman"/>
          <w:color w:val="000000"/>
          <w:sz w:val="20"/>
          <w:szCs w:val="20"/>
        </w:rPr>
        <w:t xml:space="preserve">As part of the response to the COVID-19 pandemic, the Federal Banking Agencies adopted a </w:t>
      </w:r>
      <w:r>
        <w:rPr>
          <w:rFonts w:eastAsia="Times New Roman"/>
          <w:color w:val="000000"/>
          <w:sz w:val="20"/>
          <w:szCs w:val="20"/>
        </w:rPr>
        <w:t xml:space="preserve">final rule (“2020 CECL Transition Rule”) that provides banking organizations an optional five-year transition period to phase in the impact of CECL on regulatory capital (the “2020 CECL Transition Election”). </w:t>
      </w:r>
    </w:p>
    <w:p w:rsidR="00000000" w:rsidRDefault="00795D39">
      <w:pPr>
        <w:jc w:val="both"/>
        <w:divId w:val="498932619"/>
        <w:rPr>
          <w:rFonts w:eastAsia="Times New Roman"/>
        </w:rPr>
      </w:pPr>
      <w:r>
        <w:rPr>
          <w:rFonts w:eastAsia="Times New Roman"/>
          <w:color w:val="000000"/>
          <w:sz w:val="20"/>
          <w:szCs w:val="20"/>
        </w:rPr>
        <w:t>Pursuant to the 2020 CECL Transition Rule, ban</w:t>
      </w:r>
      <w:r>
        <w:rPr>
          <w:rFonts w:eastAsia="Times New Roman"/>
          <w:color w:val="000000"/>
          <w:sz w:val="20"/>
          <w:szCs w:val="20"/>
        </w:rPr>
        <w:t>king organizations may elect to delay for two years the estimated impact of CECL on regulatory capital and then phase in the estimated cumulative impact of the initial two-year delay over the next three years. The estimated cumulative impact of CECL, which</w:t>
      </w:r>
      <w:r>
        <w:rPr>
          <w:rFonts w:eastAsia="Times New Roman"/>
          <w:color w:val="000000"/>
          <w:sz w:val="20"/>
          <w:szCs w:val="20"/>
        </w:rPr>
        <w:t xml:space="preserve"> will be phased in during the three-year transition period, includes the after-tax impact of adopting the CECL standard and the estimated impact of CECL in the initial two years thereafter. The 2020 CECL Transition Rule introduced a uniform “scaling factor</w:t>
      </w:r>
      <w:r>
        <w:rPr>
          <w:rFonts w:eastAsia="Times New Roman"/>
          <w:color w:val="000000"/>
          <w:sz w:val="20"/>
          <w:szCs w:val="20"/>
        </w:rPr>
        <w:t>” of 25% for estimating the impact of CECL during the initial two years. The 25% “scaling factor” is an approximation of the impact of differences in credit loss allowances reflected under the CECL standard versus the incurred loss methodology. We made the</w:t>
      </w:r>
      <w:r>
        <w:rPr>
          <w:rFonts w:eastAsia="Times New Roman"/>
          <w:color w:val="000000"/>
          <w:sz w:val="20"/>
          <w:szCs w:val="20"/>
        </w:rPr>
        <w:t xml:space="preserve"> 2020 CECL Transition Election in the first quarter of 2020, and therefore the applicable amounts presented in this Report reflect such election. </w:t>
      </w:r>
    </w:p>
    <w:p w:rsidR="00000000" w:rsidRDefault="00795D39">
      <w:pPr>
        <w:jc w:val="both"/>
        <w:divId w:val="722676011"/>
        <w:rPr>
          <w:rFonts w:eastAsia="Times New Roman"/>
        </w:rPr>
      </w:pPr>
      <w:r>
        <w:rPr>
          <w:rFonts w:eastAsia="Times New Roman"/>
          <w:color w:val="000000"/>
          <w:sz w:val="20"/>
          <w:szCs w:val="20"/>
        </w:rPr>
        <w:t>As of September 30, 2020, the minimum capital requirements plus the capital conservation buffer of 2.5% and t</w:t>
      </w:r>
      <w:r>
        <w:rPr>
          <w:rFonts w:eastAsia="Times New Roman"/>
          <w:color w:val="000000"/>
          <w:sz w:val="20"/>
          <w:szCs w:val="20"/>
        </w:rPr>
        <w:t>he countercyclical capital buffer (currently set as 0%) for common equity Tier 1 capital, Tier 1 capital and total capital ratios were 7.0%, 8.5% and 10.5%, respectively, for the Company and the Banks. A common equity Tier 1 capital ratio, Tier 1 capital r</w:t>
      </w:r>
      <w:r>
        <w:rPr>
          <w:rFonts w:eastAsia="Times New Roman"/>
          <w:color w:val="000000"/>
          <w:sz w:val="20"/>
          <w:szCs w:val="20"/>
        </w:rPr>
        <w:t>atio, or total capital ratio below the applicable regulatory minimum ratio plus the applicable capital conservation buffer and the applicable countercyclical buffer (if set to an amount greater than 0%) might restrict a banking organization’s ability to di</w:t>
      </w:r>
      <w:r>
        <w:rPr>
          <w:rFonts w:eastAsia="Times New Roman"/>
          <w:color w:val="000000"/>
          <w:sz w:val="20"/>
          <w:szCs w:val="20"/>
        </w:rPr>
        <w:t xml:space="preserve">stribute capital and make discretionary bonus payments. </w:t>
      </w:r>
    </w:p>
    <w:p w:rsidR="00000000" w:rsidRDefault="00795D39">
      <w:pPr>
        <w:jc w:val="both"/>
        <w:divId w:val="1794444004"/>
        <w:rPr>
          <w:rFonts w:eastAsia="Times New Roman"/>
        </w:rPr>
      </w:pPr>
      <w:r>
        <w:rPr>
          <w:rFonts w:eastAsia="Times New Roman"/>
          <w:color w:val="000000"/>
          <w:sz w:val="20"/>
          <w:szCs w:val="20"/>
          <w:shd w:val="clear" w:color="auto" w:fill="FFFFFF"/>
        </w:rPr>
        <w:t>Under the stress capital buffer framework, our new “standardized approach capital conservation buffer” includes the stress capital buffer requirement, the countercyclical capital buffer and any G-SIB</w:t>
      </w:r>
      <w:r>
        <w:rPr>
          <w:rFonts w:eastAsia="Times New Roman"/>
          <w:color w:val="000000"/>
          <w:sz w:val="20"/>
          <w:szCs w:val="20"/>
          <w:shd w:val="clear" w:color="auto" w:fill="FFFFFF"/>
        </w:rPr>
        <w:t xml:space="preserve"> surcharge. Our stress capital buffer requirement is 5.6% for the period from October 1, 2020 through September 30, 2021, at which point a revised stress capital buffer requirement will be applicable to us based on our 2021 stress testing results, the coun</w:t>
      </w:r>
      <w:r>
        <w:rPr>
          <w:rFonts w:eastAsia="Times New Roman"/>
          <w:color w:val="000000"/>
          <w:sz w:val="20"/>
          <w:szCs w:val="20"/>
          <w:shd w:val="clear" w:color="auto" w:fill="FFFFFF"/>
        </w:rPr>
        <w:t>tercyclical capital buffer is currently set at 0%, and the G-SIB surcharge is not applicable to us</w:t>
      </w:r>
      <w:r>
        <w:rPr>
          <w:rFonts w:eastAsia="Times New Roman"/>
          <w:color w:val="000000"/>
          <w:sz w:val="20"/>
          <w:szCs w:val="20"/>
        </w:rPr>
        <w:t>. Therefore, the Company’s minimum capital requirements plus the standardized approach capital conservation buffer for common equity Tier 1 capital, Tier 1 ca</w:t>
      </w:r>
      <w:r>
        <w:rPr>
          <w:rFonts w:eastAsia="Times New Roman"/>
          <w:color w:val="000000"/>
          <w:sz w:val="20"/>
          <w:szCs w:val="20"/>
        </w:rPr>
        <w:t>pital and total capital ratios under the stress capital buffer framework are 10.1%, 11.6% and 13.6%, respectively, for the period from October 1, 2020 through September 30, 2021. If we fail to maintain our capital ratios above the minimum capital requireme</w:t>
      </w:r>
      <w:r>
        <w:rPr>
          <w:rFonts w:eastAsia="Times New Roman"/>
          <w:color w:val="000000"/>
          <w:sz w:val="20"/>
          <w:szCs w:val="20"/>
        </w:rPr>
        <w:t>nts plus the standardized approach capital conservation buffer, we will face increasingly strict limitations on capital distributions and discretionary bonus payments to certain executive officers.</w:t>
      </w:r>
    </w:p>
    <w:p w:rsidR="00000000" w:rsidRDefault="00795D39">
      <w:pPr>
        <w:jc w:val="both"/>
        <w:divId w:val="1747068111"/>
        <w:rPr>
          <w:rFonts w:eastAsia="Times New Roman"/>
        </w:rPr>
      </w:pPr>
      <w:r>
        <w:rPr>
          <w:rFonts w:eastAsia="Times New Roman"/>
          <w:color w:val="000000"/>
          <w:sz w:val="20"/>
          <w:szCs w:val="20"/>
        </w:rPr>
        <w:t>The Company exceeded the minimum capital requirements and each of the Banks exceeded the minimum regulatory requirements and were well capitalized under PCA requirements as of September 30, 2020 and December 31, 2019, respectively.</w:t>
      </w:r>
    </w:p>
    <w:p w:rsidR="00000000" w:rsidRDefault="00795D39">
      <w:pPr>
        <w:jc w:val="both"/>
        <w:divId w:val="915361937"/>
        <w:rPr>
          <w:rFonts w:eastAsia="Times New Roman"/>
        </w:rPr>
      </w:pPr>
      <w:r>
        <w:rPr>
          <w:rFonts w:eastAsia="Times New Roman"/>
          <w:color w:val="000000"/>
          <w:sz w:val="20"/>
          <w:szCs w:val="20"/>
        </w:rPr>
        <w:t>For the description of t</w:t>
      </w:r>
      <w:r>
        <w:rPr>
          <w:rFonts w:eastAsia="Times New Roman"/>
          <w:color w:val="000000"/>
          <w:sz w:val="20"/>
          <w:szCs w:val="20"/>
        </w:rPr>
        <w:t>he regulatory capital rules we are subject to, see “MD&amp;A—Supervision and Regulation” in this Report and our Quarterly Report on Form 10-Q for the period ended March 31, 2020 as well as “Part I—Item 1. Business—Supervision and Regulation” in our 2019 Form 1</w:t>
      </w:r>
      <w:r>
        <w:rPr>
          <w:rFonts w:eastAsia="Times New Roman"/>
          <w:color w:val="000000"/>
          <w:sz w:val="20"/>
          <w:szCs w:val="20"/>
        </w:rPr>
        <w:t xml:space="preserve">0-K.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8217037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8217037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8217037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1" style="width:0;height:1.5pt" o:hralign="center" o:hrstd="t" o:hr="t" fillcolor="#a0a0a0" stroked="f"/>
        </w:pict>
      </w:r>
    </w:p>
    <w:p w:rsidR="00000000" w:rsidRDefault="00795D39">
      <w:pPr>
        <w:jc w:val="both"/>
        <w:divId w:val="78932620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525682836"/>
        <w:rPr>
          <w:rFonts w:eastAsia="Times New Roman"/>
        </w:rPr>
      </w:pPr>
      <w:r>
        <w:rPr>
          <w:rFonts w:eastAsia="Times New Roman"/>
          <w:color w:val="000000"/>
          <w:sz w:val="20"/>
          <w:szCs w:val="20"/>
        </w:rPr>
        <w:t>Table 14 provides a comparison of our regulatory capital ratios under the Basel III Standardized Approach, the regulatory minimum capital adequa</w:t>
      </w:r>
      <w:r>
        <w:rPr>
          <w:rFonts w:eastAsia="Times New Roman"/>
          <w:color w:val="000000"/>
          <w:sz w:val="20"/>
          <w:szCs w:val="20"/>
        </w:rPr>
        <w:t>cy ratios and the PCA well-capitalized level for each ratio, where applicable, as of September 30, 2020 and December 31, 2019.</w:t>
      </w:r>
    </w:p>
    <w:p w:rsidR="00000000" w:rsidRDefault="00795D39">
      <w:pPr>
        <w:divId w:val="1926763780"/>
        <w:rPr>
          <w:rFonts w:eastAsia="Times New Roman"/>
        </w:rPr>
      </w:pPr>
      <w:r>
        <w:rPr>
          <w:rFonts w:eastAsia="Times New Roman"/>
          <w:b/>
          <w:bCs/>
          <w:color w:val="000000"/>
          <w:sz w:val="18"/>
          <w:szCs w:val="18"/>
        </w:rPr>
        <w:t>Table 14: Capital Ratios Under Basel II</w:t>
      </w:r>
      <w:r>
        <w:rPr>
          <w:rFonts w:eastAsia="Times New Roman"/>
          <w:b/>
          <w:bCs/>
          <w:color w:val="000000"/>
          <w:sz w:val="18"/>
          <w:szCs w:val="18"/>
        </w:rPr>
        <w:t>I</w:t>
      </w:r>
      <w:r>
        <w:rPr>
          <w:rFonts w:eastAsia="Times New Roman"/>
          <w:b/>
          <w:bCs/>
          <w:color w:val="000000"/>
          <w:sz w:val="12"/>
          <w:szCs w:val="12"/>
        </w:rPr>
        <w:t>(1)(2</w:t>
      </w:r>
      <w:r>
        <w:rPr>
          <w:rFonts w:eastAsia="Times New Roman"/>
          <w:b/>
          <w:bCs/>
          <w:color w:val="000000"/>
          <w:sz w:val="12"/>
          <w:szCs w:val="12"/>
        </w:rPr>
        <w:t>)</w:t>
      </w:r>
    </w:p>
    <w:tbl>
      <w:tblPr>
        <w:tblW w:w="4978" w:type="pct"/>
        <w:tblCellMar>
          <w:top w:w="15" w:type="dxa"/>
          <w:left w:w="15" w:type="dxa"/>
          <w:bottom w:w="15" w:type="dxa"/>
          <w:right w:w="15" w:type="dxa"/>
        </w:tblCellMar>
        <w:tblLook w:val="04A0" w:firstRow="1" w:lastRow="0" w:firstColumn="1" w:lastColumn="0" w:noHBand="0" w:noVBand="1"/>
      </w:tblPr>
      <w:tblGrid>
        <w:gridCol w:w="39"/>
        <w:gridCol w:w="2554"/>
        <w:gridCol w:w="38"/>
        <w:gridCol w:w="36"/>
        <w:gridCol w:w="36"/>
        <w:gridCol w:w="36"/>
        <w:gridCol w:w="52"/>
        <w:gridCol w:w="357"/>
        <w:gridCol w:w="200"/>
        <w:gridCol w:w="36"/>
        <w:gridCol w:w="36"/>
        <w:gridCol w:w="36"/>
        <w:gridCol w:w="87"/>
        <w:gridCol w:w="630"/>
        <w:gridCol w:w="200"/>
        <w:gridCol w:w="36"/>
        <w:gridCol w:w="36"/>
        <w:gridCol w:w="36"/>
        <w:gridCol w:w="93"/>
        <w:gridCol w:w="721"/>
        <w:gridCol w:w="200"/>
        <w:gridCol w:w="36"/>
        <w:gridCol w:w="36"/>
        <w:gridCol w:w="36"/>
        <w:gridCol w:w="52"/>
        <w:gridCol w:w="357"/>
        <w:gridCol w:w="170"/>
        <w:gridCol w:w="36"/>
        <w:gridCol w:w="36"/>
        <w:gridCol w:w="36"/>
        <w:gridCol w:w="87"/>
        <w:gridCol w:w="630"/>
        <w:gridCol w:w="170"/>
        <w:gridCol w:w="36"/>
        <w:gridCol w:w="36"/>
        <w:gridCol w:w="36"/>
        <w:gridCol w:w="92"/>
        <w:gridCol w:w="722"/>
        <w:gridCol w:w="170"/>
      </w:tblGrid>
      <w:tr w:rsidR="00000000">
        <w:trPr>
          <w:divId w:val="713238005"/>
        </w:trPr>
        <w:tc>
          <w:tcPr>
            <w:tcW w:w="50" w:type="pct"/>
            <w:vAlign w:val="center"/>
            <w:hideMark/>
          </w:tcPr>
          <w:p w:rsidR="00000000" w:rsidRDefault="00795D39">
            <w:pPr>
              <w:rPr>
                <w:rFonts w:eastAsia="Times New Roman"/>
              </w:rPr>
            </w:pPr>
          </w:p>
        </w:tc>
        <w:tc>
          <w:tcPr>
            <w:tcW w:w="21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713238005"/>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713238005"/>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r>
      <w:tr w:rsidR="00000000">
        <w:trPr>
          <w:divId w:val="7132380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Capital One Financial Corp:</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1414815480"/>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N/A</w:t>
            </w:r>
          </w:p>
        </w:tc>
      </w:tr>
      <w:tr w:rsidR="00000000">
        <w:trPr>
          <w:divId w:val="713238005"/>
        </w:trPr>
        <w:tc>
          <w:tcPr>
            <w:tcW w:w="0" w:type="auto"/>
            <w:gridSpan w:val="3"/>
            <w:shd w:val="clear" w:color="auto" w:fill="CCEEFF"/>
            <w:tcMar>
              <w:top w:w="30" w:type="dxa"/>
              <w:left w:w="20" w:type="dxa"/>
              <w:bottom w:w="30" w:type="dxa"/>
              <w:right w:w="20" w:type="dxa"/>
            </w:tcMar>
            <w:vAlign w:val="center"/>
            <w:hideMark/>
          </w:tcPr>
          <w:p w:rsidR="00000000" w:rsidRDefault="00795D39">
            <w:pPr>
              <w:divId w:val="1974358861"/>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1102997363"/>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CCEEFF"/>
            <w:tcMar>
              <w:top w:w="30" w:type="dxa"/>
              <w:left w:w="20" w:type="dxa"/>
              <w:bottom w:w="30" w:type="dxa"/>
              <w:right w:w="20" w:type="dxa"/>
            </w:tcMar>
            <w:vAlign w:val="center"/>
            <w:hideMark/>
          </w:tcPr>
          <w:p w:rsidR="00000000" w:rsidRDefault="00795D39">
            <w:pPr>
              <w:divId w:val="1417242896"/>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N/A</w:t>
            </w: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561327416"/>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(7)(8</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N/A</w:t>
            </w:r>
          </w:p>
        </w:tc>
      </w:tr>
      <w:tr w:rsidR="00000000">
        <w:trPr>
          <w:divId w:val="71323800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COBNA: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1460958071"/>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CCEEFF"/>
            <w:tcMar>
              <w:top w:w="30" w:type="dxa"/>
              <w:left w:w="20" w:type="dxa"/>
              <w:bottom w:w="30" w:type="dxa"/>
              <w:right w:w="20" w:type="dxa"/>
            </w:tcMar>
            <w:vAlign w:val="center"/>
            <w:hideMark/>
          </w:tcPr>
          <w:p w:rsidR="00000000" w:rsidRDefault="00795D39">
            <w:pPr>
              <w:divId w:val="1073624341"/>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285505643"/>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CCEEFF"/>
            <w:tcMar>
              <w:top w:w="30" w:type="dxa"/>
              <w:left w:w="20" w:type="dxa"/>
              <w:bottom w:w="30" w:type="dxa"/>
              <w:right w:w="20" w:type="dxa"/>
            </w:tcMar>
            <w:vAlign w:val="center"/>
            <w:hideMark/>
          </w:tcPr>
          <w:p w:rsidR="00000000" w:rsidRDefault="00795D39">
            <w:pPr>
              <w:divId w:val="972710936"/>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271132057"/>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N/A</w:t>
            </w:r>
          </w:p>
        </w:tc>
      </w:tr>
      <w:tr w:rsidR="00000000">
        <w:trPr>
          <w:divId w:val="71323800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CONA: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1606763424"/>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CCEEFF"/>
            <w:tcMar>
              <w:top w:w="30" w:type="dxa"/>
              <w:left w:w="20" w:type="dxa"/>
              <w:bottom w:w="30" w:type="dxa"/>
              <w:right w:w="20" w:type="dxa"/>
            </w:tcMar>
            <w:vAlign w:val="center"/>
            <w:hideMark/>
          </w:tcPr>
          <w:p w:rsidR="00000000" w:rsidRDefault="00795D39">
            <w:pPr>
              <w:divId w:val="1726561215"/>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745148553"/>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CCEEFF"/>
            <w:tcMar>
              <w:top w:w="30" w:type="dxa"/>
              <w:left w:w="20" w:type="dxa"/>
              <w:bottom w:w="30" w:type="dxa"/>
              <w:right w:w="20" w:type="dxa"/>
            </w:tcMar>
            <w:vAlign w:val="center"/>
            <w:hideMark/>
          </w:tcPr>
          <w:p w:rsidR="00000000" w:rsidRDefault="00795D39">
            <w:pPr>
              <w:divId w:val="1762678198"/>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13238005"/>
        </w:trPr>
        <w:tc>
          <w:tcPr>
            <w:tcW w:w="0" w:type="auto"/>
            <w:gridSpan w:val="3"/>
            <w:shd w:val="clear" w:color="auto" w:fill="FFFFFF"/>
            <w:tcMar>
              <w:top w:w="30" w:type="dxa"/>
              <w:left w:w="20" w:type="dxa"/>
              <w:bottom w:w="30" w:type="dxa"/>
              <w:right w:w="20" w:type="dxa"/>
            </w:tcMar>
            <w:vAlign w:val="center"/>
            <w:hideMark/>
          </w:tcPr>
          <w:p w:rsidR="00000000" w:rsidRDefault="00795D39">
            <w:pPr>
              <w:divId w:val="1188252578"/>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N/A</w:t>
            </w:r>
          </w:p>
        </w:tc>
      </w:tr>
    </w:tbl>
    <w:p w:rsidR="00000000" w:rsidRDefault="00795D39">
      <w:pPr>
        <w:divId w:val="1241788339"/>
        <w:rPr>
          <w:rFonts w:eastAsia="Times New Roman"/>
        </w:rPr>
      </w:pPr>
      <w:r>
        <w:rPr>
          <w:rFonts w:eastAsia="Times New Roman"/>
          <w:color w:val="000000"/>
          <w:sz w:val="20"/>
          <w:szCs w:val="20"/>
        </w:rPr>
        <w:t>__________</w:t>
      </w:r>
    </w:p>
    <w:p w:rsidR="00000000" w:rsidRDefault="00795D39">
      <w:pPr>
        <w:ind w:hanging="360"/>
        <w:jc w:val="both"/>
        <w:divId w:val="20887236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rsidR="00000000" w:rsidRDefault="00795D39">
      <w:pPr>
        <w:ind w:hanging="360"/>
        <w:jc w:val="both"/>
        <w:divId w:val="151240688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Ratios as of September 30, 2020 are preliminary. As we continue to validate our data, the calculations are subject to change until we file our September 30, 2020 Form FR Y-9C—Consolidated Financial Statements for Holding Companies and Call Reports.</w:t>
      </w:r>
    </w:p>
    <w:p w:rsidR="00000000" w:rsidRDefault="00795D39">
      <w:pPr>
        <w:ind w:hanging="360"/>
        <w:jc w:val="both"/>
        <w:divId w:val="24399912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Comm</w:t>
      </w:r>
      <w:r>
        <w:rPr>
          <w:rFonts w:eastAsia="Times New Roman"/>
          <w:color w:val="000000"/>
          <w:sz w:val="16"/>
          <w:szCs w:val="16"/>
        </w:rPr>
        <w:t>on equity Tier 1 capital ratio is a regulatory capital measure calculated based on common equity Tier 1 capital divided by risk-weighted assets.</w:t>
      </w:r>
    </w:p>
    <w:p w:rsidR="00000000" w:rsidRDefault="00795D39">
      <w:pPr>
        <w:ind w:hanging="360"/>
        <w:jc w:val="both"/>
        <w:divId w:val="885139881"/>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Tier 1 capital ratio is a regulatory capital measure calculated based on Tier 1 capital divided by risk-weig</w:t>
      </w:r>
      <w:r>
        <w:rPr>
          <w:rFonts w:eastAsia="Times New Roman"/>
          <w:color w:val="000000"/>
          <w:sz w:val="16"/>
          <w:szCs w:val="16"/>
        </w:rPr>
        <w:t>hted assets.</w:t>
      </w:r>
    </w:p>
    <w:p w:rsidR="00000000" w:rsidRDefault="00795D39">
      <w:pPr>
        <w:ind w:hanging="360"/>
        <w:jc w:val="both"/>
        <w:divId w:val="1341468192"/>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rsidR="00000000" w:rsidRDefault="00795D39">
      <w:pPr>
        <w:ind w:hanging="360"/>
        <w:jc w:val="both"/>
        <w:divId w:val="612320867"/>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Tier 1 leverage ratio is a regulatory capital measure calculated based on Tier 1 capital divided by adjusted average a</w:t>
      </w:r>
      <w:r>
        <w:rPr>
          <w:rFonts w:eastAsia="Times New Roman"/>
          <w:color w:val="000000"/>
          <w:sz w:val="16"/>
          <w:szCs w:val="16"/>
        </w:rPr>
        <w:t>ssets.</w:t>
      </w:r>
    </w:p>
    <w:p w:rsidR="00000000" w:rsidRDefault="00795D39">
      <w:pPr>
        <w:ind w:hanging="360"/>
        <w:jc w:val="both"/>
        <w:divId w:val="1826624567"/>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 xml:space="preserve">Supplementary leverage ratio is a regulatory capital measure calculated based on Tier 1 capital divided by total leverage exposure. </w:t>
      </w:r>
    </w:p>
    <w:p w:rsidR="00000000" w:rsidRDefault="00795D39">
      <w:pPr>
        <w:ind w:hanging="360"/>
        <w:jc w:val="both"/>
        <w:divId w:val="124323279"/>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Supplementary leverage ratio for the Company as of September 30, 2020 excludes U.S. Treasury securities and de</w:t>
      </w:r>
      <w:r>
        <w:rPr>
          <w:rFonts w:eastAsia="Times New Roman"/>
          <w:color w:val="000000"/>
          <w:sz w:val="16"/>
          <w:szCs w:val="16"/>
        </w:rPr>
        <w:t xml:space="preserve">posits with the Federal Reserve Banks pursuant to an interim final rule issued by the Federal Reserve, see “MD&amp;A—Supervision and Regulation” for more information.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09727540"/>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0972754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90972754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2" style="width:0;height:1.5pt" o:hralign="center" o:hrstd="t" o:hr="t" fillcolor="#a0a0a0" stroked="f"/>
        </w:pict>
      </w:r>
    </w:p>
    <w:p w:rsidR="00000000" w:rsidRDefault="00795D39">
      <w:pPr>
        <w:jc w:val="both"/>
        <w:divId w:val="100921897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798106210"/>
        <w:rPr>
          <w:rFonts w:eastAsia="Times New Roman"/>
        </w:rPr>
      </w:pPr>
      <w:r>
        <w:rPr>
          <w:rFonts w:eastAsia="Times New Roman"/>
          <w:color w:val="000000"/>
          <w:sz w:val="20"/>
          <w:szCs w:val="20"/>
        </w:rPr>
        <w:t>Table 15 presents regulatory capital under the Basel III Standardized Approach and regulatory capital metrics as of September 30, 2020 and Decem</w:t>
      </w:r>
      <w:r>
        <w:rPr>
          <w:rFonts w:eastAsia="Times New Roman"/>
          <w:color w:val="000000"/>
          <w:sz w:val="20"/>
          <w:szCs w:val="20"/>
        </w:rPr>
        <w:t xml:space="preserve">ber 31, 2019. </w:t>
      </w:r>
    </w:p>
    <w:p w:rsidR="00000000" w:rsidRDefault="00795D39">
      <w:pPr>
        <w:divId w:val="769277011"/>
        <w:rPr>
          <w:rFonts w:eastAsia="Times New Roman"/>
        </w:rPr>
      </w:pPr>
      <w:r>
        <w:rPr>
          <w:rFonts w:eastAsia="Times New Roman"/>
          <w:b/>
          <w:bCs/>
          <w:color w:val="000000"/>
          <w:sz w:val="18"/>
          <w:szCs w:val="18"/>
        </w:rPr>
        <w:t>Table 15: Regulatory Risk-Based Capital Components and Regulatory Capital Metrics</w:t>
      </w:r>
    </w:p>
    <w:tbl>
      <w:tblPr>
        <w:tblW w:w="4970" w:type="pct"/>
        <w:tblCellMar>
          <w:top w:w="15" w:type="dxa"/>
          <w:left w:w="15" w:type="dxa"/>
          <w:bottom w:w="15" w:type="dxa"/>
          <w:right w:w="15" w:type="dxa"/>
        </w:tblCellMar>
        <w:tblLook w:val="04A0" w:firstRow="1" w:lastRow="0" w:firstColumn="1" w:lastColumn="0" w:noHBand="0" w:noVBand="1"/>
      </w:tblPr>
      <w:tblGrid>
        <w:gridCol w:w="41"/>
        <w:gridCol w:w="5650"/>
        <w:gridCol w:w="37"/>
        <w:gridCol w:w="36"/>
        <w:gridCol w:w="36"/>
        <w:gridCol w:w="36"/>
        <w:gridCol w:w="110"/>
        <w:gridCol w:w="1033"/>
        <w:gridCol w:w="36"/>
        <w:gridCol w:w="36"/>
        <w:gridCol w:w="36"/>
        <w:gridCol w:w="36"/>
        <w:gridCol w:w="110"/>
        <w:gridCol w:w="987"/>
        <w:gridCol w:w="36"/>
      </w:tblGrid>
      <w:tr w:rsidR="00000000">
        <w:trPr>
          <w:divId w:val="1882739182"/>
        </w:trPr>
        <w:tc>
          <w:tcPr>
            <w:tcW w:w="50" w:type="pct"/>
            <w:vAlign w:val="center"/>
            <w:hideMark/>
          </w:tcPr>
          <w:p w:rsidR="00000000" w:rsidRDefault="00795D39">
            <w:pPr>
              <w:rPr>
                <w:rFonts w:eastAsia="Times New Roman"/>
              </w:rPr>
            </w:pPr>
          </w:p>
        </w:tc>
        <w:tc>
          <w:tcPr>
            <w:tcW w:w="34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88273918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8"/>
                <w:szCs w:val="18"/>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Common equity excluding AOCI</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52,839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52,001 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Adjustments: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divId w:val="1759404436"/>
              <w:rPr>
                <w:rFonts w:eastAsia="Times New Roman"/>
              </w:rPr>
            </w:pPr>
            <w:r>
              <w:rPr>
                <w:rFonts w:eastAsia="Times New Roman"/>
                <w:color w:val="000000"/>
                <w:sz w:val="18"/>
                <w:szCs w:val="18"/>
              </w:rPr>
              <w:t>AOCI, net of ta</w:t>
            </w:r>
            <w:r>
              <w:rPr>
                <w:rFonts w:eastAsia="Times New Roman"/>
                <w:color w:val="000000"/>
                <w:sz w:val="18"/>
                <w:szCs w:val="18"/>
              </w:rPr>
              <w:t>x</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1,156 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CCEEFF"/>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8"/>
                <w:szCs w:val="18"/>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(14,448)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(14,465)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FFFFFF"/>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8"/>
                <w:szCs w:val="18"/>
              </w:rPr>
              <w:t>Intangible assets, net of related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CCEEFF"/>
            <w:tcMar>
              <w:top w:w="30" w:type="dxa"/>
              <w:left w:w="20" w:type="dxa"/>
              <w:bottom w:w="30" w:type="dxa"/>
              <w:right w:w="20" w:type="dxa"/>
            </w:tcMar>
            <w:vAlign w:val="bottom"/>
            <w:hideMark/>
          </w:tcPr>
          <w:p w:rsidR="00000000" w:rsidRDefault="00795D39">
            <w:pPr>
              <w:divId w:val="537090248"/>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Common equity Tier 1 capital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38,174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38,162 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Tier 1 capital instruments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4,853 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Tier 1 capital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43,505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43,015 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Tier 2 capital instruments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3,377 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Qualifying 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3,956 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Tier 2 capital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Total capital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50,955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50,348 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Height w:val="280"/>
        </w:trPr>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8"/>
                <w:szCs w:val="18"/>
              </w:rPr>
              <w:t>Regulatory Capital Metrics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82739182"/>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Risk-weighted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293,852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313,155 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Adjusted average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409,602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368,511 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82739182"/>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Total leverage exposure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425,729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435,976 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732312368"/>
        <w:rPr>
          <w:rFonts w:eastAsia="Times New Roman"/>
        </w:rPr>
      </w:pPr>
      <w:r>
        <w:rPr>
          <w:rFonts w:eastAsia="Times New Roman"/>
          <w:color w:val="000000"/>
          <w:sz w:val="20"/>
          <w:szCs w:val="20"/>
        </w:rPr>
        <w:t>__________</w:t>
      </w:r>
    </w:p>
    <w:p w:rsidR="00000000" w:rsidRDefault="00795D39">
      <w:pPr>
        <w:ind w:hanging="360"/>
        <w:jc w:val="both"/>
        <w:divId w:val="128446080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 the first quarter of 2020, we elected to exclude from our regulatory capital ratios certain components of AOCI as permitted under the Tailoring Rules. As such, we revised our presentation herein to only include those components of AOCI that impact our r</w:t>
      </w:r>
      <w:r>
        <w:rPr>
          <w:rFonts w:eastAsia="Times New Roman"/>
          <w:color w:val="000000"/>
          <w:sz w:val="16"/>
          <w:szCs w:val="16"/>
        </w:rPr>
        <w:t>egulatory capital ratios.</w:t>
      </w:r>
    </w:p>
    <w:p w:rsidR="00000000" w:rsidRDefault="00795D39">
      <w:pPr>
        <w:divId w:val="2097053407"/>
        <w:rPr>
          <w:rFonts w:eastAsia="Times New Roman"/>
        </w:rPr>
      </w:pPr>
      <w:r>
        <w:rPr>
          <w:rFonts w:eastAsia="Times New Roman"/>
          <w:b/>
          <w:bCs/>
          <w:color w:val="000000"/>
          <w:sz w:val="20"/>
          <w:szCs w:val="20"/>
        </w:rPr>
        <w:t>Capital Planning and Regulatory Stress Testing</w:t>
      </w:r>
    </w:p>
    <w:p w:rsidR="00000000" w:rsidRDefault="00795D39">
      <w:pPr>
        <w:jc w:val="both"/>
        <w:divId w:val="1612085056"/>
        <w:rPr>
          <w:rFonts w:eastAsia="Times New Roman"/>
        </w:rPr>
      </w:pPr>
      <w:r>
        <w:rPr>
          <w:rFonts w:eastAsia="Times New Roman"/>
          <w:color w:val="000000"/>
          <w:sz w:val="20"/>
          <w:szCs w:val="20"/>
        </w:rPr>
        <w:t>On June 25, 2020, the Federal Reserve released the stress testing results for the 2020 Comprehensive Capital Analysis and Review (“CCAR”) cycle, including additional sensitivity analy</w:t>
      </w:r>
      <w:r>
        <w:rPr>
          <w:rFonts w:eastAsia="Times New Roman"/>
          <w:color w:val="000000"/>
          <w:sz w:val="20"/>
          <w:szCs w:val="20"/>
        </w:rPr>
        <w:t xml:space="preserve">ses conducted due to the COVID-19 pandemic, and required all participating banking organizations, including us, to update and resubmit their capital plans. We resubmitted our updated capital plan on November 2, 2020. </w:t>
      </w:r>
    </w:p>
    <w:p w:rsidR="00000000" w:rsidRDefault="00795D39">
      <w:pPr>
        <w:jc w:val="both"/>
        <w:divId w:val="1828745758"/>
        <w:rPr>
          <w:rFonts w:eastAsia="Times New Roman"/>
        </w:rPr>
      </w:pPr>
      <w:r>
        <w:rPr>
          <w:rFonts w:eastAsia="Times New Roman"/>
          <w:color w:val="000000"/>
          <w:sz w:val="20"/>
          <w:szCs w:val="20"/>
        </w:rPr>
        <w:t>Pursuant to the Federal Reserve’s capi</w:t>
      </w:r>
      <w:r>
        <w:rPr>
          <w:rFonts w:eastAsia="Times New Roman"/>
          <w:color w:val="000000"/>
          <w:sz w:val="20"/>
          <w:szCs w:val="20"/>
        </w:rPr>
        <w:t>tal plan rule, a participating banking organization, such as us, is prohibited from making capital distributions without the prior approval of the Federal Reserve following an event requiring the resubmission of its capital plan. Specifically for the third</w:t>
      </w:r>
      <w:r>
        <w:rPr>
          <w:rFonts w:eastAsia="Times New Roman"/>
          <w:color w:val="000000"/>
          <w:sz w:val="20"/>
          <w:szCs w:val="20"/>
        </w:rPr>
        <w:t xml:space="preserve"> quarter of 2020, the Federal Reserve required all participating banking organizations, including us, to preserve capital by suspending share repurchases and capping common stock dividend payments to the lower of (i) the amount paid in the second quarter o</w:t>
      </w:r>
      <w:r>
        <w:rPr>
          <w:rFonts w:eastAsia="Times New Roman"/>
          <w:color w:val="000000"/>
          <w:sz w:val="20"/>
          <w:szCs w:val="20"/>
        </w:rPr>
        <w:t>f 2020 and (ii) an amount equal to the average net income across the four preceding calendar quarters. Scheduled payments on additional Tier 1 and Tier 2 capital instruments, such as preferred stock and subordinated debt, were not similarly restricted.</w:t>
      </w:r>
    </w:p>
    <w:p w:rsidR="00000000" w:rsidRDefault="00795D39">
      <w:pPr>
        <w:jc w:val="both"/>
        <w:divId w:val="611745029"/>
        <w:rPr>
          <w:rFonts w:eastAsia="Times New Roman"/>
        </w:rPr>
      </w:pPr>
      <w:r>
        <w:rPr>
          <w:rFonts w:eastAsia="Times New Roman"/>
          <w:color w:val="000000"/>
          <w:sz w:val="20"/>
          <w:szCs w:val="20"/>
        </w:rPr>
        <w:t xml:space="preserve">On </w:t>
      </w:r>
      <w:r>
        <w:rPr>
          <w:rFonts w:eastAsia="Times New Roman"/>
          <w:color w:val="000000"/>
          <w:sz w:val="20"/>
          <w:szCs w:val="20"/>
        </w:rPr>
        <w:t>September 30, 2020, the Federal Reserve announced the extension of capital distribution restrictions through the fourth quarter of 2020 to ensure that large banking organizations maintain a high level of capital resilience. Specifically, for the fourth qua</w:t>
      </w:r>
      <w:r>
        <w:rPr>
          <w:rFonts w:eastAsia="Times New Roman"/>
          <w:color w:val="000000"/>
          <w:sz w:val="20"/>
          <w:szCs w:val="20"/>
        </w:rPr>
        <w:t>rter of 2020, banking organizations with more than $100 billion in total assets, including us, continue to be required by the Federal Reserve to suspend share repurchases and to cap common stock dividends.</w:t>
      </w:r>
    </w:p>
    <w:p w:rsidR="00000000" w:rsidRDefault="00795D39">
      <w:pPr>
        <w:jc w:val="both"/>
        <w:divId w:val="1302611521"/>
        <w:rPr>
          <w:rFonts w:eastAsia="Times New Roman"/>
        </w:rPr>
      </w:pPr>
      <w:r>
        <w:rPr>
          <w:rFonts w:eastAsia="Times New Roman"/>
          <w:color w:val="000000"/>
          <w:sz w:val="20"/>
          <w:szCs w:val="20"/>
        </w:rPr>
        <w:t xml:space="preserve">We suspended our 2019 Stock Repurchase Program on March 13, 2020 in response to the COVID-19 pandemic through the program’s expiration at the end of the second quarter of 2020. </w:t>
      </w:r>
    </w:p>
    <w:p w:rsidR="00000000" w:rsidRDefault="00795D39">
      <w:pPr>
        <w:jc w:val="both"/>
        <w:divId w:val="1455951484"/>
        <w:rPr>
          <w:rFonts w:eastAsia="Times New Roman"/>
        </w:rPr>
      </w:pPr>
      <w:r>
        <w:rPr>
          <w:rFonts w:eastAsia="Times New Roman"/>
          <w:color w:val="000000"/>
          <w:sz w:val="20"/>
          <w:szCs w:val="20"/>
        </w:rPr>
        <w:t>Consistent with the Federal Reserve’s limitations on common stock dividend pay</w:t>
      </w:r>
      <w:r>
        <w:rPr>
          <w:rFonts w:eastAsia="Times New Roman"/>
          <w:color w:val="000000"/>
          <w:sz w:val="20"/>
          <w:szCs w:val="20"/>
        </w:rPr>
        <w:t xml:space="preserve">ments as described above, we reduced our quarterly dividend on our common stock from $0.40 per share to $0.10 per share for the third quarter of 2020.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07754100"/>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0775410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0775410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3" style="width:0;height:1.5pt" o:hralign="center" o:hrstd="t" o:hr="t" fillcolor="#a0a0a0" stroked="f"/>
        </w:pict>
      </w:r>
    </w:p>
    <w:p w:rsidR="00000000" w:rsidRDefault="00795D39">
      <w:pPr>
        <w:jc w:val="both"/>
        <w:divId w:val="113764618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380325425"/>
        <w:rPr>
          <w:rFonts w:eastAsia="Times New Roman"/>
        </w:rPr>
      </w:pPr>
      <w:r>
        <w:rPr>
          <w:rFonts w:eastAsia="Times New Roman"/>
          <w:color w:val="000000"/>
          <w:sz w:val="20"/>
          <w:szCs w:val="20"/>
        </w:rPr>
        <w:t>While our third quarter results would have permitted us to increase our common stock dividend pursuant to the Federal Reserve’s limitations desc</w:t>
      </w:r>
      <w:r>
        <w:rPr>
          <w:rFonts w:eastAsia="Times New Roman"/>
          <w:color w:val="000000"/>
          <w:sz w:val="20"/>
          <w:szCs w:val="20"/>
        </w:rPr>
        <w:t>ribed above, we decided to maintain our quarterly dividend at $0.10 per share in the fourth quarter of 2020 as the process surrounding our resubmitted capital plan has not yet completed.</w:t>
      </w:r>
    </w:p>
    <w:p w:rsidR="00000000" w:rsidRDefault="00795D39">
      <w:pPr>
        <w:jc w:val="both"/>
        <w:divId w:val="1396246734"/>
        <w:rPr>
          <w:rFonts w:eastAsia="Times New Roman"/>
        </w:rPr>
      </w:pPr>
      <w:r>
        <w:rPr>
          <w:rFonts w:eastAsia="Times New Roman"/>
          <w:color w:val="000000"/>
          <w:sz w:val="20"/>
          <w:szCs w:val="20"/>
        </w:rPr>
        <w:t>For the description of the regulatory capital planning rules we are s</w:t>
      </w:r>
      <w:r>
        <w:rPr>
          <w:rFonts w:eastAsia="Times New Roman"/>
          <w:color w:val="000000"/>
          <w:sz w:val="20"/>
          <w:szCs w:val="20"/>
        </w:rPr>
        <w:t xml:space="preserve">ubject to, see “MD&amp;A—Supervision and Regulation” in this Report and our Quarterly Report on Form 10-Q for the period ended March 31, 2020 as well as “Part I—Item 1. Business—Supervision and Regulation” in our 2019 Form 10-K. </w:t>
      </w:r>
    </w:p>
    <w:p w:rsidR="00000000" w:rsidRDefault="00795D39">
      <w:pPr>
        <w:divId w:val="1654291465"/>
        <w:rPr>
          <w:rFonts w:eastAsia="Times New Roman"/>
        </w:rPr>
      </w:pPr>
      <w:r>
        <w:rPr>
          <w:rFonts w:eastAsia="Times New Roman"/>
          <w:b/>
          <w:bCs/>
          <w:color w:val="000000"/>
          <w:sz w:val="20"/>
          <w:szCs w:val="20"/>
        </w:rPr>
        <w:t>Equity Offerings and Transacti</w:t>
      </w:r>
      <w:r>
        <w:rPr>
          <w:rFonts w:eastAsia="Times New Roman"/>
          <w:b/>
          <w:bCs/>
          <w:color w:val="000000"/>
          <w:sz w:val="20"/>
          <w:szCs w:val="20"/>
        </w:rPr>
        <w:t>ons</w:t>
      </w:r>
    </w:p>
    <w:p w:rsidR="00000000" w:rsidRDefault="00795D39">
      <w:pPr>
        <w:jc w:val="both"/>
        <w:divId w:val="542329494"/>
        <w:rPr>
          <w:rFonts w:eastAsia="Times New Roman"/>
        </w:rPr>
      </w:pPr>
      <w:r>
        <w:rPr>
          <w:rFonts w:eastAsia="Times New Roman"/>
          <w:color w:val="000000"/>
          <w:sz w:val="20"/>
          <w:szCs w:val="20"/>
        </w:rPr>
        <w:t>On January 31, 2020, we issued 50,000,000 depositary shares, each representing a 1/40th interest in a share of Fixed Rate Non-Cumulative Perpetual Preferred Stock, Series J, $0.01 par value, with a liquidation preference of $25 per depositary share (“S</w:t>
      </w:r>
      <w:r>
        <w:rPr>
          <w:rFonts w:eastAsia="Times New Roman"/>
          <w:color w:val="000000"/>
          <w:sz w:val="20"/>
          <w:szCs w:val="20"/>
        </w:rPr>
        <w:t>eries J Preferred Stock”). The net proceeds of the offering of Series J Preferred Stock were approximately $1.2 billion, after deducting underwriting commissions and offering expenses. Dividends on the Series J Preferred Stock are payable quarterly in arre</w:t>
      </w:r>
      <w:r>
        <w:rPr>
          <w:rFonts w:eastAsia="Times New Roman"/>
          <w:color w:val="000000"/>
          <w:sz w:val="20"/>
          <w:szCs w:val="20"/>
        </w:rPr>
        <w:t>ars at a rate of 4.80% per annum.</w:t>
      </w:r>
    </w:p>
    <w:p w:rsidR="00000000" w:rsidRDefault="00795D39">
      <w:pPr>
        <w:jc w:val="both"/>
        <w:divId w:val="17006559"/>
        <w:rPr>
          <w:rFonts w:eastAsia="Times New Roman"/>
        </w:rPr>
      </w:pPr>
      <w:r>
        <w:rPr>
          <w:rFonts w:eastAsia="Times New Roman"/>
          <w:color w:val="000000"/>
          <w:sz w:val="20"/>
          <w:szCs w:val="20"/>
        </w:rPr>
        <w:t>On March 2, 2020, we redeemed all outstanding shares of our Fixed Rate 6.00% Non-Cumulative Perpetual Preferred Stock Series B. The redemption increased our net loss available to common shareholders by $22 million in the first quarter of 2020.</w:t>
      </w:r>
    </w:p>
    <w:p w:rsidR="00000000" w:rsidRDefault="00795D39">
      <w:pPr>
        <w:jc w:val="both"/>
        <w:divId w:val="1005859801"/>
        <w:rPr>
          <w:rFonts w:eastAsia="Times New Roman"/>
        </w:rPr>
      </w:pPr>
      <w:r>
        <w:rPr>
          <w:rFonts w:eastAsia="Times New Roman"/>
          <w:color w:val="000000"/>
          <w:sz w:val="20"/>
          <w:szCs w:val="20"/>
        </w:rPr>
        <w:t>On September</w:t>
      </w:r>
      <w:r>
        <w:rPr>
          <w:rFonts w:eastAsia="Times New Roman"/>
          <w:color w:val="000000"/>
          <w:sz w:val="20"/>
          <w:szCs w:val="20"/>
        </w:rPr>
        <w:t xml:space="preserve"> 17, 2020, we issued 5,000,000 depositary shares, each representing a 1/40th interest in a share of Fixed Rate Non-Cumulative Perpetual Preferred Stock, Series K, $0.01 par value, with a liquidation preference of $25 per depositary share (“Series K Preferr</w:t>
      </w:r>
      <w:r>
        <w:rPr>
          <w:rFonts w:eastAsia="Times New Roman"/>
          <w:color w:val="000000"/>
          <w:sz w:val="20"/>
          <w:szCs w:val="20"/>
        </w:rPr>
        <w:t>ed Stock”). The net proceeds of the offering of Series K Preferred Stock were approximately $121 million, after deducting underwriting commissions and offering expenses. Dividends on the Series K Preferred Stock are payable quarterly in arrears at a rate o</w:t>
      </w:r>
      <w:r>
        <w:rPr>
          <w:rFonts w:eastAsia="Times New Roman"/>
          <w:color w:val="000000"/>
          <w:sz w:val="20"/>
          <w:szCs w:val="20"/>
        </w:rPr>
        <w:t>f 4.625% per annum.</w:t>
      </w:r>
    </w:p>
    <w:p w:rsidR="00000000" w:rsidRDefault="00795D39">
      <w:pPr>
        <w:jc w:val="both"/>
        <w:divId w:val="644505023"/>
        <w:rPr>
          <w:rFonts w:eastAsia="Times New Roman"/>
        </w:rPr>
      </w:pPr>
      <w:r>
        <w:rPr>
          <w:rFonts w:eastAsia="Times New Roman"/>
          <w:color w:val="000000"/>
          <w:sz w:val="20"/>
          <w:szCs w:val="20"/>
        </w:rPr>
        <w:t>On October 22, 2020, we announced that we will redeem all outstanding shares of our Fixed Rate 6.20% Non-Cumulative Perpetual Preferred Stock Series F on December 1, 2020. We expect this redemption will reduce net income available to co</w:t>
      </w:r>
      <w:r>
        <w:rPr>
          <w:rFonts w:eastAsia="Times New Roman"/>
          <w:color w:val="000000"/>
          <w:sz w:val="20"/>
          <w:szCs w:val="20"/>
        </w:rPr>
        <w:t>mmon shareholders by approximately $17 million in the fourth quarter of 2020 and will reduce our Tier 1 capital ratio by an estimated 17 basis points.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63544667"/>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6354466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6354466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4" style="width:0;height:1.5pt" o:hralign="center" o:hrstd="t" o:hr="t" fillcolor="#a0a0a0" stroked="f"/>
        </w:pict>
      </w:r>
    </w:p>
    <w:p w:rsidR="00000000" w:rsidRDefault="00795D39">
      <w:pPr>
        <w:jc w:val="both"/>
        <w:divId w:val="63787897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2059083721"/>
        <w:rPr>
          <w:rFonts w:eastAsia="Times New Roman"/>
        </w:rPr>
      </w:pPr>
      <w:r>
        <w:rPr>
          <w:rFonts w:eastAsia="Times New Roman"/>
          <w:b/>
          <w:bCs/>
          <w:color w:val="000000"/>
          <w:sz w:val="20"/>
          <w:szCs w:val="20"/>
        </w:rPr>
        <w:t xml:space="preserve">Dividend Policy and Stock Purchases </w:t>
      </w:r>
    </w:p>
    <w:p w:rsidR="00000000" w:rsidRDefault="00795D39">
      <w:pPr>
        <w:jc w:val="both"/>
        <w:divId w:val="9840970"/>
        <w:rPr>
          <w:rFonts w:eastAsia="Times New Roman"/>
        </w:rPr>
      </w:pPr>
      <w:r>
        <w:rPr>
          <w:rFonts w:eastAsia="Times New Roman"/>
          <w:color w:val="000000"/>
          <w:sz w:val="20"/>
          <w:szCs w:val="20"/>
        </w:rPr>
        <w:t>In the first nine months of 2020, we declared and paid common stock dividends of $417 million, or $0.90 per</w:t>
      </w:r>
      <w:r>
        <w:rPr>
          <w:rFonts w:eastAsia="Times New Roman"/>
          <w:color w:val="000000"/>
          <w:sz w:val="20"/>
          <w:szCs w:val="20"/>
        </w:rPr>
        <w:t xml:space="preserve"> share, and preferred stock dividends of $212 million. The following table summarizes the dividends paid per share on our various preferred stock series in the first nine months of 2020.</w:t>
      </w:r>
    </w:p>
    <w:p w:rsidR="00000000" w:rsidRDefault="00795D39">
      <w:pPr>
        <w:divId w:val="2100175341"/>
        <w:rPr>
          <w:rFonts w:eastAsia="Times New Roman"/>
        </w:rPr>
      </w:pPr>
      <w:r>
        <w:rPr>
          <w:rFonts w:eastAsia="Times New Roman"/>
          <w:b/>
          <w:bCs/>
          <w:color w:val="000000"/>
          <w:sz w:val="18"/>
          <w:szCs w:val="18"/>
        </w:rPr>
        <w:t xml:space="preserve">Table 16: Preferred Stock Dividends Paid Per Share </w:t>
      </w:r>
    </w:p>
    <w:tbl>
      <w:tblPr>
        <w:tblW w:w="4992" w:type="pct"/>
        <w:tblCellMar>
          <w:top w:w="15" w:type="dxa"/>
          <w:left w:w="15" w:type="dxa"/>
          <w:bottom w:w="15" w:type="dxa"/>
          <w:right w:w="15" w:type="dxa"/>
        </w:tblCellMar>
        <w:tblLook w:val="04A0" w:firstRow="1" w:lastRow="0" w:firstColumn="1" w:lastColumn="0" w:noHBand="0" w:noVBand="1"/>
      </w:tblPr>
      <w:tblGrid>
        <w:gridCol w:w="57"/>
        <w:gridCol w:w="676"/>
        <w:gridCol w:w="36"/>
        <w:gridCol w:w="36"/>
        <w:gridCol w:w="36"/>
        <w:gridCol w:w="36"/>
        <w:gridCol w:w="72"/>
        <w:gridCol w:w="1019"/>
        <w:gridCol w:w="36"/>
        <w:gridCol w:w="36"/>
        <w:gridCol w:w="36"/>
        <w:gridCol w:w="36"/>
        <w:gridCol w:w="59"/>
        <w:gridCol w:w="1105"/>
        <w:gridCol w:w="37"/>
        <w:gridCol w:w="36"/>
        <w:gridCol w:w="36"/>
        <w:gridCol w:w="36"/>
        <w:gridCol w:w="52"/>
        <w:gridCol w:w="1306"/>
        <w:gridCol w:w="37"/>
        <w:gridCol w:w="36"/>
        <w:gridCol w:w="36"/>
        <w:gridCol w:w="36"/>
        <w:gridCol w:w="64"/>
        <w:gridCol w:w="1088"/>
        <w:gridCol w:w="36"/>
        <w:gridCol w:w="36"/>
        <w:gridCol w:w="36"/>
        <w:gridCol w:w="36"/>
        <w:gridCol w:w="78"/>
        <w:gridCol w:w="505"/>
        <w:gridCol w:w="36"/>
        <w:gridCol w:w="36"/>
        <w:gridCol w:w="36"/>
        <w:gridCol w:w="36"/>
        <w:gridCol w:w="78"/>
        <w:gridCol w:w="505"/>
        <w:gridCol w:w="36"/>
        <w:gridCol w:w="36"/>
        <w:gridCol w:w="36"/>
        <w:gridCol w:w="36"/>
        <w:gridCol w:w="78"/>
        <w:gridCol w:w="505"/>
        <w:gridCol w:w="36"/>
      </w:tblGrid>
      <w:tr w:rsidR="00000000">
        <w:trPr>
          <w:divId w:val="130247120"/>
        </w:trPr>
        <w:tc>
          <w:tcPr>
            <w:tcW w:w="50" w:type="pct"/>
            <w:vAlign w:val="center"/>
            <w:hideMark/>
          </w:tcPr>
          <w:p w:rsidR="00000000" w:rsidRDefault="00795D39">
            <w:pPr>
              <w:rPr>
                <w:rFonts w:eastAsia="Times New Roman"/>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6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7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82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9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0247120"/>
          <w:trHeight w:val="280"/>
        </w:trPr>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Series</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Description</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Issuance Date</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 xml:space="preserve">Per Annum </w:t>
            </w:r>
            <w:r>
              <w:rPr>
                <w:rFonts w:eastAsia="Times New Roman"/>
                <w:b/>
                <w:bCs/>
                <w:color w:val="000000"/>
                <w:sz w:val="20"/>
                <w:szCs w:val="20"/>
              </w:rPr>
              <w:br/>
              <w:t>Dividend Rate</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Dividend Frequency</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2020</w:t>
            </w:r>
          </w:p>
        </w:tc>
      </w:tr>
      <w:tr w:rsidR="00000000">
        <w:trPr>
          <w:divId w:val="130247120"/>
          <w:trHeight w:val="280"/>
        </w:trPr>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Q3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Q2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Q1</w:t>
            </w:r>
          </w:p>
        </w:tc>
      </w:tr>
      <w:tr w:rsidR="00000000">
        <w:trPr>
          <w:divId w:val="13024712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divId w:val="36661719"/>
              <w:rPr>
                <w:rFonts w:eastAsia="Times New Roman"/>
              </w:rPr>
            </w:pPr>
            <w:r>
              <w:rPr>
                <w:rFonts w:eastAsia="Times New Roman"/>
                <w:b/>
                <w:bCs/>
                <w:color w:val="000000"/>
                <w:sz w:val="20"/>
                <w:szCs w:val="20"/>
              </w:rPr>
              <w:t xml:space="preserve">Series </w:t>
            </w:r>
            <w:r>
              <w:rPr>
                <w:rFonts w:eastAsia="Times New Roman"/>
                <w:b/>
                <w:bCs/>
                <w:color w:val="000000"/>
                <w:sz w:val="20"/>
                <w:szCs w:val="20"/>
              </w:rPr>
              <w:t>B</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 xml:space="preserve">6.000% </w:t>
            </w:r>
            <w:r>
              <w:rPr>
                <w:rFonts w:eastAsia="Times New Roman"/>
                <w:color w:val="000000"/>
                <w:sz w:val="20"/>
                <w:szCs w:val="20"/>
              </w:rPr>
              <w:br/>
            </w:r>
            <w:r>
              <w:rPr>
                <w:rFonts w:eastAsia="Times New Roman"/>
                <w:color w:val="000000"/>
                <w:sz w:val="20"/>
                <w:szCs w:val="20"/>
              </w:rPr>
              <w:t>Non-Cumulative</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August 20, 2012</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6.000%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$15.00</w:t>
            </w:r>
          </w:p>
        </w:tc>
      </w:tr>
      <w:tr w:rsidR="00000000">
        <w:trPr>
          <w:divId w:val="130247120"/>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024712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0247120"/>
        </w:trPr>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20"/>
                <w:szCs w:val="20"/>
              </w:rPr>
              <w:t>Series 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Fixed-to-Floating Rate</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May 14, 2015</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 xml:space="preserve">5.550% through 5/31/2020; </w:t>
            </w:r>
            <w:r>
              <w:rPr>
                <w:rFonts w:eastAsia="Times New Roman"/>
                <w:color w:val="000000"/>
                <w:sz w:val="20"/>
                <w:szCs w:val="20"/>
              </w:rPr>
              <w:br/>
              <w:t>3-mo. LIBOR + 380 bps thereafter</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Semi-Annually through 5/31/2020; Quarterly thereafter</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20"/>
                <w:szCs w:val="20"/>
              </w:rPr>
              <w:t>$10.61</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$27.75</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w:t>
            </w:r>
          </w:p>
        </w:tc>
      </w:tr>
      <w:tr w:rsidR="00000000">
        <w:trPr>
          <w:divId w:val="130247120"/>
        </w:trPr>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20"/>
                <w:szCs w:val="20"/>
              </w:rPr>
              <w:t>Series F</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 xml:space="preserve">6.200%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August 24, 2015</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6.200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20"/>
                <w:szCs w:val="20"/>
              </w:rPr>
              <w:t>15.50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15.50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15.50</w:t>
            </w:r>
          </w:p>
        </w:tc>
      </w:tr>
      <w:tr w:rsidR="00000000">
        <w:trPr>
          <w:divId w:val="130247120"/>
        </w:trPr>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20"/>
                <w:szCs w:val="20"/>
              </w:rPr>
              <w:t>Series 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5.200%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July 29, 2016</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5.200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20"/>
                <w:szCs w:val="20"/>
              </w:rPr>
              <w:t>13.00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13.00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13.00</w:t>
            </w:r>
          </w:p>
        </w:tc>
      </w:tr>
      <w:tr w:rsidR="00000000">
        <w:trPr>
          <w:divId w:val="130247120"/>
        </w:trPr>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20"/>
                <w:szCs w:val="20"/>
              </w:rPr>
              <w:t>Series H</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 xml:space="preserve">6.000%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November 29, 2016</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6.000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20"/>
                <w:szCs w:val="20"/>
              </w:rPr>
              <w:t>15.00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15.00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15.00</w:t>
            </w:r>
          </w:p>
        </w:tc>
      </w:tr>
      <w:tr w:rsidR="00000000">
        <w:trPr>
          <w:divId w:val="130247120"/>
        </w:trPr>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20"/>
                <w:szCs w:val="20"/>
              </w:rPr>
              <w:t>Series I</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 xml:space="preserve">5.000%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September 11, 2019</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5.000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Quarterly</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20"/>
                <w:szCs w:val="20"/>
              </w:rPr>
              <w:t>12.50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12.50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12.50</w:t>
            </w:r>
          </w:p>
        </w:tc>
      </w:tr>
      <w:tr w:rsidR="00000000">
        <w:trPr>
          <w:divId w:val="130247120"/>
        </w:trPr>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20"/>
                <w:szCs w:val="20"/>
              </w:rPr>
              <w:t>Series J</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 xml:space="preserve">4.800%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January 31, 2020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4.800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20"/>
                <w:szCs w:val="20"/>
              </w:rPr>
              <w:t>12.00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16.13</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w:t>
            </w:r>
          </w:p>
        </w:tc>
      </w:tr>
      <w:tr w:rsidR="00000000">
        <w:trPr>
          <w:divId w:val="130247120"/>
        </w:trPr>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20"/>
                <w:szCs w:val="20"/>
              </w:rPr>
              <w:t>Series 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September 17, 2020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4.625</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20"/>
                <w:szCs w:val="20"/>
              </w:rPr>
              <w:t>—</w:t>
            </w:r>
          </w:p>
        </w:tc>
      </w:tr>
    </w:tbl>
    <w:p w:rsidR="00000000" w:rsidRDefault="00795D39">
      <w:pPr>
        <w:divId w:val="1923906794"/>
        <w:rPr>
          <w:rFonts w:eastAsia="Times New Roman"/>
        </w:rPr>
      </w:pPr>
      <w:r>
        <w:rPr>
          <w:rFonts w:eastAsia="Times New Roman"/>
          <w:color w:val="000000"/>
          <w:sz w:val="20"/>
          <w:szCs w:val="20"/>
        </w:rPr>
        <w:t>__________</w:t>
      </w:r>
    </w:p>
    <w:p w:rsidR="00000000" w:rsidRDefault="00795D39">
      <w:pPr>
        <w:ind w:hanging="360"/>
        <w:jc w:val="both"/>
        <w:divId w:val="12736314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On March 2, 2020, we redeemed all outstanding shares of our preferred stock Ser</w:t>
      </w:r>
      <w:r>
        <w:rPr>
          <w:rFonts w:eastAsia="Times New Roman"/>
          <w:color w:val="000000"/>
          <w:sz w:val="16"/>
          <w:szCs w:val="16"/>
        </w:rPr>
        <w:t>ies B.</w:t>
      </w:r>
    </w:p>
    <w:p w:rsidR="00000000" w:rsidRDefault="00795D39">
      <w:pPr>
        <w:jc w:val="both"/>
        <w:divId w:val="752513237"/>
        <w:rPr>
          <w:rFonts w:eastAsia="Times New Roman"/>
        </w:rPr>
      </w:pPr>
      <w:r>
        <w:rPr>
          <w:rFonts w:eastAsia="Times New Roman"/>
          <w:color w:val="000000"/>
          <w:sz w:val="20"/>
          <w:szCs w:val="20"/>
        </w:rPr>
        <w:t>The declaration and payment of dividends to our stockholders, as well as the amount thereof, are subject to the discretion of our Board of Directors and depend upon our results of operations, financial condition, capital levels, cash requirements, f</w:t>
      </w:r>
      <w:r>
        <w:rPr>
          <w:rFonts w:eastAsia="Times New Roman"/>
          <w:color w:val="000000"/>
          <w:sz w:val="20"/>
          <w:szCs w:val="20"/>
        </w:rPr>
        <w:t>uture prospects, regulatory requirements and other factors deemed relevant by the Board of Directors. As a BHC, our ability to pay dividends is largely dependent upon the receipt of dividends or other payments from our subsidiaries. The Banks are subject t</w:t>
      </w:r>
      <w:r>
        <w:rPr>
          <w:rFonts w:eastAsia="Times New Roman"/>
          <w:color w:val="000000"/>
          <w:sz w:val="20"/>
          <w:szCs w:val="20"/>
        </w:rPr>
        <w:t>o regulatory restrictions that limit their ability to transfer funds to our BHC. As of September 30, 2020, funds available for dividend payments from COBNA and CONA were $2.3 billion and $917 million, respectively. There can be no assurance that we will de</w:t>
      </w:r>
      <w:r>
        <w:rPr>
          <w:rFonts w:eastAsia="Times New Roman"/>
          <w:color w:val="000000"/>
          <w:sz w:val="20"/>
          <w:szCs w:val="20"/>
        </w:rPr>
        <w:t xml:space="preserve">clare and pay any dividends to stockholders. </w:t>
      </w:r>
    </w:p>
    <w:p w:rsidR="00000000" w:rsidRDefault="00795D39">
      <w:pPr>
        <w:jc w:val="both"/>
        <w:divId w:val="1004476289"/>
        <w:rPr>
          <w:rFonts w:eastAsia="Times New Roman"/>
        </w:rPr>
      </w:pPr>
      <w:r>
        <w:rPr>
          <w:rFonts w:eastAsia="Times New Roman"/>
          <w:color w:val="000000"/>
          <w:sz w:val="20"/>
          <w:szCs w:val="20"/>
        </w:rPr>
        <w:t>Consistent with our 2019 Stock Repurchase Program which was announced on June 27, 2019, our Board of Directors authorized the repurchase of up to $2.2 billion of shares of common stock beginning in the third qu</w:t>
      </w:r>
      <w:r>
        <w:rPr>
          <w:rFonts w:eastAsia="Times New Roman"/>
          <w:color w:val="000000"/>
          <w:sz w:val="20"/>
          <w:szCs w:val="20"/>
        </w:rPr>
        <w:t>arter of 2019 through the end of the second quarter of 2020. During the first quarter of 2020, we repurchased approximately $312 million of shares of our common stock under the 2019 Stock Repurchase Program before suspending further repurchases on March 13</w:t>
      </w:r>
      <w:r>
        <w:rPr>
          <w:rFonts w:eastAsia="Times New Roman"/>
          <w:color w:val="000000"/>
          <w:sz w:val="20"/>
          <w:szCs w:val="20"/>
        </w:rPr>
        <w:t>, 2020 in response to the COVID-19 pandemic through the program's expiration at the end of the second quarter of 2020. As noted above, for the third quarter of 2020, the Federal Reserve required all participating banking organizations, including us, to sus</w:t>
      </w:r>
      <w:r>
        <w:rPr>
          <w:rFonts w:eastAsia="Times New Roman"/>
          <w:color w:val="000000"/>
          <w:sz w:val="20"/>
          <w:szCs w:val="20"/>
        </w:rPr>
        <w:t>pend share repurchases as a measure of capital preservation.</w:t>
      </w:r>
    </w:p>
    <w:p w:rsidR="00000000" w:rsidRDefault="00795D39">
      <w:pPr>
        <w:jc w:val="both"/>
        <w:divId w:val="1338457799"/>
        <w:rPr>
          <w:rFonts w:eastAsia="Times New Roman"/>
        </w:rPr>
      </w:pPr>
      <w:r>
        <w:rPr>
          <w:rFonts w:eastAsia="Times New Roman"/>
          <w:color w:val="000000"/>
          <w:sz w:val="20"/>
          <w:szCs w:val="20"/>
        </w:rPr>
        <w:t>The timing and exact amount of any future common stock repurchases will depend on various factors, including regulatory approval, market conditions, opportunities for growth, our capital position</w:t>
      </w:r>
      <w:r>
        <w:rPr>
          <w:rFonts w:eastAsia="Times New Roman"/>
          <w:color w:val="000000"/>
          <w:sz w:val="20"/>
          <w:szCs w:val="20"/>
        </w:rPr>
        <w:t xml:space="preserve"> and the amount of retained earnings. Our stock repurchase program does not include specific price targets, may be executed through open market purchases or privately negotiated transactions, including utilizing Rule 10b5-1 programs, and may be suspended a</w:t>
      </w:r>
      <w:r>
        <w:rPr>
          <w:rFonts w:eastAsia="Times New Roman"/>
          <w:color w:val="000000"/>
          <w:sz w:val="20"/>
          <w:szCs w:val="20"/>
        </w:rPr>
        <w:t>t any time. For additional information on dividends and stock repurchases, see “MD&amp;A—Capital Management—Capital Planning and Regulatory Stress Testing” and “Part I—Item 1. Business—Supervision and Regulation—Dividends, Stock Repurchases and Transfers of Fu</w:t>
      </w:r>
      <w:r>
        <w:rPr>
          <w:rFonts w:eastAsia="Times New Roman"/>
          <w:color w:val="000000"/>
          <w:sz w:val="20"/>
          <w:szCs w:val="20"/>
        </w:rPr>
        <w:t>nds” in our 2019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8871258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8871258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8871258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5" style="width:0;height:1.5pt" o:hralign="center" o:hrstd="t" o:hr="t" fillcolor="#a0a0a0" stroked="f"/>
        </w:pict>
      </w:r>
    </w:p>
    <w:p w:rsidR="00000000" w:rsidRDefault="00795D39">
      <w:pPr>
        <w:jc w:val="both"/>
        <w:divId w:val="1493835394"/>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6284430"/>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6284430"/>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20"/>
                <w:szCs w:val="20"/>
              </w:rPr>
              <w:t>RISK MANAGEMENT</w:t>
            </w:r>
          </w:p>
        </w:tc>
      </w:tr>
    </w:tbl>
    <w:p w:rsidR="00000000" w:rsidRDefault="00795D39">
      <w:pPr>
        <w:divId w:val="2002847140"/>
        <w:rPr>
          <w:rFonts w:eastAsia="Times New Roman"/>
        </w:rPr>
      </w:pPr>
      <w:r>
        <w:rPr>
          <w:rFonts w:eastAsia="Times New Roman"/>
          <w:b/>
          <w:bCs/>
          <w:color w:val="000000"/>
          <w:sz w:val="20"/>
          <w:szCs w:val="20"/>
        </w:rPr>
        <w:t>Risk Management Framework</w:t>
      </w:r>
    </w:p>
    <w:p w:rsidR="00000000" w:rsidRDefault="00795D39">
      <w:pPr>
        <w:jc w:val="both"/>
        <w:divId w:val="1811753218"/>
        <w:rPr>
          <w:rFonts w:eastAsia="Times New Roman"/>
        </w:rPr>
      </w:pPr>
      <w:r>
        <w:rPr>
          <w:rFonts w:eastAsia="Times New Roman"/>
          <w:color w:val="000000"/>
          <w:sz w:val="20"/>
          <w:szCs w:val="20"/>
        </w:rPr>
        <w:t>Our Risk Management Framework (the “Framework”</w:t>
      </w:r>
      <w:r>
        <w:rPr>
          <w:rFonts w:eastAsia="Times New Roman"/>
          <w:color w:val="000000"/>
          <w:sz w:val="20"/>
          <w:szCs w:val="20"/>
        </w:rPr>
        <w:t>) sets consistent expectations for risk management across the Company. It also sets expectations for our “Three Lines of Defense” model, which defines the roles, responsibilities and accountabilities for taking and managing risk across the Company. Account</w:t>
      </w:r>
      <w:r>
        <w:rPr>
          <w:rFonts w:eastAsia="Times New Roman"/>
          <w:color w:val="000000"/>
          <w:sz w:val="20"/>
          <w:szCs w:val="20"/>
        </w:rPr>
        <w:t xml:space="preserve">ability for overseeing an effective Framework resides with our Board of Directors either directly or through its committees. </w:t>
      </w:r>
    </w:p>
    <w:p w:rsidR="00000000" w:rsidRDefault="00795D39">
      <w:pPr>
        <w:jc w:val="both"/>
        <w:divId w:val="1166359503"/>
        <w:rPr>
          <w:rFonts w:eastAsia="Times New Roman"/>
        </w:rPr>
      </w:pPr>
      <w:r>
        <w:rPr>
          <w:rFonts w:eastAsia="Times New Roman"/>
          <w:color w:val="000000"/>
          <w:sz w:val="20"/>
          <w:szCs w:val="20"/>
        </w:rPr>
        <w:t>The “First Line of Defense” consists of any line of business or function that is accountable for risk taking and is responsible fo</w:t>
      </w:r>
      <w:r>
        <w:rPr>
          <w:rFonts w:eastAsia="Times New Roman"/>
          <w:color w:val="000000"/>
          <w:sz w:val="20"/>
          <w:szCs w:val="20"/>
        </w:rPr>
        <w:t xml:space="preserve">r: (i) engaging in activities designed to generate revenue or reduce expenses; (ii) providing operational support or servicing to any business function for the delivery of products or services to customers; or (iii) providing technology services in direct </w:t>
      </w:r>
      <w:r>
        <w:rPr>
          <w:rFonts w:eastAsia="Times New Roman"/>
          <w:color w:val="000000"/>
          <w:sz w:val="20"/>
          <w:szCs w:val="20"/>
        </w:rPr>
        <w:t xml:space="preserve">support of first line business areas. Each line of business or first line function is responsible for managing the risks associated with their activities, including identifying, assessing, measuring, monitoring, controlling, and reporting the risks within </w:t>
      </w:r>
      <w:r>
        <w:rPr>
          <w:rFonts w:eastAsia="Times New Roman"/>
          <w:color w:val="000000"/>
          <w:sz w:val="20"/>
          <w:szCs w:val="20"/>
        </w:rPr>
        <w:t>its business activities, consistent with the risk framework. The “Second Line of Defense” consists of two types of functions: Independent Risk Management (“IRM”) and Support Functions. IRM oversees risk-taking activities and assesses risks and issues indep</w:t>
      </w:r>
      <w:r>
        <w:rPr>
          <w:rFonts w:eastAsia="Times New Roman"/>
          <w:color w:val="000000"/>
          <w:sz w:val="20"/>
          <w:szCs w:val="20"/>
        </w:rPr>
        <w:t>endent from the first line of defense. Support Functions are centers of specialized expertise (e.g., Human Resources, Accounting, Legal) that provide support services to the Company. The “Third Line of Defense” is comprised of the Internal Audit and Credit</w:t>
      </w:r>
      <w:r>
        <w:rPr>
          <w:rFonts w:eastAsia="Times New Roman"/>
          <w:color w:val="000000"/>
          <w:sz w:val="20"/>
          <w:szCs w:val="20"/>
        </w:rPr>
        <w:t xml:space="preserve"> Review functions. The third line provides independent and objective assurance to senior management and to the Board of Directors that the first and second lines of defense have systems and governance processes which are well-designed and working as intend</w:t>
      </w:r>
      <w:r>
        <w:rPr>
          <w:rFonts w:eastAsia="Times New Roman"/>
          <w:color w:val="000000"/>
          <w:sz w:val="20"/>
          <w:szCs w:val="20"/>
        </w:rPr>
        <w:t xml:space="preserve">ed, and that the Framework is appropriate for our size, complexity and risk profile. </w:t>
      </w:r>
    </w:p>
    <w:p w:rsidR="00000000" w:rsidRDefault="00795D39">
      <w:pPr>
        <w:jc w:val="both"/>
        <w:divId w:val="2086413298"/>
        <w:rPr>
          <w:rFonts w:eastAsia="Times New Roman"/>
        </w:rPr>
      </w:pPr>
      <w:r>
        <w:rPr>
          <w:rFonts w:eastAsia="Times New Roman"/>
          <w:color w:val="000000"/>
          <w:sz w:val="20"/>
          <w:szCs w:val="20"/>
        </w:rPr>
        <w:t xml:space="preserve">Our Framework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trPr>
          <w:divId w:val="1392915"/>
        </w:trPr>
        <w:tc>
          <w:tcPr>
            <w:tcW w:w="50" w:type="pct"/>
            <w:vAlign w:val="center"/>
            <w:hideMark/>
          </w:tcPr>
          <w:p w:rsidR="00000000" w:rsidRDefault="00795D39">
            <w:pPr>
              <w:jc w:val="both"/>
              <w:rPr>
                <w:rFonts w:eastAsia="Times New Roman"/>
              </w:rPr>
            </w:pPr>
          </w:p>
        </w:tc>
        <w:tc>
          <w:tcPr>
            <w:tcW w:w="116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16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16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16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92915"/>
        </w:trPr>
        <w:tc>
          <w:tcPr>
            <w:tcW w:w="0" w:type="auto"/>
            <w:gridSpan w:val="21"/>
            <w:shd w:val="clear" w:color="auto" w:fill="004977"/>
            <w:tcMar>
              <w:top w:w="30" w:type="dxa"/>
              <w:left w:w="20" w:type="dxa"/>
              <w:bottom w:w="30" w:type="dxa"/>
              <w:right w:w="20" w:type="dxa"/>
            </w:tcMar>
            <w:vAlign w:val="center"/>
            <w:hideMark/>
          </w:tcPr>
          <w:p w:rsidR="00000000" w:rsidRDefault="00795D39">
            <w:pPr>
              <w:jc w:val="center"/>
              <w:rPr>
                <w:rFonts w:eastAsia="Times New Roman"/>
              </w:rPr>
            </w:pPr>
          </w:p>
          <w:p w:rsidR="00000000" w:rsidRDefault="00795D39">
            <w:pPr>
              <w:jc w:val="center"/>
              <w:rPr>
                <w:rFonts w:eastAsia="Times New Roman"/>
              </w:rPr>
            </w:pPr>
            <w:r>
              <w:rPr>
                <w:rFonts w:eastAsia="Times New Roman"/>
                <w:b/>
                <w:bCs/>
                <w:color w:val="FFFFFF"/>
                <w:sz w:val="18"/>
                <w:szCs w:val="18"/>
              </w:rPr>
              <w:t> Governance and Accountability</w:t>
            </w:r>
          </w:p>
          <w:p w:rsidR="00000000" w:rsidRDefault="00795D39">
            <w:pPr>
              <w:jc w:val="center"/>
              <w:rPr>
                <w:rFonts w:eastAsia="Times New Roman"/>
              </w:rPr>
            </w:pPr>
          </w:p>
        </w:tc>
      </w:tr>
      <w:tr w:rsidR="00000000">
        <w:trPr>
          <w:divId w:val="1392915"/>
          <w:trHeight w:val="60"/>
        </w:trPr>
        <w:tc>
          <w:tcPr>
            <w:tcW w:w="0" w:type="auto"/>
            <w:gridSpan w:val="21"/>
            <w:tcMar>
              <w:top w:w="0" w:type="dxa"/>
              <w:left w:w="20" w:type="dxa"/>
              <w:bottom w:w="0" w:type="dxa"/>
              <w:right w:w="20" w:type="dxa"/>
            </w:tcMar>
            <w:vAlign w:val="center"/>
            <w:hideMark/>
          </w:tcPr>
          <w:p w:rsidR="00000000" w:rsidRDefault="00795D39">
            <w:pPr>
              <w:jc w:val="center"/>
              <w:rPr>
                <w:rFonts w:eastAsia="Times New Roman"/>
              </w:rPr>
            </w:pPr>
          </w:p>
        </w:tc>
      </w:tr>
      <w:tr w:rsidR="00000000">
        <w:trPr>
          <w:divId w:val="1392915"/>
        </w:trPr>
        <w:tc>
          <w:tcPr>
            <w:tcW w:w="0" w:type="auto"/>
            <w:gridSpan w:val="21"/>
            <w:shd w:val="clear" w:color="auto" w:fill="004977"/>
            <w:tcMar>
              <w:top w:w="30" w:type="dxa"/>
              <w:left w:w="20" w:type="dxa"/>
              <w:bottom w:w="30" w:type="dxa"/>
              <w:right w:w="20" w:type="dxa"/>
            </w:tcMar>
            <w:vAlign w:val="center"/>
            <w:hideMark/>
          </w:tcPr>
          <w:p w:rsidR="00000000" w:rsidRDefault="00795D39">
            <w:pPr>
              <w:jc w:val="center"/>
              <w:rPr>
                <w:rFonts w:eastAsia="Times New Roman"/>
              </w:rPr>
            </w:pPr>
          </w:p>
          <w:p w:rsidR="00000000" w:rsidRDefault="00795D39">
            <w:pPr>
              <w:jc w:val="center"/>
              <w:rPr>
                <w:rFonts w:eastAsia="Times New Roman"/>
              </w:rPr>
            </w:pPr>
            <w:r>
              <w:rPr>
                <w:rFonts w:eastAsia="Times New Roman"/>
                <w:b/>
                <w:bCs/>
                <w:color w:val="FFFFFF"/>
                <w:sz w:val="18"/>
                <w:szCs w:val="18"/>
              </w:rPr>
              <w:t>Strategy and Risk Alignment</w:t>
            </w:r>
          </w:p>
          <w:p w:rsidR="00000000" w:rsidRDefault="00795D39">
            <w:pPr>
              <w:jc w:val="center"/>
              <w:rPr>
                <w:rFonts w:eastAsia="Times New Roman"/>
              </w:rPr>
            </w:pPr>
          </w:p>
        </w:tc>
      </w:tr>
      <w:tr w:rsidR="00000000">
        <w:trPr>
          <w:divId w:val="1392915"/>
          <w:trHeight w:val="6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92915"/>
        </w:trPr>
        <w:tc>
          <w:tcPr>
            <w:tcW w:w="0" w:type="auto"/>
            <w:gridSpan w:val="3"/>
            <w:shd w:val="clear" w:color="auto" w:fill="004977"/>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FFFFFF"/>
                <w:sz w:val="18"/>
                <w:szCs w:val="18"/>
              </w:rPr>
              <w:br/>
              <w:t>Risk Identification</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795D39">
            <w:pPr>
              <w:jc w:val="center"/>
              <w:rPr>
                <w:rFonts w:eastAsia="Times New Roman"/>
              </w:rPr>
            </w:pPr>
          </w:p>
          <w:p w:rsidR="00000000" w:rsidRDefault="00795D39">
            <w:pPr>
              <w:jc w:val="center"/>
              <w:rPr>
                <w:rFonts w:eastAsia="Times New Roman"/>
              </w:rPr>
            </w:pPr>
            <w:r>
              <w:rPr>
                <w:rFonts w:eastAsia="Times New Roman"/>
                <w:b/>
                <w:bCs/>
                <w:color w:val="FFFFFF"/>
                <w:sz w:val="18"/>
                <w:szCs w:val="18"/>
              </w:rPr>
              <w:t>Assessment, Measurement</w:t>
            </w:r>
          </w:p>
          <w:p w:rsidR="00000000" w:rsidRDefault="00795D39">
            <w:pPr>
              <w:jc w:val="center"/>
              <w:rPr>
                <w:rFonts w:eastAsia="Times New Roman"/>
              </w:rPr>
            </w:pPr>
            <w:r>
              <w:rPr>
                <w:rFonts w:eastAsia="Times New Roman"/>
                <w:b/>
                <w:bCs/>
                <w:color w:val="FFFFFF"/>
                <w:sz w:val="18"/>
                <w:szCs w:val="18"/>
              </w:rPr>
              <w:t>and Response</w:t>
            </w:r>
          </w:p>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795D39">
            <w:pPr>
              <w:jc w:val="center"/>
              <w:rPr>
                <w:rFonts w:eastAsia="Times New Roman"/>
              </w:rPr>
            </w:pPr>
          </w:p>
          <w:p w:rsidR="00000000" w:rsidRDefault="00795D39">
            <w:pPr>
              <w:jc w:val="center"/>
              <w:rPr>
                <w:rFonts w:eastAsia="Times New Roman"/>
              </w:rPr>
            </w:pPr>
            <w:r>
              <w:rPr>
                <w:rFonts w:eastAsia="Times New Roman"/>
                <w:b/>
                <w:bCs/>
                <w:color w:val="FFFFFF"/>
                <w:sz w:val="18"/>
                <w:szCs w:val="18"/>
              </w:rPr>
              <w:t>Monitoring and Testing</w:t>
            </w:r>
          </w:p>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795D39">
            <w:pPr>
              <w:jc w:val="center"/>
              <w:rPr>
                <w:rFonts w:eastAsia="Times New Roman"/>
              </w:rPr>
            </w:pPr>
          </w:p>
          <w:p w:rsidR="00000000" w:rsidRDefault="00795D39">
            <w:pPr>
              <w:jc w:val="center"/>
              <w:rPr>
                <w:rFonts w:eastAsia="Times New Roman"/>
              </w:rPr>
            </w:pPr>
            <w:r>
              <w:rPr>
                <w:rFonts w:eastAsia="Times New Roman"/>
                <w:b/>
                <w:bCs/>
                <w:color w:val="FFFFFF"/>
                <w:sz w:val="18"/>
                <w:szCs w:val="18"/>
              </w:rPr>
              <w:t>Aggregation, Reporting and Escalation</w:t>
            </w:r>
          </w:p>
          <w:p w:rsidR="00000000" w:rsidRDefault="00795D39">
            <w:pPr>
              <w:jc w:val="center"/>
              <w:rPr>
                <w:rFonts w:eastAsia="Times New Roman"/>
              </w:rPr>
            </w:pPr>
          </w:p>
        </w:tc>
      </w:tr>
      <w:tr w:rsidR="00000000">
        <w:trPr>
          <w:divId w:val="1392915"/>
          <w:trHeight w:val="6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92915"/>
        </w:trPr>
        <w:tc>
          <w:tcPr>
            <w:tcW w:w="0" w:type="auto"/>
            <w:gridSpan w:val="21"/>
            <w:shd w:val="clear" w:color="auto" w:fill="004977"/>
            <w:tcMar>
              <w:top w:w="30" w:type="dxa"/>
              <w:left w:w="20" w:type="dxa"/>
              <w:bottom w:w="30" w:type="dxa"/>
              <w:right w:w="20" w:type="dxa"/>
            </w:tcMar>
            <w:vAlign w:val="center"/>
            <w:hideMark/>
          </w:tcPr>
          <w:p w:rsidR="00000000" w:rsidRDefault="00795D39">
            <w:pPr>
              <w:jc w:val="center"/>
              <w:rPr>
                <w:rFonts w:eastAsia="Times New Roman"/>
              </w:rPr>
            </w:pPr>
          </w:p>
          <w:p w:rsidR="00000000" w:rsidRDefault="00795D39">
            <w:pPr>
              <w:jc w:val="center"/>
              <w:rPr>
                <w:rFonts w:eastAsia="Times New Roman"/>
              </w:rPr>
            </w:pPr>
            <w:r>
              <w:rPr>
                <w:rFonts w:eastAsia="Times New Roman"/>
                <w:b/>
                <w:bCs/>
                <w:color w:val="FFFFFF"/>
                <w:sz w:val="18"/>
                <w:szCs w:val="18"/>
              </w:rPr>
              <w:t>Capital and Liquidity Management (including Stress Testing)</w:t>
            </w:r>
          </w:p>
          <w:p w:rsidR="00000000" w:rsidRDefault="00795D39">
            <w:pPr>
              <w:jc w:val="center"/>
              <w:rPr>
                <w:rFonts w:eastAsia="Times New Roman"/>
              </w:rPr>
            </w:pPr>
          </w:p>
        </w:tc>
      </w:tr>
      <w:tr w:rsidR="00000000">
        <w:trPr>
          <w:divId w:val="1392915"/>
          <w:trHeight w:val="60"/>
        </w:trPr>
        <w:tc>
          <w:tcPr>
            <w:tcW w:w="0" w:type="auto"/>
            <w:gridSpan w:val="21"/>
            <w:tcMar>
              <w:top w:w="0" w:type="dxa"/>
              <w:left w:w="20" w:type="dxa"/>
              <w:bottom w:w="0" w:type="dxa"/>
              <w:right w:w="20" w:type="dxa"/>
            </w:tcMar>
            <w:vAlign w:val="center"/>
            <w:hideMark/>
          </w:tcPr>
          <w:p w:rsidR="00000000" w:rsidRDefault="00795D39">
            <w:pPr>
              <w:jc w:val="center"/>
              <w:rPr>
                <w:rFonts w:eastAsia="Times New Roman"/>
              </w:rPr>
            </w:pPr>
          </w:p>
        </w:tc>
      </w:tr>
      <w:tr w:rsidR="00000000">
        <w:trPr>
          <w:divId w:val="1392915"/>
        </w:trPr>
        <w:tc>
          <w:tcPr>
            <w:tcW w:w="0" w:type="auto"/>
            <w:gridSpan w:val="21"/>
            <w:shd w:val="clear" w:color="auto" w:fill="004977"/>
            <w:tcMar>
              <w:top w:w="30" w:type="dxa"/>
              <w:left w:w="20" w:type="dxa"/>
              <w:bottom w:w="30" w:type="dxa"/>
              <w:right w:w="20" w:type="dxa"/>
            </w:tcMar>
            <w:vAlign w:val="center"/>
            <w:hideMark/>
          </w:tcPr>
          <w:p w:rsidR="00000000" w:rsidRDefault="00795D39">
            <w:pPr>
              <w:jc w:val="center"/>
              <w:rPr>
                <w:rFonts w:eastAsia="Times New Roman"/>
              </w:rPr>
            </w:pPr>
          </w:p>
          <w:p w:rsidR="00000000" w:rsidRDefault="00795D39">
            <w:pPr>
              <w:jc w:val="center"/>
              <w:rPr>
                <w:rFonts w:eastAsia="Times New Roman"/>
              </w:rPr>
            </w:pPr>
            <w:r>
              <w:rPr>
                <w:rFonts w:eastAsia="Times New Roman"/>
                <w:b/>
                <w:bCs/>
                <w:color w:val="FFFFFF"/>
                <w:sz w:val="18"/>
                <w:szCs w:val="18"/>
              </w:rPr>
              <w:t>Risk Data and Enabling Technology</w:t>
            </w:r>
          </w:p>
          <w:p w:rsidR="00000000" w:rsidRDefault="00795D39">
            <w:pPr>
              <w:jc w:val="center"/>
              <w:rPr>
                <w:rFonts w:eastAsia="Times New Roman"/>
              </w:rPr>
            </w:pPr>
          </w:p>
        </w:tc>
      </w:tr>
      <w:tr w:rsidR="00000000">
        <w:trPr>
          <w:divId w:val="1392915"/>
          <w:trHeight w:val="60"/>
        </w:trPr>
        <w:tc>
          <w:tcPr>
            <w:tcW w:w="0" w:type="auto"/>
            <w:gridSpan w:val="21"/>
            <w:tcMar>
              <w:top w:w="0" w:type="dxa"/>
              <w:left w:w="20" w:type="dxa"/>
              <w:bottom w:w="0" w:type="dxa"/>
              <w:right w:w="20" w:type="dxa"/>
            </w:tcMar>
            <w:vAlign w:val="center"/>
            <w:hideMark/>
          </w:tcPr>
          <w:p w:rsidR="00000000" w:rsidRDefault="00795D39">
            <w:pPr>
              <w:jc w:val="center"/>
              <w:rPr>
                <w:rFonts w:eastAsia="Times New Roman"/>
              </w:rPr>
            </w:pPr>
          </w:p>
        </w:tc>
      </w:tr>
      <w:tr w:rsidR="00000000">
        <w:trPr>
          <w:divId w:val="1392915"/>
        </w:trPr>
        <w:tc>
          <w:tcPr>
            <w:tcW w:w="0" w:type="auto"/>
            <w:gridSpan w:val="21"/>
            <w:shd w:val="clear" w:color="auto" w:fill="004977"/>
            <w:tcMar>
              <w:top w:w="30" w:type="dxa"/>
              <w:left w:w="20" w:type="dxa"/>
              <w:bottom w:w="30" w:type="dxa"/>
              <w:right w:w="20" w:type="dxa"/>
            </w:tcMar>
            <w:vAlign w:val="center"/>
            <w:hideMark/>
          </w:tcPr>
          <w:p w:rsidR="00000000" w:rsidRDefault="00795D39">
            <w:pPr>
              <w:jc w:val="center"/>
              <w:rPr>
                <w:rFonts w:eastAsia="Times New Roman"/>
              </w:rPr>
            </w:pPr>
          </w:p>
          <w:p w:rsidR="00000000" w:rsidRDefault="00795D39">
            <w:pPr>
              <w:jc w:val="center"/>
              <w:rPr>
                <w:rFonts w:eastAsia="Times New Roman"/>
              </w:rPr>
            </w:pPr>
            <w:r>
              <w:rPr>
                <w:rFonts w:eastAsia="Times New Roman"/>
                <w:b/>
                <w:bCs/>
                <w:color w:val="FFFFFF"/>
                <w:sz w:val="18"/>
                <w:szCs w:val="18"/>
              </w:rPr>
              <w:t>Culture and Talent Management</w:t>
            </w:r>
          </w:p>
          <w:p w:rsidR="00000000" w:rsidRDefault="00795D39">
            <w:pPr>
              <w:jc w:val="center"/>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6" style="width:0;height:1.5pt" o:hralign="center" o:hrstd="t" o:hr="t" fillcolor="#a0a0a0" stroked="f"/>
        </w:pict>
      </w:r>
    </w:p>
    <w:p w:rsidR="00000000" w:rsidRDefault="00795D39">
      <w:pPr>
        <w:jc w:val="both"/>
        <w:divId w:val="63965253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1798983135"/>
        <w:rPr>
          <w:rFonts w:eastAsia="Times New Roman"/>
        </w:rPr>
      </w:pPr>
      <w:r>
        <w:rPr>
          <w:rFonts w:eastAsia="Times New Roman"/>
          <w:color w:val="000000"/>
          <w:sz w:val="20"/>
          <w:szCs w:val="20"/>
        </w:rPr>
        <w:t>We provide additional discussion of our risk management principles, roles and responsibilities, framework and risk appetite under “MD&amp;A—Risk Man</w:t>
      </w:r>
      <w:r>
        <w:rPr>
          <w:rFonts w:eastAsia="Times New Roman"/>
          <w:color w:val="000000"/>
          <w:sz w:val="20"/>
          <w:szCs w:val="20"/>
        </w:rPr>
        <w:t>agement” in our 2019 Form 10-K.</w:t>
      </w:r>
    </w:p>
    <w:p w:rsidR="00000000" w:rsidRDefault="00795D39">
      <w:pPr>
        <w:divId w:val="2098164584"/>
        <w:rPr>
          <w:rFonts w:eastAsia="Times New Roman"/>
        </w:rPr>
      </w:pPr>
      <w:r>
        <w:rPr>
          <w:rFonts w:eastAsia="Times New Roman"/>
          <w:b/>
          <w:bCs/>
          <w:color w:val="000000"/>
          <w:sz w:val="20"/>
          <w:szCs w:val="20"/>
        </w:rPr>
        <w:t>Risk Categories</w:t>
      </w:r>
    </w:p>
    <w:p w:rsidR="00000000" w:rsidRDefault="00795D39">
      <w:pPr>
        <w:jc w:val="both"/>
        <w:divId w:val="115950871"/>
        <w:rPr>
          <w:rFonts w:eastAsia="Times New Roman"/>
        </w:rPr>
      </w:pPr>
      <w:r>
        <w:rPr>
          <w:rFonts w:eastAsia="Times New Roman"/>
          <w:color w:val="000000"/>
          <w:sz w:val="20"/>
          <w:szCs w:val="20"/>
        </w:rPr>
        <w:t>We apply our Framework to protect the Company from the major categories of risk that we are exposed to through our business activities. We have seven major categories of risk as noted below. We provide a description of these categories and how we manage th</w:t>
      </w:r>
      <w:r>
        <w:rPr>
          <w:rFonts w:eastAsia="Times New Roman"/>
          <w:color w:val="000000"/>
          <w:sz w:val="20"/>
          <w:szCs w:val="20"/>
        </w:rPr>
        <w:t>em under “MD&amp;A—Risk Management” in our 2019 Form 10-K.</w:t>
      </w:r>
    </w:p>
    <w:p w:rsidR="00000000" w:rsidRDefault="00795D39">
      <w:pPr>
        <w:ind w:hanging="360"/>
        <w:jc w:val="both"/>
        <w:divId w:val="824584622"/>
        <w:rPr>
          <w:rFonts w:eastAsia="Times New Roman"/>
        </w:rPr>
      </w:pPr>
      <w:r>
        <w:rPr>
          <w:rFonts w:eastAsia="Times New Roman"/>
          <w:color w:val="000000"/>
          <w:sz w:val="20"/>
          <w:szCs w:val="20"/>
        </w:rPr>
        <w:t>•Compliance risk</w:t>
      </w:r>
    </w:p>
    <w:p w:rsidR="00000000" w:rsidRDefault="00795D39">
      <w:pPr>
        <w:ind w:hanging="360"/>
        <w:jc w:val="both"/>
        <w:divId w:val="130365932"/>
        <w:rPr>
          <w:rFonts w:eastAsia="Times New Roman"/>
        </w:rPr>
      </w:pPr>
      <w:r>
        <w:rPr>
          <w:rFonts w:eastAsia="Times New Roman"/>
          <w:color w:val="000000"/>
          <w:sz w:val="20"/>
          <w:szCs w:val="20"/>
        </w:rPr>
        <w:t>•Credit risk</w:t>
      </w:r>
    </w:p>
    <w:p w:rsidR="00000000" w:rsidRDefault="00795D39">
      <w:pPr>
        <w:ind w:hanging="360"/>
        <w:jc w:val="both"/>
        <w:divId w:val="589580849"/>
        <w:rPr>
          <w:rFonts w:eastAsia="Times New Roman"/>
        </w:rPr>
      </w:pPr>
      <w:r>
        <w:rPr>
          <w:rFonts w:eastAsia="Times New Roman"/>
          <w:color w:val="000000"/>
          <w:sz w:val="20"/>
          <w:szCs w:val="20"/>
        </w:rPr>
        <w:t>•Liquidity risk</w:t>
      </w:r>
    </w:p>
    <w:p w:rsidR="00000000" w:rsidRDefault="00795D39">
      <w:pPr>
        <w:ind w:hanging="360"/>
        <w:jc w:val="both"/>
        <w:divId w:val="1241716287"/>
        <w:rPr>
          <w:rFonts w:eastAsia="Times New Roman"/>
        </w:rPr>
      </w:pPr>
      <w:r>
        <w:rPr>
          <w:rFonts w:eastAsia="Times New Roman"/>
          <w:color w:val="000000"/>
          <w:sz w:val="20"/>
          <w:szCs w:val="20"/>
        </w:rPr>
        <w:t>•Market risk</w:t>
      </w:r>
    </w:p>
    <w:p w:rsidR="00000000" w:rsidRDefault="00795D39">
      <w:pPr>
        <w:ind w:hanging="360"/>
        <w:jc w:val="both"/>
        <w:divId w:val="109126896"/>
        <w:rPr>
          <w:rFonts w:eastAsia="Times New Roman"/>
        </w:rPr>
      </w:pPr>
      <w:r>
        <w:rPr>
          <w:rFonts w:eastAsia="Times New Roman"/>
          <w:color w:val="000000"/>
          <w:sz w:val="20"/>
          <w:szCs w:val="20"/>
        </w:rPr>
        <w:t>•Operational risk</w:t>
      </w:r>
    </w:p>
    <w:p w:rsidR="00000000" w:rsidRDefault="00795D39">
      <w:pPr>
        <w:ind w:hanging="360"/>
        <w:jc w:val="both"/>
        <w:divId w:val="365982124"/>
        <w:rPr>
          <w:rFonts w:eastAsia="Times New Roman"/>
        </w:rPr>
      </w:pPr>
      <w:r>
        <w:rPr>
          <w:rFonts w:eastAsia="Times New Roman"/>
          <w:color w:val="000000"/>
          <w:sz w:val="20"/>
          <w:szCs w:val="20"/>
        </w:rPr>
        <w:t>•Reputation risk</w:t>
      </w:r>
    </w:p>
    <w:p w:rsidR="00000000" w:rsidRDefault="00795D39">
      <w:pPr>
        <w:ind w:hanging="360"/>
        <w:jc w:val="both"/>
        <w:divId w:val="251164313"/>
        <w:rPr>
          <w:rFonts w:eastAsia="Times New Roman"/>
        </w:rPr>
      </w:pPr>
      <w:r>
        <w:rPr>
          <w:rFonts w:eastAsia="Times New Roman"/>
          <w:color w:val="000000"/>
          <w:sz w:val="20"/>
          <w:szCs w:val="20"/>
        </w:rPr>
        <w:t>•Strategic risk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6061478"/>
        </w:trPr>
        <w:tc>
          <w:tcPr>
            <w:tcW w:w="50" w:type="pct"/>
            <w:vAlign w:val="center"/>
            <w:hideMark/>
          </w:tcPr>
          <w:p w:rsidR="00000000" w:rsidRDefault="00795D39">
            <w:pPr>
              <w:ind w:hanging="360"/>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06147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CREDIT RISK PROFILE</w:t>
            </w:r>
          </w:p>
        </w:tc>
      </w:tr>
    </w:tbl>
    <w:p w:rsidR="00000000" w:rsidRDefault="00795D39">
      <w:pPr>
        <w:jc w:val="both"/>
        <w:divId w:val="2147118258"/>
        <w:rPr>
          <w:rFonts w:eastAsia="Times New Roman"/>
        </w:rPr>
      </w:pPr>
      <w:r>
        <w:rPr>
          <w:rFonts w:eastAsia="Times New Roman"/>
          <w:color w:val="000000"/>
          <w:sz w:val="20"/>
          <w:szCs w:val="20"/>
        </w:rPr>
        <w:t xml:space="preserve">Our loan portfolio accounts for the substantial majority of our credit risk exposure. Our lending activities are governed under our credit policy and are subject to independent review and approval. Below we provide information about the composition of our </w:t>
      </w:r>
      <w:r>
        <w:rPr>
          <w:rFonts w:eastAsia="Times New Roman"/>
          <w:color w:val="000000"/>
          <w:sz w:val="20"/>
          <w:szCs w:val="20"/>
        </w:rPr>
        <w:t>loan portfolio, key concentrations and credit performance metrics.</w:t>
      </w:r>
    </w:p>
    <w:p w:rsidR="00000000" w:rsidRDefault="00795D39">
      <w:pPr>
        <w:jc w:val="both"/>
        <w:divId w:val="2142110945"/>
        <w:rPr>
          <w:rFonts w:eastAsia="Times New Roman"/>
        </w:rPr>
      </w:pPr>
      <w:r>
        <w:rPr>
          <w:rFonts w:eastAsia="Times New Roman"/>
          <w:color w:val="000000"/>
          <w:sz w:val="20"/>
          <w:szCs w:val="20"/>
        </w:rPr>
        <w:t>We also engage in certain non-lending activities that may give rise to ongoing credit and counterparty settlement risk, including purchasing securities for our investment securities portfol</w:t>
      </w:r>
      <w:r>
        <w:rPr>
          <w:rFonts w:eastAsia="Times New Roman"/>
          <w:color w:val="000000"/>
          <w:sz w:val="20"/>
          <w:szCs w:val="20"/>
        </w:rPr>
        <w:t>io, entering into derivative transactions to manage our market risk exposure and to accommodate customers, extending short-term advances on syndication activity including bridge financing transactions we have underwritten, depositing certain operational ca</w:t>
      </w:r>
      <w:r>
        <w:rPr>
          <w:rFonts w:eastAsia="Times New Roman"/>
          <w:color w:val="000000"/>
          <w:sz w:val="20"/>
          <w:szCs w:val="20"/>
        </w:rPr>
        <w:t>sh balances in other financial institutions, executing certain foreign exchange transactions and extending customer overdrafts. We provide additional information related to our investment securities portfolio under “MD&amp;A—Consolidated Balance Sheets Analysi</w:t>
      </w:r>
      <w:r>
        <w:rPr>
          <w:rFonts w:eastAsia="Times New Roman"/>
          <w:color w:val="000000"/>
          <w:sz w:val="20"/>
          <w:szCs w:val="20"/>
        </w:rPr>
        <w:t>s—Investment Securities” and credit risk related to derivative transactions in “Note 8—Derivative Instruments and Hedging Activities.”</w:t>
      </w:r>
    </w:p>
    <w:p w:rsidR="00000000" w:rsidRDefault="00795D39">
      <w:pPr>
        <w:divId w:val="862015265"/>
        <w:rPr>
          <w:rFonts w:eastAsia="Times New Roman"/>
        </w:rPr>
      </w:pPr>
      <w:r>
        <w:rPr>
          <w:rFonts w:eastAsia="Times New Roman"/>
          <w:b/>
          <w:bCs/>
          <w:color w:val="000000"/>
          <w:sz w:val="20"/>
          <w:szCs w:val="20"/>
        </w:rPr>
        <w:t>Portfolio Composition of Loans Held for Investment</w:t>
      </w:r>
    </w:p>
    <w:p w:rsidR="00000000" w:rsidRDefault="00795D39">
      <w:pPr>
        <w:jc w:val="both"/>
        <w:divId w:val="894896785"/>
        <w:rPr>
          <w:rFonts w:eastAsia="Times New Roman"/>
        </w:rPr>
      </w:pPr>
      <w:r>
        <w:rPr>
          <w:rFonts w:eastAsia="Times New Roman"/>
          <w:color w:val="000000"/>
          <w:sz w:val="20"/>
          <w:szCs w:val="20"/>
        </w:rPr>
        <w:t>We provide a variety of lending products. Our primary products include</w:t>
      </w:r>
      <w:r>
        <w:rPr>
          <w:rFonts w:eastAsia="Times New Roman"/>
          <w:color w:val="000000"/>
          <w:sz w:val="20"/>
          <w:szCs w:val="20"/>
        </w:rPr>
        <w:t xml:space="preserve"> credit cards, auto loans and commercial lending products. For information on our lending policies and procedures, including our underwriting criteria for our primary loan products, see “MD&amp;A—Credit Risk Profile” in our 2019 Form 10-K.</w:t>
      </w:r>
    </w:p>
    <w:p w:rsidR="00000000" w:rsidRDefault="00795D39">
      <w:pPr>
        <w:jc w:val="both"/>
        <w:divId w:val="1656911752"/>
        <w:rPr>
          <w:rFonts w:eastAsia="Times New Roman"/>
        </w:rPr>
      </w:pPr>
      <w:r>
        <w:rPr>
          <w:rFonts w:eastAsia="Times New Roman"/>
          <w:color w:val="000000"/>
          <w:sz w:val="20"/>
          <w:szCs w:val="20"/>
        </w:rPr>
        <w:t>Our loan portfolio c</w:t>
      </w:r>
      <w:r>
        <w:rPr>
          <w:rFonts w:eastAsia="Times New Roman"/>
          <w:color w:val="000000"/>
          <w:sz w:val="20"/>
          <w:szCs w:val="20"/>
        </w:rPr>
        <w:t>onsists of loans held for investment, including loans held in our consolidated trusts, and loans held for sale. The information presented in this section excludes loans held for sale, which totaled $3.4 billion and $400 million as of September 30, 2020 and</w:t>
      </w:r>
      <w:r>
        <w:rPr>
          <w:rFonts w:eastAsia="Times New Roman"/>
          <w:color w:val="000000"/>
          <w:sz w:val="20"/>
          <w:szCs w:val="20"/>
        </w:rPr>
        <w:t xml:space="preserve"> December 31, 2019, respectively. Concurrent with our adoption of the CECL standard in the first quarter of 2020, we reclassified our finance charge and fee reserve to our allowance for credit losses, with a corresponding increase to credit card loans held</w:t>
      </w:r>
      <w:r>
        <w:rPr>
          <w:rFonts w:eastAsia="Times New Roman"/>
          <w:color w:val="000000"/>
          <w:sz w:val="20"/>
          <w:szCs w:val="20"/>
        </w:rPr>
        <w:t xml:space="preserve">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0733487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0733487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0733487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7" style="width:0;height:1.5pt" o:hralign="center" o:hrstd="t" o:hr="t" fillcolor="#a0a0a0" stroked="f"/>
        </w:pict>
      </w:r>
    </w:p>
    <w:p w:rsidR="00000000" w:rsidRDefault="00795D39">
      <w:pPr>
        <w:jc w:val="both"/>
        <w:divId w:val="2110618637"/>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2063140212"/>
        <w:rPr>
          <w:rFonts w:eastAsia="Times New Roman"/>
        </w:rPr>
      </w:pPr>
      <w:r>
        <w:rPr>
          <w:rFonts w:eastAsia="Times New Roman"/>
          <w:color w:val="000000"/>
          <w:sz w:val="20"/>
          <w:szCs w:val="20"/>
        </w:rPr>
        <w:t>Table 17 presents the composition of our portfolio of loans held for investment by portfolio segment as of September 30, 2020 and December 31, 2</w:t>
      </w:r>
      <w:r>
        <w:rPr>
          <w:rFonts w:eastAsia="Times New Roman"/>
          <w:color w:val="000000"/>
          <w:sz w:val="20"/>
          <w:szCs w:val="20"/>
        </w:rPr>
        <w:t xml:space="preserve">019. </w:t>
      </w:r>
    </w:p>
    <w:p w:rsidR="00000000" w:rsidRDefault="00795D39">
      <w:pPr>
        <w:divId w:val="1333144054"/>
        <w:rPr>
          <w:rFonts w:eastAsia="Times New Roman"/>
        </w:rPr>
      </w:pPr>
      <w:r>
        <w:rPr>
          <w:rFonts w:eastAsia="Times New Roman"/>
          <w:b/>
          <w:bCs/>
          <w:color w:val="000000"/>
          <w:sz w:val="18"/>
          <w:szCs w:val="18"/>
        </w:rPr>
        <w:t xml:space="preserve">Table 17: Portfolio Composition of Loans Held for Investment </w:t>
      </w:r>
    </w:p>
    <w:tbl>
      <w:tblPr>
        <w:tblW w:w="4992" w:type="pct"/>
        <w:tblCellMar>
          <w:top w:w="15" w:type="dxa"/>
          <w:left w:w="15" w:type="dxa"/>
          <w:bottom w:w="15" w:type="dxa"/>
          <w:right w:w="15" w:type="dxa"/>
        </w:tblCellMar>
        <w:tblLook w:val="04A0" w:firstRow="1" w:lastRow="0" w:firstColumn="1" w:lastColumn="0" w:noHBand="0" w:noVBand="1"/>
      </w:tblPr>
      <w:tblGrid>
        <w:gridCol w:w="39"/>
        <w:gridCol w:w="4757"/>
        <w:gridCol w:w="38"/>
        <w:gridCol w:w="36"/>
        <w:gridCol w:w="36"/>
        <w:gridCol w:w="36"/>
        <w:gridCol w:w="110"/>
        <w:gridCol w:w="630"/>
        <w:gridCol w:w="36"/>
        <w:gridCol w:w="36"/>
        <w:gridCol w:w="36"/>
        <w:gridCol w:w="36"/>
        <w:gridCol w:w="51"/>
        <w:gridCol w:w="482"/>
        <w:gridCol w:w="200"/>
        <w:gridCol w:w="36"/>
        <w:gridCol w:w="36"/>
        <w:gridCol w:w="36"/>
        <w:gridCol w:w="110"/>
        <w:gridCol w:w="630"/>
        <w:gridCol w:w="36"/>
        <w:gridCol w:w="36"/>
        <w:gridCol w:w="36"/>
        <w:gridCol w:w="36"/>
        <w:gridCol w:w="51"/>
        <w:gridCol w:w="485"/>
        <w:gridCol w:w="170"/>
        <w:gridCol w:w="36"/>
      </w:tblGrid>
      <w:tr w:rsidR="00000000">
        <w:trPr>
          <w:divId w:val="2010908845"/>
        </w:trPr>
        <w:tc>
          <w:tcPr>
            <w:tcW w:w="50" w:type="pct"/>
            <w:vAlign w:val="center"/>
            <w:hideMark/>
          </w:tcPr>
          <w:p w:rsidR="00000000" w:rsidRDefault="00795D39">
            <w:pPr>
              <w:rPr>
                <w:rFonts w:eastAsia="Times New Roman"/>
              </w:rPr>
            </w:pPr>
          </w:p>
        </w:tc>
        <w:tc>
          <w:tcPr>
            <w:tcW w:w="292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010908845"/>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795D39">
            <w:pPr>
              <w:jc w:val="center"/>
              <w:rPr>
                <w:rFonts w:eastAsia="Times New Roman"/>
              </w:rPr>
            </w:pPr>
          </w:p>
        </w:tc>
      </w:tr>
      <w:tr w:rsidR="00000000">
        <w:trPr>
          <w:divId w:val="2010908845"/>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c>
          <w:tcPr>
            <w:tcW w:w="0" w:type="auto"/>
            <w:vAlign w:val="center"/>
            <w:hideMark/>
          </w:tcPr>
          <w:p w:rsidR="00000000" w:rsidRDefault="00795D39">
            <w:pPr>
              <w:jc w:val="center"/>
              <w:rPr>
                <w:rFonts w:eastAsia="Times New Roman"/>
              </w:rPr>
            </w:pPr>
          </w:p>
        </w:tc>
      </w:tr>
      <w:tr w:rsidR="00000000">
        <w:trPr>
          <w:divId w:val="20109088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0109088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95,541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118,606 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44.6 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r>
      <w:tr w:rsidR="00000000">
        <w:trPr>
          <w:divId w:val="20109088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9,630 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r>
      <w:tr w:rsidR="00000000">
        <w:trPr>
          <w:divId w:val="20109088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128,236 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r>
      <w:tr w:rsidR="00000000">
        <w:trPr>
          <w:divId w:val="20109088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0109088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65,394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60,362 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r>
      <w:tr w:rsidR="00000000">
        <w:trPr>
          <w:divId w:val="2010908845"/>
        </w:trPr>
        <w:tc>
          <w:tcPr>
            <w:tcW w:w="0" w:type="auto"/>
            <w:gridSpan w:val="3"/>
            <w:shd w:val="clear" w:color="auto" w:fill="CCEEFF"/>
            <w:tcMar>
              <w:top w:w="30" w:type="dxa"/>
              <w:left w:w="20" w:type="dxa"/>
              <w:bottom w:w="30" w:type="dxa"/>
              <w:right w:w="20" w:type="dxa"/>
            </w:tcMar>
            <w:vAlign w:val="center"/>
            <w:hideMark/>
          </w:tcPr>
          <w:p w:rsidR="00000000" w:rsidRDefault="00795D39">
            <w:pPr>
              <w:divId w:val="1655985829"/>
              <w:rPr>
                <w:rFonts w:eastAsia="Times New Roman"/>
              </w:rPr>
            </w:pPr>
            <w:r>
              <w:rPr>
                <w:rFonts w:eastAsia="Times New Roman"/>
                <w:color w:val="000000"/>
                <w:sz w:val="18"/>
                <w:szCs w:val="18"/>
              </w:rPr>
              <w:t>Retail bankin</w:t>
            </w:r>
            <w:r>
              <w:rPr>
                <w:rFonts w:eastAsia="Times New Roman"/>
                <w:color w:val="000000"/>
                <w:sz w:val="18"/>
                <w:szCs w:val="18"/>
              </w:rPr>
              <w:t>g</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r>
      <w:tr w:rsidR="00000000">
        <w:trPr>
          <w:divId w:val="20109088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68,688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63,065 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r>
      <w:tr w:rsidR="00000000">
        <w:trPr>
          <w:divId w:val="2010908845"/>
        </w:trPr>
        <w:tc>
          <w:tcPr>
            <w:tcW w:w="0" w:type="auto"/>
            <w:gridSpan w:val="3"/>
            <w:shd w:val="clear" w:color="auto" w:fill="CCEEFF"/>
            <w:tcMar>
              <w:top w:w="30" w:type="dxa"/>
              <w:left w:w="20" w:type="dxa"/>
              <w:bottom w:w="30" w:type="dxa"/>
              <w:right w:w="20" w:type="dxa"/>
            </w:tcMar>
            <w:vAlign w:val="center"/>
            <w:hideMark/>
          </w:tcPr>
          <w:p w:rsidR="00000000" w:rsidRDefault="00795D39">
            <w:pPr>
              <w:divId w:val="178592325"/>
              <w:rPr>
                <w:rFonts w:eastAsia="Times New Roman"/>
              </w:rPr>
            </w:pPr>
            <w:r>
              <w:rPr>
                <w:rFonts w:eastAsia="Times New Roman"/>
                <w:b/>
                <w:bCs/>
                <w:color w:val="000000"/>
                <w:sz w:val="18"/>
                <w:szCs w:val="18"/>
              </w:rPr>
              <w:t>Commercial Banking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0109088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31,197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30,245 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r>
      <w:tr w:rsidR="00000000">
        <w:trPr>
          <w:divId w:val="20109088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44,697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44,263 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r>
      <w:tr w:rsidR="00000000">
        <w:trPr>
          <w:divId w:val="201090884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01090884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0109088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75,894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74,508 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r>
      <w:tr w:rsidR="00000000">
        <w:trPr>
          <w:divId w:val="20109088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248,223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265,809 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r>
    </w:tbl>
    <w:p w:rsidR="00000000" w:rsidRDefault="00795D39">
      <w:pPr>
        <w:divId w:val="1876845041"/>
        <w:rPr>
          <w:rFonts w:eastAsia="Times New Roman"/>
        </w:rPr>
      </w:pPr>
      <w:r>
        <w:rPr>
          <w:rFonts w:eastAsia="Times New Roman"/>
          <w:color w:val="000000"/>
          <w:sz w:val="20"/>
          <w:szCs w:val="20"/>
        </w:rPr>
        <w:t>__________</w:t>
      </w:r>
    </w:p>
    <w:p w:rsidR="00000000" w:rsidRDefault="00795D39">
      <w:pPr>
        <w:ind w:hanging="360"/>
        <w:jc w:val="both"/>
        <w:divId w:val="1562068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PPP loans of $966 mill</w:t>
      </w:r>
      <w:r>
        <w:rPr>
          <w:rFonts w:eastAsia="Times New Roman"/>
          <w:color w:val="000000"/>
          <w:sz w:val="16"/>
          <w:szCs w:val="16"/>
        </w:rPr>
        <w:t>ion and $242 million in our retail and commercial loan portfolios, respectively, as of September 30, 2020. See “MD&amp;A—Credit Risk Profile—COVID-19 Customer Assistance Programs and Loan Modifications” for more information.</w:t>
      </w:r>
    </w:p>
    <w:p w:rsidR="00000000" w:rsidRDefault="00795D39">
      <w:pPr>
        <w:divId w:val="255485108"/>
        <w:rPr>
          <w:rFonts w:eastAsia="Times New Roman"/>
        </w:rPr>
      </w:pPr>
      <w:r>
        <w:rPr>
          <w:rFonts w:eastAsia="Times New Roman"/>
          <w:b/>
          <w:bCs/>
          <w:color w:val="000000"/>
          <w:sz w:val="20"/>
          <w:szCs w:val="20"/>
        </w:rPr>
        <w:t>Geographic Composition</w:t>
      </w:r>
    </w:p>
    <w:p w:rsidR="00000000" w:rsidRDefault="00795D39">
      <w:pPr>
        <w:jc w:val="both"/>
        <w:divId w:val="2025789586"/>
        <w:rPr>
          <w:rFonts w:eastAsia="Times New Roman"/>
        </w:rPr>
      </w:pPr>
      <w:r>
        <w:rPr>
          <w:rFonts w:eastAsia="Times New Roman"/>
          <w:color w:val="000000"/>
          <w:sz w:val="20"/>
          <w:szCs w:val="20"/>
        </w:rPr>
        <w:t>We market our credit card products throughout the United States, Canada and the United Kingdom. Our credit card loan portfolio is geographically diversified due to our product and marketing approach. The table below presents the geographic profile of our c</w:t>
      </w:r>
      <w:r>
        <w:rPr>
          <w:rFonts w:eastAsia="Times New Roman"/>
          <w:color w:val="000000"/>
          <w:sz w:val="20"/>
          <w:szCs w:val="20"/>
        </w:rPr>
        <w:t>redit card loan portfolio as of September 30, 2020 and December 31, 2019.</w:t>
      </w:r>
    </w:p>
    <w:p w:rsidR="00000000" w:rsidRDefault="00795D39">
      <w:pPr>
        <w:divId w:val="570233242"/>
        <w:rPr>
          <w:rFonts w:eastAsia="Times New Roman"/>
        </w:rPr>
      </w:pPr>
      <w:r>
        <w:rPr>
          <w:rFonts w:eastAsia="Times New Roman"/>
          <w:b/>
          <w:bCs/>
          <w:color w:val="000000"/>
          <w:sz w:val="18"/>
          <w:szCs w:val="18"/>
        </w:rPr>
        <w:t xml:space="preserve">Table 18: Credit Card Portfolio by Geographic Region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78"/>
        <w:gridCol w:w="39"/>
        <w:gridCol w:w="36"/>
        <w:gridCol w:w="36"/>
        <w:gridCol w:w="36"/>
        <w:gridCol w:w="110"/>
        <w:gridCol w:w="630"/>
        <w:gridCol w:w="36"/>
        <w:gridCol w:w="36"/>
        <w:gridCol w:w="36"/>
        <w:gridCol w:w="36"/>
        <w:gridCol w:w="51"/>
        <w:gridCol w:w="489"/>
        <w:gridCol w:w="200"/>
        <w:gridCol w:w="36"/>
        <w:gridCol w:w="36"/>
        <w:gridCol w:w="36"/>
        <w:gridCol w:w="110"/>
        <w:gridCol w:w="630"/>
        <w:gridCol w:w="36"/>
        <w:gridCol w:w="36"/>
        <w:gridCol w:w="36"/>
        <w:gridCol w:w="36"/>
        <w:gridCol w:w="51"/>
        <w:gridCol w:w="491"/>
        <w:gridCol w:w="170"/>
      </w:tblGrid>
      <w:tr w:rsidR="00000000">
        <w:trPr>
          <w:divId w:val="1651398887"/>
        </w:trPr>
        <w:tc>
          <w:tcPr>
            <w:tcW w:w="50" w:type="pct"/>
            <w:vAlign w:val="center"/>
            <w:hideMark/>
          </w:tcPr>
          <w:p w:rsidR="00000000" w:rsidRDefault="00795D39">
            <w:pPr>
              <w:rPr>
                <w:rFonts w:eastAsia="Times New Roman"/>
              </w:rPr>
            </w:pPr>
          </w:p>
        </w:tc>
        <w:tc>
          <w:tcPr>
            <w:tcW w:w="292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5139888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65139888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r>
      <w:tr w:rsidR="00000000">
        <w:trPr>
          <w:divId w:val="165139888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Domestic 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65139888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California</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9,751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9.8 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65139888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7,807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9,353 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8,093 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7,941 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Illinois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5,195 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Pennsylvania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4,979 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4,388 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Michigan</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3,811 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47,602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58,393 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95,541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118,606 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65139888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Canada</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5,498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6,493 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United Kingdom</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5139888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128,236 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8" style="width:0;height:1.5pt" o:hralign="center" o:hrstd="t" o:hr="t" fillcolor="#a0a0a0" stroked="f"/>
        </w:pict>
      </w:r>
    </w:p>
    <w:p w:rsidR="00000000" w:rsidRDefault="00795D39">
      <w:pPr>
        <w:jc w:val="both"/>
        <w:divId w:val="50575432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424114586"/>
        <w:rPr>
          <w:rFonts w:eastAsia="Times New Roman"/>
        </w:rPr>
      </w:pPr>
      <w:r>
        <w:rPr>
          <w:rFonts w:eastAsia="Times New Roman"/>
          <w:color w:val="000000"/>
          <w:sz w:val="20"/>
          <w:szCs w:val="20"/>
        </w:rPr>
        <w:t>Our auto loan portfolio is geographically diversified in the United States due to our product and marketing approach. Retail banking includes sm</w:t>
      </w:r>
      <w:r>
        <w:rPr>
          <w:rFonts w:eastAsia="Times New Roman"/>
          <w:color w:val="000000"/>
          <w:sz w:val="20"/>
          <w:szCs w:val="20"/>
        </w:rPr>
        <w:t>all business loans and other consumer lending products originated through our branch network. The table below presents the geographic profile of our auto loan and retail banking portfolios as of September 30, 2020 and December 31, 2019.</w:t>
      </w:r>
    </w:p>
    <w:p w:rsidR="00000000" w:rsidRDefault="00795D39">
      <w:pPr>
        <w:divId w:val="827982617"/>
        <w:rPr>
          <w:rFonts w:eastAsia="Times New Roman"/>
        </w:rPr>
      </w:pPr>
      <w:r>
        <w:rPr>
          <w:rFonts w:eastAsia="Times New Roman"/>
          <w:b/>
          <w:bCs/>
          <w:color w:val="000000"/>
          <w:sz w:val="18"/>
          <w:szCs w:val="18"/>
        </w:rPr>
        <w:t xml:space="preserve">Table 19: Consumer </w:t>
      </w:r>
      <w:r>
        <w:rPr>
          <w:rFonts w:eastAsia="Times New Roman"/>
          <w:b/>
          <w:bCs/>
          <w:color w:val="000000"/>
          <w:sz w:val="18"/>
          <w:szCs w:val="18"/>
        </w:rPr>
        <w:t xml:space="preserve">Banking Portfolio by Geographic Region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561"/>
        <w:gridCol w:w="36"/>
        <w:gridCol w:w="36"/>
        <w:gridCol w:w="36"/>
        <w:gridCol w:w="36"/>
        <w:gridCol w:w="51"/>
        <w:gridCol w:w="547"/>
        <w:gridCol w:w="200"/>
        <w:gridCol w:w="36"/>
        <w:gridCol w:w="36"/>
        <w:gridCol w:w="36"/>
        <w:gridCol w:w="110"/>
        <w:gridCol w:w="574"/>
        <w:gridCol w:w="36"/>
        <w:gridCol w:w="36"/>
        <w:gridCol w:w="36"/>
        <w:gridCol w:w="36"/>
        <w:gridCol w:w="51"/>
        <w:gridCol w:w="547"/>
        <w:gridCol w:w="170"/>
      </w:tblGrid>
      <w:tr w:rsidR="00000000">
        <w:trPr>
          <w:divId w:val="1858301498"/>
        </w:trPr>
        <w:tc>
          <w:tcPr>
            <w:tcW w:w="50" w:type="pct"/>
            <w:vAlign w:val="center"/>
            <w:hideMark/>
          </w:tcPr>
          <w:p w:rsidR="00000000" w:rsidRDefault="00795D39">
            <w:pPr>
              <w:rPr>
                <w:rFonts w:eastAsia="Times New Roman"/>
              </w:rPr>
            </w:pPr>
          </w:p>
        </w:tc>
        <w:tc>
          <w:tcPr>
            <w:tcW w:w="293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58301498"/>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858301498"/>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r>
      <w:tr w:rsidR="00000000">
        <w:trPr>
          <w:divId w:val="185830149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583014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Texas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8,196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7,675 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8583014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California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6,918 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5,474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Georgia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2,757 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2,652 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Pennsylvania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Illinois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North Carolina</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2,060 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28,714 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65,394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583014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Louisiana</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595 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Maryland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Virginia</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retail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83014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68,688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63,065 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jc w:val="both"/>
        <w:divId w:val="1409962601"/>
        <w:rPr>
          <w:rFonts w:eastAsia="Times New Roman"/>
        </w:rPr>
      </w:pPr>
      <w:r>
        <w:rPr>
          <w:rFonts w:eastAsia="Times New Roman"/>
          <w:color w:val="000000"/>
          <w:sz w:val="20"/>
          <w:szCs w:val="20"/>
        </w:rPr>
        <w:t>We originate commercial loans in most regions of the United States.</w:t>
      </w:r>
      <w:r>
        <w:rPr>
          <w:rFonts w:eastAsia="Times New Roman"/>
          <w:color w:val="000000"/>
          <w:sz w:val="20"/>
          <w:szCs w:val="20"/>
        </w:rPr>
        <w:t xml:space="preserve"> The table below presents the geographic profile of our commercial loan portfolio by segment as of September 30, 2020 and December 31, 2019.</w:t>
      </w:r>
    </w:p>
    <w:p w:rsidR="00000000" w:rsidRDefault="00795D39">
      <w:pPr>
        <w:divId w:val="811367621"/>
        <w:rPr>
          <w:rFonts w:eastAsia="Times New Roman"/>
        </w:rPr>
      </w:pPr>
      <w:r>
        <w:rPr>
          <w:rFonts w:eastAsia="Times New Roman"/>
          <w:b/>
          <w:bCs/>
          <w:color w:val="000000"/>
          <w:sz w:val="18"/>
          <w:szCs w:val="18"/>
        </w:rPr>
        <w:t xml:space="preserve">Table 20: Commercial Banking Portfolio by Geographic Region </w:t>
      </w:r>
    </w:p>
    <w:tbl>
      <w:tblPr>
        <w:tblW w:w="4992" w:type="pct"/>
        <w:tblCellMar>
          <w:top w:w="15" w:type="dxa"/>
          <w:left w:w="15" w:type="dxa"/>
          <w:bottom w:w="15" w:type="dxa"/>
          <w:right w:w="15" w:type="dxa"/>
        </w:tblCellMar>
        <w:tblLook w:val="04A0" w:firstRow="1" w:lastRow="0" w:firstColumn="1" w:lastColumn="0" w:noHBand="0" w:noVBand="1"/>
      </w:tblPr>
      <w:tblGrid>
        <w:gridCol w:w="94"/>
        <w:gridCol w:w="2142"/>
        <w:gridCol w:w="36"/>
        <w:gridCol w:w="36"/>
        <w:gridCol w:w="36"/>
        <w:gridCol w:w="36"/>
        <w:gridCol w:w="111"/>
        <w:gridCol w:w="809"/>
        <w:gridCol w:w="36"/>
        <w:gridCol w:w="36"/>
        <w:gridCol w:w="36"/>
        <w:gridCol w:w="36"/>
        <w:gridCol w:w="43"/>
        <w:gridCol w:w="520"/>
        <w:gridCol w:w="200"/>
        <w:gridCol w:w="36"/>
        <w:gridCol w:w="36"/>
        <w:gridCol w:w="36"/>
        <w:gridCol w:w="111"/>
        <w:gridCol w:w="809"/>
        <w:gridCol w:w="36"/>
        <w:gridCol w:w="36"/>
        <w:gridCol w:w="36"/>
        <w:gridCol w:w="36"/>
        <w:gridCol w:w="43"/>
        <w:gridCol w:w="520"/>
        <w:gridCol w:w="200"/>
        <w:gridCol w:w="36"/>
        <w:gridCol w:w="36"/>
        <w:gridCol w:w="36"/>
        <w:gridCol w:w="36"/>
        <w:gridCol w:w="36"/>
        <w:gridCol w:w="36"/>
        <w:gridCol w:w="36"/>
        <w:gridCol w:w="36"/>
        <w:gridCol w:w="36"/>
        <w:gridCol w:w="111"/>
        <w:gridCol w:w="809"/>
        <w:gridCol w:w="36"/>
        <w:gridCol w:w="36"/>
        <w:gridCol w:w="36"/>
        <w:gridCol w:w="36"/>
        <w:gridCol w:w="43"/>
        <w:gridCol w:w="520"/>
        <w:gridCol w:w="200"/>
      </w:tblGrid>
      <w:tr w:rsidR="00000000">
        <w:trPr>
          <w:divId w:val="1782916902"/>
        </w:trPr>
        <w:tc>
          <w:tcPr>
            <w:tcW w:w="50" w:type="pct"/>
            <w:vAlign w:val="center"/>
            <w:hideMark/>
          </w:tcPr>
          <w:p w:rsidR="00000000" w:rsidRDefault="00795D39">
            <w:pPr>
              <w:rPr>
                <w:rFonts w:eastAsia="Times New Roman"/>
              </w:rPr>
            </w:pPr>
          </w:p>
        </w:tc>
        <w:tc>
          <w:tcPr>
            <w:tcW w:w="11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782916902"/>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782916902"/>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and</w:t>
            </w:r>
            <w:r>
              <w:rPr>
                <w:rFonts w:eastAsia="Times New Roman"/>
                <w:b/>
                <w:bCs/>
                <w:color w:val="000000"/>
                <w:sz w:val="16"/>
                <w:szCs w:val="16"/>
              </w:rPr>
              <w:br/>
              <w:t>Multifamily</w:t>
            </w:r>
            <w:r>
              <w:rPr>
                <w:rFonts w:eastAsia="Times New Roman"/>
                <w:b/>
                <w:bCs/>
                <w:color w:val="000000"/>
                <w:sz w:val="16"/>
                <w:szCs w:val="16"/>
              </w:rPr>
              <w:br/>
              <w:t>Real Estate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and</w:t>
            </w:r>
            <w:r>
              <w:rPr>
                <w:rFonts w:eastAsia="Times New Roman"/>
                <w:b/>
                <w:bCs/>
                <w:color w:val="000000"/>
                <w:sz w:val="16"/>
                <w:szCs w:val="16"/>
              </w:rPr>
              <w:br/>
              <w:t>Industrial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Commercial</w:t>
            </w:r>
            <w:r>
              <w:rPr>
                <w:rFonts w:eastAsia="Times New Roman"/>
                <w:b/>
                <w:bCs/>
                <w:color w:val="000000"/>
                <w:sz w:val="16"/>
                <w:szCs w:val="16"/>
              </w:rPr>
              <w:br/>
              <w:t>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r>
            <w:r>
              <w:rPr>
                <w:rFonts w:eastAsia="Times New Roman"/>
                <w:b/>
                <w:bCs/>
                <w:color w:val="000000"/>
                <w:sz w:val="16"/>
                <w:szCs w:val="16"/>
              </w:rPr>
              <w:t>Tota</w:t>
            </w:r>
            <w:r>
              <w:rPr>
                <w:rFonts w:eastAsia="Times New Roman"/>
                <w:b/>
                <w:bCs/>
                <w:color w:val="000000"/>
                <w:sz w:val="16"/>
                <w:szCs w:val="16"/>
              </w:rPr>
              <w:t>l</w:t>
            </w:r>
            <w:r>
              <w:rPr>
                <w:rFonts w:eastAsia="Times New Roman"/>
                <w:b/>
                <w:bCs/>
                <w:color w:val="000000"/>
                <w:sz w:val="10"/>
                <w:szCs w:val="10"/>
              </w:rPr>
              <w:t> </w:t>
            </w:r>
          </w:p>
        </w:tc>
      </w:tr>
      <w:tr w:rsidR="00000000">
        <w:trPr>
          <w:divId w:val="178291690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302616048"/>
              <w:rPr>
                <w:rFonts w:eastAsia="Times New Roman"/>
              </w:rPr>
            </w:pPr>
            <w:r>
              <w:rPr>
                <w:rFonts w:eastAsia="Times New Roman"/>
                <w:b/>
                <w:bCs/>
                <w:color w:val="000000"/>
                <w:sz w:val="18"/>
                <w:szCs w:val="18"/>
              </w:rPr>
              <w:t>Geographic concentration</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8291690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Northeast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8,540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26,301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r>
      <w:tr w:rsidR="00000000">
        <w:trPr>
          <w:divId w:val="1782916902"/>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Mid-Atlantic</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9,735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8291690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South</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15,535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19,059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82916902"/>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6,488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14,311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20,799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82916902"/>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31,197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44,697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75,894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69" style="width:0;height:1.5pt" o:hralign="center" o:hrstd="t" o:hr="t" fillcolor="#a0a0a0" stroked="f"/>
        </w:pict>
      </w:r>
    </w:p>
    <w:p w:rsidR="00000000" w:rsidRDefault="00795D39">
      <w:pPr>
        <w:jc w:val="both"/>
        <w:divId w:val="1990673101"/>
        <w:rPr>
          <w:rFonts w:eastAsia="Times New Roman"/>
        </w:rPr>
      </w:pPr>
      <w:hyperlink w:anchor="i86ab6d5a0edf43c49d46a425718ef61b_7"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94"/>
        <w:gridCol w:w="2142"/>
        <w:gridCol w:w="36"/>
        <w:gridCol w:w="36"/>
        <w:gridCol w:w="36"/>
        <w:gridCol w:w="36"/>
        <w:gridCol w:w="111"/>
        <w:gridCol w:w="809"/>
        <w:gridCol w:w="36"/>
        <w:gridCol w:w="36"/>
        <w:gridCol w:w="36"/>
        <w:gridCol w:w="36"/>
        <w:gridCol w:w="43"/>
        <w:gridCol w:w="550"/>
        <w:gridCol w:w="170"/>
        <w:gridCol w:w="36"/>
        <w:gridCol w:w="36"/>
        <w:gridCol w:w="36"/>
        <w:gridCol w:w="111"/>
        <w:gridCol w:w="809"/>
        <w:gridCol w:w="36"/>
        <w:gridCol w:w="36"/>
        <w:gridCol w:w="36"/>
        <w:gridCol w:w="36"/>
        <w:gridCol w:w="43"/>
        <w:gridCol w:w="550"/>
        <w:gridCol w:w="170"/>
        <w:gridCol w:w="36"/>
        <w:gridCol w:w="36"/>
        <w:gridCol w:w="36"/>
        <w:gridCol w:w="36"/>
        <w:gridCol w:w="36"/>
        <w:gridCol w:w="36"/>
        <w:gridCol w:w="36"/>
        <w:gridCol w:w="36"/>
        <w:gridCol w:w="36"/>
        <w:gridCol w:w="111"/>
        <w:gridCol w:w="809"/>
        <w:gridCol w:w="36"/>
        <w:gridCol w:w="36"/>
        <w:gridCol w:w="36"/>
        <w:gridCol w:w="36"/>
        <w:gridCol w:w="43"/>
        <w:gridCol w:w="550"/>
        <w:gridCol w:w="170"/>
      </w:tblGrid>
      <w:tr w:rsidR="00000000">
        <w:trPr>
          <w:divId w:val="964122824"/>
        </w:trPr>
        <w:tc>
          <w:tcPr>
            <w:tcW w:w="50" w:type="pct"/>
            <w:vAlign w:val="center"/>
            <w:hideMark/>
          </w:tcPr>
          <w:p w:rsidR="00000000" w:rsidRDefault="00795D39">
            <w:pPr>
              <w:jc w:val="both"/>
              <w:rPr>
                <w:rFonts w:eastAsia="Times New Roman"/>
              </w:rPr>
            </w:pPr>
          </w:p>
        </w:tc>
        <w:tc>
          <w:tcPr>
            <w:tcW w:w="11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6412282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96412282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and</w:t>
            </w:r>
            <w:r>
              <w:rPr>
                <w:rFonts w:eastAsia="Times New Roman"/>
                <w:b/>
                <w:bCs/>
                <w:color w:val="000000"/>
                <w:sz w:val="16"/>
                <w:szCs w:val="16"/>
              </w:rPr>
              <w:br/>
              <w:t>Multifamily</w:t>
            </w:r>
            <w:r>
              <w:rPr>
                <w:rFonts w:eastAsia="Times New Roman"/>
                <w:b/>
                <w:bCs/>
                <w:color w:val="000000"/>
                <w:sz w:val="16"/>
                <w:szCs w:val="16"/>
              </w:rPr>
              <w:br/>
              <w:t>Real Estate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and</w:t>
            </w:r>
            <w:r>
              <w:rPr>
                <w:rFonts w:eastAsia="Times New Roman"/>
                <w:b/>
                <w:bCs/>
                <w:color w:val="000000"/>
                <w:sz w:val="16"/>
                <w:szCs w:val="16"/>
              </w:rPr>
              <w:br/>
              <w:t>Industrial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Commercial</w:t>
            </w:r>
            <w:r>
              <w:rPr>
                <w:rFonts w:eastAsia="Times New Roman"/>
                <w:b/>
                <w:bCs/>
                <w:color w:val="000000"/>
                <w:sz w:val="16"/>
                <w:szCs w:val="16"/>
              </w:rPr>
              <w:br/>
              <w:t>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w:t>
            </w:r>
            <w:r>
              <w:rPr>
                <w:rFonts w:eastAsia="Times New Roman"/>
                <w:b/>
                <w:bCs/>
                <w:color w:val="000000"/>
                <w:sz w:val="16"/>
                <w:szCs w:val="16"/>
              </w:rPr>
              <w:t>l</w:t>
            </w:r>
            <w:r>
              <w:rPr>
                <w:rFonts w:eastAsia="Times New Roman"/>
                <w:b/>
                <w:bCs/>
                <w:color w:val="000000"/>
                <w:sz w:val="10"/>
                <w:szCs w:val="10"/>
              </w:rPr>
              <w:t> </w:t>
            </w:r>
          </w:p>
        </w:tc>
      </w:tr>
      <w:tr w:rsidR="00000000">
        <w:trPr>
          <w:divId w:val="9641228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776564415"/>
              <w:rPr>
                <w:rFonts w:eastAsia="Times New Roman"/>
              </w:rPr>
            </w:pPr>
            <w:r>
              <w:rPr>
                <w:rFonts w:eastAsia="Times New Roman"/>
                <w:b/>
                <w:bCs/>
                <w:color w:val="000000"/>
                <w:sz w:val="18"/>
                <w:szCs w:val="18"/>
              </w:rPr>
              <w:t>Geographic concentration</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964122824"/>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Northeast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17,139 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56.7 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7,899 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17.8 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25,038 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964122824"/>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Mid-Atlantic</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3,024 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5,927 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8,951 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964122824"/>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South</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16,403 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20,490 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964122824"/>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5,995 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14,034 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20,029 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96412282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44,263 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divId w:val="214237967"/>
        <w:rPr>
          <w:rFonts w:eastAsia="Times New Roman"/>
        </w:rPr>
      </w:pPr>
      <w:r>
        <w:rPr>
          <w:rFonts w:eastAsia="Times New Roman"/>
          <w:color w:val="000000"/>
          <w:sz w:val="20"/>
          <w:szCs w:val="20"/>
        </w:rPr>
        <w:t>__________</w:t>
      </w:r>
    </w:p>
    <w:p w:rsidR="00000000" w:rsidRDefault="00795D39">
      <w:pPr>
        <w:ind w:hanging="360"/>
        <w:jc w:val="both"/>
        <w:divId w:val="132654582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borrower’s business or the location of the c</w:t>
      </w:r>
      <w:r>
        <w:rPr>
          <w:rFonts w:eastAsia="Times New Roman"/>
          <w:color w:val="000000"/>
          <w:sz w:val="16"/>
          <w:szCs w:val="16"/>
        </w:rPr>
        <w:t>ollateral associated with the loan. Northeast consists of CT, MA, ME, NH, NJ, NY, PA and VT. Mid-Atlantic consists of DC, DE, MD, VA and WV. South consists of AL, AR, FL, GA, KY, LA, MO, MS, NC, SC, TN and TX.</w:t>
      </w:r>
    </w:p>
    <w:p w:rsidR="00000000" w:rsidRDefault="00795D39">
      <w:pPr>
        <w:divId w:val="1632134566"/>
        <w:rPr>
          <w:rFonts w:eastAsia="Times New Roman"/>
        </w:rPr>
      </w:pPr>
      <w:r>
        <w:rPr>
          <w:rFonts w:eastAsia="Times New Roman"/>
          <w:b/>
          <w:bCs/>
          <w:color w:val="000000"/>
          <w:sz w:val="20"/>
          <w:szCs w:val="20"/>
        </w:rPr>
        <w:t>Commercial Loans by Industry</w:t>
      </w:r>
    </w:p>
    <w:p w:rsidR="00000000" w:rsidRDefault="00795D39">
      <w:pPr>
        <w:jc w:val="both"/>
        <w:divId w:val="1106117240"/>
        <w:rPr>
          <w:rFonts w:eastAsia="Times New Roman"/>
        </w:rPr>
      </w:pPr>
      <w:r>
        <w:rPr>
          <w:rFonts w:eastAsia="Times New Roman"/>
          <w:color w:val="000000"/>
          <w:sz w:val="20"/>
          <w:szCs w:val="20"/>
        </w:rPr>
        <w:t>Table 21 summariz</w:t>
      </w:r>
      <w:r>
        <w:rPr>
          <w:rFonts w:eastAsia="Times New Roman"/>
          <w:color w:val="000000"/>
          <w:sz w:val="20"/>
          <w:szCs w:val="20"/>
        </w:rPr>
        <w:t>es our commercial loans held for investment portfolio by industry classification as of September 30, 2020 and December 31, 2019. Industry classifications below are based on our interpretation of the North American Industry Classification System codes as th</w:t>
      </w:r>
      <w:r>
        <w:rPr>
          <w:rFonts w:eastAsia="Times New Roman"/>
          <w:color w:val="000000"/>
          <w:sz w:val="20"/>
          <w:szCs w:val="20"/>
        </w:rPr>
        <w:t>ey pertain to each individual loan.</w:t>
      </w:r>
    </w:p>
    <w:p w:rsidR="00000000" w:rsidRDefault="00795D39">
      <w:pPr>
        <w:divId w:val="1113554224"/>
        <w:rPr>
          <w:rFonts w:eastAsia="Times New Roman"/>
        </w:rPr>
      </w:pPr>
      <w:r>
        <w:rPr>
          <w:rFonts w:eastAsia="Times New Roman"/>
          <w:b/>
          <w:bCs/>
          <w:color w:val="000000"/>
          <w:sz w:val="18"/>
          <w:szCs w:val="18"/>
        </w:rPr>
        <w:t>Table 21: Commercial Loans by Industry</w:t>
      </w:r>
    </w:p>
    <w:tbl>
      <w:tblPr>
        <w:tblW w:w="4992" w:type="pct"/>
        <w:tblCellMar>
          <w:top w:w="15" w:type="dxa"/>
          <w:left w:w="15" w:type="dxa"/>
          <w:bottom w:w="15" w:type="dxa"/>
          <w:right w:w="15" w:type="dxa"/>
        </w:tblCellMar>
        <w:tblLook w:val="04A0" w:firstRow="1" w:lastRow="0" w:firstColumn="1" w:lastColumn="0" w:noHBand="0" w:noVBand="1"/>
      </w:tblPr>
      <w:tblGrid>
        <w:gridCol w:w="39"/>
        <w:gridCol w:w="6060"/>
        <w:gridCol w:w="38"/>
        <w:gridCol w:w="36"/>
        <w:gridCol w:w="36"/>
        <w:gridCol w:w="36"/>
        <w:gridCol w:w="67"/>
        <w:gridCol w:w="717"/>
        <w:gridCol w:w="200"/>
        <w:gridCol w:w="36"/>
        <w:gridCol w:w="36"/>
        <w:gridCol w:w="36"/>
        <w:gridCol w:w="63"/>
        <w:gridCol w:w="723"/>
        <w:gridCol w:w="170"/>
      </w:tblGrid>
      <w:tr w:rsidR="00000000">
        <w:trPr>
          <w:divId w:val="1625455671"/>
        </w:trPr>
        <w:tc>
          <w:tcPr>
            <w:tcW w:w="50" w:type="pct"/>
            <w:vAlign w:val="center"/>
            <w:hideMark/>
          </w:tcPr>
          <w:p w:rsidR="00000000" w:rsidRDefault="00795D39">
            <w:pPr>
              <w:rPr>
                <w:rFonts w:eastAsia="Times New Roman"/>
              </w:rPr>
            </w:pPr>
          </w:p>
        </w:tc>
        <w:tc>
          <w:tcPr>
            <w:tcW w:w="370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25455671"/>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62545567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Real estate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62545567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Finance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Healthcare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Business services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Educational services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Oil and gas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Public administration</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trade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Construction and land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2545567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divId w:val="118913185"/>
        <w:rPr>
          <w:rFonts w:eastAsia="Times New Roman"/>
        </w:rPr>
      </w:pPr>
      <w:r>
        <w:rPr>
          <w:rFonts w:eastAsia="Times New Roman"/>
          <w:b/>
          <w:bCs/>
          <w:color w:val="000000"/>
          <w:sz w:val="20"/>
          <w:szCs w:val="20"/>
        </w:rPr>
        <w:t>Credit Risk Measurement</w:t>
      </w:r>
    </w:p>
    <w:p w:rsidR="00000000" w:rsidRDefault="00795D39">
      <w:pPr>
        <w:jc w:val="both"/>
        <w:divId w:val="1941835836"/>
        <w:rPr>
          <w:rFonts w:eastAsia="Times New Roman"/>
        </w:rPr>
      </w:pPr>
      <w:r>
        <w:rPr>
          <w:rFonts w:eastAsia="Times New Roman"/>
          <w:color w:val="000000"/>
          <w:sz w:val="20"/>
          <w:szCs w:val="20"/>
        </w:rPr>
        <w:t>We closely monitor economic conditions and loan performance trends to assess and manage our exposure to credit risk. Trends in delinquency rates are the key credit quality indicator for our credit card and retail banking loan portfolios as changes in delin</w:t>
      </w:r>
      <w:r>
        <w:rPr>
          <w:rFonts w:eastAsia="Times New Roman"/>
          <w:color w:val="000000"/>
          <w:sz w:val="20"/>
          <w:szCs w:val="20"/>
        </w:rPr>
        <w:t xml:space="preserve">quency rates can provide an early warning of changes in potential future credit losses. The key indicator we monitor when assessing the credit quality and risk of our auto loan portfolio is borrower credit scores as they provide insight into borrower risk </w:t>
      </w:r>
      <w:r>
        <w:rPr>
          <w:rFonts w:eastAsia="Times New Roman"/>
          <w:color w:val="000000"/>
          <w:sz w:val="20"/>
          <w:szCs w:val="20"/>
        </w:rPr>
        <w:t>profiles, which give indications of potential future credit losses. The key credit quality indicator for our commercial loan portfolios is our internal risk ratings as we generally classify loans that have been delinquent for an extended period of time and</w:t>
      </w:r>
      <w:r>
        <w:rPr>
          <w:rFonts w:eastAsia="Times New Roman"/>
          <w:color w:val="000000"/>
          <w:sz w:val="20"/>
          <w:szCs w:val="20"/>
        </w:rPr>
        <w:t xml:space="preserve"> other loans with significant risk of loss as nonperforming. In addition to these credit quality indicators, we also manage and monitor other credit quality metrics such as level of nonperforming loans and net charge-off rates. </w:t>
      </w:r>
    </w:p>
    <w:p w:rsidR="00000000" w:rsidRDefault="00795D39">
      <w:pPr>
        <w:jc w:val="both"/>
        <w:divId w:val="1753045571"/>
        <w:rPr>
          <w:rFonts w:eastAsia="Times New Roman"/>
        </w:rPr>
      </w:pPr>
      <w:r>
        <w:rPr>
          <w:rFonts w:eastAsia="Times New Roman"/>
          <w:color w:val="000000"/>
          <w:sz w:val="20"/>
          <w:szCs w:val="20"/>
        </w:rPr>
        <w:t>We underwrite most consumer</w:t>
      </w:r>
      <w:r>
        <w:rPr>
          <w:rFonts w:eastAsia="Times New Roman"/>
          <w:color w:val="000000"/>
          <w:sz w:val="20"/>
          <w:szCs w:val="20"/>
        </w:rPr>
        <w:t xml:space="preserve"> loans using proprietary models, which typically include credit bureau data, such as borrower credit scores, application information and, where applicable, collateral and deal structure data. We continuously adjust our management of credit lines and collec</w:t>
      </w:r>
      <w:r>
        <w:rPr>
          <w:rFonts w:eastAsia="Times New Roman"/>
          <w:color w:val="000000"/>
          <w:sz w:val="20"/>
          <w:szCs w:val="20"/>
        </w:rPr>
        <w:t>tion strategies based on customer behavior and risk profile changes. We also use borrower credit scores for subprime classification, for competitive benchmarking and, in some cases, to drive product segmentation decisions.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07888627"/>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0788862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788862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0" style="width:0;height:1.5pt" o:hralign="center" o:hrstd="t" o:hr="t" fillcolor="#a0a0a0" stroked="f"/>
        </w:pict>
      </w:r>
    </w:p>
    <w:p w:rsidR="00000000" w:rsidRDefault="00795D39">
      <w:pPr>
        <w:jc w:val="both"/>
        <w:divId w:val="2552227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618218882"/>
        <w:rPr>
          <w:rFonts w:eastAsia="Times New Roman"/>
        </w:rPr>
      </w:pPr>
      <w:r>
        <w:rPr>
          <w:rFonts w:eastAsia="Times New Roman"/>
          <w:color w:val="000000"/>
          <w:sz w:val="20"/>
          <w:szCs w:val="20"/>
        </w:rPr>
        <w:t>Table 22 provides details on the credit scores of our domestic credit card and auto loan portfolios as of September 30, 2020 and December 31, 20</w:t>
      </w:r>
      <w:r>
        <w:rPr>
          <w:rFonts w:eastAsia="Times New Roman"/>
          <w:color w:val="000000"/>
          <w:sz w:val="20"/>
          <w:szCs w:val="20"/>
        </w:rPr>
        <w:t>19.</w:t>
      </w:r>
    </w:p>
    <w:p w:rsidR="00000000" w:rsidRDefault="00795D39">
      <w:pPr>
        <w:divId w:val="429854413"/>
        <w:rPr>
          <w:rFonts w:eastAsia="Times New Roman"/>
        </w:rPr>
      </w:pPr>
      <w:r>
        <w:rPr>
          <w:rFonts w:eastAsia="Times New Roman"/>
          <w:b/>
          <w:bCs/>
          <w:color w:val="000000"/>
          <w:sz w:val="18"/>
          <w:szCs w:val="18"/>
        </w:rPr>
        <w:t>Table 22: Credit Score Distribution</w:t>
      </w:r>
    </w:p>
    <w:tbl>
      <w:tblPr>
        <w:tblW w:w="4992" w:type="pct"/>
        <w:tblCellMar>
          <w:top w:w="15" w:type="dxa"/>
          <w:left w:w="15" w:type="dxa"/>
          <w:bottom w:w="15" w:type="dxa"/>
          <w:right w:w="15" w:type="dxa"/>
        </w:tblCellMar>
        <w:tblLook w:val="04A0" w:firstRow="1" w:lastRow="0" w:firstColumn="1" w:lastColumn="0" w:noHBand="0" w:noVBand="1"/>
      </w:tblPr>
      <w:tblGrid>
        <w:gridCol w:w="38"/>
        <w:gridCol w:w="6062"/>
        <w:gridCol w:w="37"/>
        <w:gridCol w:w="36"/>
        <w:gridCol w:w="36"/>
        <w:gridCol w:w="36"/>
        <w:gridCol w:w="73"/>
        <w:gridCol w:w="698"/>
        <w:gridCol w:w="200"/>
        <w:gridCol w:w="36"/>
        <w:gridCol w:w="36"/>
        <w:gridCol w:w="36"/>
        <w:gridCol w:w="70"/>
        <w:gridCol w:w="657"/>
        <w:gridCol w:w="170"/>
        <w:gridCol w:w="36"/>
        <w:gridCol w:w="36"/>
      </w:tblGrid>
      <w:tr w:rsidR="00000000">
        <w:trPr>
          <w:divId w:val="1866556700"/>
        </w:trPr>
        <w:tc>
          <w:tcPr>
            <w:tcW w:w="50" w:type="pct"/>
            <w:vAlign w:val="center"/>
            <w:hideMark/>
          </w:tcPr>
          <w:p w:rsidR="00000000" w:rsidRDefault="00795D39">
            <w:pPr>
              <w:rPr>
                <w:rFonts w:eastAsia="Times New Roman"/>
              </w:rPr>
            </w:pPr>
          </w:p>
        </w:tc>
        <w:tc>
          <w:tcPr>
            <w:tcW w:w="381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495611858"/>
              <w:rPr>
                <w:rFonts w:eastAsia="Times New Roman"/>
              </w:rPr>
            </w:pPr>
            <w:r>
              <w:rPr>
                <w:rFonts w:eastAsia="Times New Roman"/>
                <w:b/>
                <w:bCs/>
                <w:color w:val="000000"/>
                <w:sz w:val="18"/>
                <w:szCs w:val="18"/>
              </w:rPr>
              <w:t>Domestic credit card—Refreshed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660 or below</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shd w:val="clear" w:color="auto" w:fill="CCEEFF"/>
            <w:tcMar>
              <w:top w:w="30" w:type="dxa"/>
              <w:left w:w="20" w:type="dxa"/>
              <w:bottom w:w="30" w:type="dxa"/>
              <w:right w:w="20" w:type="dxa"/>
            </w:tcMar>
            <w:vAlign w:val="center"/>
            <w:hideMark/>
          </w:tcPr>
          <w:p w:rsidR="00000000" w:rsidRDefault="00795D39">
            <w:pPr>
              <w:divId w:val="1234270829"/>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621 - 660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655670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r>
    </w:tbl>
    <w:p w:rsidR="00000000" w:rsidRDefault="00795D39">
      <w:pPr>
        <w:divId w:val="215817645"/>
        <w:rPr>
          <w:rFonts w:eastAsia="Times New Roman"/>
        </w:rPr>
      </w:pPr>
      <w:r>
        <w:rPr>
          <w:rFonts w:eastAsia="Times New Roman"/>
          <w:color w:val="000000"/>
          <w:sz w:val="20"/>
          <w:szCs w:val="20"/>
        </w:rPr>
        <w:t>__________</w:t>
      </w:r>
    </w:p>
    <w:p w:rsidR="00000000" w:rsidRDefault="00795D39">
      <w:pPr>
        <w:ind w:hanging="360"/>
        <w:jc w:val="both"/>
        <w:divId w:val="208163394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color w:val="000000"/>
          <w:sz w:val="16"/>
          <w:szCs w:val="16"/>
        </w:rPr>
        <w:t>hereafter. We approximate non-FICO credit scores to comparable FICO scores for consistency purposes. Balances for which no credit score is available or the credit score is invalid are included in the 660 or below category.</w:t>
      </w:r>
    </w:p>
    <w:p w:rsidR="00000000" w:rsidRDefault="00795D39">
      <w:pPr>
        <w:ind w:hanging="360"/>
        <w:jc w:val="both"/>
        <w:divId w:val="157184081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represent period-e</w:t>
      </w:r>
      <w:r>
        <w:rPr>
          <w:rFonts w:eastAsia="Times New Roman"/>
          <w:color w:val="000000"/>
          <w:sz w:val="16"/>
          <w:szCs w:val="16"/>
        </w:rPr>
        <w:t>nd loans held for investment in each credit score category. Auto credit scores generally represent average FICO scores obtained from three credit bureaus at the time of application and are not refreshed thereafter. Balances for which no credit score is ava</w:t>
      </w:r>
      <w:r>
        <w:rPr>
          <w:rFonts w:eastAsia="Times New Roman"/>
          <w:color w:val="000000"/>
          <w:sz w:val="16"/>
          <w:szCs w:val="16"/>
        </w:rPr>
        <w:t xml:space="preserve">ilable or the credit score is invalid are included in the 620 or below category. </w:t>
      </w:r>
    </w:p>
    <w:p w:rsidR="00000000" w:rsidRDefault="00795D39">
      <w:pPr>
        <w:jc w:val="both"/>
        <w:divId w:val="1047490914"/>
        <w:rPr>
          <w:rFonts w:eastAsia="Times New Roman"/>
        </w:rPr>
      </w:pPr>
      <w:r>
        <w:rPr>
          <w:rFonts w:eastAsia="Times New Roman"/>
          <w:color w:val="000000"/>
          <w:sz w:val="20"/>
          <w:szCs w:val="20"/>
        </w:rPr>
        <w:t xml:space="preserve">We present information in the section below on the credit performance of our loan portfolio, including the key metrics we use in tracking changes in the credit quality of our loan portfolio. See “Note 3—Loans” for additional credit quality information and </w:t>
      </w:r>
      <w:r>
        <w:rPr>
          <w:rFonts w:eastAsia="Times New Roman"/>
          <w:color w:val="000000"/>
          <w:sz w:val="20"/>
          <w:szCs w:val="20"/>
        </w:rPr>
        <w:t>see “Note 1—Summary of Significant Accounting Policies” for information on our accounting policies for delinquent and nonperforming loans, charge-offs and troubled debt restructurings (“TDRs”) for each of our loan categories.</w:t>
      </w:r>
    </w:p>
    <w:p w:rsidR="00000000" w:rsidRDefault="00795D39">
      <w:pPr>
        <w:divId w:val="1885829094"/>
        <w:rPr>
          <w:rFonts w:eastAsia="Times New Roman"/>
        </w:rPr>
      </w:pPr>
      <w:r>
        <w:rPr>
          <w:rFonts w:eastAsia="Times New Roman"/>
          <w:b/>
          <w:bCs/>
          <w:i/>
          <w:iCs/>
          <w:color w:val="000000"/>
          <w:sz w:val="20"/>
          <w:szCs w:val="20"/>
        </w:rPr>
        <w:t>Delinquency Rates</w:t>
      </w:r>
    </w:p>
    <w:p w:rsidR="00000000" w:rsidRDefault="00795D39">
      <w:pPr>
        <w:jc w:val="both"/>
        <w:divId w:val="1265307982"/>
        <w:rPr>
          <w:rFonts w:eastAsia="Times New Roman"/>
        </w:rPr>
      </w:pPr>
      <w:r>
        <w:rPr>
          <w:rFonts w:eastAsia="Times New Roman"/>
          <w:color w:val="000000"/>
          <w:sz w:val="20"/>
          <w:szCs w:val="20"/>
        </w:rPr>
        <w:t xml:space="preserve">We consider </w:t>
      </w:r>
      <w:r>
        <w:rPr>
          <w:rFonts w:eastAsia="Times New Roman"/>
          <w:color w:val="000000"/>
          <w:sz w:val="20"/>
          <w:szCs w:val="20"/>
        </w:rPr>
        <w:t>the entire balance of an account to be delinquent if the minimum required payment is not received by the customer’s due date, measured at each balance sheet date. Our 30+ day delinquency metrics include all loans held for investment that are 30 or more day</w:t>
      </w:r>
      <w:r>
        <w:rPr>
          <w:rFonts w:eastAsia="Times New Roman"/>
          <w:color w:val="000000"/>
          <w:sz w:val="20"/>
          <w:szCs w:val="20"/>
        </w:rPr>
        <w:t>s past due, whereas our 30+ day performing delinquency metrics include loans that are 30 or more days past due but are currently classified as performing and accruing interest. The 30+ day delinquency and 30+ day performing delinquency metrics are the same</w:t>
      </w:r>
      <w:r>
        <w:rPr>
          <w:rFonts w:eastAsia="Times New Roman"/>
          <w:color w:val="000000"/>
          <w:sz w:val="20"/>
          <w:szCs w:val="20"/>
        </w:rPr>
        <w:t xml:space="preserve"> for domestic credit card loans, as we continue to classify these loans as performing until the account is charged off, typically when the account is 180 days past due. See “Note 1—Summary of Significant Accounting Policies” for information on our policies</w:t>
      </w:r>
      <w:r>
        <w:rPr>
          <w:rFonts w:eastAsia="Times New Roman"/>
          <w:color w:val="000000"/>
          <w:sz w:val="20"/>
          <w:szCs w:val="20"/>
        </w:rPr>
        <w:t xml:space="preserve"> for classifying loans as nonperforming for each of our loan categories. We provide additional information on our credit quality metrics in “MD&amp;A—Business Segment Financial Performance.” Amounts as of September 30, 2020, include the impacts of COVID-19 cus</w:t>
      </w:r>
      <w:r>
        <w:rPr>
          <w:rFonts w:eastAsia="Times New Roman"/>
          <w:color w:val="000000"/>
          <w:sz w:val="20"/>
          <w:szCs w:val="20"/>
        </w:rPr>
        <w:t>tomer assistance programs where applicable. See “MD&amp;A—Credit Risk Profile—COVID-19 Customer Assistance Programs and Loan Modifications” for more information</w:t>
      </w:r>
      <w:r>
        <w:rPr>
          <w:rFonts w:eastAsia="Times New Roman"/>
          <w:color w:val="000000"/>
          <w:sz w:val="16"/>
          <w:szCs w:val="16"/>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11585493"/>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1158549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1158549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1" style="width:0;height:1.5pt" o:hralign="center" o:hrstd="t" o:hr="t" fillcolor="#a0a0a0" stroked="f"/>
        </w:pict>
      </w:r>
    </w:p>
    <w:p w:rsidR="00000000" w:rsidRDefault="00795D39">
      <w:pPr>
        <w:jc w:val="both"/>
        <w:divId w:val="121808474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2023892141"/>
        <w:rPr>
          <w:rFonts w:eastAsia="Times New Roman"/>
        </w:rPr>
      </w:pPr>
      <w:r>
        <w:rPr>
          <w:rFonts w:eastAsia="Times New Roman"/>
          <w:color w:val="000000"/>
          <w:sz w:val="20"/>
          <w:szCs w:val="20"/>
        </w:rPr>
        <w:t>Table 23 presents our 30+ day performing delinquency rates and 30+ day delinquency rates of our portfolio of loans held for investment, by portfolio segment, as of September 30, 2020 and December 31, 2019.</w:t>
      </w:r>
    </w:p>
    <w:p w:rsidR="00000000" w:rsidRDefault="00795D39">
      <w:pPr>
        <w:divId w:val="331416691"/>
        <w:rPr>
          <w:rFonts w:eastAsia="Times New Roman"/>
        </w:rPr>
      </w:pPr>
      <w:r>
        <w:rPr>
          <w:rFonts w:eastAsia="Times New Roman"/>
          <w:b/>
          <w:bCs/>
          <w:color w:val="000000"/>
          <w:sz w:val="18"/>
          <w:szCs w:val="18"/>
        </w:rPr>
        <w:t>Table 23: 30+ Day Delinquencies</w:t>
      </w:r>
    </w:p>
    <w:tbl>
      <w:tblPr>
        <w:tblW w:w="4978" w:type="pct"/>
        <w:tblCellMar>
          <w:top w:w="15" w:type="dxa"/>
          <w:left w:w="15" w:type="dxa"/>
          <w:bottom w:w="15" w:type="dxa"/>
          <w:right w:w="15" w:type="dxa"/>
        </w:tblCellMar>
        <w:tblLook w:val="04A0" w:firstRow="1" w:lastRow="0" w:firstColumn="1" w:lastColumn="0" w:noHBand="0" w:noVBand="1"/>
      </w:tblPr>
      <w:tblGrid>
        <w:gridCol w:w="39"/>
        <w:gridCol w:w="2092"/>
        <w:gridCol w:w="38"/>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170"/>
        <w:gridCol w:w="36"/>
        <w:gridCol w:w="36"/>
        <w:gridCol w:w="36"/>
        <w:gridCol w:w="112"/>
        <w:gridCol w:w="508"/>
        <w:gridCol w:w="38"/>
        <w:gridCol w:w="37"/>
        <w:gridCol w:w="36"/>
        <w:gridCol w:w="36"/>
        <w:gridCol w:w="67"/>
        <w:gridCol w:w="398"/>
        <w:gridCol w:w="170"/>
      </w:tblGrid>
      <w:tr w:rsidR="00000000">
        <w:trPr>
          <w:divId w:val="415329440"/>
        </w:trPr>
        <w:tc>
          <w:tcPr>
            <w:tcW w:w="50" w:type="pct"/>
            <w:vAlign w:val="center"/>
            <w:hideMark/>
          </w:tcPr>
          <w:p w:rsidR="00000000" w:rsidRDefault="00795D39">
            <w:pPr>
              <w:rPr>
                <w:rFonts w:eastAsia="Times New Roman"/>
              </w:rPr>
            </w:pPr>
          </w:p>
        </w:tc>
        <w:tc>
          <w:tcPr>
            <w:tcW w:w="183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153294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4153294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30+ Day Delinquencies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30+ Day Delinquencies</w:t>
            </w:r>
          </w:p>
        </w:tc>
      </w:tr>
      <w:tr w:rsidR="00000000">
        <w:trPr>
          <w:divId w:val="4153294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41532944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41532944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4,656 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3.93 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4,656 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3.93 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41532944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153294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153294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1532944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4,154 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6.88 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7.59 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1532944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153294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153294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1532944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1532944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15329440"/>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1532944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153294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4153294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9,947 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679455787"/>
        <w:rPr>
          <w:rFonts w:eastAsia="Times New Roman"/>
        </w:rPr>
      </w:pPr>
      <w:r>
        <w:rPr>
          <w:rFonts w:eastAsia="Times New Roman"/>
          <w:color w:val="000000"/>
          <w:sz w:val="20"/>
          <w:szCs w:val="20"/>
        </w:rPr>
        <w:t>__________</w:t>
      </w:r>
    </w:p>
    <w:p w:rsidR="00000000" w:rsidRDefault="00795D39">
      <w:pPr>
        <w:ind w:hanging="360"/>
        <w:jc w:val="both"/>
        <w:divId w:val="212784856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p w:rsidR="00000000" w:rsidRDefault="00795D39">
      <w:pPr>
        <w:jc w:val="both"/>
        <w:divId w:val="908996429"/>
        <w:rPr>
          <w:rFonts w:eastAsia="Times New Roman"/>
        </w:rPr>
      </w:pPr>
      <w:r>
        <w:rPr>
          <w:rFonts w:eastAsia="Times New Roman"/>
          <w:color w:val="000000"/>
          <w:sz w:val="20"/>
          <w:szCs w:val="20"/>
        </w:rPr>
        <w:t>Table 24 presents our 30+ day delinquent loans, by aging and geography, as of September 30, 2020 and December 31, 2019.</w:t>
      </w:r>
    </w:p>
    <w:p w:rsidR="00000000" w:rsidRDefault="00795D39">
      <w:pPr>
        <w:divId w:val="992224259"/>
        <w:rPr>
          <w:rFonts w:eastAsia="Times New Roman"/>
        </w:rPr>
      </w:pPr>
      <w:r>
        <w:rPr>
          <w:rFonts w:eastAsia="Times New Roman"/>
          <w:b/>
          <w:bCs/>
          <w:color w:val="000000"/>
          <w:sz w:val="18"/>
          <w:szCs w:val="18"/>
        </w:rPr>
        <w:t xml:space="preserve">Table 24: Aging and Geography </w:t>
      </w:r>
      <w:r>
        <w:rPr>
          <w:rFonts w:eastAsia="Times New Roman"/>
          <w:b/>
          <w:bCs/>
          <w:color w:val="000000"/>
          <w:sz w:val="18"/>
          <w:szCs w:val="18"/>
        </w:rPr>
        <w:t>of 30+ Day Delinquent Loans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4449"/>
        <w:gridCol w:w="38"/>
        <w:gridCol w:w="36"/>
        <w:gridCol w:w="36"/>
        <w:gridCol w:w="36"/>
        <w:gridCol w:w="111"/>
        <w:gridCol w:w="658"/>
        <w:gridCol w:w="37"/>
        <w:gridCol w:w="36"/>
        <w:gridCol w:w="36"/>
        <w:gridCol w:w="36"/>
        <w:gridCol w:w="46"/>
        <w:gridCol w:w="635"/>
        <w:gridCol w:w="200"/>
        <w:gridCol w:w="36"/>
        <w:gridCol w:w="36"/>
        <w:gridCol w:w="36"/>
        <w:gridCol w:w="111"/>
        <w:gridCol w:w="659"/>
        <w:gridCol w:w="37"/>
        <w:gridCol w:w="36"/>
        <w:gridCol w:w="36"/>
        <w:gridCol w:w="36"/>
        <w:gridCol w:w="46"/>
        <w:gridCol w:w="638"/>
        <w:gridCol w:w="170"/>
      </w:tblGrid>
      <w:tr w:rsidR="00000000">
        <w:trPr>
          <w:divId w:val="1114128309"/>
        </w:trPr>
        <w:tc>
          <w:tcPr>
            <w:tcW w:w="50" w:type="pct"/>
            <w:vAlign w:val="center"/>
            <w:hideMark/>
          </w:tcPr>
          <w:p w:rsidR="00000000" w:rsidRDefault="00795D39">
            <w:pPr>
              <w:rPr>
                <w:rFonts w:eastAsia="Times New Roman"/>
              </w:rPr>
            </w:pPr>
          </w:p>
        </w:tc>
        <w:tc>
          <w:tcPr>
            <w:tcW w:w="27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14128309"/>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11412830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1141283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Delinquency status: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14128309"/>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 xml:space="preserve">30 – </w:t>
            </w:r>
            <w:r>
              <w:rPr>
                <w:rFonts w:eastAsia="Times New Roman"/>
                <w:color w:val="000000"/>
                <w:sz w:val="18"/>
                <w:szCs w:val="18"/>
              </w:rPr>
              <w:t>59 days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114128309"/>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60 – 89 days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0.95 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4128309"/>
        </w:trPr>
        <w:tc>
          <w:tcPr>
            <w:tcW w:w="0" w:type="auto"/>
            <w:gridSpan w:val="3"/>
            <w:shd w:val="clear" w:color="auto" w:fill="FFFFFF"/>
            <w:tcMar>
              <w:top w:w="30" w:type="dxa"/>
              <w:left w:w="20" w:type="dxa"/>
              <w:bottom w:w="30" w:type="dxa"/>
              <w:right w:w="20" w:type="dxa"/>
            </w:tcMar>
            <w:vAlign w:val="center"/>
            <w:hideMark/>
          </w:tcPr>
          <w:p w:rsidR="00000000" w:rsidRDefault="00795D39">
            <w:pPr>
              <w:divId w:val="340670729"/>
              <w:rPr>
                <w:rFonts w:eastAsia="Times New Roman"/>
              </w:rPr>
            </w:pPr>
            <w:r>
              <w:rPr>
                <w:rFonts w:eastAsia="Times New Roman"/>
                <w:color w:val="000000"/>
                <w:sz w:val="18"/>
                <w:szCs w:val="18"/>
                <w:u w:val="single"/>
              </w:rPr>
              <w:t>&gt;</w:t>
            </w:r>
            <w:r>
              <w:rPr>
                <w:rFonts w:eastAsia="Times New Roman"/>
                <w:color w:val="000000"/>
                <w:sz w:val="18"/>
                <w:szCs w:val="18"/>
              </w:rPr>
              <w:t xml:space="preserve"> 90 days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2,966 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412830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9,947 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11412830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Geographic region:</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14128309"/>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9,594 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3.61 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114128309"/>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412830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9,947 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114128309"/>
        </w:trPr>
        <w:tc>
          <w:tcPr>
            <w:tcW w:w="0" w:type="auto"/>
            <w:gridSpan w:val="3"/>
            <w:vAlign w:val="center"/>
            <w:hideMark/>
          </w:tcPr>
          <w:p w:rsidR="00000000" w:rsidRDefault="00795D39">
            <w:pP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529490348"/>
        <w:rPr>
          <w:rFonts w:eastAsia="Times New Roman"/>
        </w:rPr>
      </w:pPr>
      <w:r>
        <w:rPr>
          <w:rFonts w:eastAsia="Times New Roman"/>
          <w:color w:val="000000"/>
          <w:sz w:val="20"/>
          <w:szCs w:val="20"/>
        </w:rPr>
        <w:t>__________</w:t>
      </w:r>
    </w:p>
    <w:p w:rsidR="00000000" w:rsidRDefault="00795D39">
      <w:pPr>
        <w:ind w:hanging="360"/>
        <w:jc w:val="both"/>
        <w:divId w:val="53859515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8675728"/>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7867572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867572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2" style="width:0;height:1.5pt" o:hralign="center" o:hrstd="t" o:hr="t" fillcolor="#a0a0a0" stroked="f"/>
        </w:pict>
      </w:r>
    </w:p>
    <w:p w:rsidR="00000000" w:rsidRDefault="00795D39">
      <w:pPr>
        <w:jc w:val="both"/>
        <w:divId w:val="86717977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1876195048"/>
        <w:rPr>
          <w:rFonts w:eastAsia="Times New Roman"/>
        </w:rPr>
      </w:pPr>
      <w:r>
        <w:rPr>
          <w:rFonts w:eastAsia="Times New Roman"/>
          <w:color w:val="000000"/>
          <w:sz w:val="20"/>
          <w:szCs w:val="20"/>
        </w:rPr>
        <w:t>Table 25 summarizes loans that were 90+ days delinquent as to interest or principal, and still accruing interest as of September 30, 2020 and De</w:t>
      </w:r>
      <w:r>
        <w:rPr>
          <w:rFonts w:eastAsia="Times New Roman"/>
          <w:color w:val="000000"/>
          <w:sz w:val="20"/>
          <w:szCs w:val="20"/>
        </w:rPr>
        <w:t>cember 31, 2019. These loans consist primarily of credit card accounts between 90 days and 179 days past due. As permitted by regulatory guidance issued by the Federal Financial Institutions Examination Council, we continue to accrue interest and fees on d</w:t>
      </w:r>
      <w:r>
        <w:rPr>
          <w:rFonts w:eastAsia="Times New Roman"/>
          <w:color w:val="000000"/>
          <w:sz w:val="20"/>
          <w:szCs w:val="20"/>
        </w:rPr>
        <w:t>omestic credit card loans through the date of charge off, which is typically in the period the account becomes 180 days past due.</w:t>
      </w:r>
    </w:p>
    <w:p w:rsidR="00000000" w:rsidRDefault="00795D39">
      <w:pPr>
        <w:divId w:val="1399010605"/>
        <w:rPr>
          <w:rFonts w:eastAsia="Times New Roman"/>
        </w:rPr>
      </w:pPr>
      <w:r>
        <w:rPr>
          <w:rFonts w:eastAsia="Times New Roman"/>
          <w:b/>
          <w:bCs/>
          <w:color w:val="000000"/>
          <w:sz w:val="18"/>
          <w:szCs w:val="18"/>
        </w:rPr>
        <w:t>Table 25: 90+ Day Delinquent Loans Accruing Interest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4447"/>
        <w:gridCol w:w="39"/>
        <w:gridCol w:w="36"/>
        <w:gridCol w:w="36"/>
        <w:gridCol w:w="36"/>
        <w:gridCol w:w="111"/>
        <w:gridCol w:w="658"/>
        <w:gridCol w:w="37"/>
        <w:gridCol w:w="36"/>
        <w:gridCol w:w="36"/>
        <w:gridCol w:w="36"/>
        <w:gridCol w:w="46"/>
        <w:gridCol w:w="635"/>
        <w:gridCol w:w="200"/>
        <w:gridCol w:w="36"/>
        <w:gridCol w:w="36"/>
        <w:gridCol w:w="36"/>
        <w:gridCol w:w="111"/>
        <w:gridCol w:w="658"/>
        <w:gridCol w:w="37"/>
        <w:gridCol w:w="36"/>
        <w:gridCol w:w="36"/>
        <w:gridCol w:w="36"/>
        <w:gridCol w:w="46"/>
        <w:gridCol w:w="638"/>
        <w:gridCol w:w="170"/>
      </w:tblGrid>
      <w:tr w:rsidR="00000000">
        <w:trPr>
          <w:divId w:val="1503084356"/>
        </w:trPr>
        <w:tc>
          <w:tcPr>
            <w:tcW w:w="50" w:type="pct"/>
            <w:vAlign w:val="center"/>
            <w:hideMark/>
          </w:tcPr>
          <w:p w:rsidR="00000000" w:rsidRDefault="00795D39">
            <w:pPr>
              <w:rPr>
                <w:rFonts w:eastAsia="Times New Roman"/>
              </w:rPr>
            </w:pPr>
          </w:p>
        </w:tc>
        <w:tc>
          <w:tcPr>
            <w:tcW w:w="27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03084356"/>
        </w:trPr>
        <w:tc>
          <w:tcPr>
            <w:tcW w:w="0" w:type="auto"/>
            <w:gridSpan w:val="3"/>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50308435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50308435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Loan category: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0308435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2,407 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50308435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3084356"/>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0308435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0.91 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308435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Geographic region:</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0308435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2,277 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0.89 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50308435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308435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0.91 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984356998"/>
        <w:rPr>
          <w:rFonts w:eastAsia="Times New Roman"/>
        </w:rPr>
      </w:pPr>
      <w:r>
        <w:rPr>
          <w:rFonts w:eastAsia="Times New Roman"/>
          <w:color w:val="000000"/>
          <w:sz w:val="20"/>
          <w:szCs w:val="20"/>
        </w:rPr>
        <w:t>__________</w:t>
      </w:r>
    </w:p>
    <w:p w:rsidR="00000000" w:rsidRDefault="00795D39">
      <w:pPr>
        <w:ind w:hanging="360"/>
        <w:jc w:val="both"/>
        <w:divId w:val="145838007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period-end loans held for investment for each specified loan category.</w:t>
      </w:r>
    </w:p>
    <w:p w:rsidR="00000000" w:rsidRDefault="00795D39">
      <w:pPr>
        <w:divId w:val="1868986828"/>
        <w:rPr>
          <w:rFonts w:eastAsia="Times New Roman"/>
        </w:rPr>
      </w:pPr>
      <w:r>
        <w:rPr>
          <w:rFonts w:eastAsia="Times New Roman"/>
          <w:b/>
          <w:bCs/>
          <w:i/>
          <w:iCs/>
          <w:color w:val="000000"/>
          <w:sz w:val="20"/>
          <w:szCs w:val="20"/>
        </w:rPr>
        <w:t>Nonperforming Loans and Nonperforming Assets</w:t>
      </w:r>
    </w:p>
    <w:p w:rsidR="00000000" w:rsidRDefault="00795D39">
      <w:pPr>
        <w:jc w:val="both"/>
        <w:divId w:val="975257673"/>
        <w:rPr>
          <w:rFonts w:eastAsia="Times New Roman"/>
        </w:rPr>
      </w:pPr>
      <w:r>
        <w:rPr>
          <w:rFonts w:eastAsia="Times New Roman"/>
          <w:color w:val="000000"/>
          <w:sz w:val="20"/>
          <w:szCs w:val="20"/>
        </w:rPr>
        <w:t xml:space="preserve">Nonperforming assets consist of nonperforming loans, repossessed assets </w:t>
      </w:r>
      <w:r>
        <w:rPr>
          <w:rFonts w:eastAsia="Times New Roman"/>
          <w:color w:val="000000"/>
          <w:sz w:val="20"/>
          <w:szCs w:val="20"/>
        </w:rPr>
        <w:t>and other foreclosed assets. Nonperforming loans include loans that have been placed on nonaccrual status. See “Note 1—Summary of Significant Accounting Policies” for information on our policies for classifying loans as nonperforming for each of our loan c</w:t>
      </w:r>
      <w:r>
        <w:rPr>
          <w:rFonts w:eastAsia="Times New Roman"/>
          <w:color w:val="000000"/>
          <w:sz w:val="20"/>
          <w:szCs w:val="20"/>
        </w:rPr>
        <w:t>ategories.</w:t>
      </w:r>
    </w:p>
    <w:p w:rsidR="00000000" w:rsidRDefault="00795D39">
      <w:pPr>
        <w:jc w:val="both"/>
        <w:divId w:val="1370908348"/>
        <w:rPr>
          <w:rFonts w:eastAsia="Times New Roman"/>
        </w:rPr>
      </w:pPr>
      <w:r>
        <w:rPr>
          <w:rFonts w:eastAsia="Times New Roman"/>
          <w:color w:val="000000"/>
          <w:sz w:val="20"/>
          <w:szCs w:val="20"/>
        </w:rPr>
        <w:t>Table 26 presents our nonperforming loans, by portfolio segment, and other nonperforming assets as of September 30, 2020 and December 31, 2019. We do not classify loans held for sale as nonperforming. We provide additional information on our cre</w:t>
      </w:r>
      <w:r>
        <w:rPr>
          <w:rFonts w:eastAsia="Times New Roman"/>
          <w:color w:val="000000"/>
          <w:sz w:val="20"/>
          <w:szCs w:val="20"/>
        </w:rPr>
        <w:t>dit quality metrics in “MD&amp;A—Business Segment Financial Performance.”</w:t>
      </w:r>
    </w:p>
    <w:p w:rsidR="00000000" w:rsidRDefault="00795D39">
      <w:pPr>
        <w:divId w:val="1507750663"/>
        <w:rPr>
          <w:rFonts w:eastAsia="Times New Roman"/>
        </w:rPr>
      </w:pPr>
      <w:r>
        <w:rPr>
          <w:rFonts w:eastAsia="Times New Roman"/>
          <w:b/>
          <w:bCs/>
          <w:color w:val="000000"/>
          <w:sz w:val="18"/>
          <w:szCs w:val="18"/>
        </w:rPr>
        <w:t>Table 26: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6"/>
        <w:gridCol w:w="37"/>
        <w:gridCol w:w="36"/>
        <w:gridCol w:w="36"/>
        <w:gridCol w:w="36"/>
        <w:gridCol w:w="111"/>
        <w:gridCol w:w="608"/>
        <w:gridCol w:w="37"/>
        <w:gridCol w:w="36"/>
        <w:gridCol w:w="36"/>
        <w:gridCol w:w="36"/>
        <w:gridCol w:w="40"/>
        <w:gridCol w:w="592"/>
        <w:gridCol w:w="201"/>
        <w:gridCol w:w="36"/>
        <w:gridCol w:w="36"/>
        <w:gridCol w:w="36"/>
        <w:gridCol w:w="111"/>
        <w:gridCol w:w="610"/>
        <w:gridCol w:w="37"/>
        <w:gridCol w:w="36"/>
        <w:gridCol w:w="36"/>
        <w:gridCol w:w="36"/>
        <w:gridCol w:w="40"/>
        <w:gridCol w:w="596"/>
        <w:gridCol w:w="170"/>
      </w:tblGrid>
      <w:tr w:rsidR="00000000">
        <w:trPr>
          <w:divId w:val="1982491197"/>
        </w:trPr>
        <w:tc>
          <w:tcPr>
            <w:tcW w:w="50" w:type="pct"/>
            <w:vAlign w:val="center"/>
            <w:hideMark/>
          </w:tcPr>
          <w:p w:rsidR="00000000" w:rsidRDefault="00795D39">
            <w:pPr>
              <w:rPr>
                <w:rFonts w:eastAsia="Times New Roman"/>
              </w:rPr>
            </w:pPr>
          </w:p>
        </w:tc>
        <w:tc>
          <w:tcPr>
            <w:tcW w:w="28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82491197"/>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98249119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Rate</w:t>
            </w:r>
          </w:p>
        </w:tc>
      </w:tr>
      <w:tr w:rsidR="00000000">
        <w:trPr>
          <w:divId w:val="19824911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2129258"/>
              <w:rPr>
                <w:rFonts w:eastAsia="Times New Roman"/>
              </w:rPr>
            </w:pPr>
            <w:r>
              <w:rPr>
                <w:rFonts w:eastAsia="Times New Roman"/>
                <w:b/>
                <w:bCs/>
                <w:color w:val="000000"/>
                <w:sz w:val="18"/>
                <w:szCs w:val="18"/>
              </w:rPr>
              <w:t>Nonperforming loans held for investment</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8249119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8249119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0.26 </w:t>
            </w:r>
          </w:p>
        </w:tc>
        <w:tc>
          <w:tcPr>
            <w:tcW w:w="0" w:type="auto"/>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98249119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8249119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0.81 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0.87 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0.81 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8249119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0.12 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0.93 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8249119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8249119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0.60 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82491197"/>
        </w:trPr>
        <w:tc>
          <w:tcPr>
            <w:tcW w:w="0" w:type="auto"/>
            <w:gridSpan w:val="3"/>
            <w:shd w:val="clear" w:color="auto" w:fill="CCEEFF"/>
            <w:tcMar>
              <w:top w:w="30" w:type="dxa"/>
              <w:left w:w="20" w:type="dxa"/>
              <w:bottom w:w="30" w:type="dxa"/>
              <w:right w:w="20" w:type="dxa"/>
            </w:tcMar>
            <w:vAlign w:val="center"/>
            <w:hideMark/>
          </w:tcPr>
          <w:p w:rsidR="00000000" w:rsidRDefault="00795D39">
            <w:pPr>
              <w:divId w:val="22219351"/>
              <w:rPr>
                <w:rFonts w:eastAsia="Times New Roman"/>
              </w:rPr>
            </w:pPr>
            <w:r>
              <w:rPr>
                <w:rFonts w:eastAsia="Times New Roman"/>
                <w:color w:val="000000"/>
                <w:sz w:val="18"/>
                <w:szCs w:val="18"/>
              </w:rPr>
              <w:t>Total nonperforming loans held for investmen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8249119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8249119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82491197"/>
        </w:trPr>
        <w:tc>
          <w:tcPr>
            <w:tcW w:w="0" w:type="auto"/>
            <w:gridSpan w:val="3"/>
            <w:shd w:val="clear" w:color="auto" w:fill="FFFFFF"/>
            <w:tcMar>
              <w:top w:w="30" w:type="dxa"/>
              <w:left w:w="20" w:type="dxa"/>
              <w:bottom w:w="30" w:type="dxa"/>
              <w:right w:w="20" w:type="dxa"/>
            </w:tcMar>
            <w:vAlign w:val="center"/>
            <w:hideMark/>
          </w:tcPr>
          <w:p w:rsidR="00000000" w:rsidRDefault="00795D39">
            <w:pPr>
              <w:divId w:val="1017001146"/>
              <w:rPr>
                <w:rFonts w:eastAsia="Times New Roman"/>
              </w:rPr>
            </w:pPr>
            <w:r>
              <w:rPr>
                <w:rFonts w:eastAsia="Times New Roman"/>
                <w:color w:val="000000"/>
                <w:sz w:val="18"/>
                <w:szCs w:val="18"/>
              </w:rPr>
              <w:t>Other nonperforming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8249119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nonperforming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0.39 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203516689"/>
        <w:rPr>
          <w:rFonts w:eastAsia="Times New Roman"/>
        </w:rPr>
      </w:pPr>
      <w:r>
        <w:rPr>
          <w:rFonts w:eastAsia="Times New Roman"/>
          <w:color w:val="000000"/>
          <w:sz w:val="20"/>
          <w:szCs w:val="20"/>
        </w:rPr>
        <w:t>__________</w:t>
      </w:r>
    </w:p>
    <w:p w:rsidR="00000000" w:rsidRDefault="00795D39">
      <w:pPr>
        <w:ind w:hanging="360"/>
        <w:jc w:val="both"/>
        <w:divId w:val="183777106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recognized interest income for loans classified as nonperforming of $22 million and $37 million in the first nine months of 2020 and 2019, respectively. Interest income foregone </w:t>
      </w:r>
      <w:r>
        <w:rPr>
          <w:rFonts w:eastAsia="Times New Roman"/>
          <w:color w:val="000000"/>
          <w:sz w:val="16"/>
          <w:szCs w:val="16"/>
        </w:rPr>
        <w:t xml:space="preserve">related to nonperforming loans was $40 million and $50 million in the first nine months of 2020 and 2019,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8790408"/>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879040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879040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3" style="width:0;height:1.5pt" o:hralign="center" o:hrstd="t" o:hr="t" fillcolor="#a0a0a0" stroked="f"/>
        </w:pict>
      </w:r>
    </w:p>
    <w:p w:rsidR="00000000" w:rsidRDefault="00795D39">
      <w:pPr>
        <w:jc w:val="both"/>
        <w:divId w:val="43070738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127164405"/>
        <w:rPr>
          <w:rFonts w:eastAsia="Times New Roman"/>
        </w:rPr>
      </w:pPr>
      <w:r>
        <w:rPr>
          <w:rFonts w:eastAsia="Times New Roman"/>
          <w:color w:val="000000"/>
          <w:sz w:val="16"/>
          <w:szCs w:val="16"/>
        </w:rPr>
        <w:t>respectively. Foregone interest income represents the amount of interest income in excess of recognized interest income that would have been recorded during the period for nonperforming loans as of the end of the period had the loans performed according to</w:t>
      </w:r>
      <w:r>
        <w:rPr>
          <w:rFonts w:eastAsia="Times New Roman"/>
          <w:color w:val="000000"/>
          <w:sz w:val="16"/>
          <w:szCs w:val="16"/>
        </w:rPr>
        <w:t xml:space="preserve"> their contractual terms.</w:t>
      </w:r>
    </w:p>
    <w:p w:rsidR="00000000" w:rsidRDefault="00795D39">
      <w:pPr>
        <w:ind w:hanging="360"/>
        <w:jc w:val="both"/>
        <w:divId w:val="181136060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loan rates are calculated based on nonperforming loans for each category divided by period-end total loans held for investment for each respective category.</w:t>
      </w:r>
    </w:p>
    <w:p w:rsidR="00000000" w:rsidRDefault="00795D39">
      <w:pPr>
        <w:ind w:hanging="360"/>
        <w:jc w:val="both"/>
        <w:divId w:val="62940786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of domestic credit card loans, nonperforming loans as a percentage of total loans held for investment was 0.69% and 0.67% as of September 30, 2020 and December 31, 2019, respectively.</w:t>
      </w:r>
    </w:p>
    <w:p w:rsidR="00000000" w:rsidRDefault="00795D39">
      <w:pPr>
        <w:ind w:hanging="360"/>
        <w:jc w:val="both"/>
        <w:divId w:val="1279948534"/>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The denominators used in calculating nonperformi</w:t>
      </w:r>
      <w:r>
        <w:rPr>
          <w:rFonts w:eastAsia="Times New Roman"/>
          <w:color w:val="000000"/>
          <w:sz w:val="16"/>
          <w:szCs w:val="16"/>
        </w:rPr>
        <w:t xml:space="preserve">ng asset rates consist of total loans held for investment and other nonperforming assets. </w:t>
      </w:r>
    </w:p>
    <w:p w:rsidR="00000000" w:rsidRDefault="00795D39">
      <w:pPr>
        <w:divId w:val="1883126688"/>
        <w:rPr>
          <w:rFonts w:eastAsia="Times New Roman"/>
        </w:rPr>
      </w:pPr>
      <w:r>
        <w:rPr>
          <w:rFonts w:eastAsia="Times New Roman"/>
          <w:b/>
          <w:bCs/>
          <w:i/>
          <w:iCs/>
          <w:color w:val="000000"/>
          <w:sz w:val="20"/>
          <w:szCs w:val="20"/>
        </w:rPr>
        <w:t>Net Charge-Offs</w:t>
      </w:r>
    </w:p>
    <w:p w:rsidR="00000000" w:rsidRDefault="00795D39">
      <w:pPr>
        <w:jc w:val="both"/>
        <w:divId w:val="51732726"/>
        <w:rPr>
          <w:rFonts w:eastAsia="Times New Roman"/>
        </w:rPr>
      </w:pPr>
      <w:r>
        <w:rPr>
          <w:rFonts w:eastAsia="Times New Roman"/>
          <w:color w:val="000000"/>
          <w:sz w:val="20"/>
          <w:szCs w:val="20"/>
        </w:rPr>
        <w:t xml:space="preserve">Net charge-offs consist of the amortized cost basis, excluding accrued interest, of loans held for investment that we determine to be uncollectible, </w:t>
      </w:r>
      <w:r>
        <w:rPr>
          <w:rFonts w:eastAsia="Times New Roman"/>
          <w:color w:val="000000"/>
          <w:sz w:val="20"/>
          <w:szCs w:val="20"/>
        </w:rPr>
        <w:t xml:space="preserve">net of recovered amounts. We charge off loans as a reduction to the allowance for credit losses when we determine the loan is uncollectible and record subsequent recoveries of previously charged off amounts as increases to the allowance for credit losses. </w:t>
      </w:r>
      <w:r>
        <w:rPr>
          <w:rFonts w:eastAsia="Times New Roman"/>
          <w:color w:val="000000"/>
          <w:sz w:val="20"/>
          <w:szCs w:val="20"/>
        </w:rPr>
        <w:t>Uncollectible finance charges and fees are reversed through revenue and certain fraud losses are recorded in other non-interest expense. Generally, costs to recover charged-off loans are recorded as collection expenses as incurred and included in our conso</w:t>
      </w:r>
      <w:r>
        <w:rPr>
          <w:rFonts w:eastAsia="Times New Roman"/>
          <w:color w:val="000000"/>
          <w:sz w:val="20"/>
          <w:szCs w:val="20"/>
        </w:rPr>
        <w:t xml:space="preserve">lidated statements of income as a component of other non-interest expense. Our charge-off policy for loans varies based on the loan type. See “Note 1—Summary of Significant Accounting Policies” for information on our charge-off policy for each of our loan </w:t>
      </w:r>
      <w:r>
        <w:rPr>
          <w:rFonts w:eastAsia="Times New Roman"/>
          <w:color w:val="000000"/>
          <w:sz w:val="20"/>
          <w:szCs w:val="20"/>
        </w:rPr>
        <w:t>categories.</w:t>
      </w:r>
    </w:p>
    <w:p w:rsidR="00000000" w:rsidRDefault="00795D39">
      <w:pPr>
        <w:jc w:val="both"/>
        <w:divId w:val="1788353559"/>
        <w:rPr>
          <w:rFonts w:eastAsia="Times New Roman"/>
        </w:rPr>
      </w:pPr>
      <w:r>
        <w:rPr>
          <w:rFonts w:eastAsia="Times New Roman"/>
          <w:color w:val="000000"/>
          <w:sz w:val="20"/>
          <w:szCs w:val="20"/>
        </w:rPr>
        <w:t>Table 27 presents our net charge-off amounts and rates, by portfolio segment, in the third quarter and first nine months of 2020 and 2019.</w:t>
      </w:r>
    </w:p>
    <w:p w:rsidR="00000000" w:rsidRDefault="00795D39">
      <w:pPr>
        <w:divId w:val="889153796"/>
        <w:rPr>
          <w:rFonts w:eastAsia="Times New Roman"/>
        </w:rPr>
      </w:pPr>
      <w:r>
        <w:rPr>
          <w:rFonts w:eastAsia="Times New Roman"/>
          <w:b/>
          <w:bCs/>
          <w:color w:val="000000"/>
          <w:sz w:val="18"/>
          <w:szCs w:val="18"/>
        </w:rPr>
        <w:t>Table 27: Net Charge-Offs</w:t>
      </w:r>
    </w:p>
    <w:tbl>
      <w:tblPr>
        <w:tblW w:w="4963" w:type="pct"/>
        <w:tblCellMar>
          <w:top w:w="15" w:type="dxa"/>
          <w:left w:w="15" w:type="dxa"/>
          <w:bottom w:w="15" w:type="dxa"/>
          <w:right w:w="15" w:type="dxa"/>
        </w:tblCellMar>
        <w:tblLook w:val="04A0" w:firstRow="1" w:lastRow="0" w:firstColumn="1" w:lastColumn="0" w:noHBand="0" w:noVBand="1"/>
      </w:tblPr>
      <w:tblGrid>
        <w:gridCol w:w="39"/>
        <w:gridCol w:w="1324"/>
        <w:gridCol w:w="38"/>
        <w:gridCol w:w="36"/>
        <w:gridCol w:w="36"/>
        <w:gridCol w:w="36"/>
        <w:gridCol w:w="110"/>
        <w:gridCol w:w="630"/>
        <w:gridCol w:w="36"/>
        <w:gridCol w:w="36"/>
        <w:gridCol w:w="36"/>
        <w:gridCol w:w="36"/>
        <w:gridCol w:w="62"/>
        <w:gridCol w:w="409"/>
        <w:gridCol w:w="200"/>
        <w:gridCol w:w="36"/>
        <w:gridCol w:w="36"/>
        <w:gridCol w:w="36"/>
        <w:gridCol w:w="110"/>
        <w:gridCol w:w="630"/>
        <w:gridCol w:w="36"/>
        <w:gridCol w:w="36"/>
        <w:gridCol w:w="36"/>
        <w:gridCol w:w="36"/>
        <w:gridCol w:w="62"/>
        <w:gridCol w:w="409"/>
        <w:gridCol w:w="170"/>
        <w:gridCol w:w="36"/>
        <w:gridCol w:w="36"/>
        <w:gridCol w:w="36"/>
        <w:gridCol w:w="110"/>
        <w:gridCol w:w="630"/>
        <w:gridCol w:w="36"/>
        <w:gridCol w:w="36"/>
        <w:gridCol w:w="36"/>
        <w:gridCol w:w="36"/>
        <w:gridCol w:w="62"/>
        <w:gridCol w:w="409"/>
        <w:gridCol w:w="200"/>
        <w:gridCol w:w="36"/>
        <w:gridCol w:w="36"/>
        <w:gridCol w:w="36"/>
        <w:gridCol w:w="110"/>
        <w:gridCol w:w="630"/>
        <w:gridCol w:w="36"/>
        <w:gridCol w:w="36"/>
        <w:gridCol w:w="36"/>
        <w:gridCol w:w="36"/>
        <w:gridCol w:w="62"/>
        <w:gridCol w:w="409"/>
        <w:gridCol w:w="170"/>
        <w:gridCol w:w="36"/>
        <w:gridCol w:w="36"/>
        <w:gridCol w:w="36"/>
        <w:gridCol w:w="36"/>
        <w:gridCol w:w="36"/>
        <w:gridCol w:w="36"/>
        <w:gridCol w:w="36"/>
      </w:tblGrid>
      <w:tr w:rsidR="00000000">
        <w:trPr>
          <w:divId w:val="871844597"/>
        </w:trPr>
        <w:tc>
          <w:tcPr>
            <w:tcW w:w="50" w:type="pct"/>
            <w:vAlign w:val="center"/>
            <w:hideMark/>
          </w:tcPr>
          <w:p w:rsidR="00000000" w:rsidRDefault="00795D39">
            <w:pPr>
              <w:rPr>
                <w:rFonts w:eastAsia="Times New Roman"/>
              </w:rPr>
            </w:pPr>
          </w:p>
        </w:tc>
        <w:tc>
          <w:tcPr>
            <w:tcW w:w="152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71844597"/>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71844597"/>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7184459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718445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4.67 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7184459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592 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7184459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0.28 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0.33 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7184459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net 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87184459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Average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249,511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246,147 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255,232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243,602 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874847036"/>
        <w:rPr>
          <w:rFonts w:eastAsia="Times New Roman"/>
        </w:rPr>
      </w:pPr>
      <w:r>
        <w:rPr>
          <w:rFonts w:eastAsia="Times New Roman"/>
          <w:color w:val="000000"/>
          <w:sz w:val="20"/>
          <w:szCs w:val="20"/>
        </w:rPr>
        <w:t>__________</w:t>
      </w:r>
    </w:p>
    <w:p w:rsidR="00000000" w:rsidRDefault="00795D39">
      <w:pPr>
        <w:ind w:hanging="360"/>
        <w:jc w:val="both"/>
        <w:divId w:val="136370284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rates are calculated by dividing annualized net charge-offs by averag</w:t>
      </w:r>
      <w:r>
        <w:rPr>
          <w:rFonts w:eastAsia="Times New Roman"/>
          <w:color w:val="000000"/>
          <w:sz w:val="16"/>
          <w:szCs w:val="16"/>
        </w:rPr>
        <w:t>e loans held for investment for the period for each loan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43904527"/>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4390452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4390452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4" style="width:0;height:1.5pt" o:hralign="center" o:hrstd="t" o:hr="t" fillcolor="#a0a0a0" stroked="f"/>
        </w:pict>
      </w:r>
    </w:p>
    <w:p w:rsidR="00000000" w:rsidRDefault="00795D39">
      <w:pPr>
        <w:jc w:val="both"/>
        <w:divId w:val="205962648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2044015340"/>
        <w:rPr>
          <w:rFonts w:eastAsia="Times New Roman"/>
        </w:rPr>
      </w:pPr>
      <w:r>
        <w:rPr>
          <w:rFonts w:eastAsia="Times New Roman"/>
          <w:b/>
          <w:bCs/>
          <w:i/>
          <w:iCs/>
          <w:color w:val="000000"/>
          <w:sz w:val="20"/>
          <w:szCs w:val="20"/>
        </w:rPr>
        <w:t xml:space="preserve">COVID-19 Customer Assistance Programs and Loan Modifications </w:t>
      </w:r>
    </w:p>
    <w:p w:rsidR="00000000" w:rsidRDefault="00795D39">
      <w:pPr>
        <w:jc w:val="both"/>
        <w:divId w:val="513308108"/>
        <w:rPr>
          <w:rFonts w:eastAsia="Times New Roman"/>
        </w:rPr>
      </w:pPr>
      <w:r>
        <w:rPr>
          <w:rFonts w:eastAsia="Times New Roman"/>
          <w:color w:val="000000"/>
          <w:sz w:val="20"/>
          <w:szCs w:val="20"/>
        </w:rPr>
        <w:t>In response to the COVID-19 pandemic, the Federal Banking Agencies supported banki</w:t>
      </w:r>
      <w:r>
        <w:rPr>
          <w:rFonts w:eastAsia="Times New Roman"/>
          <w:color w:val="000000"/>
          <w:sz w:val="20"/>
          <w:szCs w:val="20"/>
        </w:rPr>
        <w:t>ng organizations that are taking actions to assist customers in a prudent, safe and sound manner, including through loan modifications. As part of our response to the COVID-19 pandemic, we are offering programs to accommodate customer hardship across our l</w:t>
      </w:r>
      <w:r>
        <w:rPr>
          <w:rFonts w:eastAsia="Times New Roman"/>
          <w:color w:val="000000"/>
          <w:sz w:val="20"/>
          <w:szCs w:val="20"/>
        </w:rPr>
        <w:t>ines of business.</w:t>
      </w:r>
    </w:p>
    <w:p w:rsidR="00000000" w:rsidRDefault="00795D39">
      <w:pPr>
        <w:ind w:hanging="360"/>
        <w:jc w:val="both"/>
        <w:divId w:val="1133208896"/>
        <w:rPr>
          <w:rFonts w:eastAsia="Times New Roman"/>
        </w:rPr>
      </w:pPr>
      <w:r>
        <w:rPr>
          <w:rFonts w:eastAsia="Times New Roman"/>
          <w:i/>
          <w:iCs/>
          <w:color w:val="000000"/>
          <w:sz w:val="20"/>
          <w:szCs w:val="20"/>
        </w:rPr>
        <w:t>•Credit Card</w:t>
      </w:r>
    </w:p>
    <w:p w:rsidR="00000000" w:rsidRDefault="00795D39">
      <w:pPr>
        <w:jc w:val="both"/>
        <w:divId w:val="1590895229"/>
        <w:rPr>
          <w:rFonts w:eastAsia="Times New Roman"/>
        </w:rPr>
      </w:pPr>
      <w:r>
        <w:rPr>
          <w:rFonts w:eastAsia="Times New Roman"/>
          <w:color w:val="000000"/>
          <w:sz w:val="20"/>
          <w:szCs w:val="20"/>
        </w:rPr>
        <w:t>For our domestic card customers excluding certain retail partnership portfolios, we are currently offering a one-month payment deferral program with an option to renew and fee waivers. Card loans enrolled in the deferral program continue to accrue interest</w:t>
      </w:r>
      <w:r>
        <w:rPr>
          <w:rFonts w:eastAsia="Times New Roman"/>
          <w:color w:val="000000"/>
          <w:sz w:val="20"/>
          <w:szCs w:val="20"/>
        </w:rPr>
        <w:t>. Their delinquency status is generally frozen at the time of enrollment and upon exiting the program, resumes to the status at the time of enrollment. Through September 30, 2020, excluding certain retail partnership portfolios, a total of 2.4% of active a</w:t>
      </w:r>
      <w:r>
        <w:rPr>
          <w:rFonts w:eastAsia="Times New Roman"/>
          <w:color w:val="000000"/>
          <w:sz w:val="20"/>
          <w:szCs w:val="20"/>
        </w:rPr>
        <w:t xml:space="preserve">ccounts representing $3.4 billion of loans outstanding have received a payment deferral at any time through this program (including those who are no longer enrolled). Approximately 91% of these customers were current at the time of their first enrollment. </w:t>
      </w:r>
      <w:r>
        <w:rPr>
          <w:rFonts w:eastAsia="Times New Roman"/>
          <w:color w:val="000000"/>
          <w:sz w:val="20"/>
          <w:szCs w:val="20"/>
        </w:rPr>
        <w:t>As of September 30, 2020, approximately 0.1% of active accounts, representing $247 million of loans outstanding, have been approved to skip their upcoming payment and have not made that payment.</w:t>
      </w:r>
    </w:p>
    <w:p w:rsidR="00000000" w:rsidRDefault="00795D39">
      <w:pPr>
        <w:jc w:val="both"/>
        <w:divId w:val="474378678"/>
        <w:rPr>
          <w:rFonts w:eastAsia="Times New Roman"/>
        </w:rPr>
      </w:pPr>
      <w:r>
        <w:rPr>
          <w:rFonts w:eastAsia="Times New Roman"/>
          <w:color w:val="000000"/>
          <w:sz w:val="20"/>
          <w:szCs w:val="20"/>
        </w:rPr>
        <w:t>For our international card customers, we also offer short-ter</w:t>
      </w:r>
      <w:r>
        <w:rPr>
          <w:rFonts w:eastAsia="Times New Roman"/>
          <w:color w:val="000000"/>
          <w:sz w:val="20"/>
          <w:szCs w:val="20"/>
        </w:rPr>
        <w:t>m payment deferrals and fee waivers. Loans enrolled in the deferral program continue to accrue interest. As of September 30, 2020, $62 million of loans were enrolled in this program.</w:t>
      </w:r>
    </w:p>
    <w:p w:rsidR="00000000" w:rsidRDefault="00795D39">
      <w:pPr>
        <w:ind w:hanging="360"/>
        <w:jc w:val="both"/>
        <w:divId w:val="1942645982"/>
        <w:rPr>
          <w:rFonts w:eastAsia="Times New Roman"/>
        </w:rPr>
      </w:pPr>
      <w:r>
        <w:rPr>
          <w:rFonts w:eastAsia="Times New Roman"/>
          <w:i/>
          <w:iCs/>
          <w:color w:val="000000"/>
          <w:sz w:val="20"/>
          <w:szCs w:val="20"/>
        </w:rPr>
        <w:t>•Consumer Banking</w:t>
      </w:r>
    </w:p>
    <w:p w:rsidR="00000000" w:rsidRDefault="00795D39">
      <w:pPr>
        <w:jc w:val="both"/>
        <w:divId w:val="565602497"/>
        <w:rPr>
          <w:rFonts w:eastAsia="Times New Roman"/>
        </w:rPr>
      </w:pPr>
      <w:r>
        <w:rPr>
          <w:rFonts w:eastAsia="Times New Roman"/>
          <w:color w:val="000000"/>
          <w:sz w:val="20"/>
          <w:szCs w:val="20"/>
        </w:rPr>
        <w:t>For our auto customers, we are currently offering short</w:t>
      </w:r>
      <w:r>
        <w:rPr>
          <w:rFonts w:eastAsia="Times New Roman"/>
          <w:color w:val="000000"/>
          <w:sz w:val="20"/>
          <w:szCs w:val="20"/>
        </w:rPr>
        <w:t>-term payment extensions with an option to renew and fee waivers. Auto loans enrolled in short-term payment extensions continue to accrue interest. The contractual term of the loan is extended by the length of the short-term payment extension and the delin</w:t>
      </w:r>
      <w:r>
        <w:rPr>
          <w:rFonts w:eastAsia="Times New Roman"/>
          <w:color w:val="000000"/>
          <w:sz w:val="20"/>
          <w:szCs w:val="20"/>
        </w:rPr>
        <w:t>quency status is updated to reflect the revised terms of the loan. For customers that were delinquent at the time of enrollment, their delinquency status is reduced commensurate with the length of the short-term payment extension. Through September 30, 202</w:t>
      </w:r>
      <w:r>
        <w:rPr>
          <w:rFonts w:eastAsia="Times New Roman"/>
          <w:color w:val="000000"/>
          <w:sz w:val="20"/>
          <w:szCs w:val="20"/>
        </w:rPr>
        <w:t>0, a total of 16.1% of accounts representing $11.7 billion of loans outstanding have received a short-term payment extension at any time through this program (including those who are no longer enrolled). Approximately 74% of these customers were current at</w:t>
      </w:r>
      <w:r>
        <w:rPr>
          <w:rFonts w:eastAsia="Times New Roman"/>
          <w:color w:val="000000"/>
          <w:sz w:val="20"/>
          <w:szCs w:val="20"/>
        </w:rPr>
        <w:t xml:space="preserve"> the time of their first enrollment. As of September 30, 2020, approximately 1% of accounts, representing $686 million of loans outstanding, have been approved to skip their upcoming payment and have not made that payment.</w:t>
      </w:r>
    </w:p>
    <w:p w:rsidR="00000000" w:rsidRDefault="00795D39">
      <w:pPr>
        <w:jc w:val="both"/>
        <w:divId w:val="1218781638"/>
        <w:rPr>
          <w:rFonts w:eastAsia="Times New Roman"/>
        </w:rPr>
      </w:pPr>
      <w:r>
        <w:rPr>
          <w:rFonts w:eastAsia="Times New Roman"/>
          <w:color w:val="000000"/>
          <w:sz w:val="20"/>
          <w:szCs w:val="20"/>
        </w:rPr>
        <w:t>For our retail banking customers,</w:t>
      </w:r>
      <w:r>
        <w:rPr>
          <w:rFonts w:eastAsia="Times New Roman"/>
          <w:color w:val="000000"/>
          <w:sz w:val="20"/>
          <w:szCs w:val="20"/>
        </w:rPr>
        <w:t xml:space="preserve"> we are currently offering fee waivers and short-term payment deferrals. We also offer PPP loans to our small business banking customers. As of September 30, 2020, $44 million of loans were enrolled in the short-term payment deferral program and $966 milli</w:t>
      </w:r>
      <w:r>
        <w:rPr>
          <w:rFonts w:eastAsia="Times New Roman"/>
          <w:color w:val="000000"/>
          <w:sz w:val="20"/>
          <w:szCs w:val="20"/>
        </w:rPr>
        <w:t>on of PPP loans were outstanding.</w:t>
      </w:r>
    </w:p>
    <w:p w:rsidR="00000000" w:rsidRDefault="00795D39">
      <w:pPr>
        <w:ind w:hanging="360"/>
        <w:jc w:val="both"/>
        <w:divId w:val="991954723"/>
        <w:rPr>
          <w:rFonts w:eastAsia="Times New Roman"/>
        </w:rPr>
      </w:pPr>
      <w:r>
        <w:rPr>
          <w:rFonts w:eastAsia="Times New Roman"/>
          <w:i/>
          <w:iCs/>
          <w:color w:val="000000"/>
          <w:sz w:val="20"/>
          <w:szCs w:val="20"/>
        </w:rPr>
        <w:t>•Commercial Banking</w:t>
      </w:r>
    </w:p>
    <w:p w:rsidR="00000000" w:rsidRDefault="00795D39">
      <w:pPr>
        <w:jc w:val="both"/>
        <w:divId w:val="1107501074"/>
        <w:rPr>
          <w:rFonts w:eastAsia="Times New Roman"/>
        </w:rPr>
      </w:pPr>
      <w:r>
        <w:rPr>
          <w:rFonts w:eastAsia="Times New Roman"/>
          <w:color w:val="000000"/>
          <w:sz w:val="20"/>
          <w:szCs w:val="20"/>
        </w:rPr>
        <w:t xml:space="preserve">For our commercial banking customers, our offerings are more customized, but generally include short-term payment deferrals. Performing loans enrolled in short-term payment deferrals continue to accrue </w:t>
      </w:r>
      <w:r>
        <w:rPr>
          <w:rFonts w:eastAsia="Times New Roman"/>
          <w:color w:val="000000"/>
          <w:sz w:val="20"/>
          <w:szCs w:val="20"/>
        </w:rPr>
        <w:t>interest, and principal and interest are due at maturity. Loans remain in their delinquency status as of their modification date through the deferment period. Internal risk ratings are assigned based on relevant information about the ability of the borrowe</w:t>
      </w:r>
      <w:r>
        <w:rPr>
          <w:rFonts w:eastAsia="Times New Roman"/>
          <w:color w:val="000000"/>
          <w:sz w:val="20"/>
          <w:szCs w:val="20"/>
        </w:rPr>
        <w:t>r to repay their debt. We also offered PPP loans to our commercial clients. As of September 30, 2020, approximately $108 million of loans were enrolled in the short-term payment deferral program and $242 million of PPP loans were outstanding.</w:t>
      </w:r>
    </w:p>
    <w:p w:rsidR="00000000" w:rsidRDefault="00795D39">
      <w:pPr>
        <w:jc w:val="both"/>
        <w:divId w:val="1414857800"/>
        <w:rPr>
          <w:rFonts w:eastAsia="Times New Roman"/>
        </w:rPr>
      </w:pPr>
      <w:r>
        <w:rPr>
          <w:rFonts w:eastAsia="Times New Roman"/>
          <w:color w:val="000000"/>
          <w:sz w:val="20"/>
          <w:szCs w:val="20"/>
        </w:rPr>
        <w:t>Additional gu</w:t>
      </w:r>
      <w:r>
        <w:rPr>
          <w:rFonts w:eastAsia="Times New Roman"/>
          <w:color w:val="000000"/>
          <w:sz w:val="20"/>
          <w:szCs w:val="20"/>
        </w:rPr>
        <w:t>idance issued by the Federal Banking Agencies and contained in the CARES Act provides banking organizations with TDR relief for modifications of current borrowers impacted by the COVID-19 pandemic. We assessed all loan modifications introduced to current b</w:t>
      </w:r>
      <w:r>
        <w:rPr>
          <w:rFonts w:eastAsia="Times New Roman"/>
          <w:color w:val="000000"/>
          <w:sz w:val="20"/>
          <w:szCs w:val="20"/>
        </w:rPr>
        <w:t>orrowers in response to the COVID-19 pandemic as of September 30, 2020, and followed guidance that such eligible loan modifications made on a temporary and good faith basis are not considered TDRs.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47175870"/>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4717587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4717587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5" style="width:0;height:1.5pt" o:hralign="center" o:hrstd="t" o:hr="t" fillcolor="#a0a0a0" stroked="f"/>
        </w:pict>
      </w:r>
    </w:p>
    <w:p w:rsidR="00000000" w:rsidRDefault="00795D39">
      <w:pPr>
        <w:jc w:val="both"/>
        <w:divId w:val="209199586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2049142367"/>
        <w:rPr>
          <w:rFonts w:eastAsia="Times New Roman"/>
        </w:rPr>
      </w:pPr>
      <w:r>
        <w:rPr>
          <w:rFonts w:eastAsia="Times New Roman"/>
          <w:b/>
          <w:bCs/>
          <w:i/>
          <w:iCs/>
          <w:color w:val="000000"/>
          <w:sz w:val="20"/>
          <w:szCs w:val="20"/>
        </w:rPr>
        <w:t>Troubled Debt Restructurings</w:t>
      </w:r>
    </w:p>
    <w:p w:rsidR="00000000" w:rsidRDefault="00795D39">
      <w:pPr>
        <w:jc w:val="both"/>
        <w:divId w:val="1628852394"/>
        <w:rPr>
          <w:rFonts w:eastAsia="Times New Roman"/>
        </w:rPr>
      </w:pPr>
      <w:r>
        <w:rPr>
          <w:rFonts w:eastAsia="Times New Roman"/>
          <w:color w:val="000000"/>
          <w:sz w:val="20"/>
          <w:szCs w:val="20"/>
        </w:rPr>
        <w:t xml:space="preserve">As part of our loss mitigation efforts, we may provide short-term (three to twelve months) or long-term (greater than twelve months) modifications to a borrower experiencing financial difficulty to improve long-term collectability of the loan and to avoid </w:t>
      </w:r>
      <w:r>
        <w:rPr>
          <w:rFonts w:eastAsia="Times New Roman"/>
          <w:color w:val="000000"/>
          <w:sz w:val="20"/>
          <w:szCs w:val="20"/>
        </w:rPr>
        <w:t>the need for repossession or foreclosure of collateral.</w:t>
      </w:r>
    </w:p>
    <w:p w:rsidR="00000000" w:rsidRDefault="00795D39">
      <w:pPr>
        <w:jc w:val="both"/>
        <w:divId w:val="991443065"/>
        <w:rPr>
          <w:rFonts w:eastAsia="Times New Roman"/>
        </w:rPr>
      </w:pPr>
      <w:r>
        <w:rPr>
          <w:rFonts w:eastAsia="Times New Roman"/>
          <w:color w:val="000000"/>
          <w:sz w:val="20"/>
          <w:szCs w:val="20"/>
        </w:rPr>
        <w:t>Table 28 presents our recorded investment of loans modified in TDRs as of September 30, 2020 and December 31, 2019, which excludes loan modifications that do not meet the definition of a TDR.</w:t>
      </w:r>
    </w:p>
    <w:p w:rsidR="00000000" w:rsidRDefault="00795D39">
      <w:pPr>
        <w:divId w:val="3751778"/>
        <w:rPr>
          <w:rFonts w:eastAsia="Times New Roman"/>
        </w:rPr>
      </w:pPr>
      <w:r>
        <w:rPr>
          <w:rFonts w:eastAsia="Times New Roman"/>
          <w:b/>
          <w:bCs/>
          <w:color w:val="000000"/>
          <w:sz w:val="18"/>
          <w:szCs w:val="18"/>
        </w:rPr>
        <w:t>Table 28</w:t>
      </w:r>
      <w:r>
        <w:rPr>
          <w:rFonts w:eastAsia="Times New Roman"/>
          <w:b/>
          <w:bCs/>
          <w:color w:val="000000"/>
          <w:sz w:val="18"/>
          <w:szCs w:val="18"/>
        </w:rPr>
        <w:t>: Troubled Debt Restructurings</w:t>
      </w:r>
    </w:p>
    <w:tbl>
      <w:tblPr>
        <w:tblW w:w="4992" w:type="pct"/>
        <w:tblCellMar>
          <w:top w:w="15" w:type="dxa"/>
          <w:left w:w="15" w:type="dxa"/>
          <w:bottom w:w="15" w:type="dxa"/>
          <w:right w:w="15" w:type="dxa"/>
        </w:tblCellMar>
        <w:tblLook w:val="04A0" w:firstRow="1" w:lastRow="0" w:firstColumn="1" w:lastColumn="0" w:noHBand="0" w:noVBand="1"/>
      </w:tblPr>
      <w:tblGrid>
        <w:gridCol w:w="41"/>
        <w:gridCol w:w="4089"/>
        <w:gridCol w:w="39"/>
        <w:gridCol w:w="36"/>
        <w:gridCol w:w="36"/>
        <w:gridCol w:w="36"/>
        <w:gridCol w:w="111"/>
        <w:gridCol w:w="539"/>
        <w:gridCol w:w="37"/>
        <w:gridCol w:w="36"/>
        <w:gridCol w:w="36"/>
        <w:gridCol w:w="36"/>
        <w:gridCol w:w="94"/>
        <w:gridCol w:w="880"/>
        <w:gridCol w:w="200"/>
        <w:gridCol w:w="36"/>
        <w:gridCol w:w="36"/>
        <w:gridCol w:w="36"/>
        <w:gridCol w:w="111"/>
        <w:gridCol w:w="539"/>
        <w:gridCol w:w="37"/>
        <w:gridCol w:w="36"/>
        <w:gridCol w:w="36"/>
        <w:gridCol w:w="36"/>
        <w:gridCol w:w="94"/>
        <w:gridCol w:w="880"/>
        <w:gridCol w:w="170"/>
      </w:tblGrid>
      <w:tr w:rsidR="00000000">
        <w:trPr>
          <w:divId w:val="1150632415"/>
        </w:trPr>
        <w:tc>
          <w:tcPr>
            <w:tcW w:w="50" w:type="pct"/>
            <w:vAlign w:val="center"/>
            <w:hideMark/>
          </w:tcPr>
          <w:p w:rsidR="00000000" w:rsidRDefault="00795D39">
            <w:pPr>
              <w:rPr>
                <w:rFonts w:eastAsia="Times New Roman"/>
              </w:rPr>
            </w:pPr>
          </w:p>
        </w:tc>
        <w:tc>
          <w:tcPr>
            <w:tcW w:w="269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50632415"/>
        </w:trPr>
        <w:tc>
          <w:tcPr>
            <w:tcW w:w="0" w:type="auto"/>
            <w:gridSpan w:val="3"/>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150632415"/>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 of Total Modifications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 of Total Modifications</w:t>
            </w:r>
          </w:p>
        </w:tc>
      </w:tr>
      <w:tr w:rsidR="00000000">
        <w:trPr>
          <w:divId w:val="115063241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50632415"/>
        </w:trPr>
        <w:tc>
          <w:tcPr>
            <w:tcW w:w="0" w:type="auto"/>
            <w:gridSpan w:val="3"/>
            <w:shd w:val="clear" w:color="auto" w:fill="FFFFFF"/>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38.1 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150632415"/>
        </w:trPr>
        <w:tc>
          <w:tcPr>
            <w:tcW w:w="0" w:type="auto"/>
            <w:gridSpan w:val="3"/>
            <w:shd w:val="clear" w:color="auto" w:fill="CCEEFF"/>
            <w:tcMar>
              <w:top w:w="30" w:type="dxa"/>
              <w:left w:w="225" w:type="dxa"/>
              <w:bottom w:w="30" w:type="dxa"/>
              <w:right w:w="20" w:type="dxa"/>
            </w:tcMar>
            <w:vAlign w:val="bottom"/>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9.3</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50632415"/>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35.5</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5063241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5063241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5063241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5063241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5063241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5063241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15063241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Status of TDRs: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5063241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Performing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81.5 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15063241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Nonperforming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5063241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2,055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jc w:val="both"/>
        <w:divId w:val="484393037"/>
        <w:rPr>
          <w:rFonts w:eastAsia="Times New Roman"/>
        </w:rPr>
      </w:pPr>
      <w:r>
        <w:rPr>
          <w:rFonts w:eastAsia="Times New Roman"/>
          <w:color w:val="000000"/>
          <w:sz w:val="20"/>
          <w:szCs w:val="20"/>
        </w:rPr>
        <w:t>In our Credit Card business, the majority of our credit card loans modified in TDRs involve reducing the interest rate on the account and placing the customer on a fixed payment plan not exceeding 60 months. The effective interest rate in effect imm</w:t>
      </w:r>
      <w:r>
        <w:rPr>
          <w:rFonts w:eastAsia="Times New Roman"/>
          <w:color w:val="000000"/>
          <w:sz w:val="20"/>
          <w:szCs w:val="20"/>
        </w:rPr>
        <w:t>ediately prior to the loan modification is used as the effective interest rate for purposes of measuring impairment using the present value of expected cash flows. If the customer does not comply with the modified payment terms, then the credit card loan a</w:t>
      </w:r>
      <w:r>
        <w:rPr>
          <w:rFonts w:eastAsia="Times New Roman"/>
          <w:color w:val="000000"/>
          <w:sz w:val="20"/>
          <w:szCs w:val="20"/>
        </w:rPr>
        <w:t>greement may revert to its original payment terms, generally resulting in any loan outstanding reflected in the appropriate delinquency category and charged off in accordance with our standard charge-off policy.</w:t>
      </w:r>
    </w:p>
    <w:p w:rsidR="00000000" w:rsidRDefault="00795D39">
      <w:pPr>
        <w:jc w:val="both"/>
        <w:divId w:val="1968268776"/>
        <w:rPr>
          <w:rFonts w:eastAsia="Times New Roman"/>
        </w:rPr>
      </w:pPr>
      <w:r>
        <w:rPr>
          <w:rFonts w:eastAsia="Times New Roman"/>
          <w:color w:val="000000"/>
          <w:sz w:val="20"/>
          <w:szCs w:val="20"/>
        </w:rPr>
        <w:t>In our Consumer Banking business, the majori</w:t>
      </w:r>
      <w:r>
        <w:rPr>
          <w:rFonts w:eastAsia="Times New Roman"/>
          <w:color w:val="000000"/>
          <w:sz w:val="20"/>
          <w:szCs w:val="20"/>
        </w:rPr>
        <w:t>ty of our loans modified in TDRs receive an extension, an interest rate reduction or principal reduction, or a combination of these concessions. In addition, TDRs also occur in connection with bankruptcy of the borrower. In certain bankruptcy discharges, t</w:t>
      </w:r>
      <w:r>
        <w:rPr>
          <w:rFonts w:eastAsia="Times New Roman"/>
          <w:color w:val="000000"/>
          <w:sz w:val="20"/>
          <w:szCs w:val="20"/>
        </w:rPr>
        <w:t>he loan is written down to the collateral value and the charged off amount is reported as principal reduction. Impairment is determined using the present value of expected cash flows or a collateral evaluation for certain auto loans where the collateral va</w:t>
      </w:r>
      <w:r>
        <w:rPr>
          <w:rFonts w:eastAsia="Times New Roman"/>
          <w:color w:val="000000"/>
          <w:sz w:val="20"/>
          <w:szCs w:val="20"/>
        </w:rPr>
        <w:t>lue is lower than the recorded investment.</w:t>
      </w:r>
    </w:p>
    <w:p w:rsidR="00000000" w:rsidRDefault="00795D39">
      <w:pPr>
        <w:jc w:val="both"/>
        <w:divId w:val="439647353"/>
        <w:rPr>
          <w:rFonts w:eastAsia="Times New Roman"/>
        </w:rPr>
      </w:pPr>
      <w:r>
        <w:rPr>
          <w:rFonts w:eastAsia="Times New Roman"/>
          <w:color w:val="000000"/>
          <w:sz w:val="20"/>
          <w:szCs w:val="20"/>
        </w:rPr>
        <w:t>In our Commercial Banking business, the majority of loans modified in TDRs receive an extension, with a portion of these loans receiving an interest rate reduction or a gross balance reduction. The impairment on m</w:t>
      </w:r>
      <w:r>
        <w:rPr>
          <w:rFonts w:eastAsia="Times New Roman"/>
          <w:color w:val="000000"/>
          <w:sz w:val="20"/>
          <w:szCs w:val="20"/>
        </w:rPr>
        <w:t>odified commercial loans is generally determined based on the underlying collateral value.</w:t>
      </w:r>
    </w:p>
    <w:p w:rsidR="00000000" w:rsidRDefault="00795D39">
      <w:pPr>
        <w:jc w:val="both"/>
        <w:divId w:val="1468815914"/>
        <w:rPr>
          <w:rFonts w:eastAsia="Times New Roman"/>
        </w:rPr>
      </w:pPr>
      <w:r>
        <w:rPr>
          <w:rFonts w:eastAsia="Times New Roman"/>
          <w:color w:val="000000"/>
          <w:sz w:val="20"/>
          <w:szCs w:val="20"/>
        </w:rPr>
        <w:t>We provide additional information on modified loans accounted for as TDRs, including the performance of those loans subsequent to modification, in “Note 3—Loans.”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4431941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4431941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4431941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6" style="width:0;height:1.5pt" o:hralign="center" o:hrstd="t" o:hr="t" fillcolor="#a0a0a0" stroked="f"/>
        </w:pict>
      </w:r>
    </w:p>
    <w:p w:rsidR="00000000" w:rsidRDefault="00795D39">
      <w:pPr>
        <w:jc w:val="both"/>
        <w:divId w:val="37670208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491068834"/>
        <w:rPr>
          <w:rFonts w:eastAsia="Times New Roman"/>
        </w:rPr>
      </w:pPr>
      <w:r>
        <w:rPr>
          <w:rFonts w:eastAsia="Times New Roman"/>
          <w:b/>
          <w:bCs/>
          <w:color w:val="000000"/>
          <w:sz w:val="20"/>
          <w:szCs w:val="20"/>
        </w:rPr>
        <w:t>Allowance for Credit Losses and Reserve for Unfunded Lending Commitments</w:t>
      </w:r>
    </w:p>
    <w:p w:rsidR="00000000" w:rsidRDefault="00795D39">
      <w:pPr>
        <w:jc w:val="both"/>
        <w:divId w:val="1835293392"/>
        <w:rPr>
          <w:rFonts w:eastAsia="Times New Roman"/>
        </w:rPr>
      </w:pPr>
      <w:r>
        <w:rPr>
          <w:rFonts w:eastAsia="Times New Roman"/>
          <w:color w:val="000000"/>
          <w:sz w:val="20"/>
          <w:szCs w:val="20"/>
        </w:rPr>
        <w:t xml:space="preserve">Our allowance for credit losses represents management’s current estimate of expected credit losses over the contractual terms of our loans held for investment as of each balance sheet date. Expected recoveries of amounts previously charged off or expected </w:t>
      </w:r>
      <w:r>
        <w:rPr>
          <w:rFonts w:eastAsia="Times New Roman"/>
          <w:color w:val="000000"/>
          <w:sz w:val="20"/>
          <w:szCs w:val="20"/>
        </w:rPr>
        <w:t>to be charged off are recognized within the allowance. We also estimate expected credit losses related to unfunded lending commitments that are not unconditionally cancellable. The provision for losses on unfunded lending commitments is included in the pro</w:t>
      </w:r>
      <w:r>
        <w:rPr>
          <w:rFonts w:eastAsia="Times New Roman"/>
          <w:color w:val="000000"/>
          <w:sz w:val="20"/>
          <w:szCs w:val="20"/>
        </w:rPr>
        <w:t>vision for credit losses in our consolidated statements of income and the related reserve for unfunded lending commitments is included in other liabilities on our consolidated balance sheets. We provide additional information on the methodologies and key a</w:t>
      </w:r>
      <w:r>
        <w:rPr>
          <w:rFonts w:eastAsia="Times New Roman"/>
          <w:color w:val="000000"/>
          <w:sz w:val="20"/>
          <w:szCs w:val="20"/>
        </w:rPr>
        <w:t xml:space="preserve">ssumptions used in determining our allowance for credit losses in “Note 1—Summary of Significant Accounting Policies.” </w:t>
      </w:r>
    </w:p>
    <w:p w:rsidR="00000000" w:rsidRDefault="00795D39">
      <w:pPr>
        <w:jc w:val="both"/>
        <w:divId w:val="113987868"/>
        <w:rPr>
          <w:rFonts w:eastAsia="Times New Roman"/>
        </w:rPr>
      </w:pPr>
      <w:r>
        <w:rPr>
          <w:rFonts w:eastAsia="Times New Roman"/>
          <w:color w:val="000000"/>
          <w:sz w:val="20"/>
          <w:szCs w:val="20"/>
        </w:rPr>
        <w:t>Table 29 presents changes in our allowance for credit losses and reserve for unfunded lending commitments for the third quarter and firs</w:t>
      </w:r>
      <w:r>
        <w:rPr>
          <w:rFonts w:eastAsia="Times New Roman"/>
          <w:color w:val="000000"/>
          <w:sz w:val="20"/>
          <w:szCs w:val="20"/>
        </w:rPr>
        <w:t xml:space="preserve">t nine months of 2020 and 2019, and details by portfolio segment for the provision for credit losses, charge-offs and recoveries. The cumulative effects from adoption of the CECL standard and the change to include our finance charge and fee reserve in the </w:t>
      </w:r>
      <w:r>
        <w:rPr>
          <w:rFonts w:eastAsia="Times New Roman"/>
          <w:color w:val="000000"/>
          <w:sz w:val="20"/>
          <w:szCs w:val="20"/>
        </w:rPr>
        <w:t>allowance for credit losses are included in Table 29 and Table 30 below.</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9598513"/>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959851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959851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7" style="width:0;height:1.5pt" o:hralign="center" o:hrstd="t" o:hr="t" fillcolor="#a0a0a0" stroked="f"/>
        </w:pict>
      </w:r>
    </w:p>
    <w:p w:rsidR="00000000" w:rsidRDefault="00795D39">
      <w:pPr>
        <w:jc w:val="both"/>
        <w:divId w:val="34644764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721490623"/>
        <w:rPr>
          <w:rFonts w:eastAsia="Times New Roman"/>
        </w:rPr>
      </w:pPr>
    </w:p>
    <w:p w:rsidR="00000000" w:rsidRDefault="00795D39">
      <w:pPr>
        <w:divId w:val="850947673"/>
        <w:rPr>
          <w:rFonts w:eastAsia="Times New Roman"/>
        </w:rPr>
      </w:pPr>
      <w:r>
        <w:rPr>
          <w:rFonts w:eastAsia="Times New Roman"/>
          <w:b/>
          <w:bCs/>
          <w:color w:val="000000"/>
          <w:sz w:val="18"/>
          <w:szCs w:val="18"/>
        </w:rPr>
        <w:t>Table 29: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2039"/>
        <w:gridCol w:w="39"/>
        <w:gridCol w:w="36"/>
        <w:gridCol w:w="36"/>
        <w:gridCol w:w="36"/>
        <w:gridCol w:w="100"/>
        <w:gridCol w:w="480"/>
        <w:gridCol w:w="36"/>
        <w:gridCol w:w="36"/>
        <w:gridCol w:w="36"/>
        <w:gridCol w:w="36"/>
        <w:gridCol w:w="101"/>
        <w:gridCol w:w="674"/>
        <w:gridCol w:w="36"/>
        <w:gridCol w:w="36"/>
        <w:gridCol w:w="36"/>
        <w:gridCol w:w="36"/>
        <w:gridCol w:w="95"/>
        <w:gridCol w:w="45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36"/>
        <w:gridCol w:w="36"/>
        <w:gridCol w:w="36"/>
        <w:gridCol w:w="36"/>
        <w:gridCol w:w="36"/>
        <w:gridCol w:w="36"/>
        <w:gridCol w:w="95"/>
        <w:gridCol w:w="450"/>
        <w:gridCol w:w="36"/>
      </w:tblGrid>
      <w:tr w:rsidR="00000000">
        <w:trPr>
          <w:divId w:val="358950"/>
        </w:trPr>
        <w:tc>
          <w:tcPr>
            <w:tcW w:w="50" w:type="pct"/>
            <w:vAlign w:val="center"/>
            <w:hideMark/>
          </w:tcPr>
          <w:p w:rsidR="00000000" w:rsidRDefault="00795D39">
            <w:pPr>
              <w:rPr>
                <w:rFonts w:eastAsia="Times New Roman"/>
              </w:rPr>
            </w:pPr>
          </w:p>
        </w:tc>
        <w:tc>
          <w:tcPr>
            <w:tcW w:w="19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1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58950"/>
        </w:trPr>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35895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5"/>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Three Months Ended September 30, 2020</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35895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5895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w:t>
            </w:r>
          </w:p>
        </w:tc>
      </w:tr>
      <w:tr w:rsidR="00000000">
        <w:trPr>
          <w:divId w:val="3589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35895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Balance as of June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11,569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5"/>
                <w:szCs w:val="15"/>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5"/>
                <w:szCs w:val="15"/>
              </w:rPr>
              <w:t>12,091</w:t>
            </w:r>
            <w:r>
              <w:rPr>
                <w:rFonts w:eastAsia="Times New Roman"/>
                <w:color w:val="000000"/>
                <w:sz w:val="15"/>
                <w:szCs w:val="15"/>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2,726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2,838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5"/>
                <w:szCs w:val="15"/>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5"/>
                <w:szCs w:val="15"/>
              </w:rPr>
              <w:t>16,832</w:t>
            </w:r>
            <w:r>
              <w:rPr>
                <w:rFonts w:eastAsia="Times New Roman"/>
                <w:color w:val="000000"/>
                <w:sz w:val="15"/>
                <w:szCs w:val="15"/>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CCEEFF"/>
            <w:tcMar>
              <w:top w:w="30" w:type="dxa"/>
              <w:left w:w="20" w:type="dxa"/>
              <w:bottom w:w="30" w:type="dxa"/>
              <w:right w:w="20" w:type="dxa"/>
            </w:tcMar>
            <w:vAlign w:val="center"/>
            <w:hideMark/>
          </w:tcPr>
          <w:p w:rsidR="00000000" w:rsidRDefault="00795D39">
            <w:pPr>
              <w:divId w:val="2035225410"/>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(1,198)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(1,296)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(295)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(1,679)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FFFFFF"/>
            <w:tcMar>
              <w:top w:w="30" w:type="dxa"/>
              <w:left w:w="20" w:type="dxa"/>
              <w:bottom w:w="30" w:type="dxa"/>
              <w:right w:w="20" w:type="dxa"/>
            </w:tcMar>
            <w:vAlign w:val="center"/>
            <w:hideMark/>
          </w:tcPr>
          <w:p w:rsidR="00000000" w:rsidRDefault="00795D39">
            <w:pPr>
              <w:divId w:val="1401638483"/>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244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247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606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(943)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(1,073)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378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450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(493)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FFFFFF"/>
            <w:tcMar>
              <w:top w:w="30" w:type="dxa"/>
              <w:left w:w="20" w:type="dxa"/>
              <w:bottom w:w="30" w:type="dxa"/>
              <w:right w:w="20" w:type="dxa"/>
            </w:tcMar>
            <w:vAlign w:val="center"/>
            <w:hideMark/>
          </w:tcPr>
          <w:p w:rsidR="00000000" w:rsidRDefault="00795D39">
            <w:pPr>
              <w:divId w:val="1639261929"/>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Balance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11,062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11,612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2,647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2,747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1,770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16,129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5895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Balance as of June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358950"/>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5895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Balance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35895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Combined allowance and reserve as of 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11,062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550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5"/>
                <w:szCs w:val="15"/>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5"/>
                <w:szCs w:val="15"/>
              </w:rPr>
              <w:t>11,612</w:t>
            </w:r>
            <w:r>
              <w:rPr>
                <w:rFonts w:eastAsia="Times New Roman"/>
                <w:color w:val="000000"/>
                <w:sz w:val="15"/>
                <w:szCs w:val="15"/>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2,647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2,747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1,965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5"/>
                <w:szCs w:val="15"/>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5"/>
                <w:szCs w:val="15"/>
              </w:rPr>
              <w:t>16,324</w:t>
            </w:r>
            <w:r>
              <w:rPr>
                <w:rFonts w:eastAsia="Times New Roman"/>
                <w:color w:val="000000"/>
                <w:sz w:val="15"/>
                <w:szCs w:val="15"/>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05"/>
        <w:gridCol w:w="1968"/>
        <w:gridCol w:w="38"/>
        <w:gridCol w:w="36"/>
        <w:gridCol w:w="36"/>
        <w:gridCol w:w="36"/>
        <w:gridCol w:w="100"/>
        <w:gridCol w:w="449"/>
        <w:gridCol w:w="31"/>
        <w:gridCol w:w="36"/>
        <w:gridCol w:w="36"/>
        <w:gridCol w:w="36"/>
        <w:gridCol w:w="5"/>
        <w:gridCol w:w="31"/>
        <w:gridCol w:w="101"/>
        <w:gridCol w:w="12"/>
        <w:gridCol w:w="662"/>
        <w:gridCol w:w="36"/>
        <w:gridCol w:w="36"/>
        <w:gridCol w:w="36"/>
        <w:gridCol w:w="36"/>
        <w:gridCol w:w="100"/>
        <w:gridCol w:w="450"/>
        <w:gridCol w:w="36"/>
        <w:gridCol w:w="36"/>
        <w:gridCol w:w="36"/>
        <w:gridCol w:w="36"/>
        <w:gridCol w:w="100"/>
        <w:gridCol w:w="400"/>
        <w:gridCol w:w="36"/>
        <w:gridCol w:w="36"/>
        <w:gridCol w:w="36"/>
        <w:gridCol w:w="36"/>
        <w:gridCol w:w="101"/>
        <w:gridCol w:w="416"/>
        <w:gridCol w:w="15"/>
        <w:gridCol w:w="21"/>
        <w:gridCol w:w="36"/>
        <w:gridCol w:w="36"/>
        <w:gridCol w:w="36"/>
        <w:gridCol w:w="15"/>
        <w:gridCol w:w="86"/>
        <w:gridCol w:w="58"/>
        <w:gridCol w:w="468"/>
        <w:gridCol w:w="36"/>
        <w:gridCol w:w="36"/>
        <w:gridCol w:w="36"/>
        <w:gridCol w:w="36"/>
        <w:gridCol w:w="101"/>
        <w:gridCol w:w="630"/>
        <w:gridCol w:w="36"/>
        <w:gridCol w:w="36"/>
        <w:gridCol w:w="36"/>
        <w:gridCol w:w="36"/>
        <w:gridCol w:w="36"/>
        <w:gridCol w:w="36"/>
        <w:gridCol w:w="36"/>
        <w:gridCol w:w="36"/>
        <w:gridCol w:w="100"/>
        <w:gridCol w:w="480"/>
        <w:gridCol w:w="36"/>
        <w:gridCol w:w="429"/>
        <w:gridCol w:w="144"/>
      </w:tblGrid>
      <w:tr w:rsidR="00000000">
        <w:trPr>
          <w:gridAfter w:val="2"/>
          <w:divId w:val="1311668062"/>
        </w:trPr>
        <w:tc>
          <w:tcPr>
            <w:tcW w:w="50" w:type="pct"/>
            <w:vAlign w:val="center"/>
            <w:hideMark/>
          </w:tcPr>
          <w:p w:rsidR="00000000" w:rsidRDefault="00795D39">
            <w:pPr>
              <w:jc w:val="both"/>
              <w:rPr>
                <w:rFonts w:eastAsia="Times New Roman"/>
              </w:rPr>
            </w:pPr>
          </w:p>
        </w:tc>
        <w:tc>
          <w:tcPr>
            <w:tcW w:w="1947"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gridSpan w:val="2"/>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1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317"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gridAfter w:val="2"/>
          <w:divId w:val="1311668062"/>
        </w:trPr>
        <w:tc>
          <w:tcPr>
            <w:tcW w:w="0" w:type="auto"/>
            <w:gridSpan w:val="4"/>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Nine Months Ended September 30, 2020</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gridAfter w:val="2"/>
          <w:divId w:val="1311668062"/>
        </w:trPr>
        <w:tc>
          <w:tcPr>
            <w:tcW w:w="0" w:type="auto"/>
            <w:gridSpan w:val="4"/>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8"/>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311668062"/>
        </w:trPr>
        <w:tc>
          <w:tcPr>
            <w:tcW w:w="0" w:type="auto"/>
            <w:gridSpan w:val="4"/>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Domestic Card</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w:t>
            </w:r>
          </w:p>
        </w:tc>
      </w:tr>
      <w:tr w:rsidR="00000000">
        <w:trPr>
          <w:gridAfter w:val="2"/>
          <w:divId w:val="1311668062"/>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gridSpan w:val="2"/>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4,997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gridSpan w:val="2"/>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398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5,395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984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54</w:t>
            </w: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gridSpan w:val="2"/>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1,038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775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7,208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2,237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2,241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477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25</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2,845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divId w:val="1098793341"/>
              <w:rPr>
                <w:rFonts w:eastAsia="Times New Roman"/>
              </w:rPr>
            </w:pPr>
            <w:r>
              <w:rPr>
                <w:rFonts w:eastAsia="Times New Roman"/>
                <w:color w:val="000000"/>
                <w:sz w:val="16"/>
                <w:szCs w:val="16"/>
              </w:rPr>
              <w:t>Finance charge and fee reserve reclassificatio</w:t>
            </w:r>
            <w:r>
              <w:rPr>
                <w:rFonts w:eastAsia="Times New Roman"/>
                <w:color w:val="000000"/>
                <w:sz w:val="16"/>
                <w:szCs w:val="16"/>
              </w:rPr>
              <w:t>n</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7,673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425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8,098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79</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1,540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877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10,515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divId w:val="1845242749"/>
              <w:rPr>
                <w:rFonts w:eastAsia="Times New Roman"/>
              </w:rPr>
            </w:pPr>
            <w:r>
              <w:rPr>
                <w:rFonts w:eastAsia="Times New Roman"/>
                <w:color w:val="000000"/>
                <w:sz w:val="16"/>
                <w:szCs w:val="16"/>
              </w:rPr>
              <w:t>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(4,406)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(4,757)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(1,155)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(52)</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(1,207)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(303)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(6,267)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divId w:val="1969777441"/>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1,047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1,167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710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721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1,898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(3,359)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(3,590)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(445)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(41)</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(4,369)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6,748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348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7,096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1,631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62</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1,693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1,186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9,975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Allowance build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3,389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3,506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1,186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w:t>
            </w:r>
            <w:r>
              <w:rPr>
                <w:rFonts w:eastAsia="Times New Roman"/>
                <w:color w:val="000000"/>
                <w:sz w:val="16"/>
                <w:szCs w:val="16"/>
              </w:rPr>
              <w:t> </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1,207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893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5,606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divId w:val="114910762"/>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11,062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550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11,612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2,647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2,747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1,770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16,129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172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172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gridAfter w:val="2"/>
          <w:divId w:val="1311668062"/>
        </w:trPr>
        <w:tc>
          <w:tcPr>
            <w:tcW w:w="0" w:type="auto"/>
            <w:gridSpan w:val="4"/>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gridAfter w:val="2"/>
          <w:divId w:val="1311668062"/>
        </w:trPr>
        <w:tc>
          <w:tcPr>
            <w:tcW w:w="0" w:type="auto"/>
            <w:gridSpan w:val="4"/>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gridAfter w:val="2"/>
          <w:divId w:val="1311668062"/>
        </w:trPr>
        <w:tc>
          <w:tcPr>
            <w:tcW w:w="0" w:type="auto"/>
            <w:gridSpan w:val="4"/>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Combined allowance and reserve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11,062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550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5"/>
                <w:szCs w:val="15"/>
              </w:rPr>
              <w:t>11,612</w:t>
            </w:r>
            <w:r>
              <w:rPr>
                <w:rFonts w:eastAsia="Times New Roman"/>
                <w:color w:val="000000"/>
                <w:sz w:val="15"/>
                <w:szCs w:val="15"/>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2,647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2,747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1,965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16,324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795D39">
            <w:pPr>
              <w:rPr>
                <w:rFonts w:eastAsia="Times New Roman"/>
              </w:rPr>
            </w:pPr>
          </w:p>
        </w:tc>
        <w:tc>
          <w:tcPr>
            <w:tcW w:w="1606" w:type="pct"/>
            <w:gridSpan w:val="7"/>
            <w:vAlign w:val="center"/>
            <w:hideMark/>
          </w:tcPr>
          <w:p w:rsidR="00000000" w:rsidRDefault="00795D39">
            <w:pPr>
              <w:rPr>
                <w:rFonts w:eastAsia="Times New Roman"/>
                <w:sz w:val="20"/>
                <w:szCs w:val="20"/>
              </w:rPr>
            </w:pPr>
          </w:p>
        </w:tc>
        <w:tc>
          <w:tcPr>
            <w:tcW w:w="5" w:type="pct"/>
            <w:gridSpan w:val="5"/>
            <w:vAlign w:val="center"/>
            <w:hideMark/>
          </w:tcPr>
          <w:p w:rsidR="00000000" w:rsidRDefault="00795D39">
            <w:pPr>
              <w:rPr>
                <w:rFonts w:eastAsia="Times New Roman"/>
                <w:sz w:val="20"/>
                <w:szCs w:val="20"/>
              </w:rPr>
            </w:pPr>
          </w:p>
        </w:tc>
        <w:tc>
          <w:tcPr>
            <w:tcW w:w="50" w:type="pct"/>
            <w:gridSpan w:val="3"/>
            <w:vAlign w:val="center"/>
            <w:hideMark/>
          </w:tcPr>
          <w:p w:rsidR="00000000" w:rsidRDefault="00795D39">
            <w:pPr>
              <w:rPr>
                <w:rFonts w:eastAsia="Times New Roman"/>
                <w:sz w:val="20"/>
                <w:szCs w:val="20"/>
              </w:rPr>
            </w:pPr>
          </w:p>
        </w:tc>
        <w:tc>
          <w:tcPr>
            <w:tcW w:w="1614" w:type="pct"/>
            <w:gridSpan w:val="20"/>
            <w:vAlign w:val="center"/>
            <w:hideMark/>
          </w:tcPr>
          <w:p w:rsidR="00000000" w:rsidRDefault="00795D39">
            <w:pPr>
              <w:rPr>
                <w:rFonts w:eastAsia="Times New Roman"/>
                <w:sz w:val="20"/>
                <w:szCs w:val="20"/>
              </w:rPr>
            </w:pPr>
          </w:p>
        </w:tc>
        <w:tc>
          <w:tcPr>
            <w:tcW w:w="5" w:type="pct"/>
            <w:gridSpan w:val="5"/>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1614" w:type="pct"/>
            <w:gridSpan w:val="19"/>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blPrEx>
          <w:tblW w:w="4992" w:type="pct"/>
          <w:jc w:val="center"/>
        </w:tblPrEx>
        <w:trPr>
          <w:trHeight w:val="300"/>
          <w:jc w:val="center"/>
        </w:trPr>
        <w:tc>
          <w:tcPr>
            <w:tcW w:w="0" w:type="auto"/>
            <w:gridSpan w:val="64"/>
            <w:tcMar>
              <w:top w:w="0" w:type="dxa"/>
              <w:left w:w="20" w:type="dxa"/>
              <w:bottom w:w="0" w:type="dxa"/>
              <w:right w:w="20" w:type="dxa"/>
            </w:tcMar>
            <w:vAlign w:val="center"/>
            <w:hideMark/>
          </w:tcPr>
          <w:p w:rsidR="00000000" w:rsidRDefault="00795D39">
            <w:pPr>
              <w:rPr>
                <w:rFonts w:eastAsia="Times New Roman"/>
                <w:sz w:val="20"/>
                <w:szCs w:val="20"/>
              </w:rPr>
            </w:pPr>
          </w:p>
        </w:tc>
      </w:tr>
      <w:tr w:rsidR="00000000">
        <w:tblPrEx>
          <w:tblW w:w="4992" w:type="pct"/>
          <w:jc w:val="center"/>
        </w:tblPrEx>
        <w:trPr>
          <w:jc w:val="center"/>
        </w:trPr>
        <w:tc>
          <w:tcPr>
            <w:tcW w:w="0" w:type="auto"/>
            <w:gridSpan w:val="14"/>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8"/>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53</w:t>
            </w:r>
          </w:p>
        </w:tc>
        <w:tc>
          <w:tcPr>
            <w:tcW w:w="0" w:type="auto"/>
            <w:gridSpan w:val="22"/>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8" style="width:0;height:1.5pt" o:hralign="center" o:hrstd="t" o:hr="t" fillcolor="#a0a0a0" stroked="f"/>
        </w:pict>
      </w:r>
    </w:p>
    <w:p w:rsidR="00000000" w:rsidRDefault="00795D39">
      <w:pPr>
        <w:jc w:val="both"/>
        <w:divId w:val="683747986"/>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414"/>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280"/>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36"/>
        <w:gridCol w:w="36"/>
        <w:gridCol w:w="100"/>
        <w:gridCol w:w="400"/>
        <w:gridCol w:w="36"/>
      </w:tblGrid>
      <w:tr w:rsidR="00000000">
        <w:trPr>
          <w:divId w:val="844441398"/>
        </w:trPr>
        <w:tc>
          <w:tcPr>
            <w:tcW w:w="50" w:type="pct"/>
            <w:vAlign w:val="center"/>
            <w:hideMark/>
          </w:tcPr>
          <w:p w:rsidR="00000000" w:rsidRDefault="00795D39">
            <w:pPr>
              <w:jc w:val="both"/>
              <w:rPr>
                <w:rFonts w:eastAsia="Times New Roman"/>
              </w:rPr>
            </w:pPr>
          </w:p>
        </w:tc>
        <w:tc>
          <w:tcPr>
            <w:tcW w:w="19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1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44441398"/>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1"/>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Three Months Ended September 30, 2019</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44441398"/>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44441398"/>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Commercial Banking</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w:t>
            </w:r>
          </w:p>
        </w:tc>
      </w:tr>
      <w:tr w:rsidR="00000000">
        <w:trPr>
          <w:divId w:val="84444139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Allowance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84444139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Balance as of June 30,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4,925 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997 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1,055 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736 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7,133 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CCEEFF"/>
            <w:tcMar>
              <w:top w:w="30" w:type="dxa"/>
              <w:left w:w="20" w:type="dxa"/>
              <w:bottom w:w="30" w:type="dxa"/>
              <w:right w:w="20" w:type="dxa"/>
            </w:tcMar>
            <w:vAlign w:val="center"/>
            <w:hideMark/>
          </w:tcPr>
          <w:p w:rsidR="00000000" w:rsidRDefault="00795D39">
            <w:pPr>
              <w:divId w:val="1687094124"/>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(1,403)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(1,531)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(489)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(2,086)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FFFFFF"/>
            <w:tcMar>
              <w:top w:w="30" w:type="dxa"/>
              <w:left w:w="20" w:type="dxa"/>
              <w:bottom w:w="30" w:type="dxa"/>
              <w:right w:w="20" w:type="dxa"/>
            </w:tcMar>
            <w:vAlign w:val="center"/>
            <w:hideMark/>
          </w:tcPr>
          <w:p w:rsidR="00000000" w:rsidRDefault="00795D39">
            <w:pPr>
              <w:divId w:val="1352875404"/>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624 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(1,065)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(1,462)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Provision for loan and lease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1,374 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Allowance build (release)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FFFFFF"/>
            <w:tcMar>
              <w:top w:w="30" w:type="dxa"/>
              <w:left w:w="20" w:type="dxa"/>
              <w:bottom w:w="30" w:type="dxa"/>
              <w:right w:w="20" w:type="dxa"/>
            </w:tcMar>
            <w:vAlign w:val="center"/>
            <w:hideMark/>
          </w:tcPr>
          <w:p w:rsidR="00000000" w:rsidRDefault="00795D39">
            <w:pPr>
              <w:divId w:val="1217938656"/>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4,870 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7,037 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444413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Balance as of June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4441398"/>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444413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84444139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Combined allowance and reserve as of September 30,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4,870 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298"/>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1"/>
        <w:gridCol w:w="395"/>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36"/>
        <w:gridCol w:w="36"/>
        <w:gridCol w:w="100"/>
        <w:gridCol w:w="400"/>
        <w:gridCol w:w="36"/>
      </w:tblGrid>
      <w:tr w:rsidR="00000000">
        <w:trPr>
          <w:divId w:val="2113622345"/>
        </w:trPr>
        <w:tc>
          <w:tcPr>
            <w:tcW w:w="50" w:type="pct"/>
            <w:vAlign w:val="center"/>
            <w:hideMark/>
          </w:tcPr>
          <w:p w:rsidR="00000000" w:rsidRDefault="00795D39">
            <w:pPr>
              <w:jc w:val="both"/>
              <w:rPr>
                <w:rFonts w:eastAsia="Times New Roman"/>
              </w:rPr>
            </w:pPr>
          </w:p>
        </w:tc>
        <w:tc>
          <w:tcPr>
            <w:tcW w:w="19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1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113622345"/>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1"/>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Nine Months Ended September 30, 2019</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113622345"/>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13622345"/>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Commercial Banking</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3"/>
                <w:szCs w:val="13"/>
              </w:rPr>
              <w:t>Total</w:t>
            </w:r>
          </w:p>
        </w:tc>
      </w:tr>
      <w:tr w:rsidR="00000000">
        <w:trPr>
          <w:divId w:val="211362234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Allowance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2113622345"/>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December 31, 2018</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5,144 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391 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5,535 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990 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637 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7,220 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CCEEFF"/>
            <w:tcMar>
              <w:top w:w="30" w:type="dxa"/>
              <w:left w:w="20" w:type="dxa"/>
              <w:bottom w:w="30" w:type="dxa"/>
              <w:right w:w="20" w:type="dxa"/>
            </w:tcMar>
            <w:vAlign w:val="bottom"/>
            <w:hideMark/>
          </w:tcPr>
          <w:p w:rsidR="00000000" w:rsidRDefault="00795D39">
            <w:pPr>
              <w:divId w:val="1407723766"/>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(4,635)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(5,024)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(1,318)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(1,383)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(6,516)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FFFFFF"/>
            <w:tcMar>
              <w:top w:w="30" w:type="dxa"/>
              <w:left w:w="20" w:type="dxa"/>
              <w:bottom w:w="30" w:type="dxa"/>
              <w:right w:w="20" w:type="dxa"/>
            </w:tcMar>
            <w:vAlign w:val="bottom"/>
            <w:hideMark/>
          </w:tcPr>
          <w:p w:rsidR="00000000" w:rsidRDefault="00795D39">
            <w:pPr>
              <w:divId w:val="1956330088"/>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1,036 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726 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(3,599)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(3,835)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(592)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(644)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(4,569)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Provision for loan and lease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3,325 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3,571 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Allowance build (release)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(274)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FFFFFF"/>
            <w:tcMar>
              <w:top w:w="30" w:type="dxa"/>
              <w:left w:w="20" w:type="dxa"/>
              <w:bottom w:w="30" w:type="dxa"/>
              <w:right w:w="20" w:type="dxa"/>
            </w:tcMar>
            <w:vAlign w:val="bottom"/>
            <w:hideMark/>
          </w:tcPr>
          <w:p w:rsidR="00000000" w:rsidRDefault="00795D39">
            <w:pPr>
              <w:divId w:val="1263535472"/>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4,870 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7,037 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13622345"/>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13622345"/>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3622345"/>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2113622345"/>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Combined allowance and reserve as of September 30,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4,870 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2116902503"/>
        <w:rPr>
          <w:rFonts w:eastAsia="Times New Roman"/>
        </w:rPr>
      </w:pPr>
      <w:r>
        <w:rPr>
          <w:rFonts w:eastAsia="Times New Roman"/>
          <w:color w:val="000000"/>
          <w:sz w:val="20"/>
          <w:szCs w:val="20"/>
        </w:rPr>
        <w:t>__________</w:t>
      </w:r>
    </w:p>
    <w:p w:rsidR="00000000" w:rsidRDefault="00795D39">
      <w:pPr>
        <w:ind w:hanging="360"/>
        <w:jc w:val="both"/>
        <w:divId w:val="9579487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is impacted by our collection strategies, whi</w:t>
      </w:r>
      <w:r>
        <w:rPr>
          <w:rFonts w:eastAsia="Times New Roman"/>
          <w:color w:val="000000"/>
          <w:sz w:val="16"/>
          <w:szCs w:val="16"/>
        </w:rPr>
        <w:t>ch are based on customer behavior and risk profile and include direct customer communications, repossession of collateral, the periodic sale of charged off loans as well as additional strategies, such as litigation.</w:t>
      </w:r>
    </w:p>
    <w:p w:rsidR="00000000" w:rsidRDefault="00795D39">
      <w:pPr>
        <w:ind w:hanging="360"/>
        <w:jc w:val="both"/>
        <w:divId w:val="49125930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w:t>
      </w:r>
      <w:r>
        <w:rPr>
          <w:rFonts w:eastAsia="Times New Roman"/>
          <w:color w:val="000000"/>
          <w:sz w:val="16"/>
          <w:szCs w:val="16"/>
        </w:rPr>
        <w:t>on adjustments.</w:t>
      </w:r>
    </w:p>
    <w:p w:rsidR="00000000" w:rsidRDefault="00795D39">
      <w:pPr>
        <w:ind w:hanging="360"/>
        <w:jc w:val="both"/>
        <w:divId w:val="211539524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Concurrent with our adoption of the CECL standard in the first quarter of 2020, we reclassified our finance charge and fee reserve to our allowance for credit losses, with a corresponding increase to credit card loans held for investment</w:t>
      </w:r>
      <w:r>
        <w:rPr>
          <w:rFonts w:eastAsia="Times New Roman"/>
          <w:color w:val="000000"/>
          <w:sz w:val="16"/>
          <w:szCs w:val="16"/>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11557622"/>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1155762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1155762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79" style="width:0;height:1.5pt" o:hralign="center" o:hrstd="t" o:hr="t" fillcolor="#a0a0a0" stroked="f"/>
        </w:pict>
      </w:r>
    </w:p>
    <w:p w:rsidR="00000000" w:rsidRDefault="00795D39">
      <w:pPr>
        <w:jc w:val="both"/>
        <w:divId w:val="62057625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400979152"/>
        <w:rPr>
          <w:rFonts w:eastAsia="Times New Roman"/>
        </w:rPr>
      </w:pPr>
      <w:r>
        <w:rPr>
          <w:rFonts w:eastAsia="Times New Roman"/>
          <w:color w:val="000000"/>
          <w:sz w:val="20"/>
          <w:szCs w:val="20"/>
        </w:rPr>
        <w:t>Allowance coverage ratios are calculated based on the allowance for credit losses for each specified portfolio segment divided by period-end loans held for investment within the specified loan category. Table 30 presents the allowance coverage ratios as of</w:t>
      </w:r>
      <w:r>
        <w:rPr>
          <w:rFonts w:eastAsia="Times New Roman"/>
          <w:color w:val="000000"/>
          <w:sz w:val="20"/>
          <w:szCs w:val="20"/>
        </w:rPr>
        <w:t xml:space="preserve"> September 30, 2020 and December 31, 2019. </w:t>
      </w:r>
    </w:p>
    <w:p w:rsidR="00000000" w:rsidRDefault="00795D39">
      <w:pPr>
        <w:divId w:val="1733966167"/>
        <w:rPr>
          <w:rFonts w:eastAsia="Times New Roman"/>
        </w:rPr>
      </w:pPr>
      <w:r>
        <w:rPr>
          <w:rFonts w:eastAsia="Times New Roman"/>
          <w:b/>
          <w:bCs/>
          <w:color w:val="000000"/>
          <w:sz w:val="18"/>
          <w:szCs w:val="18"/>
        </w:rPr>
        <w:t>Table 30: Allowance Coverage Ratios</w:t>
      </w:r>
    </w:p>
    <w:tbl>
      <w:tblPr>
        <w:tblW w:w="4985" w:type="pct"/>
        <w:tblCellMar>
          <w:top w:w="15" w:type="dxa"/>
          <w:left w:w="15" w:type="dxa"/>
          <w:bottom w:w="15" w:type="dxa"/>
          <w:right w:w="15" w:type="dxa"/>
        </w:tblCellMar>
        <w:tblLook w:val="04A0" w:firstRow="1" w:lastRow="0" w:firstColumn="1" w:lastColumn="0" w:noHBand="0" w:noVBand="1"/>
      </w:tblPr>
      <w:tblGrid>
        <w:gridCol w:w="39"/>
        <w:gridCol w:w="2540"/>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6"/>
        <w:gridCol w:w="658"/>
        <w:gridCol w:w="170"/>
      </w:tblGrid>
      <w:tr w:rsidR="00000000">
        <w:trPr>
          <w:divId w:val="1690331333"/>
        </w:trPr>
        <w:tc>
          <w:tcPr>
            <w:tcW w:w="50" w:type="pct"/>
            <w:vAlign w:val="center"/>
            <w:hideMark/>
          </w:tcPr>
          <w:p w:rsidR="00000000" w:rsidRDefault="00795D39">
            <w:pPr>
              <w:rPr>
                <w:rFonts w:eastAsia="Times New Roman"/>
              </w:rPr>
            </w:pPr>
          </w:p>
        </w:tc>
        <w:tc>
          <w:tcPr>
            <w:tcW w:w="208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90331333"/>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69033133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Allowance for Loan and Lease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Allowance Coverage Ratio</w:t>
            </w:r>
          </w:p>
        </w:tc>
      </w:tr>
      <w:tr w:rsidR="00000000">
        <w:trPr>
          <w:divId w:val="16903313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11,612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506.38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5,395 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107.70 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69033133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4,627 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033133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230.55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775 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173.20 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033133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248,223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265,809 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06851809"/>
        <w:rPr>
          <w:rFonts w:eastAsia="Times New Roman"/>
        </w:rPr>
      </w:pPr>
      <w:r>
        <w:rPr>
          <w:rFonts w:eastAsia="Times New Roman"/>
          <w:color w:val="000000"/>
          <w:sz w:val="20"/>
          <w:szCs w:val="20"/>
        </w:rPr>
        <w:t>__________</w:t>
      </w:r>
    </w:p>
    <w:p w:rsidR="00000000" w:rsidRDefault="00795D39">
      <w:pPr>
        <w:ind w:hanging="360"/>
        <w:jc w:val="both"/>
        <w:divId w:val="190298363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period-end 30+ day delinquent loans for our credit card and consumer banking loan portfolios, nonp</w:t>
      </w:r>
      <w:r>
        <w:rPr>
          <w:rFonts w:eastAsia="Times New Roman"/>
          <w:color w:val="000000"/>
          <w:sz w:val="16"/>
          <w:szCs w:val="16"/>
        </w:rPr>
        <w:t xml:space="preserve">erforming loans for our commercial </w:t>
      </w:r>
      <w:r>
        <w:rPr>
          <w:rFonts w:eastAsia="Times New Roman"/>
          <w:color w:val="000000"/>
          <w:sz w:val="16"/>
          <w:szCs w:val="16"/>
          <w:shd w:val="clear" w:color="auto" w:fill="FFFFFF"/>
        </w:rPr>
        <w:t>banking loan portfolio and total loans held for investment for the total ratio.</w:t>
      </w:r>
    </w:p>
    <w:p w:rsidR="00000000" w:rsidRDefault="00795D39">
      <w:pPr>
        <w:jc w:val="both"/>
        <w:divId w:val="2127389592"/>
        <w:rPr>
          <w:rFonts w:eastAsia="Times New Roman"/>
        </w:rPr>
      </w:pPr>
      <w:r>
        <w:rPr>
          <w:rFonts w:eastAsia="Times New Roman"/>
          <w:color w:val="000000"/>
          <w:sz w:val="20"/>
          <w:szCs w:val="20"/>
          <w:shd w:val="clear" w:color="auto" w:fill="FFFFFF"/>
        </w:rPr>
        <w:t xml:space="preserve">Our allowance for credit </w:t>
      </w:r>
      <w:r>
        <w:rPr>
          <w:rFonts w:eastAsia="Times New Roman"/>
          <w:color w:val="000000"/>
          <w:sz w:val="20"/>
          <w:szCs w:val="20"/>
        </w:rPr>
        <w:t>losses increased by $8.9 billion to $16.1 billion, and our allowance coverage ratio increased by 379 basis points to</w:t>
      </w:r>
      <w:r>
        <w:rPr>
          <w:rFonts w:eastAsia="Times New Roman"/>
          <w:color w:val="000000"/>
          <w:sz w:val="20"/>
          <w:szCs w:val="20"/>
        </w:rPr>
        <w:t xml:space="preserve"> 6.50% as of September 30, 2020</w:t>
      </w:r>
      <w:r>
        <w:rPr>
          <w:rFonts w:eastAsia="Times New Roman"/>
          <w:color w:val="000000"/>
          <w:sz w:val="20"/>
          <w:szCs w:val="20"/>
          <w:shd w:val="clear" w:color="auto" w:fill="FFFFFF"/>
        </w:rPr>
        <w:t xml:space="preserve"> from December 31, 2019,</w:t>
      </w:r>
      <w:r>
        <w:rPr>
          <w:rFonts w:eastAsia="Times New Roman"/>
          <w:color w:val="000000"/>
          <w:sz w:val="20"/>
          <w:szCs w:val="20"/>
        </w:rPr>
        <w:t xml:space="preserve"> driven by the allowance builds in the first and second quarters of 2020 from expectations of economic worsening and uncertainty as a result of the COVID-19 pandemic as well as the adoption of the CECL</w:t>
      </w:r>
      <w:r>
        <w:rPr>
          <w:rFonts w:eastAsia="Times New Roman"/>
          <w:color w:val="000000"/>
          <w:sz w:val="20"/>
          <w:szCs w:val="20"/>
        </w:rPr>
        <w:t xml:space="preserve"> standard in the first quarter of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65305902"/>
          <w:jc w:val="center"/>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65305902"/>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divId w:val="1467820754"/>
              <w:rPr>
                <w:rFonts w:eastAsia="Times New Roman"/>
              </w:rPr>
            </w:pPr>
            <w:r>
              <w:rPr>
                <w:rFonts w:eastAsia="Times New Roman"/>
                <w:b/>
                <w:bCs/>
                <w:color w:val="000000"/>
                <w:sz w:val="20"/>
                <w:szCs w:val="20"/>
              </w:rPr>
              <w:t>LIQUIDITY RISK PROFILE</w:t>
            </w:r>
          </w:p>
        </w:tc>
      </w:tr>
    </w:tbl>
    <w:p w:rsidR="00000000" w:rsidRDefault="00795D39">
      <w:pPr>
        <w:jc w:val="both"/>
        <w:divId w:val="1478915885"/>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position, we maintain reserves in the form of investment securities and certain loans that are either readily-marketable or pledgeable. </w:t>
      </w:r>
    </w:p>
    <w:p w:rsidR="00000000" w:rsidRDefault="00795D39">
      <w:pPr>
        <w:jc w:val="both"/>
        <w:divId w:val="818838193"/>
        <w:rPr>
          <w:rFonts w:eastAsia="Times New Roman"/>
        </w:rPr>
      </w:pPr>
      <w:r>
        <w:rPr>
          <w:rFonts w:eastAsia="Times New Roman"/>
          <w:color w:val="000000"/>
          <w:sz w:val="20"/>
          <w:szCs w:val="20"/>
        </w:rPr>
        <w:t xml:space="preserve">Table 31 below presents the composition of our liquidity reserves as </w:t>
      </w:r>
      <w:r>
        <w:rPr>
          <w:rFonts w:eastAsia="Times New Roman"/>
          <w:color w:val="000000"/>
          <w:sz w:val="20"/>
          <w:szCs w:val="20"/>
        </w:rPr>
        <w:t>of September 30, 2020 and December 31, 2019.</w:t>
      </w:r>
    </w:p>
    <w:p w:rsidR="00000000" w:rsidRDefault="00795D39">
      <w:pPr>
        <w:divId w:val="379285977"/>
        <w:rPr>
          <w:rFonts w:eastAsia="Times New Roman"/>
        </w:rPr>
      </w:pPr>
      <w:r>
        <w:rPr>
          <w:rFonts w:eastAsia="Times New Roman"/>
          <w:b/>
          <w:bCs/>
          <w:color w:val="000000"/>
          <w:sz w:val="18"/>
          <w:szCs w:val="18"/>
        </w:rPr>
        <w:t>Table 31: Liquidity Reserves</w:t>
      </w:r>
    </w:p>
    <w:tbl>
      <w:tblPr>
        <w:tblW w:w="5000" w:type="pct"/>
        <w:tblCellMar>
          <w:top w:w="15" w:type="dxa"/>
          <w:left w:w="15" w:type="dxa"/>
          <w:bottom w:w="15" w:type="dxa"/>
          <w:right w:w="15" w:type="dxa"/>
        </w:tblCellMar>
        <w:tblLook w:val="04A0" w:firstRow="1" w:lastRow="0" w:firstColumn="1" w:lastColumn="0" w:noHBand="0" w:noVBand="1"/>
      </w:tblPr>
      <w:tblGrid>
        <w:gridCol w:w="41"/>
        <w:gridCol w:w="5557"/>
        <w:gridCol w:w="37"/>
        <w:gridCol w:w="36"/>
        <w:gridCol w:w="36"/>
        <w:gridCol w:w="36"/>
        <w:gridCol w:w="110"/>
        <w:gridCol w:w="1081"/>
        <w:gridCol w:w="36"/>
        <w:gridCol w:w="36"/>
        <w:gridCol w:w="36"/>
        <w:gridCol w:w="36"/>
        <w:gridCol w:w="111"/>
        <w:gridCol w:w="1081"/>
        <w:gridCol w:w="36"/>
      </w:tblGrid>
      <w:tr w:rsidR="00000000">
        <w:trPr>
          <w:divId w:val="261453233"/>
        </w:trPr>
        <w:tc>
          <w:tcPr>
            <w:tcW w:w="50" w:type="pct"/>
            <w:vAlign w:val="center"/>
            <w:hideMark/>
          </w:tcPr>
          <w:p w:rsidR="00000000" w:rsidRDefault="00795D39">
            <w:pPr>
              <w:rPr>
                <w:rFonts w:eastAsia="Times New Roman"/>
              </w:rPr>
            </w:pPr>
          </w:p>
        </w:tc>
        <w:tc>
          <w:tcPr>
            <w:tcW w:w="336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6145323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2614532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44,106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61453233"/>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61453233"/>
        </w:trPr>
        <w:tc>
          <w:tcPr>
            <w:tcW w:w="0" w:type="auto"/>
            <w:gridSpan w:val="3"/>
            <w:shd w:val="clear" w:color="auto" w:fill="FFFFFF"/>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18"/>
                <w:szCs w:val="18"/>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rsidR="00000000" w:rsidRDefault="00795D39">
            <w:pPr>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99,853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79,213 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61453233"/>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61453233"/>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6145323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FHLB borrowing capacity secured by loans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6145323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Outstanding FHLB advances and letters of credit secured by loans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(7,210)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6145323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Investment securities encumbered for Public Funds and others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(6,123)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(5,688)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6145323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liquidity reserves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148,431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90,557 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divId w:val="813832608"/>
        <w:rPr>
          <w:rFonts w:eastAsia="Times New Roman"/>
        </w:rPr>
      </w:pPr>
      <w:r>
        <w:rPr>
          <w:rFonts w:eastAsia="Times New Roman"/>
          <w:color w:val="000000"/>
          <w:sz w:val="20"/>
          <w:szCs w:val="20"/>
        </w:rPr>
        <w:t>Our liquidity reserves increased by $57.9 billion to $148.4 billion as of September 30, 2020 from December 31, 2019 primarily driven by increases in our investment securities and cash balances from deposit growth. See “MD&amp;A—Risk Management” in our 2019 For</w:t>
      </w:r>
      <w:r>
        <w:rPr>
          <w:rFonts w:eastAsia="Times New Roman"/>
          <w:color w:val="000000"/>
          <w:sz w:val="20"/>
          <w:szCs w:val="20"/>
        </w:rPr>
        <w:t>m 10-K for additional information on our management of liquidity risk.</w:t>
      </w:r>
    </w:p>
    <w:p w:rsidR="00000000" w:rsidRDefault="00795D39">
      <w:pPr>
        <w:divId w:val="537472952"/>
        <w:rPr>
          <w:rFonts w:eastAsia="Times New Roman"/>
        </w:rPr>
      </w:pPr>
      <w:r>
        <w:rPr>
          <w:rFonts w:eastAsia="Times New Roman"/>
          <w:b/>
          <w:bCs/>
          <w:color w:val="000000"/>
          <w:sz w:val="20"/>
          <w:szCs w:val="20"/>
        </w:rPr>
        <w:t>Liquidity Coverage Ratio</w:t>
      </w:r>
    </w:p>
    <w:p w:rsidR="00000000" w:rsidRDefault="00795D39">
      <w:pPr>
        <w:jc w:val="both"/>
        <w:divId w:val="1210342924"/>
        <w:rPr>
          <w:rFonts w:eastAsia="Times New Roman"/>
        </w:rPr>
      </w:pPr>
      <w:r>
        <w:rPr>
          <w:rFonts w:eastAsia="Times New Roman"/>
          <w:color w:val="000000"/>
          <w:sz w:val="20"/>
          <w:szCs w:val="20"/>
        </w:rPr>
        <w:t>We are subject to the Liquidity Coverage Ratio Rule (“LCR Rule”</w:t>
      </w:r>
      <w:r>
        <w:rPr>
          <w:rFonts w:eastAsia="Times New Roman"/>
          <w:color w:val="000000"/>
          <w:sz w:val="20"/>
          <w:szCs w:val="20"/>
        </w:rPr>
        <w:t>) as implemented by the Federal Reserve and OCC. The LCR Rule requires us to calculate our LCR daily. It also requires the Company to publicly disclose, on a quarterly basis, its LCR, certain related quantitative liquidity metrics, and a qualitative discus</w:t>
      </w:r>
      <w:r>
        <w:rPr>
          <w:rFonts w:eastAsia="Times New Roman"/>
          <w:color w:val="000000"/>
          <w:sz w:val="20"/>
          <w:szCs w:val="20"/>
        </w:rPr>
        <w:t>sion of its LCR. Our average LCR during the third quarter of 2020 was 147%, which exceeded the LCR Rule requirement of 100%. The calculation and the underlying components are based on our interpretations, expectations and assumptions of relevant regulation</w:t>
      </w:r>
      <w:r>
        <w:rPr>
          <w:rFonts w:eastAsia="Times New Roman"/>
          <w:color w:val="000000"/>
          <w:sz w:val="20"/>
          <w:szCs w:val="20"/>
        </w:rPr>
        <w:t>s, as well as interpretations provided by our regulators, and are subject to change based on changes to future regulations and interpretations. See “Part I—Item 1. Business—Supervision and Regulation” in our 2019 Form 10-K and “MD&amp;A—Supervision and Regulat</w:t>
      </w:r>
      <w:r>
        <w:rPr>
          <w:rFonts w:eastAsia="Times New Roman"/>
          <w:color w:val="000000"/>
          <w:sz w:val="20"/>
          <w:szCs w:val="20"/>
        </w:rPr>
        <w:t>ion” in our Quarterly Report on Form 10-Q for the period ended March 31, 2020 for additional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23211034"/>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72321103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2321103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0" style="width:0;height:1.5pt" o:hralign="center" o:hrstd="t" o:hr="t" fillcolor="#a0a0a0" stroked="f"/>
        </w:pict>
      </w:r>
    </w:p>
    <w:p w:rsidR="00000000" w:rsidRDefault="00795D39">
      <w:pPr>
        <w:jc w:val="both"/>
        <w:divId w:val="55928863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1426417914"/>
        <w:rPr>
          <w:rFonts w:eastAsia="Times New Roman"/>
        </w:rPr>
      </w:pPr>
      <w:r>
        <w:rPr>
          <w:rFonts w:eastAsia="Times New Roman"/>
          <w:b/>
          <w:bCs/>
          <w:color w:val="000000"/>
          <w:sz w:val="20"/>
          <w:szCs w:val="20"/>
        </w:rPr>
        <w:t>Borrowing Capacity</w:t>
      </w:r>
    </w:p>
    <w:p w:rsidR="00000000" w:rsidRDefault="00795D39">
      <w:pPr>
        <w:jc w:val="both"/>
        <w:divId w:val="1710569667"/>
        <w:rPr>
          <w:rFonts w:eastAsia="Times New Roman"/>
        </w:rPr>
      </w:pPr>
      <w:r>
        <w:rPr>
          <w:rFonts w:eastAsia="Times New Roman"/>
          <w:color w:val="000000"/>
          <w:sz w:val="20"/>
          <w:szCs w:val="20"/>
        </w:rPr>
        <w:t>We maintain a shelf registration with the U.S. Securities and Exchange Commission (“SEC”) so that we may periodically offer a</w:t>
      </w:r>
      <w:r>
        <w:rPr>
          <w:rFonts w:eastAsia="Times New Roman"/>
          <w:color w:val="000000"/>
          <w:sz w:val="20"/>
          <w:szCs w:val="20"/>
        </w:rPr>
        <w:t>nd sell an indeterminate aggregate amount of senior or subordinated debt securities, preferred stock, depositary shares, common stock, purchase contracts, warrants and units. There is no limit under this shelf registration to the amount or number of such s</w:t>
      </w:r>
      <w:r>
        <w:rPr>
          <w:rFonts w:eastAsia="Times New Roman"/>
          <w:color w:val="000000"/>
          <w:sz w:val="20"/>
          <w:szCs w:val="20"/>
        </w:rPr>
        <w:t xml:space="preserve">ecurities that we may offer and sell, subject to market conditions. In addition, we also maintain a shelf registration that allows us to periodically offer and sell up to $25 billion of securitized debt obligations from our credit card loan securitization </w:t>
      </w:r>
      <w:r>
        <w:rPr>
          <w:rFonts w:eastAsia="Times New Roman"/>
          <w:color w:val="000000"/>
          <w:sz w:val="20"/>
          <w:szCs w:val="20"/>
        </w:rPr>
        <w:t>trust and a shelf registration that allows us to periodically offer and sell up to $20 billion from our auto loan securitization trusts.</w:t>
      </w:r>
    </w:p>
    <w:p w:rsidR="00000000" w:rsidRDefault="00795D39">
      <w:pPr>
        <w:jc w:val="both"/>
        <w:divId w:val="875973765"/>
        <w:rPr>
          <w:rFonts w:eastAsia="Times New Roman"/>
        </w:rPr>
      </w:pPr>
      <w:r>
        <w:rPr>
          <w:rFonts w:eastAsia="Times New Roman"/>
          <w:color w:val="000000"/>
          <w:sz w:val="20"/>
          <w:szCs w:val="20"/>
        </w:rPr>
        <w:t xml:space="preserve">In addition to our issuance capacity under the shelf registration statements, we also have access to FHLB advances and </w:t>
      </w:r>
      <w:r>
        <w:rPr>
          <w:rFonts w:eastAsia="Times New Roman"/>
          <w:color w:val="000000"/>
          <w:sz w:val="20"/>
          <w:szCs w:val="20"/>
        </w:rPr>
        <w:t xml:space="preserve">the Federal Reserve Discount Window. The ability to borrow utilizing these sources is based on membership status and the amount is dependent upon the Banks’ ability to post collateral. As of September 30, 2020, we pledged both loans and securities to FHLB </w:t>
      </w:r>
      <w:r>
        <w:rPr>
          <w:rFonts w:eastAsia="Times New Roman"/>
          <w:color w:val="000000"/>
          <w:sz w:val="20"/>
          <w:szCs w:val="20"/>
        </w:rPr>
        <w:t xml:space="preserve">to secure a maximum borrowing capacity of $16.2 billion, of which $16.1 billion was still available to us to borrow. Our FHLB membership is supported by our investment in FHLB stock of $30 million and $328 million as of September 30, 2020 and December 31, </w:t>
      </w:r>
      <w:r>
        <w:rPr>
          <w:rFonts w:eastAsia="Times New Roman"/>
          <w:color w:val="000000"/>
          <w:sz w:val="20"/>
          <w:szCs w:val="20"/>
        </w:rPr>
        <w:t>2019, respectively, which was determined in part based on our outstanding advances. As of September 30, 2020, we pledged loans to secure a borrowing capacity of $21.0 billion under the Federal Reserve Discount Window. Our membership with the Federal Reserv</w:t>
      </w:r>
      <w:r>
        <w:rPr>
          <w:rFonts w:eastAsia="Times New Roman"/>
          <w:color w:val="000000"/>
          <w:sz w:val="20"/>
          <w:szCs w:val="20"/>
        </w:rPr>
        <w:t>e is supported by our investment in Federal Reserve stock, which totaled $1.3 billion as of both September 30, 2020 and December 31, 2019.</w:t>
      </w:r>
    </w:p>
    <w:p w:rsidR="00000000" w:rsidRDefault="00795D39">
      <w:pPr>
        <w:divId w:val="511071590"/>
        <w:rPr>
          <w:rFonts w:eastAsia="Times New Roman"/>
        </w:rPr>
      </w:pPr>
      <w:r>
        <w:rPr>
          <w:rFonts w:eastAsia="Times New Roman"/>
          <w:b/>
          <w:bCs/>
          <w:color w:val="000000"/>
          <w:sz w:val="20"/>
          <w:szCs w:val="20"/>
        </w:rPr>
        <w:t>Funding</w:t>
      </w:r>
    </w:p>
    <w:p w:rsidR="00000000" w:rsidRDefault="00795D39">
      <w:pPr>
        <w:jc w:val="both"/>
        <w:divId w:val="1311472588"/>
        <w:rPr>
          <w:rFonts w:eastAsia="Times New Roman"/>
        </w:rPr>
      </w:pPr>
      <w:r>
        <w:rPr>
          <w:rFonts w:eastAsia="Times New Roman"/>
          <w:color w:val="000000"/>
          <w:sz w:val="20"/>
          <w:szCs w:val="20"/>
        </w:rPr>
        <w:t>Our primary source of funding comes from deposits, as they are a stable and relatively low cost source of fun</w:t>
      </w:r>
      <w:r>
        <w:rPr>
          <w:rFonts w:eastAsia="Times New Roman"/>
          <w:color w:val="000000"/>
          <w:sz w:val="20"/>
          <w:szCs w:val="20"/>
        </w:rPr>
        <w:t xml:space="preserve">ding. In addition to deposits, we raise funding through the issuance of senior and subordinated notes and securitized debt obligations, federal funds purchased, securities loaned or sold under agreements to repurchase, and FHLB advances secured by certain </w:t>
      </w:r>
      <w:r>
        <w:rPr>
          <w:rFonts w:eastAsia="Times New Roman"/>
          <w:color w:val="000000"/>
          <w:sz w:val="20"/>
          <w:szCs w:val="20"/>
        </w:rPr>
        <w:t xml:space="preserve">portions of our loan and securities portfolios. A key objective in our use of these markets is to maintain access to a diversified mix of wholesale funding sources. See “MD&amp;A—Consolidated Balance Sheets Analysis—Funding Sources Composition” for additional </w:t>
      </w:r>
      <w:r>
        <w:rPr>
          <w:rFonts w:eastAsia="Times New Roman"/>
          <w:color w:val="000000"/>
          <w:sz w:val="20"/>
          <w:szCs w:val="20"/>
        </w:rPr>
        <w:t>information on our primary sources of funding.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7155654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77155654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7155654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1" style="width:0;height:1.5pt" o:hralign="center" o:hrstd="t" o:hr="t" fillcolor="#a0a0a0" stroked="f"/>
        </w:pict>
      </w:r>
    </w:p>
    <w:p w:rsidR="00000000" w:rsidRDefault="00795D39">
      <w:pPr>
        <w:jc w:val="both"/>
        <w:divId w:val="108934639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866329885"/>
        <w:rPr>
          <w:rFonts w:eastAsia="Times New Roman"/>
        </w:rPr>
      </w:pPr>
      <w:r>
        <w:rPr>
          <w:rFonts w:eastAsia="Times New Roman"/>
          <w:b/>
          <w:bCs/>
          <w:i/>
          <w:iCs/>
          <w:color w:val="000000"/>
          <w:sz w:val="20"/>
          <w:szCs w:val="20"/>
        </w:rPr>
        <w:t>Deposits</w:t>
      </w:r>
    </w:p>
    <w:p w:rsidR="00000000" w:rsidRDefault="00795D39">
      <w:pPr>
        <w:jc w:val="both"/>
        <w:divId w:val="1404718323"/>
        <w:rPr>
          <w:rFonts w:eastAsia="Times New Roman"/>
        </w:rPr>
      </w:pPr>
      <w:r>
        <w:rPr>
          <w:rFonts w:eastAsia="Times New Roman"/>
          <w:color w:val="000000"/>
          <w:sz w:val="20"/>
          <w:szCs w:val="20"/>
        </w:rPr>
        <w:t>Table 32 provides a comparison of average balances, interest expense and average deposit interest rates for the third quarter and first</w:t>
      </w:r>
      <w:r>
        <w:rPr>
          <w:rFonts w:eastAsia="Times New Roman"/>
          <w:color w:val="000000"/>
          <w:sz w:val="20"/>
          <w:szCs w:val="20"/>
        </w:rPr>
        <w:t xml:space="preserve"> nine months of 2020 and 2019.</w:t>
      </w:r>
    </w:p>
    <w:p w:rsidR="00000000" w:rsidRDefault="00795D39">
      <w:pPr>
        <w:divId w:val="516818361"/>
        <w:rPr>
          <w:rFonts w:eastAsia="Times New Roman"/>
        </w:rPr>
      </w:pPr>
      <w:r>
        <w:rPr>
          <w:rFonts w:eastAsia="Times New Roman"/>
          <w:b/>
          <w:bCs/>
          <w:color w:val="000000"/>
          <w:sz w:val="18"/>
          <w:szCs w:val="18"/>
        </w:rPr>
        <w:t>Table 32: Deposits Composition and Average Deposits Interest Rates</w:t>
      </w:r>
    </w:p>
    <w:tbl>
      <w:tblPr>
        <w:tblW w:w="4985" w:type="pct"/>
        <w:tblCellMar>
          <w:top w:w="15" w:type="dxa"/>
          <w:left w:w="15" w:type="dxa"/>
          <w:bottom w:w="15" w:type="dxa"/>
          <w:right w:w="15" w:type="dxa"/>
        </w:tblCellMar>
        <w:tblLook w:val="04A0" w:firstRow="1" w:lastRow="0" w:firstColumn="1" w:lastColumn="0" w:noHBand="0" w:noVBand="1"/>
      </w:tblPr>
      <w:tblGrid>
        <w:gridCol w:w="38"/>
        <w:gridCol w:w="2802"/>
        <w:gridCol w:w="37"/>
        <w:gridCol w:w="36"/>
        <w:gridCol w:w="36"/>
        <w:gridCol w:w="36"/>
        <w:gridCol w:w="110"/>
        <w:gridCol w:w="630"/>
        <w:gridCol w:w="36"/>
        <w:gridCol w:w="36"/>
        <w:gridCol w:w="36"/>
        <w:gridCol w:w="36"/>
        <w:gridCol w:w="111"/>
        <w:gridCol w:w="618"/>
        <w:gridCol w:w="36"/>
        <w:gridCol w:w="36"/>
        <w:gridCol w:w="36"/>
        <w:gridCol w:w="36"/>
        <w:gridCol w:w="63"/>
        <w:gridCol w:w="586"/>
        <w:gridCol w:w="200"/>
        <w:gridCol w:w="36"/>
        <w:gridCol w:w="36"/>
        <w:gridCol w:w="36"/>
        <w:gridCol w:w="110"/>
        <w:gridCol w:w="630"/>
        <w:gridCol w:w="36"/>
        <w:gridCol w:w="36"/>
        <w:gridCol w:w="36"/>
        <w:gridCol w:w="36"/>
        <w:gridCol w:w="111"/>
        <w:gridCol w:w="622"/>
        <w:gridCol w:w="36"/>
        <w:gridCol w:w="36"/>
        <w:gridCol w:w="36"/>
        <w:gridCol w:w="36"/>
        <w:gridCol w:w="63"/>
        <w:gridCol w:w="588"/>
        <w:gridCol w:w="170"/>
      </w:tblGrid>
      <w:tr w:rsidR="00000000">
        <w:trPr>
          <w:divId w:val="841548314"/>
        </w:trPr>
        <w:tc>
          <w:tcPr>
            <w:tcW w:w="50" w:type="pct"/>
            <w:vAlign w:val="center"/>
            <w:hideMark/>
          </w:tcPr>
          <w:p w:rsidR="00000000" w:rsidRDefault="00795D39">
            <w:pPr>
              <w:rPr>
                <w:rFonts w:eastAsia="Times New Roman"/>
              </w:rPr>
            </w:pPr>
          </w:p>
        </w:tc>
        <w:tc>
          <w:tcPr>
            <w:tcW w:w="17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41548314"/>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r>
      <w:tr w:rsidR="00000000">
        <w:trPr>
          <w:divId w:val="841548314"/>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r>
      <w:tr w:rsidR="00000000">
        <w:trPr>
          <w:divId w:val="84154831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r>
      <w:tr w:rsidR="00000000">
        <w:trPr>
          <w:divId w:val="8415483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321734534"/>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38,115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33,804 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841548314"/>
        </w:trPr>
        <w:tc>
          <w:tcPr>
            <w:tcW w:w="0" w:type="auto"/>
            <w:gridSpan w:val="3"/>
            <w:shd w:val="clear" w:color="auto" w:fill="FFFFFF"/>
            <w:tcMar>
              <w:top w:w="30" w:type="dxa"/>
              <w:left w:w="20" w:type="dxa"/>
              <w:bottom w:w="30" w:type="dxa"/>
              <w:right w:w="20" w:type="dxa"/>
            </w:tcMar>
            <w:vAlign w:val="center"/>
            <w:hideMark/>
          </w:tcPr>
          <w:p w:rsidR="00000000" w:rsidRDefault="00795D39">
            <w:pPr>
              <w:divId w:val="104424025"/>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196,575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154,442 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540 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154831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Time deposits less than $100,000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26,626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28,174 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1548314"/>
        </w:trPr>
        <w:tc>
          <w:tcPr>
            <w:tcW w:w="0" w:type="auto"/>
            <w:gridSpan w:val="3"/>
            <w:shd w:val="clear" w:color="auto" w:fill="FFFFFF"/>
            <w:tcMar>
              <w:top w:w="30" w:type="dxa"/>
              <w:left w:w="13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interest-bearing core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261,316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216,420 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154831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Time deposits of $100,000 or more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15,023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15,643 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41548314"/>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4154831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276,339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232,063 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2532"/>
        <w:gridCol w:w="37"/>
        <w:gridCol w:w="36"/>
        <w:gridCol w:w="36"/>
        <w:gridCol w:w="36"/>
        <w:gridCol w:w="110"/>
        <w:gridCol w:w="630"/>
        <w:gridCol w:w="36"/>
        <w:gridCol w:w="36"/>
        <w:gridCol w:w="36"/>
        <w:gridCol w:w="36"/>
        <w:gridCol w:w="111"/>
        <w:gridCol w:w="541"/>
        <w:gridCol w:w="36"/>
        <w:gridCol w:w="36"/>
        <w:gridCol w:w="36"/>
        <w:gridCol w:w="36"/>
        <w:gridCol w:w="63"/>
        <w:gridCol w:w="549"/>
        <w:gridCol w:w="200"/>
        <w:gridCol w:w="36"/>
        <w:gridCol w:w="36"/>
        <w:gridCol w:w="36"/>
        <w:gridCol w:w="110"/>
        <w:gridCol w:w="630"/>
        <w:gridCol w:w="36"/>
        <w:gridCol w:w="36"/>
        <w:gridCol w:w="36"/>
        <w:gridCol w:w="36"/>
        <w:gridCol w:w="111"/>
        <w:gridCol w:w="541"/>
        <w:gridCol w:w="36"/>
        <w:gridCol w:w="36"/>
        <w:gridCol w:w="36"/>
        <w:gridCol w:w="36"/>
        <w:gridCol w:w="63"/>
        <w:gridCol w:w="549"/>
        <w:gridCol w:w="170"/>
        <w:gridCol w:w="36"/>
        <w:gridCol w:w="36"/>
        <w:gridCol w:w="36"/>
        <w:gridCol w:w="36"/>
        <w:gridCol w:w="36"/>
        <w:gridCol w:w="36"/>
        <w:gridCol w:w="36"/>
        <w:gridCol w:w="36"/>
        <w:gridCol w:w="36"/>
        <w:gridCol w:w="36"/>
        <w:gridCol w:w="36"/>
        <w:gridCol w:w="36"/>
        <w:gridCol w:w="36"/>
        <w:gridCol w:w="36"/>
      </w:tblGrid>
      <w:tr w:rsidR="00000000">
        <w:trPr>
          <w:divId w:val="1120608919"/>
        </w:trPr>
        <w:tc>
          <w:tcPr>
            <w:tcW w:w="50" w:type="pct"/>
            <w:vAlign w:val="center"/>
            <w:hideMark/>
          </w:tcPr>
          <w:p w:rsidR="00000000" w:rsidRDefault="00795D39">
            <w:pPr>
              <w:jc w:val="both"/>
              <w:rPr>
                <w:rFonts w:eastAsia="Times New Roman"/>
              </w:rPr>
            </w:pPr>
          </w:p>
        </w:tc>
        <w:tc>
          <w:tcPr>
            <w:tcW w:w="17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12060891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r>
            <w:r>
              <w:rPr>
                <w:rFonts w:eastAsia="Times New Roman"/>
                <w:b/>
                <w:bCs/>
                <w:color w:val="000000"/>
                <w:sz w:val="16"/>
                <w:szCs w:val="16"/>
              </w:rPr>
              <w:t>Interest Rate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655718695"/>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36,201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34,437 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shd w:val="clear" w:color="auto" w:fill="FFFFFF"/>
            <w:tcMar>
              <w:top w:w="30" w:type="dxa"/>
              <w:left w:w="20" w:type="dxa"/>
              <w:bottom w:w="30" w:type="dxa"/>
              <w:right w:w="20" w:type="dxa"/>
            </w:tcMar>
            <w:vAlign w:val="center"/>
            <w:hideMark/>
          </w:tcPr>
          <w:p w:rsidR="00000000" w:rsidRDefault="00795D39">
            <w:pPr>
              <w:divId w:val="1758743239"/>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179,643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154,168 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1,565 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Time deposits less than $100,000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26,898 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555 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shd w:val="clear" w:color="auto" w:fill="FFFFFF"/>
            <w:tcMar>
              <w:top w:w="30" w:type="dxa"/>
              <w:left w:w="13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interest-bearing core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243,321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215,503 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Time deposits of $100,000 or more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16,310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14,542 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245 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2060891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259,631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1,818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230,045 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2,588 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2071462580"/>
        <w:rPr>
          <w:rFonts w:eastAsia="Times New Roman"/>
        </w:rPr>
      </w:pPr>
      <w:r>
        <w:rPr>
          <w:rFonts w:eastAsia="Times New Roman"/>
          <w:color w:val="000000"/>
          <w:sz w:val="20"/>
          <w:szCs w:val="20"/>
        </w:rPr>
        <w:t>__________</w:t>
      </w:r>
    </w:p>
    <w:p w:rsidR="00000000" w:rsidRDefault="00795D39">
      <w:pPr>
        <w:ind w:hanging="360"/>
        <w:jc w:val="both"/>
        <w:divId w:val="125300535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negotiable order of withdrawal accounts.</w:t>
      </w:r>
    </w:p>
    <w:p w:rsidR="00000000" w:rsidRDefault="00795D39">
      <w:pPr>
        <w:ind w:hanging="360"/>
        <w:jc w:val="both"/>
        <w:divId w:val="169437613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p w:rsidR="00000000" w:rsidRDefault="00795D39">
      <w:pPr>
        <w:jc w:val="both"/>
        <w:divId w:val="2083720408"/>
        <w:rPr>
          <w:rFonts w:eastAsia="Times New Roman"/>
        </w:rPr>
      </w:pPr>
      <w:r>
        <w:rPr>
          <w:rFonts w:eastAsia="Times New Roman"/>
          <w:color w:val="000000"/>
          <w:sz w:val="20"/>
          <w:szCs w:val="20"/>
        </w:rPr>
        <w:t>The FDIC limits the acceptance of brokered deposits to well-capitalized insured depository institutions and, with a waiver from the FDIC, to adequately-capitalized</w:t>
      </w:r>
      <w:r>
        <w:rPr>
          <w:rFonts w:eastAsia="Times New Roman"/>
          <w:color w:val="000000"/>
          <w:sz w:val="20"/>
          <w:szCs w:val="20"/>
        </w:rPr>
        <w:t xml:space="preserve"> institutions. COBNA and CONA were well-capitalized, as defined under the federal banking regulatory guidelines, as of September 30, 2020 and December 31, 2019, respectively. See “Part I—Item 1. Business—Supervision and Regulation” in our 2019 Form 10-K fo</w:t>
      </w:r>
      <w:r>
        <w:rPr>
          <w:rFonts w:eastAsia="Times New Roman"/>
          <w:color w:val="000000"/>
          <w:sz w:val="20"/>
          <w:szCs w:val="20"/>
        </w:rPr>
        <w:t>r additional information. We provide additional information on the composition of deposits in “MD&amp;A—Consolidated Balance Sheets Analysis—Funding Sources Composition” and in “Note 7—Deposits and Borrowings.”</w:t>
      </w:r>
    </w:p>
    <w:tbl>
      <w:tblPr>
        <w:tblW w:w="4985" w:type="pct"/>
        <w:tblCellMar>
          <w:top w:w="15" w:type="dxa"/>
          <w:left w:w="15" w:type="dxa"/>
          <w:bottom w:w="15" w:type="dxa"/>
          <w:right w:w="15" w:type="dxa"/>
        </w:tblCellMar>
        <w:tblLook w:val="04A0" w:firstRow="1" w:lastRow="0" w:firstColumn="1" w:lastColumn="0" w:noHBand="0" w:noVBand="1"/>
      </w:tblPr>
      <w:tblGrid>
        <w:gridCol w:w="56"/>
        <w:gridCol w:w="2848"/>
        <w:gridCol w:w="36"/>
        <w:gridCol w:w="36"/>
        <w:gridCol w:w="36"/>
        <w:gridCol w:w="36"/>
        <w:gridCol w:w="36"/>
        <w:gridCol w:w="708"/>
        <w:gridCol w:w="36"/>
        <w:gridCol w:w="36"/>
        <w:gridCol w:w="36"/>
        <w:gridCol w:w="36"/>
        <w:gridCol w:w="36"/>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tblGrid>
      <w:tr w:rsidR="00000000">
        <w:trPr>
          <w:divId w:val="451479909"/>
        </w:trPr>
        <w:tc>
          <w:tcPr>
            <w:tcW w:w="50" w:type="pct"/>
            <w:vAlign w:val="center"/>
            <w:hideMark/>
          </w:tcPr>
          <w:p w:rsidR="00000000" w:rsidRDefault="00795D39">
            <w:pPr>
              <w:jc w:val="both"/>
              <w:rPr>
                <w:rFonts w:eastAsia="Times New Roman"/>
              </w:rPr>
            </w:pPr>
          </w:p>
        </w:tc>
        <w:tc>
          <w:tcPr>
            <w:tcW w:w="17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51479909"/>
          <w:trHeight w:val="6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451479909"/>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1987972314"/>
        <w:rPr>
          <w:rFonts w:eastAsia="Times New Roman"/>
        </w:rPr>
      </w:pPr>
      <w:r>
        <w:rPr>
          <w:rFonts w:eastAsia="Times New Roman"/>
          <w:b/>
          <w:bCs/>
          <w:i/>
          <w:iCs/>
          <w:color w:val="000000"/>
          <w:sz w:val="20"/>
          <w:szCs w:val="20"/>
        </w:rPr>
        <w:t>Short-Term Borrowings and Long-Term Debt</w:t>
      </w:r>
    </w:p>
    <w:p w:rsidR="00000000" w:rsidRDefault="00795D39">
      <w:pPr>
        <w:jc w:val="both"/>
        <w:divId w:val="467356928"/>
        <w:rPr>
          <w:rFonts w:eastAsia="Times New Roman"/>
        </w:rPr>
      </w:pPr>
      <w:r>
        <w:rPr>
          <w:rFonts w:eastAsia="Times New Roman"/>
          <w:color w:val="000000"/>
          <w:sz w:val="20"/>
          <w:szCs w:val="20"/>
        </w:rPr>
        <w:t>We access the capital markets to meet our funding needs through the issuance of senior and subordinated notes, securitized debt obligations, and federal funds purchased and securities loaned or sold under agreements</w:t>
      </w:r>
      <w:r>
        <w:rPr>
          <w:rFonts w:eastAsia="Times New Roman"/>
          <w:color w:val="000000"/>
          <w:sz w:val="20"/>
          <w:szCs w:val="20"/>
        </w:rPr>
        <w:t xml:space="preserve"> to repurchase. In addition, we may utilize short-term and long-term FHLB advances secured by certain of our investment securities, multifamily real estate loans, and commercial real estate loans. </w:t>
      </w:r>
    </w:p>
    <w:p w:rsidR="00000000" w:rsidRDefault="00795D39">
      <w:pPr>
        <w:jc w:val="both"/>
        <w:divId w:val="374234309"/>
        <w:rPr>
          <w:rFonts w:eastAsia="Times New Roman"/>
        </w:rPr>
      </w:pPr>
      <w:r>
        <w:rPr>
          <w:rFonts w:eastAsia="Times New Roman"/>
          <w:color w:val="000000"/>
          <w:sz w:val="20"/>
          <w:szCs w:val="20"/>
        </w:rPr>
        <w:t>Our short-term borrowings include those borrowings with an original contractual maturity of one year or less and do not include the current portion of long-term debt. The short-term borrowings, which consist of short-term FHLB advances and federal funds pu</w:t>
      </w:r>
      <w:r>
        <w:rPr>
          <w:rFonts w:eastAsia="Times New Roman"/>
          <w:color w:val="000000"/>
          <w:sz w:val="20"/>
          <w:szCs w:val="20"/>
        </w:rPr>
        <w:t>rchased, securities loaned or sold under agreements to repurchase, decreased by $6.6 billion to $702 million as of September 30, 2020 from December 31, 2019 driven by maturities of our short-term FHLB advances.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6524481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6524481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6524481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2" style="width:0;height:1.5pt" o:hralign="center" o:hrstd="t" o:hr="t" fillcolor="#a0a0a0" stroked="f"/>
        </w:pict>
      </w:r>
    </w:p>
    <w:p w:rsidR="00000000" w:rsidRDefault="00795D39">
      <w:pPr>
        <w:jc w:val="both"/>
        <w:divId w:val="117364502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413551216"/>
        <w:rPr>
          <w:rFonts w:eastAsia="Times New Roman"/>
        </w:rPr>
      </w:pPr>
      <w:r>
        <w:rPr>
          <w:rFonts w:eastAsia="Times New Roman"/>
          <w:color w:val="000000"/>
          <w:sz w:val="20"/>
          <w:szCs w:val="20"/>
        </w:rPr>
        <w:t>Our long-term debt, which primarily consists of securitized debt obligations and senior and subordinated notes, decreased by $6.3 billion to $42</w:t>
      </w:r>
      <w:r>
        <w:rPr>
          <w:rFonts w:eastAsia="Times New Roman"/>
          <w:color w:val="000000"/>
          <w:sz w:val="20"/>
          <w:szCs w:val="20"/>
        </w:rPr>
        <w:t>.1 billion as of September 30, 2020 from December 31, 2019 primarily due to the repurchase of a portion of our senior unsecured debt and net maturities in our credit card securitization program. We provide more information on our securitization activity in</w:t>
      </w:r>
      <w:r>
        <w:rPr>
          <w:rFonts w:eastAsia="Times New Roman"/>
          <w:color w:val="000000"/>
          <w:sz w:val="20"/>
          <w:szCs w:val="20"/>
        </w:rPr>
        <w:t xml:space="preserve"> “Note 5—Variable Interest Entities and Securitizations.”</w:t>
      </w:r>
    </w:p>
    <w:p w:rsidR="00000000" w:rsidRDefault="00795D39">
      <w:pPr>
        <w:jc w:val="both"/>
        <w:divId w:val="1249534089"/>
        <w:rPr>
          <w:rFonts w:eastAsia="Times New Roman"/>
        </w:rPr>
      </w:pPr>
      <w:r>
        <w:rPr>
          <w:rFonts w:eastAsia="Times New Roman"/>
          <w:color w:val="000000"/>
          <w:sz w:val="20"/>
          <w:szCs w:val="20"/>
        </w:rPr>
        <w:t>On October 1, 2020, pursuant to a tender offer, we repurchased approximately $308 million of securitized debt obligations issued through our credit card securitization program.</w:t>
      </w:r>
    </w:p>
    <w:p w:rsidR="00000000" w:rsidRDefault="00795D39">
      <w:pPr>
        <w:jc w:val="both"/>
        <w:divId w:val="454911735"/>
        <w:rPr>
          <w:rFonts w:eastAsia="Times New Roman"/>
        </w:rPr>
      </w:pPr>
      <w:r>
        <w:rPr>
          <w:rFonts w:eastAsia="Times New Roman"/>
          <w:color w:val="000000"/>
          <w:sz w:val="20"/>
          <w:szCs w:val="20"/>
        </w:rPr>
        <w:t>The following table s</w:t>
      </w:r>
      <w:r>
        <w:rPr>
          <w:rFonts w:eastAsia="Times New Roman"/>
          <w:color w:val="000000"/>
          <w:sz w:val="20"/>
          <w:szCs w:val="20"/>
        </w:rPr>
        <w:t>ummarizes issuances of securitized debt obligations, senior and subordinated notes, and FHLB advances and their respective maturities or redemptions for the third quarter and first nine months of 2020 and 2019.</w:t>
      </w:r>
    </w:p>
    <w:p w:rsidR="00000000" w:rsidRDefault="00795D39">
      <w:pPr>
        <w:divId w:val="1160732721"/>
        <w:rPr>
          <w:rFonts w:eastAsia="Times New Roman"/>
        </w:rPr>
      </w:pPr>
      <w:r>
        <w:rPr>
          <w:rFonts w:eastAsia="Times New Roman"/>
          <w:b/>
          <w:bCs/>
          <w:color w:val="000000"/>
          <w:sz w:val="18"/>
          <w:szCs w:val="18"/>
        </w:rPr>
        <w:t>Table 33: Long-Term Funding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831"/>
        <w:gridCol w:w="38"/>
        <w:gridCol w:w="36"/>
        <w:gridCol w:w="36"/>
        <w:gridCol w:w="36"/>
        <w:gridCol w:w="110"/>
        <w:gridCol w:w="840"/>
        <w:gridCol w:w="36"/>
        <w:gridCol w:w="36"/>
        <w:gridCol w:w="36"/>
        <w:gridCol w:w="36"/>
        <w:gridCol w:w="110"/>
        <w:gridCol w:w="841"/>
        <w:gridCol w:w="36"/>
        <w:gridCol w:w="36"/>
        <w:gridCol w:w="36"/>
        <w:gridCol w:w="36"/>
        <w:gridCol w:w="111"/>
        <w:gridCol w:w="842"/>
        <w:gridCol w:w="37"/>
        <w:gridCol w:w="37"/>
        <w:gridCol w:w="37"/>
        <w:gridCol w:w="36"/>
        <w:gridCol w:w="110"/>
        <w:gridCol w:w="842"/>
        <w:gridCol w:w="36"/>
      </w:tblGrid>
      <w:tr w:rsidR="00000000">
        <w:trPr>
          <w:divId w:val="1419134845"/>
        </w:trPr>
        <w:tc>
          <w:tcPr>
            <w:tcW w:w="50" w:type="pct"/>
            <w:vAlign w:val="center"/>
            <w:hideMark/>
          </w:tcPr>
          <w:p w:rsidR="00000000" w:rsidRDefault="00795D39">
            <w:pPr>
              <w:rPr>
                <w:rFonts w:eastAsia="Times New Roman"/>
              </w:rPr>
            </w:pPr>
          </w:p>
        </w:tc>
        <w:tc>
          <w:tcPr>
            <w:tcW w:w="233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6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19134845"/>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Issuances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Maturities/Redemptions</w:t>
            </w:r>
          </w:p>
        </w:tc>
      </w:tr>
      <w:tr w:rsidR="00000000">
        <w:trPr>
          <w:divId w:val="1419134845"/>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Three Months Ended September 30,</w:t>
            </w:r>
          </w:p>
        </w:tc>
      </w:tr>
      <w:tr w:rsidR="00000000">
        <w:trPr>
          <w:divId w:val="1419134845"/>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r>
      <w:tr w:rsidR="00000000">
        <w:trPr>
          <w:divId w:val="14191348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191348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191348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FHLB advances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191348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877"/>
        <w:gridCol w:w="144"/>
        <w:gridCol w:w="144"/>
        <w:gridCol w:w="144"/>
        <w:gridCol w:w="144"/>
        <w:gridCol w:w="144"/>
        <w:gridCol w:w="927"/>
        <w:gridCol w:w="144"/>
        <w:gridCol w:w="144"/>
        <w:gridCol w:w="144"/>
        <w:gridCol w:w="144"/>
        <w:gridCol w:w="144"/>
        <w:gridCol w:w="927"/>
        <w:gridCol w:w="144"/>
        <w:gridCol w:w="144"/>
        <w:gridCol w:w="144"/>
        <w:gridCol w:w="144"/>
        <w:gridCol w:w="144"/>
        <w:gridCol w:w="927"/>
        <w:gridCol w:w="144"/>
        <w:gridCol w:w="144"/>
        <w:gridCol w:w="144"/>
        <w:gridCol w:w="144"/>
        <w:gridCol w:w="144"/>
        <w:gridCol w:w="928"/>
        <w:gridCol w:w="144"/>
      </w:tblGrid>
      <w:tr w:rsidR="00000000">
        <w:tc>
          <w:tcPr>
            <w:tcW w:w="50" w:type="pct"/>
            <w:vAlign w:val="center"/>
            <w:hideMark/>
          </w:tcPr>
          <w:p w:rsidR="00000000" w:rsidRDefault="00795D39">
            <w:pPr>
              <w:rPr>
                <w:rFonts w:eastAsia="Times New Roman"/>
              </w:rPr>
            </w:pPr>
          </w:p>
        </w:tc>
        <w:tc>
          <w:tcPr>
            <w:tcW w:w="233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6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Issuances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Maturities/Redemptions</w:t>
            </w:r>
          </w:p>
        </w:tc>
      </w:tr>
      <w:tr w:rsidR="00000000">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Nine Months Ended September 30,</w:t>
            </w: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5,344 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FHLB advances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12,844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11,817 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479571095"/>
        <w:rPr>
          <w:rFonts w:eastAsia="Times New Roman"/>
        </w:rPr>
      </w:pPr>
      <w:r>
        <w:rPr>
          <w:rFonts w:eastAsia="Times New Roman"/>
          <w:b/>
          <w:bCs/>
          <w:color w:val="000000"/>
          <w:sz w:val="20"/>
          <w:szCs w:val="20"/>
        </w:rPr>
        <w:t>Credit Ratings</w:t>
      </w:r>
    </w:p>
    <w:p w:rsidR="00000000" w:rsidRDefault="00795D39">
      <w:pPr>
        <w:jc w:val="both"/>
        <w:divId w:val="878005386"/>
        <w:rPr>
          <w:rFonts w:eastAsia="Times New Roman"/>
        </w:rPr>
      </w:pPr>
      <w:r>
        <w:rPr>
          <w:rFonts w:eastAsia="Times New Roman"/>
          <w:color w:val="000000"/>
          <w:sz w:val="20"/>
          <w:szCs w:val="20"/>
        </w:rPr>
        <w:t>Our credit ratings impact our ability to access capital markets and our borrowing costs. Rating agencies base their ratings on numerous factors, including liquidity, capital adequacy, asset quality, quality of earnings and the probability of systemic suppo</w:t>
      </w:r>
      <w:r>
        <w:rPr>
          <w:rFonts w:eastAsia="Times New Roman"/>
          <w:color w:val="000000"/>
          <w:sz w:val="20"/>
          <w:szCs w:val="20"/>
        </w:rPr>
        <w:t>rt. Significant changes in these factors could result in different ratings.</w:t>
      </w:r>
    </w:p>
    <w:p w:rsidR="00000000" w:rsidRDefault="00795D39">
      <w:pPr>
        <w:jc w:val="both"/>
        <w:divId w:val="1863280260"/>
        <w:rPr>
          <w:rFonts w:eastAsia="Times New Roman"/>
        </w:rPr>
      </w:pPr>
      <w:r>
        <w:rPr>
          <w:rFonts w:eastAsia="Times New Roman"/>
          <w:color w:val="000000"/>
          <w:sz w:val="20"/>
          <w:szCs w:val="20"/>
        </w:rPr>
        <w:t>Table 34 provides a summary of the credit ratings for the senior unsecured long-term debt of Capital One Financial Corporation, COBNA and CONA as of September 30, 2020 and December</w:t>
      </w:r>
      <w:r>
        <w:rPr>
          <w:rFonts w:eastAsia="Times New Roman"/>
          <w:color w:val="000000"/>
          <w:sz w:val="20"/>
          <w:szCs w:val="20"/>
        </w:rPr>
        <w:t xml:space="preserve"> 31, 2019.</w:t>
      </w:r>
    </w:p>
    <w:p w:rsidR="00000000" w:rsidRDefault="00795D39">
      <w:pPr>
        <w:divId w:val="138696645"/>
        <w:rPr>
          <w:rFonts w:eastAsia="Times New Roman"/>
        </w:rPr>
      </w:pPr>
      <w:r>
        <w:rPr>
          <w:rFonts w:eastAsia="Times New Roman"/>
          <w:b/>
          <w:bCs/>
          <w:color w:val="000000"/>
          <w:sz w:val="18"/>
          <w:szCs w:val="18"/>
        </w:rPr>
        <w:t>Table 34: Senior Unsecured Long-Term Debt Credit Ratings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930"/>
        <w:gridCol w:w="36"/>
        <w:gridCol w:w="36"/>
        <w:gridCol w:w="36"/>
        <w:gridCol w:w="36"/>
        <w:gridCol w:w="92"/>
        <w:gridCol w:w="793"/>
        <w:gridCol w:w="37"/>
        <w:gridCol w:w="37"/>
        <w:gridCol w:w="37"/>
        <w:gridCol w:w="37"/>
        <w:gridCol w:w="64"/>
        <w:gridCol w:w="579"/>
        <w:gridCol w:w="36"/>
        <w:gridCol w:w="36"/>
        <w:gridCol w:w="36"/>
        <w:gridCol w:w="36"/>
        <w:gridCol w:w="53"/>
        <w:gridCol w:w="631"/>
        <w:gridCol w:w="36"/>
        <w:gridCol w:w="36"/>
        <w:gridCol w:w="36"/>
        <w:gridCol w:w="36"/>
        <w:gridCol w:w="92"/>
        <w:gridCol w:w="793"/>
        <w:gridCol w:w="37"/>
        <w:gridCol w:w="37"/>
        <w:gridCol w:w="37"/>
        <w:gridCol w:w="37"/>
        <w:gridCol w:w="64"/>
        <w:gridCol w:w="583"/>
        <w:gridCol w:w="36"/>
        <w:gridCol w:w="36"/>
        <w:gridCol w:w="36"/>
        <w:gridCol w:w="36"/>
        <w:gridCol w:w="53"/>
        <w:gridCol w:w="632"/>
        <w:gridCol w:w="36"/>
      </w:tblGrid>
      <w:tr w:rsidR="00000000">
        <w:trPr>
          <w:divId w:val="63839343"/>
        </w:trPr>
        <w:tc>
          <w:tcPr>
            <w:tcW w:w="50" w:type="pct"/>
            <w:vAlign w:val="center"/>
            <w:hideMark/>
          </w:tcPr>
          <w:p w:rsidR="00000000" w:rsidRDefault="00795D39">
            <w:pPr>
              <w:rPr>
                <w:rFonts w:eastAsia="Times New Roman"/>
              </w:rPr>
            </w:pPr>
          </w:p>
        </w:tc>
        <w:tc>
          <w:tcPr>
            <w:tcW w:w="178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3839343"/>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63839343"/>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CONA</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CONA</w:t>
            </w:r>
          </w:p>
        </w:tc>
      </w:tr>
      <w:tr w:rsidR="00000000">
        <w:trPr>
          <w:divId w:val="6383934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Moody’s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Baa1</w:t>
            </w:r>
          </w:p>
        </w:tc>
      </w:tr>
      <w:tr w:rsidR="00000000">
        <w:trPr>
          <w:divId w:val="6383934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S&amp;P</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BBB+</w:t>
            </w:r>
          </w:p>
        </w:tc>
      </w:tr>
      <w:tr w:rsidR="00000000">
        <w:trPr>
          <w:divId w:val="6383934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Fitch</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A-</w:t>
            </w:r>
          </w:p>
        </w:tc>
      </w:tr>
    </w:tbl>
    <w:p w:rsidR="00000000" w:rsidRDefault="00795D39">
      <w:pPr>
        <w:jc w:val="both"/>
        <w:divId w:val="1502618205"/>
        <w:rPr>
          <w:rFonts w:eastAsia="Times New Roman"/>
        </w:rPr>
      </w:pPr>
      <w:r>
        <w:rPr>
          <w:rFonts w:eastAsia="Times New Roman"/>
          <w:color w:val="000000"/>
          <w:sz w:val="20"/>
          <w:szCs w:val="20"/>
          <w:shd w:val="clear" w:color="auto" w:fill="FFFFFF"/>
        </w:rPr>
        <w:t xml:space="preserve">As of </w:t>
      </w:r>
      <w:r>
        <w:rPr>
          <w:rFonts w:eastAsia="Times New Roman"/>
          <w:color w:val="000000"/>
          <w:sz w:val="20"/>
          <w:szCs w:val="20"/>
        </w:rPr>
        <w:t>October 28, 2020</w:t>
      </w:r>
      <w:r>
        <w:rPr>
          <w:rFonts w:eastAsia="Times New Roman"/>
          <w:color w:val="000000"/>
          <w:sz w:val="20"/>
          <w:szCs w:val="20"/>
          <w:shd w:val="clear" w:color="auto" w:fill="FFFFFF"/>
        </w:rPr>
        <w:t xml:space="preserve">, Moody’s Investors Service (“Moody’s”), Standard &amp; Poor’s (“S&amp;P”), and Fitch Ratings (“Fitch”) have our credit ratings on a </w:t>
      </w:r>
      <w:r>
        <w:rPr>
          <w:rFonts w:eastAsia="Times New Roman"/>
          <w:color w:val="000000"/>
          <w:sz w:val="20"/>
          <w:szCs w:val="20"/>
        </w:rPr>
        <w:t>negative outlook.</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618536482"/>
          <w:jc w:val="center"/>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18536482"/>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divId w:val="1831411632"/>
              <w:rPr>
                <w:rFonts w:eastAsia="Times New Roman"/>
              </w:rPr>
            </w:pPr>
            <w:r>
              <w:rPr>
                <w:rFonts w:eastAsia="Times New Roman"/>
                <w:b/>
                <w:bCs/>
                <w:color w:val="000000"/>
                <w:sz w:val="20"/>
                <w:szCs w:val="20"/>
              </w:rPr>
              <w:t>MARKET RISK PROFILE</w:t>
            </w:r>
          </w:p>
        </w:tc>
      </w:tr>
    </w:tbl>
    <w:p w:rsidR="00000000" w:rsidRDefault="00795D39">
      <w:pPr>
        <w:jc w:val="both"/>
        <w:divId w:val="126440685"/>
        <w:rPr>
          <w:rFonts w:eastAsia="Times New Roman"/>
        </w:rPr>
      </w:pPr>
      <w:r>
        <w:rPr>
          <w:rFonts w:eastAsia="Times New Roman"/>
          <w:color w:val="000000"/>
          <w:sz w:val="20"/>
          <w:szCs w:val="20"/>
        </w:rPr>
        <w:t>Market risk is the risk of economic loss in the value of our financial instruments due to changes in market factors. Our primary market risk exposures include interest rate risk, foreign exchange risk and commodity pricing risk. We are exposed to market ri</w:t>
      </w:r>
      <w:r>
        <w:rPr>
          <w:rFonts w:eastAsia="Times New Roman"/>
          <w:color w:val="000000"/>
          <w:sz w:val="20"/>
          <w:szCs w:val="20"/>
        </w:rPr>
        <w:t>sk primarily from the following operations and activities: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57608796"/>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5760879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5760879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3" style="width:0;height:1.5pt" o:hralign="center" o:hrstd="t" o:hr="t" fillcolor="#a0a0a0" stroked="f"/>
        </w:pict>
      </w:r>
    </w:p>
    <w:p w:rsidR="00000000" w:rsidRDefault="00795D39">
      <w:pPr>
        <w:jc w:val="both"/>
        <w:divId w:val="184038502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ind w:hanging="360"/>
        <w:jc w:val="both"/>
        <w:divId w:val="1297837852"/>
        <w:rPr>
          <w:rFonts w:eastAsia="Times New Roman"/>
        </w:rPr>
      </w:pPr>
      <w:r>
        <w:rPr>
          <w:rFonts w:eastAsia="Times New Roman"/>
          <w:color w:val="000000"/>
          <w:sz w:val="20"/>
          <w:szCs w:val="20"/>
        </w:rPr>
        <w:t>•Traditional banking activities of deposit gathering and lending;</w:t>
      </w:r>
    </w:p>
    <w:p w:rsidR="00000000" w:rsidRDefault="00795D39">
      <w:pPr>
        <w:ind w:hanging="360"/>
        <w:jc w:val="both"/>
        <w:divId w:val="522323569"/>
        <w:rPr>
          <w:rFonts w:eastAsia="Times New Roman"/>
        </w:rPr>
      </w:pPr>
      <w:r>
        <w:rPr>
          <w:rFonts w:eastAsia="Times New Roman"/>
          <w:color w:val="000000"/>
          <w:sz w:val="20"/>
          <w:szCs w:val="20"/>
        </w:rPr>
        <w:t xml:space="preserve">•Asset/liability management activities including the management of investment </w:t>
      </w:r>
      <w:r>
        <w:rPr>
          <w:rFonts w:eastAsia="Times New Roman"/>
          <w:color w:val="000000"/>
          <w:sz w:val="20"/>
          <w:szCs w:val="20"/>
        </w:rPr>
        <w:t>securities, short-term and long-term borrowings and derivatives;</w:t>
      </w:r>
    </w:p>
    <w:p w:rsidR="00000000" w:rsidRDefault="00795D39">
      <w:pPr>
        <w:ind w:hanging="360"/>
        <w:jc w:val="both"/>
        <w:divId w:val="422722140"/>
        <w:rPr>
          <w:rFonts w:eastAsia="Times New Roman"/>
        </w:rPr>
      </w:pPr>
      <w:r>
        <w:rPr>
          <w:rFonts w:eastAsia="Times New Roman"/>
          <w:color w:val="000000"/>
          <w:sz w:val="20"/>
          <w:szCs w:val="20"/>
        </w:rPr>
        <w:t>•Foreign operations in the U.K. and Canada within our Credit Card business; and</w:t>
      </w:r>
    </w:p>
    <w:p w:rsidR="00000000" w:rsidRDefault="00795D39">
      <w:pPr>
        <w:ind w:hanging="360"/>
        <w:jc w:val="both"/>
        <w:divId w:val="1998146902"/>
        <w:rPr>
          <w:rFonts w:eastAsia="Times New Roman"/>
        </w:rPr>
      </w:pPr>
      <w:r>
        <w:rPr>
          <w:rFonts w:eastAsia="Times New Roman"/>
          <w:color w:val="000000"/>
          <w:sz w:val="20"/>
          <w:szCs w:val="20"/>
        </w:rPr>
        <w:t>•Customer accommodation activities within our Commercial Banking business.</w:t>
      </w:r>
    </w:p>
    <w:p w:rsidR="00000000" w:rsidRDefault="00795D39">
      <w:pPr>
        <w:jc w:val="both"/>
        <w:divId w:val="207842164"/>
        <w:rPr>
          <w:rFonts w:eastAsia="Times New Roman"/>
        </w:rPr>
      </w:pPr>
      <w:r>
        <w:rPr>
          <w:rFonts w:eastAsia="Times New Roman"/>
          <w:color w:val="000000"/>
          <w:sz w:val="20"/>
          <w:szCs w:val="20"/>
        </w:rPr>
        <w:t>We have enterprise-wide risk managem</w:t>
      </w:r>
      <w:r>
        <w:rPr>
          <w:rFonts w:eastAsia="Times New Roman"/>
          <w:color w:val="000000"/>
          <w:sz w:val="20"/>
          <w:szCs w:val="20"/>
        </w:rPr>
        <w:t>ent policies and limits, approved by our Board of Directors, which govern our market risk management activities. Our objective is to manage our exposure to market risk in accordance with these policies and limits based on prevailing market conditions and l</w:t>
      </w:r>
      <w:r>
        <w:rPr>
          <w:rFonts w:eastAsia="Times New Roman"/>
          <w:color w:val="000000"/>
          <w:sz w:val="20"/>
          <w:szCs w:val="20"/>
        </w:rPr>
        <w:t>ong-term expectations. We provide additional information below about our primary sources of market risk, our market risk management strategies and the measures that we use to evaluate these exposures.</w:t>
      </w:r>
    </w:p>
    <w:p w:rsidR="00000000" w:rsidRDefault="00795D39">
      <w:pPr>
        <w:divId w:val="1623074560"/>
        <w:rPr>
          <w:rFonts w:eastAsia="Times New Roman"/>
        </w:rPr>
      </w:pPr>
      <w:r>
        <w:rPr>
          <w:rFonts w:eastAsia="Times New Roman"/>
          <w:b/>
          <w:bCs/>
          <w:color w:val="000000"/>
          <w:sz w:val="20"/>
          <w:szCs w:val="20"/>
        </w:rPr>
        <w:t>Interest Rate Risk</w:t>
      </w:r>
    </w:p>
    <w:p w:rsidR="00000000" w:rsidRDefault="00795D39">
      <w:pPr>
        <w:jc w:val="both"/>
        <w:divId w:val="877550074"/>
        <w:rPr>
          <w:rFonts w:eastAsia="Times New Roman"/>
        </w:rPr>
      </w:pPr>
      <w:r>
        <w:rPr>
          <w:rFonts w:eastAsia="Times New Roman"/>
          <w:color w:val="000000"/>
          <w:sz w:val="20"/>
          <w:szCs w:val="20"/>
        </w:rPr>
        <w:t>Interest rate risk represents exposu</w:t>
      </w:r>
      <w:r>
        <w:rPr>
          <w:rFonts w:eastAsia="Times New Roman"/>
          <w:color w:val="000000"/>
          <w:sz w:val="20"/>
          <w:szCs w:val="20"/>
        </w:rPr>
        <w:t>re to financial instruments whose values vary with the level or volatility of interest rates. We are exposed to interest rate risk primarily from the differences in the timing between the maturities or re-pricing of assets and liabilities. We manage our in</w:t>
      </w:r>
      <w:r>
        <w:rPr>
          <w:rFonts w:eastAsia="Times New Roman"/>
          <w:color w:val="000000"/>
          <w:sz w:val="20"/>
          <w:szCs w:val="20"/>
        </w:rPr>
        <w:t xml:space="preserve">terest rate risk primarily by entering into interest rate swaps and other derivative instruments, including caps, floors, options, futures and forward contracts. </w:t>
      </w:r>
    </w:p>
    <w:p w:rsidR="00000000" w:rsidRDefault="00795D39">
      <w:pPr>
        <w:jc w:val="both"/>
        <w:divId w:val="1737703292"/>
        <w:rPr>
          <w:rFonts w:eastAsia="Times New Roman"/>
        </w:rPr>
      </w:pPr>
      <w:r>
        <w:rPr>
          <w:rFonts w:eastAsia="Times New Roman"/>
          <w:color w:val="000000"/>
          <w:sz w:val="20"/>
          <w:szCs w:val="20"/>
        </w:rPr>
        <w:t xml:space="preserve">We use various industry standard market risk measurement techniques and analyses to measure, </w:t>
      </w:r>
      <w:r>
        <w:rPr>
          <w:rFonts w:eastAsia="Times New Roman"/>
          <w:color w:val="000000"/>
          <w:sz w:val="20"/>
          <w:szCs w:val="20"/>
        </w:rPr>
        <w:t>assess and manage the impact of changes in interest rates on our net interest income and our economic value of equity and changes in foreign exchange rates on our non-dollar-denominated funding and non-dollar equity investments in foreign operations.</w:t>
      </w:r>
    </w:p>
    <w:p w:rsidR="00000000" w:rsidRDefault="00795D39">
      <w:pPr>
        <w:divId w:val="35786027"/>
        <w:rPr>
          <w:rFonts w:eastAsia="Times New Roman"/>
        </w:rPr>
      </w:pPr>
      <w:r>
        <w:rPr>
          <w:rFonts w:eastAsia="Times New Roman"/>
          <w:b/>
          <w:bCs/>
          <w:i/>
          <w:iCs/>
          <w:color w:val="000000"/>
          <w:sz w:val="20"/>
          <w:szCs w:val="20"/>
        </w:rPr>
        <w:t>Net I</w:t>
      </w:r>
      <w:r>
        <w:rPr>
          <w:rFonts w:eastAsia="Times New Roman"/>
          <w:b/>
          <w:bCs/>
          <w:i/>
          <w:iCs/>
          <w:color w:val="000000"/>
          <w:sz w:val="20"/>
          <w:szCs w:val="20"/>
        </w:rPr>
        <w:t>nterest Income Sensitivity</w:t>
      </w:r>
    </w:p>
    <w:p w:rsidR="00000000" w:rsidRDefault="00795D39">
      <w:pPr>
        <w:jc w:val="both"/>
        <w:divId w:val="1044254265"/>
        <w:rPr>
          <w:rFonts w:eastAsia="Times New Roman"/>
        </w:rPr>
      </w:pPr>
      <w:r>
        <w:rPr>
          <w:rFonts w:eastAsia="Times New Roman"/>
          <w:color w:val="000000"/>
          <w:sz w:val="20"/>
          <w:szCs w:val="20"/>
        </w:rPr>
        <w:t>Our net interest income sensitivity measure estimates the impact on our projected 12-month baseline interest rate-sensitive revenue resulting from movements in interest rates. Interest rate-sensitive revenue consists of net interest income and certain comp</w:t>
      </w:r>
      <w:r>
        <w:rPr>
          <w:rFonts w:eastAsia="Times New Roman"/>
          <w:color w:val="000000"/>
          <w:sz w:val="20"/>
          <w:szCs w:val="20"/>
        </w:rPr>
        <w:t>onents of other non-interest income significantly impacted by movements in interest rates, including changes in the fair value of freestanding interest rate derivatives. In addition to our existing assets and liabilities, we incorporate expected future bus</w:t>
      </w:r>
      <w:r>
        <w:rPr>
          <w:rFonts w:eastAsia="Times New Roman"/>
          <w:color w:val="000000"/>
          <w:sz w:val="20"/>
          <w:szCs w:val="20"/>
        </w:rPr>
        <w:t>iness growth assumptions, such as loan and deposit growth and pricing, and plans for projected changes in our funding mix in our baseline forecast. In measuring the sensitivity of interest rate movements on our projected interest rate-sensitive revenue, we</w:t>
      </w:r>
      <w:r>
        <w:rPr>
          <w:rFonts w:eastAsia="Times New Roman"/>
          <w:color w:val="000000"/>
          <w:sz w:val="20"/>
          <w:szCs w:val="20"/>
        </w:rPr>
        <w:t xml:space="preserve"> assume a hypothetical instantaneous parallel shift in the level of interest rates detailed in Table 35 below. At the current level of interest rates, our interest rate sensitive revenue is expected to increase in higher rate scenarios and decrease modestl</w:t>
      </w:r>
      <w:r>
        <w:rPr>
          <w:rFonts w:eastAsia="Times New Roman"/>
          <w:color w:val="000000"/>
          <w:sz w:val="20"/>
          <w:szCs w:val="20"/>
        </w:rPr>
        <w:t xml:space="preserve">y in lower rate scenarios. Our current sensitivity to upward shocks has increased relative to December 2019 mainly due to the decline in interest rates and the growth in deposits and cash. </w:t>
      </w:r>
    </w:p>
    <w:p w:rsidR="00000000" w:rsidRDefault="00795D39">
      <w:pPr>
        <w:divId w:val="591937222"/>
        <w:rPr>
          <w:rFonts w:eastAsia="Times New Roman"/>
        </w:rPr>
      </w:pPr>
      <w:r>
        <w:rPr>
          <w:rFonts w:eastAsia="Times New Roman"/>
          <w:b/>
          <w:bCs/>
          <w:i/>
          <w:iCs/>
          <w:color w:val="000000"/>
          <w:sz w:val="20"/>
          <w:szCs w:val="20"/>
        </w:rPr>
        <w:t>Economic Value of Equity</w:t>
      </w:r>
    </w:p>
    <w:p w:rsidR="00000000" w:rsidRDefault="00795D39">
      <w:pPr>
        <w:jc w:val="both"/>
        <w:divId w:val="1223518024"/>
        <w:rPr>
          <w:rFonts w:eastAsia="Times New Roman"/>
        </w:rPr>
      </w:pPr>
      <w:r>
        <w:rPr>
          <w:rFonts w:eastAsia="Times New Roman"/>
          <w:color w:val="000000"/>
          <w:sz w:val="20"/>
          <w:szCs w:val="20"/>
        </w:rPr>
        <w:t xml:space="preserve">Our economic value of equity sensitivity </w:t>
      </w:r>
      <w:r>
        <w:rPr>
          <w:rFonts w:eastAsia="Times New Roman"/>
          <w:color w:val="000000"/>
          <w:sz w:val="20"/>
          <w:szCs w:val="20"/>
        </w:rPr>
        <w:t>measure estimates the impact on the net present value of our assets and liabilities, including derivative exposures, resulting from movements in interest rates. Our economic value of equity sensitivity measure is calculated based on our existing assets and</w:t>
      </w:r>
      <w:r>
        <w:rPr>
          <w:rFonts w:eastAsia="Times New Roman"/>
          <w:color w:val="000000"/>
          <w:sz w:val="20"/>
          <w:szCs w:val="20"/>
        </w:rPr>
        <w:t xml:space="preserve"> liabilities, including derivatives, and does not incorporate business growth assumptions or projected balance sheet changes. Key assumptions used in the calculation include projecting rate sensitive prepayments for mortgage securities, loans and other ass</w:t>
      </w:r>
      <w:r>
        <w:rPr>
          <w:rFonts w:eastAsia="Times New Roman"/>
          <w:color w:val="000000"/>
          <w:sz w:val="20"/>
          <w:szCs w:val="20"/>
        </w:rPr>
        <w:t xml:space="preserve">ets, term structure modeling of interest rates, discount spreads, and deposit volume and pricing assumptions. In measuring the sensitivity of interest rate movements on our economic value of equity, we assume a hypothetical instantaneous parallel shift in </w:t>
      </w:r>
      <w:r>
        <w:rPr>
          <w:rFonts w:eastAsia="Times New Roman"/>
          <w:color w:val="000000"/>
          <w:sz w:val="20"/>
          <w:szCs w:val="20"/>
        </w:rPr>
        <w:t>the level of interest rates detailed in Table 35 below. Our current economic value of equity sensitivity profile demonstrates that our economic value of equity increases in higher rate scenarios and decreases in lower interest rate scenarios. Similar to th</w:t>
      </w:r>
      <w:r>
        <w:rPr>
          <w:rFonts w:eastAsia="Times New Roman"/>
          <w:color w:val="000000"/>
          <w:sz w:val="20"/>
          <w:szCs w:val="20"/>
        </w:rPr>
        <w:t xml:space="preserve">e changes in net interest income sensitivity, our current economic value of equity sensitivity to upward shocks has also increased since December 2019 mainly due to the decline in interest rates and the growth in deposits and cash. </w:t>
      </w:r>
    </w:p>
    <w:p w:rsidR="00000000" w:rsidRDefault="00795D39">
      <w:pPr>
        <w:jc w:val="both"/>
        <w:divId w:val="1506705291"/>
        <w:rPr>
          <w:rFonts w:eastAsia="Times New Roman"/>
        </w:rPr>
      </w:pPr>
      <w:r>
        <w:rPr>
          <w:rFonts w:eastAsia="Times New Roman"/>
          <w:color w:val="000000"/>
          <w:sz w:val="20"/>
          <w:szCs w:val="20"/>
        </w:rPr>
        <w:t>Table 35 shows the esti</w:t>
      </w:r>
      <w:r>
        <w:rPr>
          <w:rFonts w:eastAsia="Times New Roman"/>
          <w:color w:val="000000"/>
          <w:sz w:val="20"/>
          <w:szCs w:val="20"/>
        </w:rPr>
        <w:t xml:space="preserve">mated percentage impact on our projected baseline net interest income and economic value of equity calculated under the methodology described above as of September 30, 2020 and December 31, 2019. In instances where a declining interest rate scenario would </w:t>
      </w:r>
      <w:r>
        <w:rPr>
          <w:rFonts w:eastAsia="Times New Roman"/>
          <w:color w:val="000000"/>
          <w:sz w:val="20"/>
          <w:szCs w:val="20"/>
        </w:rPr>
        <w:t>result in a rate less than 0%, we assume a rate of 0% for that scenario.</w:t>
      </w:r>
    </w:p>
    <w:p w:rsidR="00000000" w:rsidRDefault="00795D39">
      <w:pPr>
        <w:divId w:val="89242613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00758845"/>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0075884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0075884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4" style="width:0;height:1.5pt" o:hralign="center" o:hrstd="t" o:hr="t" fillcolor="#a0a0a0" stroked="f"/>
        </w:pict>
      </w:r>
    </w:p>
    <w:p w:rsidR="00000000" w:rsidRDefault="00795D39">
      <w:pPr>
        <w:jc w:val="both"/>
        <w:divId w:val="32625546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1153375620"/>
        <w:rPr>
          <w:rFonts w:eastAsia="Times New Roman"/>
        </w:rPr>
      </w:pPr>
      <w:r>
        <w:rPr>
          <w:rFonts w:eastAsia="Times New Roman"/>
          <w:b/>
          <w:bCs/>
          <w:color w:val="000000"/>
          <w:sz w:val="18"/>
          <w:szCs w:val="18"/>
        </w:rPr>
        <w:t>Table 35: Interest Rate Sensitivity Analysis</w:t>
      </w:r>
    </w:p>
    <w:tbl>
      <w:tblPr>
        <w:tblW w:w="4992" w:type="pct"/>
        <w:tblCellMar>
          <w:top w:w="15" w:type="dxa"/>
          <w:left w:w="15" w:type="dxa"/>
          <w:bottom w:w="15" w:type="dxa"/>
          <w:right w:w="15" w:type="dxa"/>
        </w:tblCellMar>
        <w:tblLook w:val="04A0" w:firstRow="1" w:lastRow="0" w:firstColumn="1" w:lastColumn="0" w:noHBand="0" w:noVBand="1"/>
      </w:tblPr>
      <w:tblGrid>
        <w:gridCol w:w="37"/>
        <w:gridCol w:w="6136"/>
        <w:gridCol w:w="36"/>
        <w:gridCol w:w="36"/>
        <w:gridCol w:w="36"/>
        <w:gridCol w:w="36"/>
        <w:gridCol w:w="73"/>
        <w:gridCol w:w="698"/>
        <w:gridCol w:w="200"/>
        <w:gridCol w:w="36"/>
        <w:gridCol w:w="36"/>
        <w:gridCol w:w="36"/>
        <w:gridCol w:w="69"/>
        <w:gridCol w:w="658"/>
        <w:gridCol w:w="170"/>
      </w:tblGrid>
      <w:tr w:rsidR="00000000">
        <w:trPr>
          <w:divId w:val="2056806688"/>
        </w:trPr>
        <w:tc>
          <w:tcPr>
            <w:tcW w:w="50" w:type="pct"/>
            <w:vAlign w:val="center"/>
            <w:hideMark/>
          </w:tcPr>
          <w:p w:rsidR="00000000" w:rsidRDefault="00795D39">
            <w:pPr>
              <w:rPr>
                <w:rFonts w:eastAsia="Times New Roman"/>
              </w:rPr>
            </w:pPr>
          </w:p>
        </w:tc>
        <w:tc>
          <w:tcPr>
            <w:tcW w:w="380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56806688"/>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205680668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5680668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+200 basis points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2056806688"/>
        </w:trPr>
        <w:tc>
          <w:tcPr>
            <w:tcW w:w="0" w:type="auto"/>
            <w:gridSpan w:val="3"/>
            <w:vAlign w:val="center"/>
            <w:hideMark/>
          </w:tcPr>
          <w:p w:rsidR="00000000" w:rsidRDefault="00795D39">
            <w:pP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5680668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+100 basis points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680668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680668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6806688"/>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56806688"/>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56806688"/>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5680668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Estimated impact on economic value of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5680668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+200 basis points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6806688"/>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5680668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+100 basis points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680668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680668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6806688"/>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56806688"/>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56806688"/>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jc w:val="both"/>
        <w:divId w:val="719980613"/>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rsidR="00000000" w:rsidRDefault="00795D39">
      <w:pPr>
        <w:divId w:val="1295866445"/>
        <w:rPr>
          <w:rFonts w:eastAsia="Times New Roman"/>
        </w:rPr>
      </w:pPr>
      <w:r>
        <w:rPr>
          <w:rFonts w:eastAsia="Times New Roman"/>
          <w:b/>
          <w:bCs/>
          <w:i/>
          <w:iCs/>
          <w:color w:val="000000"/>
          <w:sz w:val="20"/>
          <w:szCs w:val="20"/>
        </w:rPr>
        <w:t>Limitations of Market Risk Measures</w:t>
      </w:r>
    </w:p>
    <w:p w:rsidR="00000000" w:rsidRDefault="00795D39">
      <w:pPr>
        <w:jc w:val="both"/>
        <w:divId w:val="1418593990"/>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and depositor behavior patterns in certain interest ra</w:t>
      </w:r>
      <w:r>
        <w:rPr>
          <w:rFonts w:eastAsia="Times New Roman"/>
          <w:color w:val="000000"/>
          <w:sz w:val="20"/>
          <w:szCs w:val="20"/>
        </w:rPr>
        <w:t>te environments. Other market inputs, such as interest rates, market prices and interest rate volatility, are also critical components of our interest rate risk measures. We regularly evaluate, update and enhance these assumptions, models and analytical to</w:t>
      </w:r>
      <w:r>
        <w:rPr>
          <w:rFonts w:eastAsia="Times New Roman"/>
          <w:color w:val="000000"/>
          <w:sz w:val="20"/>
          <w:szCs w:val="20"/>
        </w:rPr>
        <w:t>ols as we believe appropriate to reflect our best assessment of the market environment and the expected behavior patterns of our existing assets and liabilities.</w:t>
      </w:r>
    </w:p>
    <w:p w:rsidR="00000000" w:rsidRDefault="00795D39">
      <w:pPr>
        <w:jc w:val="both"/>
        <w:divId w:val="1959990919"/>
        <w:rPr>
          <w:rFonts w:eastAsia="Times New Roman"/>
        </w:rPr>
      </w:pPr>
      <w:r>
        <w:rPr>
          <w:rFonts w:eastAsia="Times New Roman"/>
          <w:color w:val="000000"/>
          <w:sz w:val="20"/>
          <w:szCs w:val="20"/>
        </w:rPr>
        <w:t xml:space="preserve">There are inherent limitations in any methodology used to estimate the exposure to changes in </w:t>
      </w:r>
      <w:r>
        <w:rPr>
          <w:rFonts w:eastAsia="Times New Roman"/>
          <w:color w:val="000000"/>
          <w:sz w:val="20"/>
          <w:szCs w:val="20"/>
        </w:rPr>
        <w:t>market interest rates. The sensitivity analysis described above contemplates only certain movements in interest rates and is performed at a particular point in time based on the existing balance sheet and, in some cases, expected future business growth and</w:t>
      </w:r>
      <w:r>
        <w:rPr>
          <w:rFonts w:eastAsia="Times New Roman"/>
          <w:color w:val="000000"/>
          <w:sz w:val="20"/>
          <w:szCs w:val="20"/>
        </w:rPr>
        <w:t xml:space="preserve"> funding mix assumptions. The strategic actions that management may take to manage our balance sheet may differ significantly from our projections, which could cause our actual earnings and economic value of equity sensitivities to differ substantially fro</w:t>
      </w:r>
      <w:r>
        <w:rPr>
          <w:rFonts w:eastAsia="Times New Roman"/>
          <w:color w:val="000000"/>
          <w:sz w:val="20"/>
          <w:szCs w:val="20"/>
        </w:rPr>
        <w:t>m the above sensitivity analysis.</w:t>
      </w:r>
    </w:p>
    <w:p w:rsidR="00000000" w:rsidRDefault="00795D39">
      <w:pPr>
        <w:jc w:val="both"/>
        <w:divId w:val="1311789186"/>
        <w:rPr>
          <w:rFonts w:eastAsia="Times New Roman"/>
        </w:rPr>
      </w:pPr>
      <w:r>
        <w:rPr>
          <w:rFonts w:eastAsia="Times New Roman"/>
          <w:color w:val="000000"/>
          <w:sz w:val="20"/>
          <w:szCs w:val="20"/>
        </w:rPr>
        <w:t xml:space="preserve">For further information on our interest rate exposures, see “Note 8—Derivative Instruments and Hedging Activities.” </w:t>
      </w:r>
    </w:p>
    <w:p w:rsidR="00000000" w:rsidRDefault="00795D39">
      <w:pPr>
        <w:divId w:val="479545882"/>
        <w:rPr>
          <w:rFonts w:eastAsia="Times New Roman"/>
        </w:rPr>
      </w:pPr>
      <w:r>
        <w:rPr>
          <w:rFonts w:eastAsia="Times New Roman"/>
          <w:b/>
          <w:bCs/>
          <w:color w:val="000000"/>
          <w:sz w:val="20"/>
          <w:szCs w:val="20"/>
        </w:rPr>
        <w:t>Foreign Exchange Risk</w:t>
      </w:r>
    </w:p>
    <w:p w:rsidR="00000000" w:rsidRDefault="00795D39">
      <w:pPr>
        <w:jc w:val="both"/>
        <w:divId w:val="1441491212"/>
        <w:rPr>
          <w:rFonts w:eastAsia="Times New Roman"/>
        </w:rPr>
      </w:pPr>
      <w:r>
        <w:rPr>
          <w:rFonts w:eastAsia="Times New Roman"/>
          <w:color w:val="000000"/>
          <w:sz w:val="20"/>
          <w:szCs w:val="20"/>
        </w:rPr>
        <w:t>Foreign exchange risk represents exposure to changes in the values of current holdi</w:t>
      </w:r>
      <w:r>
        <w:rPr>
          <w:rFonts w:eastAsia="Times New Roman"/>
          <w:color w:val="000000"/>
          <w:sz w:val="20"/>
          <w:szCs w:val="20"/>
        </w:rPr>
        <w:t>ngs and future cash flows denominated in other currencies. We are exposed to foreign exchange risk primarily from the intercompany funding denominated in the pound sterling (“GBP”) and the Canadian dollar (“CAD”) that we provide to our businesses in the U.</w:t>
      </w:r>
      <w:r>
        <w:rPr>
          <w:rFonts w:eastAsia="Times New Roman"/>
          <w:color w:val="000000"/>
          <w:sz w:val="20"/>
          <w:szCs w:val="20"/>
        </w:rPr>
        <w:t>K. and Canada and net equity investments in those businesses. We are also exposed to foreign exchange risk due to changes in the dollar-denominated value of future earnings and cash flows from our foreign operations and from our Euro (“EUR”)-denominated bo</w:t>
      </w:r>
      <w:r>
        <w:rPr>
          <w:rFonts w:eastAsia="Times New Roman"/>
          <w:color w:val="000000"/>
          <w:sz w:val="20"/>
          <w:szCs w:val="20"/>
        </w:rPr>
        <w:t>rrowings.</w:t>
      </w:r>
    </w:p>
    <w:p w:rsidR="00000000" w:rsidRDefault="00795D39">
      <w:pPr>
        <w:jc w:val="both"/>
        <w:divId w:val="147139737"/>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transaction risks by using forward foreign currency derivatives and cross-currency swaps to h</w:t>
      </w:r>
      <w:r>
        <w:rPr>
          <w:rFonts w:eastAsia="Times New Roman"/>
          <w:color w:val="000000"/>
          <w:sz w:val="20"/>
          <w:szCs w:val="20"/>
        </w:rPr>
        <w:t>edge our exposures. We measure our foreign exchange transaction risk exposures by applying a 1% U.S. dollar appreciation shock against the value of the non-dollar denominated intercompany funding and EUR-denominated borrowings and their related hedges, whi</w:t>
      </w:r>
      <w:r>
        <w:rPr>
          <w:rFonts w:eastAsia="Times New Roman"/>
          <w:color w:val="000000"/>
          <w:sz w:val="20"/>
          <w:szCs w:val="20"/>
        </w:rPr>
        <w:t>ch shows the impact to our earnings from foreign exchange risk. Our intercompany funding outstanding was 430 million GBP and 761 million GBP as of September 30, 2020 and December 31, 2019, respectively, and 5.2 billion CAD and 6.6 billion CAD as of Septemb</w:t>
      </w:r>
      <w:r>
        <w:rPr>
          <w:rFonts w:eastAsia="Times New Roman"/>
          <w:color w:val="000000"/>
          <w:sz w:val="20"/>
          <w:szCs w:val="20"/>
        </w:rPr>
        <w:t>er 30, 2020 and December 31, 2019, respectively. Our EUR-denominated borrowings outstanding were 1.3 billion EUR and 1.2 billion EUR as of September 30, 2020 and December 31, 2019,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70809173"/>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7080917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7080917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5" style="width:0;height:1.5pt" o:hralign="center" o:hrstd="t" o:hr="t" fillcolor="#a0a0a0" stroked="f"/>
        </w:pict>
      </w:r>
    </w:p>
    <w:p w:rsidR="00000000" w:rsidRDefault="00795D39">
      <w:pPr>
        <w:jc w:val="both"/>
        <w:divId w:val="67681284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754279920"/>
        <w:rPr>
          <w:rFonts w:eastAsia="Times New Roman"/>
        </w:rPr>
      </w:pPr>
      <w:r>
        <w:rPr>
          <w:rFonts w:eastAsia="Times New Roman"/>
          <w:color w:val="000000"/>
          <w:sz w:val="20"/>
          <w:szCs w:val="20"/>
        </w:rPr>
        <w:t>Our non-dollar equity investments in foreign operations expose our balance sheet to translation risk in AOCI and our capital ratios. We manage o</w:t>
      </w:r>
      <w:r>
        <w:rPr>
          <w:rFonts w:eastAsia="Times New Roman"/>
          <w:color w:val="000000"/>
          <w:sz w:val="20"/>
          <w:szCs w:val="20"/>
        </w:rPr>
        <w:t xml:space="preserve">ur AOCI exposure by entering into foreign currency derivatives designated as net investment hedges. We measure these exposures by applying a 30% U.S. dollar appreciation shock, which we believe approximates a significant adverse shock over a one-year time </w:t>
      </w:r>
      <w:r>
        <w:rPr>
          <w:rFonts w:eastAsia="Times New Roman"/>
          <w:color w:val="000000"/>
          <w:sz w:val="20"/>
          <w:szCs w:val="20"/>
        </w:rPr>
        <w:t>horizon, against the value of the equity invested in our foreign operations net of related net investment hedges where applicable. Our gross equity exposures in our U.K. and Canadian operations were 1.6 billion GBP as of both September 30, 2020 and Decembe</w:t>
      </w:r>
      <w:r>
        <w:rPr>
          <w:rFonts w:eastAsia="Times New Roman"/>
          <w:color w:val="000000"/>
          <w:sz w:val="20"/>
          <w:szCs w:val="20"/>
        </w:rPr>
        <w:t>r 31, 2019, and 1.4 billion CAD as of both September 30, 2020 and December 31, 2019.</w:t>
      </w:r>
    </w:p>
    <w:p w:rsidR="00000000" w:rsidRDefault="00795D39">
      <w:pPr>
        <w:jc w:val="both"/>
        <w:divId w:val="1512718938"/>
        <w:rPr>
          <w:rFonts w:eastAsia="Times New Roman"/>
        </w:rPr>
      </w:pPr>
      <w:r>
        <w:rPr>
          <w:rFonts w:eastAsia="Times New Roman"/>
          <w:color w:val="000000"/>
          <w:sz w:val="20"/>
          <w:szCs w:val="20"/>
        </w:rPr>
        <w:t>As a result of our derivative management activities, we believe our net exposure to foreign exchange risk is minimal.</w:t>
      </w:r>
    </w:p>
    <w:p w:rsidR="00000000" w:rsidRDefault="00795D39">
      <w:pPr>
        <w:divId w:val="123886848"/>
        <w:rPr>
          <w:rFonts w:eastAsia="Times New Roman"/>
        </w:rPr>
      </w:pPr>
      <w:r>
        <w:rPr>
          <w:rFonts w:eastAsia="Times New Roman"/>
          <w:b/>
          <w:bCs/>
          <w:color w:val="000000"/>
          <w:sz w:val="20"/>
          <w:szCs w:val="20"/>
        </w:rPr>
        <w:t xml:space="preserve">Risk related to Customer Accommodation Derivatives </w:t>
      </w:r>
    </w:p>
    <w:p w:rsidR="00000000" w:rsidRDefault="00795D39">
      <w:pPr>
        <w:jc w:val="both"/>
        <w:divId w:val="1661107698"/>
        <w:rPr>
          <w:rFonts w:eastAsia="Times New Roman"/>
        </w:rPr>
      </w:pPr>
      <w:r>
        <w:rPr>
          <w:rFonts w:eastAsia="Times New Roman"/>
          <w:color w:val="000000"/>
          <w:sz w:val="20"/>
          <w:szCs w:val="20"/>
        </w:rPr>
        <w:t>W</w:t>
      </w:r>
      <w:r>
        <w:rPr>
          <w:rFonts w:eastAsia="Times New Roman"/>
          <w:color w:val="000000"/>
          <w:sz w:val="20"/>
          <w:szCs w:val="20"/>
        </w:rPr>
        <w:t>e offer interest rate, commodity and foreign currency derivatives as an accommodation to our customers within our Commercial Banking business. We offset the majority of the market risk of these customer accommodation derivatives by entering into offsetting</w:t>
      </w:r>
      <w:r>
        <w:rPr>
          <w:rFonts w:eastAsia="Times New Roman"/>
          <w:color w:val="000000"/>
          <w:sz w:val="20"/>
          <w:szCs w:val="20"/>
        </w:rPr>
        <w:t xml:space="preserve"> derivatives transactions with other counterparties. We use value-at-risk (“VaR”) as the primary method to measure the market risk in our customer accommodation derivative activities on a daily basis. VaR is a statistical risk measure used to estimate the </w:t>
      </w:r>
      <w:r>
        <w:rPr>
          <w:rFonts w:eastAsia="Times New Roman"/>
          <w:color w:val="000000"/>
          <w:sz w:val="20"/>
          <w:szCs w:val="20"/>
        </w:rPr>
        <w:t>potential loss from movements observed in the recent market environment. We employ an historical simulation approach using the most recent 500 business days and use a 99 percent confidence level and a holding period of one business day. As a result of offs</w:t>
      </w:r>
      <w:r>
        <w:rPr>
          <w:rFonts w:eastAsia="Times New Roman"/>
          <w:color w:val="000000"/>
          <w:sz w:val="20"/>
          <w:szCs w:val="20"/>
        </w:rPr>
        <w:t>etting our customer exposures with other counterparties, we believe that our net exposure to market risk in our customer accommodation derivatives is minimal. For further information on our risk related to customer accommodation derivatives, see “Note 8—De</w:t>
      </w:r>
      <w:r>
        <w:rPr>
          <w:rFonts w:eastAsia="Times New Roman"/>
          <w:color w:val="000000"/>
          <w:sz w:val="20"/>
          <w:szCs w:val="20"/>
        </w:rPr>
        <w:t>rivative Instruments and Hedging Activities.”</w:t>
      </w:r>
    </w:p>
    <w:p w:rsidR="00000000" w:rsidRDefault="00795D39">
      <w:pPr>
        <w:divId w:val="1481658320"/>
        <w:rPr>
          <w:rFonts w:eastAsia="Times New Roman"/>
        </w:rPr>
      </w:pPr>
      <w:r>
        <w:rPr>
          <w:rFonts w:eastAsia="Times New Roman"/>
          <w:b/>
          <w:bCs/>
          <w:color w:val="000000"/>
          <w:sz w:val="20"/>
          <w:szCs w:val="20"/>
        </w:rPr>
        <w:t>London Interbank Offered Rate (“LIBOR”) Transition</w:t>
      </w:r>
    </w:p>
    <w:p w:rsidR="00000000" w:rsidRDefault="00795D39">
      <w:pPr>
        <w:jc w:val="both"/>
        <w:divId w:val="267471460"/>
        <w:rPr>
          <w:rFonts w:eastAsia="Times New Roman"/>
        </w:rPr>
      </w:pPr>
      <w:r>
        <w:rPr>
          <w:rFonts w:eastAsia="Times New Roman"/>
          <w:color w:val="000000"/>
          <w:sz w:val="20"/>
          <w:szCs w:val="20"/>
        </w:rPr>
        <w:t>On July 27, 2017, the U.K. Financial Conduct Authority, the regulator for the administration of LIBOR, announced that LIBOR would be transitioned as an interest rate benchmark and that it will no longer compel banks to contribute LIBOR data beyond December</w:t>
      </w:r>
      <w:r>
        <w:rPr>
          <w:rFonts w:eastAsia="Times New Roman"/>
          <w:color w:val="000000"/>
          <w:sz w:val="20"/>
          <w:szCs w:val="20"/>
        </w:rPr>
        <w:t xml:space="preserve"> 31, 2021. In the U.S., the Federal Reserve Board and the Federal Reserve Bank of New York established the Alternative Reference Rates Committee (“ARRC”), a group of private market participants and ex-officio members representing banking and financial sect</w:t>
      </w:r>
      <w:r>
        <w:rPr>
          <w:rFonts w:eastAsia="Times New Roman"/>
          <w:color w:val="000000"/>
          <w:sz w:val="20"/>
          <w:szCs w:val="20"/>
        </w:rPr>
        <w:t>or regulators. The ARRC has recommended the Secured Overnight Financing Rate (“SOFR”) as the preferred alternative rate for certain U.S. dollar derivative and cash instruments. While the ARRC has recommended SOFR as the replacement rate for LIBOR, there is</w:t>
      </w:r>
      <w:r>
        <w:rPr>
          <w:rFonts w:eastAsia="Times New Roman"/>
          <w:color w:val="000000"/>
          <w:sz w:val="20"/>
          <w:szCs w:val="20"/>
        </w:rPr>
        <w:t xml:space="preserve"> acknowledgment that the development of a credit-sensitive element could be a complement to SOFR. It is unclear as to the likelihood and timing, but such a development would have impacts to our transition efforts. </w:t>
      </w:r>
    </w:p>
    <w:p w:rsidR="00000000" w:rsidRDefault="00795D39">
      <w:pPr>
        <w:jc w:val="both"/>
        <w:divId w:val="2077127683"/>
        <w:rPr>
          <w:rFonts w:eastAsia="Times New Roman"/>
        </w:rPr>
      </w:pPr>
      <w:r>
        <w:rPr>
          <w:rFonts w:eastAsia="Times New Roman"/>
          <w:color w:val="000000"/>
          <w:sz w:val="20"/>
          <w:szCs w:val="20"/>
        </w:rPr>
        <w:t>We have exposures to LIBOR, including loa</w:t>
      </w:r>
      <w:r>
        <w:rPr>
          <w:rFonts w:eastAsia="Times New Roman"/>
          <w:color w:val="000000"/>
          <w:sz w:val="20"/>
          <w:szCs w:val="20"/>
        </w:rPr>
        <w:t>ns, derivative contracts, unsecured debt, securitizations, vendor agreements and other instruments with attributes that are either directly or indirectly dependent on LIBOR. To facilitate an orderly transition from LIBOR, we have established a company-wide</w:t>
      </w:r>
      <w:r>
        <w:rPr>
          <w:rFonts w:eastAsia="Times New Roman"/>
          <w:color w:val="000000"/>
          <w:sz w:val="20"/>
          <w:szCs w:val="20"/>
        </w:rPr>
        <w:t>, cross-functional initiative to oversee and manage our transition away from LIBOR and other Interbank Offered Rates (“IBORs”) to alternative reference rates. We have made progress on our transition efforts as we:</w:t>
      </w:r>
    </w:p>
    <w:p w:rsidR="00000000" w:rsidRDefault="00795D39">
      <w:pPr>
        <w:ind w:hanging="360"/>
        <w:divId w:val="1333340080"/>
        <w:rPr>
          <w:rFonts w:eastAsia="Times New Roman"/>
        </w:rPr>
      </w:pPr>
      <w:r>
        <w:rPr>
          <w:rFonts w:eastAsia="Times New Roman"/>
          <w:color w:val="000000"/>
          <w:sz w:val="20"/>
          <w:szCs w:val="20"/>
        </w:rPr>
        <w:t>•implemented a robust governance framework</w:t>
      </w:r>
      <w:r>
        <w:rPr>
          <w:rFonts w:eastAsia="Times New Roman"/>
          <w:color w:val="000000"/>
          <w:sz w:val="20"/>
          <w:szCs w:val="20"/>
        </w:rPr>
        <w:t xml:space="preserve"> and transition planning;</w:t>
      </w:r>
    </w:p>
    <w:p w:rsidR="00000000" w:rsidRDefault="00795D39">
      <w:pPr>
        <w:ind w:hanging="360"/>
        <w:divId w:val="385877840"/>
        <w:rPr>
          <w:rFonts w:eastAsia="Times New Roman"/>
        </w:rPr>
      </w:pPr>
      <w:r>
        <w:rPr>
          <w:rFonts w:eastAsia="Times New Roman"/>
          <w:color w:val="000000"/>
          <w:sz w:val="20"/>
          <w:szCs w:val="20"/>
        </w:rPr>
        <w:t xml:space="preserve">•completed an assessment of exposures and are developing exposure reporting for products, legal contracts, systems, models and processes; </w:t>
      </w:r>
    </w:p>
    <w:p w:rsidR="00000000" w:rsidRDefault="00795D39">
      <w:pPr>
        <w:ind w:hanging="360"/>
        <w:divId w:val="335110331"/>
        <w:rPr>
          <w:rFonts w:eastAsia="Times New Roman"/>
        </w:rPr>
      </w:pPr>
      <w:r>
        <w:rPr>
          <w:rFonts w:eastAsia="Times New Roman"/>
          <w:color w:val="000000"/>
          <w:sz w:val="20"/>
          <w:szCs w:val="20"/>
        </w:rPr>
        <w:t>•included LIBOR transition language (“fallback language”) for certain new legal contracts a</w:t>
      </w:r>
      <w:r>
        <w:rPr>
          <w:rFonts w:eastAsia="Times New Roman"/>
          <w:color w:val="000000"/>
          <w:sz w:val="20"/>
          <w:szCs w:val="20"/>
        </w:rPr>
        <w:t>nd agreements; and</w:t>
      </w:r>
    </w:p>
    <w:p w:rsidR="00000000" w:rsidRDefault="00795D39">
      <w:pPr>
        <w:ind w:hanging="360"/>
        <w:divId w:val="2038968013"/>
        <w:rPr>
          <w:rFonts w:eastAsia="Times New Roman"/>
        </w:rPr>
      </w:pPr>
      <w:r>
        <w:rPr>
          <w:rFonts w:eastAsia="Times New Roman"/>
          <w:color w:val="000000"/>
          <w:sz w:val="20"/>
          <w:szCs w:val="20"/>
        </w:rPr>
        <w:t>•started issuing securities and originating agency multifamily loans with SOFR-based features in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2025265"/>
          <w:jc w:val="center"/>
        </w:trPr>
        <w:tc>
          <w:tcPr>
            <w:tcW w:w="50" w:type="pct"/>
            <w:vAlign w:val="center"/>
            <w:hideMark/>
          </w:tcPr>
          <w:p w:rsidR="00000000" w:rsidRDefault="00795D39">
            <w:pPr>
              <w:ind w:hanging="360"/>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202526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202526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6" style="width:0;height:1.5pt" o:hralign="center" o:hrstd="t" o:hr="t" fillcolor="#a0a0a0" stroked="f"/>
        </w:pict>
      </w:r>
    </w:p>
    <w:p w:rsidR="00000000" w:rsidRDefault="00795D39">
      <w:pPr>
        <w:jc w:val="both"/>
        <w:divId w:val="88483384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699936010"/>
        <w:rPr>
          <w:rFonts w:eastAsia="Times New Roman"/>
        </w:rPr>
      </w:pPr>
      <w:r>
        <w:rPr>
          <w:rFonts w:eastAsia="Times New Roman"/>
          <w:color w:val="000000"/>
          <w:sz w:val="20"/>
          <w:szCs w:val="20"/>
        </w:rPr>
        <w:t>We also continue to focus our transition efforts on:</w:t>
      </w:r>
    </w:p>
    <w:p w:rsidR="00000000" w:rsidRDefault="00795D39">
      <w:pPr>
        <w:ind w:hanging="360"/>
        <w:divId w:val="1666974270"/>
        <w:rPr>
          <w:rFonts w:eastAsia="Times New Roman"/>
        </w:rPr>
      </w:pPr>
      <w:r>
        <w:rPr>
          <w:rFonts w:eastAsia="Times New Roman"/>
          <w:color w:val="000000"/>
          <w:sz w:val="20"/>
          <w:szCs w:val="20"/>
        </w:rPr>
        <w:t>•</w:t>
      </w:r>
      <w:r>
        <w:rPr>
          <w:rFonts w:eastAsia="Times New Roman"/>
          <w:color w:val="000000"/>
          <w:sz w:val="20"/>
          <w:szCs w:val="20"/>
        </w:rPr>
        <w:t>monitoring market developments for hardwired language from the ARRC and the International Swaps and Derivatives Association (“ISDA”);</w:t>
      </w:r>
    </w:p>
    <w:p w:rsidR="00000000" w:rsidRDefault="00795D39">
      <w:pPr>
        <w:ind w:hanging="360"/>
        <w:divId w:val="813178"/>
        <w:rPr>
          <w:rFonts w:eastAsia="Times New Roman"/>
        </w:rPr>
      </w:pPr>
      <w:r>
        <w:rPr>
          <w:rFonts w:eastAsia="Times New Roman"/>
          <w:color w:val="000000"/>
          <w:sz w:val="20"/>
          <w:szCs w:val="20"/>
        </w:rPr>
        <w:t>•reviewing existing legal contracts and agreements and assessing fallback language impacts;</w:t>
      </w:r>
    </w:p>
    <w:p w:rsidR="00000000" w:rsidRDefault="00795D39">
      <w:pPr>
        <w:ind w:hanging="360"/>
        <w:divId w:val="855146248"/>
        <w:rPr>
          <w:rFonts w:eastAsia="Times New Roman"/>
        </w:rPr>
      </w:pPr>
      <w:r>
        <w:rPr>
          <w:rFonts w:eastAsia="Times New Roman"/>
          <w:color w:val="000000"/>
          <w:sz w:val="20"/>
          <w:szCs w:val="20"/>
        </w:rPr>
        <w:t>•monitoring and reducing our L</w:t>
      </w:r>
      <w:r>
        <w:rPr>
          <w:rFonts w:eastAsia="Times New Roman"/>
          <w:color w:val="000000"/>
          <w:sz w:val="20"/>
          <w:szCs w:val="20"/>
        </w:rPr>
        <w:t>IBOR exposure;</w:t>
      </w:r>
    </w:p>
    <w:p w:rsidR="00000000" w:rsidRDefault="00795D39">
      <w:pPr>
        <w:ind w:hanging="360"/>
        <w:divId w:val="1973050454"/>
        <w:rPr>
          <w:rFonts w:eastAsia="Times New Roman"/>
        </w:rPr>
      </w:pPr>
      <w:r>
        <w:rPr>
          <w:rFonts w:eastAsia="Times New Roman"/>
          <w:color w:val="000000"/>
          <w:sz w:val="20"/>
          <w:szCs w:val="20"/>
        </w:rPr>
        <w:t>•building internal operational readiness and risk management processes;</w:t>
      </w:r>
    </w:p>
    <w:p w:rsidR="00000000" w:rsidRDefault="00795D39">
      <w:pPr>
        <w:ind w:hanging="360"/>
        <w:divId w:val="1725250211"/>
        <w:rPr>
          <w:rFonts w:eastAsia="Times New Roman"/>
        </w:rPr>
      </w:pPr>
      <w:r>
        <w:rPr>
          <w:rFonts w:eastAsia="Times New Roman"/>
          <w:color w:val="000000"/>
          <w:sz w:val="20"/>
          <w:szCs w:val="20"/>
        </w:rPr>
        <w:t>•implementing necessary updates to our infrastructure including systems, models, valuation tools and processes;</w:t>
      </w:r>
    </w:p>
    <w:p w:rsidR="00000000" w:rsidRDefault="00795D39">
      <w:pPr>
        <w:ind w:hanging="360"/>
        <w:divId w:val="199824626"/>
        <w:rPr>
          <w:rFonts w:eastAsia="Times New Roman"/>
        </w:rPr>
      </w:pPr>
      <w:r>
        <w:rPr>
          <w:rFonts w:eastAsia="Times New Roman"/>
          <w:color w:val="000000"/>
          <w:sz w:val="20"/>
          <w:szCs w:val="20"/>
        </w:rPr>
        <w:t xml:space="preserve">•engaging with our clients, industry working groups, and </w:t>
      </w:r>
      <w:r>
        <w:rPr>
          <w:rFonts w:eastAsia="Times New Roman"/>
          <w:color w:val="000000"/>
          <w:sz w:val="20"/>
          <w:szCs w:val="20"/>
        </w:rPr>
        <w:t xml:space="preserve">regulators; and </w:t>
      </w:r>
    </w:p>
    <w:p w:rsidR="00000000" w:rsidRDefault="00795D39">
      <w:pPr>
        <w:ind w:hanging="360"/>
        <w:divId w:val="48966321"/>
        <w:rPr>
          <w:rFonts w:eastAsia="Times New Roman"/>
        </w:rPr>
      </w:pPr>
      <w:r>
        <w:rPr>
          <w:rFonts w:eastAsia="Times New Roman"/>
          <w:color w:val="000000"/>
          <w:sz w:val="20"/>
          <w:szCs w:val="20"/>
        </w:rPr>
        <w:t>•monitoring developments associated with LIBOR alternatives and industry practices related to LIBOR-indexed instruments.</w:t>
      </w:r>
    </w:p>
    <w:p w:rsidR="00000000" w:rsidRDefault="00795D39">
      <w:pPr>
        <w:jc w:val="both"/>
        <w:divId w:val="1870558314"/>
        <w:rPr>
          <w:rFonts w:eastAsia="Times New Roman"/>
        </w:rPr>
      </w:pPr>
      <w:r>
        <w:rPr>
          <w:rFonts w:eastAsia="Times New Roman"/>
          <w:color w:val="000000"/>
          <w:sz w:val="20"/>
          <w:szCs w:val="20"/>
        </w:rPr>
        <w:t>For a further discussion of the various risks we face in connection with the expected replacement of LIBOR on our oper</w:t>
      </w:r>
      <w:r>
        <w:rPr>
          <w:rFonts w:eastAsia="Times New Roman"/>
          <w:color w:val="000000"/>
          <w:sz w:val="20"/>
          <w:szCs w:val="20"/>
        </w:rPr>
        <w:t>ations, see “Part I—Item 1A. Risk Factors—</w:t>
      </w:r>
      <w:r>
        <w:rPr>
          <w:rFonts w:eastAsia="Times New Roman"/>
          <w:i/>
          <w:iCs/>
          <w:color w:val="000000"/>
          <w:sz w:val="20"/>
          <w:szCs w:val="20"/>
        </w:rPr>
        <w:t>Uncertainty regarding, and transition away from, LIBOR may adversely affect our business</w:t>
      </w:r>
      <w:r>
        <w:rPr>
          <w:rFonts w:eastAsia="Times New Roman"/>
          <w:color w:val="000000"/>
          <w:sz w:val="20"/>
          <w:szCs w:val="20"/>
        </w:rPr>
        <w:t>” in our 2019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865455"/>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86545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divId w:val="828861115"/>
              <w:rPr>
                <w:rFonts w:eastAsia="Times New Roman"/>
              </w:rPr>
            </w:pPr>
            <w:r>
              <w:rPr>
                <w:rFonts w:eastAsia="Times New Roman"/>
                <w:b/>
                <w:bCs/>
                <w:color w:val="000000"/>
                <w:sz w:val="20"/>
                <w:szCs w:val="20"/>
              </w:rPr>
              <w:t>SUPERVISION AND REGULATION</w:t>
            </w:r>
          </w:p>
        </w:tc>
      </w:tr>
    </w:tbl>
    <w:p w:rsidR="00000000" w:rsidRDefault="00795D39">
      <w:pPr>
        <w:divId w:val="655954237"/>
        <w:rPr>
          <w:rFonts w:eastAsia="Times New Roman"/>
        </w:rPr>
      </w:pPr>
      <w:r>
        <w:rPr>
          <w:rFonts w:eastAsia="Times New Roman"/>
          <w:b/>
          <w:bCs/>
          <w:color w:val="000000"/>
          <w:sz w:val="20"/>
          <w:szCs w:val="20"/>
        </w:rPr>
        <w:t>Dividends and Stock Repurchases Update</w:t>
      </w:r>
    </w:p>
    <w:p w:rsidR="00000000" w:rsidRDefault="00795D39">
      <w:pPr>
        <w:jc w:val="both"/>
        <w:divId w:val="1479345993"/>
        <w:rPr>
          <w:rFonts w:eastAsia="Times New Roman"/>
        </w:rPr>
      </w:pPr>
      <w:r>
        <w:rPr>
          <w:rFonts w:eastAsia="Times New Roman"/>
          <w:color w:val="000000"/>
          <w:sz w:val="20"/>
          <w:szCs w:val="20"/>
        </w:rPr>
        <w:t xml:space="preserve">On September 30, 2020, in light of the continued economic uncertainty from the COVID-19 pandemic, the Federal Reserve announced the extension of several capital distribution restrictions through the fourth quarter of </w:t>
      </w:r>
      <w:r>
        <w:rPr>
          <w:rFonts w:eastAsia="Times New Roman"/>
          <w:color w:val="000000"/>
          <w:sz w:val="20"/>
          <w:szCs w:val="20"/>
        </w:rPr>
        <w:t>2020 to ensure that large banking organizations maintain a high level of capital resilience. Specifically, for the fourth quarter of 2020, banking organizations with more than $100 billion in total assets, including us, continue to be required by the Feder</w:t>
      </w:r>
      <w:r>
        <w:rPr>
          <w:rFonts w:eastAsia="Times New Roman"/>
          <w:color w:val="000000"/>
          <w:sz w:val="20"/>
          <w:szCs w:val="20"/>
        </w:rPr>
        <w:t>al Reserve to suspend share repurchases and to cap common stock dividends.</w:t>
      </w:r>
    </w:p>
    <w:p w:rsidR="00000000" w:rsidRDefault="00795D39">
      <w:pPr>
        <w:jc w:val="both"/>
        <w:divId w:val="2007051321"/>
        <w:rPr>
          <w:rFonts w:eastAsia="Times New Roman"/>
        </w:rPr>
      </w:pPr>
      <w:r>
        <w:rPr>
          <w:rFonts w:eastAsia="Times New Roman"/>
          <w:color w:val="000000"/>
          <w:sz w:val="20"/>
          <w:szCs w:val="20"/>
        </w:rPr>
        <w:t>In August 2020, the Federal Banking Agencies adopted as final the interim final rule issued in March 2020 that revised the definition of “eligible retained income” in the capital ru</w:t>
      </w:r>
      <w:r>
        <w:rPr>
          <w:rFonts w:eastAsia="Times New Roman"/>
          <w:color w:val="000000"/>
          <w:sz w:val="20"/>
          <w:szCs w:val="20"/>
        </w:rPr>
        <w:t>le to make any required reduction in capital distributions less sudden and severe and more gradual than would have occurred under the original definition of the term. For more information about this interim final rule, see “MD&amp;A—Supervision and Regulation”</w:t>
      </w:r>
      <w:r>
        <w:rPr>
          <w:rFonts w:eastAsia="Times New Roman"/>
          <w:color w:val="000000"/>
          <w:sz w:val="20"/>
          <w:szCs w:val="20"/>
        </w:rPr>
        <w:t xml:space="preserve"> in our Quarterly Report on Form 10-Q for the period ended March 31, 2020.</w:t>
      </w:r>
    </w:p>
    <w:p w:rsidR="00000000" w:rsidRDefault="00795D39">
      <w:pPr>
        <w:divId w:val="522283039"/>
        <w:rPr>
          <w:rFonts w:eastAsia="Times New Roman"/>
        </w:rPr>
      </w:pPr>
      <w:r>
        <w:rPr>
          <w:rFonts w:eastAsia="Times New Roman"/>
          <w:b/>
          <w:bCs/>
          <w:color w:val="000000"/>
          <w:sz w:val="20"/>
          <w:szCs w:val="20"/>
        </w:rPr>
        <w:t>Net Stable Funding Ratio</w:t>
      </w:r>
    </w:p>
    <w:p w:rsidR="00000000" w:rsidRDefault="00795D39">
      <w:pPr>
        <w:jc w:val="both"/>
        <w:divId w:val="58556027"/>
        <w:rPr>
          <w:rFonts w:eastAsia="Times New Roman"/>
        </w:rPr>
      </w:pPr>
      <w:r>
        <w:rPr>
          <w:rFonts w:eastAsia="Times New Roman"/>
          <w:color w:val="000000"/>
          <w:sz w:val="20"/>
          <w:szCs w:val="20"/>
        </w:rPr>
        <w:t xml:space="preserve">The Federal Banking Agencies have finalized a rule to implement the net stable funding ratio (“NSFR”) in the United States (the “NSFR Rule”). The NSFR Rule </w:t>
      </w:r>
      <w:r>
        <w:rPr>
          <w:rFonts w:eastAsia="Times New Roman"/>
          <w:color w:val="000000"/>
          <w:sz w:val="20"/>
          <w:szCs w:val="20"/>
        </w:rPr>
        <w:t xml:space="preserve">requires the Company and each of the Banks to maintain an amount of available stable funding, which is a weighted measure of a company’s funding sources over a one-year time horizon, calculated by applying standardized weightings to equity and liabilities </w:t>
      </w:r>
      <w:r>
        <w:rPr>
          <w:rFonts w:eastAsia="Times New Roman"/>
          <w:color w:val="000000"/>
          <w:sz w:val="20"/>
          <w:szCs w:val="20"/>
        </w:rPr>
        <w:t>based on their expected stability, that is no less than the amount of required stable funding, which is calculated by applying standardized weightings to assets, derivatives exposures and certain other items based on their liquidity characteristics. As a C</w:t>
      </w:r>
      <w:r>
        <w:rPr>
          <w:rFonts w:eastAsia="Times New Roman"/>
          <w:color w:val="000000"/>
          <w:sz w:val="20"/>
          <w:szCs w:val="20"/>
        </w:rPr>
        <w:t>ategory III institution, we and the Banks are subject to an NSFR requirement equal to 85% of the full requirement. These requirements will become effective as of July 1, 2021 and will apply to us and each of the Banks.</w:t>
      </w:r>
    </w:p>
    <w:p w:rsidR="00000000" w:rsidRDefault="00795D39">
      <w:pPr>
        <w:divId w:val="1949920667"/>
        <w:rPr>
          <w:rFonts w:eastAsia="Times New Roman"/>
        </w:rPr>
      </w:pPr>
      <w:r>
        <w:rPr>
          <w:rFonts w:eastAsia="Times New Roman"/>
          <w:b/>
          <w:bCs/>
          <w:color w:val="000000"/>
          <w:sz w:val="20"/>
          <w:szCs w:val="20"/>
        </w:rPr>
        <w:t>CECL Update</w:t>
      </w:r>
    </w:p>
    <w:p w:rsidR="00000000" w:rsidRDefault="00795D39">
      <w:pPr>
        <w:jc w:val="both"/>
        <w:divId w:val="172574315"/>
        <w:rPr>
          <w:rFonts w:eastAsia="Times New Roman"/>
        </w:rPr>
      </w:pPr>
      <w:r>
        <w:rPr>
          <w:rFonts w:eastAsia="Times New Roman"/>
          <w:color w:val="000000"/>
          <w:sz w:val="20"/>
          <w:szCs w:val="20"/>
        </w:rPr>
        <w:t>In August 2020, the Feder</w:t>
      </w:r>
      <w:r>
        <w:rPr>
          <w:rFonts w:eastAsia="Times New Roman"/>
          <w:color w:val="000000"/>
          <w:sz w:val="20"/>
          <w:szCs w:val="20"/>
        </w:rPr>
        <w:t>al Banking Agencies adopted as final the 2020 CECL Transition Rule that provides banking organizations, including us, an option to mitigate the estimated capital effects of CECL for two years, followed by a three-year transition period (the “2020 CECL Tran</w:t>
      </w:r>
      <w:r>
        <w:rPr>
          <w:rFonts w:eastAsia="Times New Roman"/>
          <w:color w:val="000000"/>
          <w:sz w:val="20"/>
          <w:szCs w:val="20"/>
        </w:rPr>
        <w:t>sition Election”). We made the 2020 CECL Transition Election beginning in the first quarter of 2020. For a description of the 2020 CECL Transition Rule, see “MD&amp;A—Supervision and Regulation” in our Quarterly Report on Form 10-Q for the period ended March 3</w:t>
      </w:r>
      <w:r>
        <w:rPr>
          <w:rFonts w:eastAsia="Times New Roman"/>
          <w:color w:val="000000"/>
          <w:sz w:val="20"/>
          <w:szCs w:val="20"/>
        </w:rPr>
        <w:t xml:space="preserve">1, 2020.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6382027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6382027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6382027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7" style="width:0;height:1.5pt" o:hralign="center" o:hrstd="t" o:hr="t" fillcolor="#a0a0a0" stroked="f"/>
        </w:pict>
      </w:r>
    </w:p>
    <w:p w:rsidR="00000000" w:rsidRDefault="00795D39">
      <w:pPr>
        <w:jc w:val="both"/>
        <w:divId w:val="22853573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1329599354"/>
        <w:rPr>
          <w:rFonts w:eastAsia="Times New Roman"/>
        </w:rPr>
      </w:pPr>
      <w:r>
        <w:rPr>
          <w:rFonts w:eastAsia="Times New Roman"/>
          <w:b/>
          <w:bCs/>
          <w:color w:val="000000"/>
          <w:sz w:val="20"/>
          <w:szCs w:val="20"/>
        </w:rPr>
        <w:t>Derivatives Activities Update</w:t>
      </w:r>
    </w:p>
    <w:p w:rsidR="00000000" w:rsidRDefault="00795D39">
      <w:pPr>
        <w:jc w:val="both"/>
        <w:divId w:val="1096629266"/>
        <w:rPr>
          <w:rFonts w:eastAsia="Times New Roman"/>
        </w:rPr>
      </w:pPr>
      <w:r>
        <w:rPr>
          <w:rFonts w:eastAsia="Times New Roman"/>
          <w:color w:val="000000"/>
          <w:sz w:val="20"/>
          <w:szCs w:val="20"/>
        </w:rPr>
        <w:t xml:space="preserve">Title VII of the Dodd-Frank Act establishes a regulatory framework for the governance of the over-the-counter derivatives market, including swaps and security-based swaps and the registration of certain market participants as a swap dealer (an “SD”). CONA </w:t>
      </w:r>
      <w:r>
        <w:rPr>
          <w:rFonts w:eastAsia="Times New Roman"/>
          <w:color w:val="000000"/>
          <w:sz w:val="20"/>
          <w:szCs w:val="20"/>
        </w:rPr>
        <w:t>provisionally registered with the Commodity Futures Trading Commission (the “CFTC”) as an SD in the third quarter of this year. Registration as an SD subjects CONA to an enhanced and heightened regulatory regime with respect to its swaps and other derivati</w:t>
      </w:r>
      <w:r>
        <w:rPr>
          <w:rFonts w:eastAsia="Times New Roman"/>
          <w:color w:val="000000"/>
          <w:sz w:val="20"/>
          <w:szCs w:val="20"/>
        </w:rPr>
        <w:t>ves activities. As a result of CONA’s swap dealer registration, it is subject to the OCC’s rules concerning capital and margin requirements for SDs, including the mandatory exchange of variation margin and initial margin with certain counterparties. Additi</w:t>
      </w:r>
      <w:r>
        <w:rPr>
          <w:rFonts w:eastAsia="Times New Roman"/>
          <w:color w:val="000000"/>
          <w:sz w:val="20"/>
          <w:szCs w:val="20"/>
        </w:rPr>
        <w:t>onally, as a provisionally registered SD, CONA is subject to the CFTC’s rules regarding business conduct standards, recordkeeping obligations, regulatory reporting and procedures relating to swaps trading. CONA’s swaps and other derivatives activities do n</w:t>
      </w:r>
      <w:r>
        <w:rPr>
          <w:rFonts w:eastAsia="Times New Roman"/>
          <w:color w:val="000000"/>
          <w:sz w:val="20"/>
          <w:szCs w:val="20"/>
        </w:rPr>
        <w:t>ot require it to register with the SEC as a security-based swap dealer.</w:t>
      </w:r>
    </w:p>
    <w:p w:rsidR="00000000" w:rsidRDefault="00795D39">
      <w:pPr>
        <w:divId w:val="411775309"/>
        <w:rPr>
          <w:rFonts w:eastAsia="Times New Roman"/>
        </w:rPr>
      </w:pPr>
      <w:r>
        <w:rPr>
          <w:rFonts w:eastAsia="Times New Roman"/>
          <w:b/>
          <w:bCs/>
          <w:color w:val="000000"/>
          <w:sz w:val="20"/>
          <w:szCs w:val="20"/>
        </w:rPr>
        <w:t xml:space="preserve">FDIC Insurance Assessment </w:t>
      </w:r>
    </w:p>
    <w:p w:rsidR="00000000" w:rsidRDefault="00795D39">
      <w:pPr>
        <w:jc w:val="both"/>
        <w:divId w:val="1665668207"/>
        <w:rPr>
          <w:rFonts w:eastAsia="Times New Roman"/>
        </w:rPr>
      </w:pPr>
      <w:r>
        <w:rPr>
          <w:rFonts w:eastAsia="Times New Roman"/>
          <w:color w:val="000000"/>
          <w:sz w:val="20"/>
          <w:szCs w:val="20"/>
        </w:rPr>
        <w:t>As of June 30, 2020, the Deposit Insurance Fund (“DIF”) reserve ratio fell to 1.30 percent. The FDIC, as required under the Federal Deposit Insurance Act, es</w:t>
      </w:r>
      <w:r>
        <w:rPr>
          <w:rFonts w:eastAsia="Times New Roman"/>
          <w:color w:val="000000"/>
          <w:sz w:val="20"/>
          <w:szCs w:val="20"/>
        </w:rPr>
        <w:t>tablished a plan on September 15, 2020, to restore the DIF reserve ratio to meet or exceed 1.35 percent within eight years. The FDIC’s restoration plan projects the reserve ratio to exceed 1.35 percent without increasing the deposit insurance assessment ra</w:t>
      </w:r>
      <w:r>
        <w:rPr>
          <w:rFonts w:eastAsia="Times New Roman"/>
          <w:color w:val="000000"/>
          <w:sz w:val="20"/>
          <w:szCs w:val="20"/>
        </w:rPr>
        <w:t>te, subject to ongoing monitoring over the next eight years.</w:t>
      </w:r>
    </w:p>
    <w:p w:rsidR="00000000" w:rsidRDefault="00795D39">
      <w:pPr>
        <w:jc w:val="both"/>
        <w:divId w:val="1922443234"/>
        <w:rPr>
          <w:rFonts w:eastAsia="Times New Roman"/>
        </w:rPr>
      </w:pPr>
      <w:r>
        <w:rPr>
          <w:rFonts w:eastAsia="Times New Roman"/>
          <w:color w:val="000000"/>
          <w:sz w:val="20"/>
          <w:szCs w:val="20"/>
        </w:rPr>
        <w:t>We provided additional information on our Supervision and Regulation in our 2019 Form 10-K under “Part I—Item 1. Business—Supervision and Regulation” and in our Quarterly Reports on Form 10-Q for</w:t>
      </w:r>
      <w:r>
        <w:rPr>
          <w:rFonts w:eastAsia="Times New Roman"/>
          <w:color w:val="000000"/>
          <w:sz w:val="20"/>
          <w:szCs w:val="20"/>
        </w:rPr>
        <w:t xml:space="preserve"> the period ended March 31, 2020 and for the period ended June 30, 2020 under “MD&amp;A—Supervision and Regulation.”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46891200"/>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4689120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divId w:val="472143639"/>
              <w:rPr>
                <w:rFonts w:eastAsia="Times New Roman"/>
              </w:rPr>
            </w:pPr>
            <w:r>
              <w:rPr>
                <w:rFonts w:eastAsia="Times New Roman"/>
                <w:b/>
                <w:bCs/>
                <w:color w:val="000000"/>
                <w:sz w:val="20"/>
                <w:szCs w:val="20"/>
              </w:rPr>
              <w:t>FORWARD-LOOKING STATEMENTS</w:t>
            </w:r>
          </w:p>
        </w:tc>
      </w:tr>
    </w:tbl>
    <w:p w:rsidR="00000000" w:rsidRDefault="00795D39">
      <w:pPr>
        <w:jc w:val="both"/>
        <w:divId w:val="534512559"/>
        <w:rPr>
          <w:rFonts w:eastAsia="Times New Roman"/>
        </w:rPr>
      </w:pPr>
      <w:r>
        <w:rPr>
          <w:rFonts w:eastAsia="Times New Roman"/>
          <w:color w:val="000000"/>
          <w:sz w:val="20"/>
          <w:szCs w:val="20"/>
        </w:rPr>
        <w:t>From time to time, we have made and will make forward-looking statements, including those that discuss, among other things, strategies, goals, outlook or other non-historical matters; projections, revenues, income, returns, expenses, capital measures, capi</w:t>
      </w:r>
      <w:r>
        <w:rPr>
          <w:rFonts w:eastAsia="Times New Roman"/>
          <w:color w:val="000000"/>
          <w:sz w:val="20"/>
          <w:szCs w:val="20"/>
        </w:rPr>
        <w:t>tal allocation plans, accruals for claims in litigation and for other claims against us; earnings per share, efficiency ratio, operating efficiency ratio, or other financial measures for us; future financial and operating results; our plans, objectives, ex</w:t>
      </w:r>
      <w:r>
        <w:rPr>
          <w:rFonts w:eastAsia="Times New Roman"/>
          <w:color w:val="000000"/>
          <w:sz w:val="20"/>
          <w:szCs w:val="20"/>
        </w:rPr>
        <w:t>pectations and intentions; and the assumptions that underlie these matters.</w:t>
      </w:r>
    </w:p>
    <w:p w:rsidR="00000000" w:rsidRDefault="00795D39">
      <w:pPr>
        <w:jc w:val="both"/>
        <w:divId w:val="1365789614"/>
        <w:rPr>
          <w:rFonts w:eastAsia="Times New Roman"/>
        </w:rPr>
      </w:pPr>
      <w:r>
        <w:rPr>
          <w:rFonts w:eastAsia="Times New Roman"/>
          <w:color w:val="000000"/>
          <w:sz w:val="20"/>
          <w:szCs w:val="20"/>
        </w:rPr>
        <w:t>To the extent that any such information is forward-looking, it is intended to fit within the safe harbor for forward-looking information provided by the Private Securities Litigati</w:t>
      </w:r>
      <w:r>
        <w:rPr>
          <w:rFonts w:eastAsia="Times New Roman"/>
          <w:color w:val="000000"/>
          <w:sz w:val="20"/>
          <w:szCs w:val="20"/>
        </w:rPr>
        <w:t>on Reform Act of 1995.</w:t>
      </w:r>
    </w:p>
    <w:p w:rsidR="00000000" w:rsidRDefault="00795D39">
      <w:pPr>
        <w:jc w:val="both"/>
        <w:divId w:val="1868906769"/>
        <w:rPr>
          <w:rFonts w:eastAsia="Times New Roman"/>
        </w:rPr>
      </w:pPr>
      <w:r>
        <w:rPr>
          <w:rFonts w:eastAsia="Times New Roman"/>
          <w:color w:val="000000"/>
          <w:sz w:val="20"/>
          <w:szCs w:val="20"/>
        </w:rPr>
        <w:t>Numerous factors could cause our actual results to differ materially from those described in such forward-looking statements, including, among other things:</w:t>
      </w:r>
    </w:p>
    <w:p w:rsidR="00000000" w:rsidRDefault="00795D39">
      <w:pPr>
        <w:ind w:hanging="360"/>
        <w:jc w:val="both"/>
        <w:divId w:val="1415084342"/>
        <w:rPr>
          <w:rFonts w:eastAsia="Times New Roman"/>
        </w:rPr>
      </w:pPr>
      <w:r>
        <w:rPr>
          <w:rFonts w:eastAsia="Times New Roman"/>
          <w:color w:val="000000"/>
          <w:sz w:val="20"/>
          <w:szCs w:val="20"/>
        </w:rPr>
        <w:t>•the impact of the COVID-19 pandemic and related public health measures on o</w:t>
      </w:r>
      <w:r>
        <w:rPr>
          <w:rFonts w:eastAsia="Times New Roman"/>
          <w:color w:val="000000"/>
          <w:sz w:val="20"/>
          <w:szCs w:val="20"/>
        </w:rPr>
        <w:t>ur business, financial condition and results of operations;</w:t>
      </w:r>
    </w:p>
    <w:p w:rsidR="00000000" w:rsidRDefault="00795D39">
      <w:pPr>
        <w:ind w:hanging="360"/>
        <w:jc w:val="both"/>
        <w:divId w:val="831457417"/>
        <w:rPr>
          <w:rFonts w:eastAsia="Times New Roman"/>
        </w:rPr>
      </w:pPr>
      <w:r>
        <w:rPr>
          <w:rFonts w:eastAsia="Times New Roman"/>
          <w:color w:val="000000"/>
          <w:sz w:val="20"/>
          <w:szCs w:val="20"/>
        </w:rPr>
        <w:t>•general economic and business conditions in the U.S., the U.K., Canada or our local markets, including conditions affecting employment levels, interest rates, tariffs, collateral values, consumer</w:t>
      </w:r>
      <w:r>
        <w:rPr>
          <w:rFonts w:eastAsia="Times New Roman"/>
          <w:color w:val="000000"/>
          <w:sz w:val="20"/>
          <w:szCs w:val="20"/>
        </w:rPr>
        <w:t xml:space="preserve"> income, credit worthiness and confidence, spending and savings that may affect consumer bankruptcies, defaults, charge-offs and deposit activity;</w:t>
      </w:r>
    </w:p>
    <w:p w:rsidR="00000000" w:rsidRDefault="00795D39">
      <w:pPr>
        <w:ind w:hanging="360"/>
        <w:jc w:val="both"/>
        <w:divId w:val="97456966"/>
        <w:rPr>
          <w:rFonts w:eastAsia="Times New Roman"/>
        </w:rPr>
      </w:pPr>
      <w:r>
        <w:rPr>
          <w:rFonts w:eastAsia="Times New Roman"/>
          <w:color w:val="000000"/>
          <w:sz w:val="20"/>
          <w:szCs w:val="20"/>
        </w:rPr>
        <w:t>•an increase or decrease in credit losses, including increases due to a worsening of general economic conditi</w:t>
      </w:r>
      <w:r>
        <w:rPr>
          <w:rFonts w:eastAsia="Times New Roman"/>
          <w:color w:val="000000"/>
          <w:sz w:val="20"/>
          <w:szCs w:val="20"/>
        </w:rPr>
        <w:t>ons in the credit environment, and the impact of inaccurate estimates or inadequate reserves;</w:t>
      </w:r>
    </w:p>
    <w:p w:rsidR="00000000" w:rsidRDefault="00795D39">
      <w:pPr>
        <w:ind w:hanging="360"/>
        <w:jc w:val="both"/>
        <w:divId w:val="1758477609"/>
        <w:rPr>
          <w:rFonts w:eastAsia="Times New Roman"/>
        </w:rPr>
      </w:pPr>
      <w:r>
        <w:rPr>
          <w:rFonts w:eastAsia="Times New Roman"/>
          <w:color w:val="000000"/>
          <w:sz w:val="20"/>
          <w:szCs w:val="20"/>
        </w:rPr>
        <w:t>•compliance with financial, legal, regulatory, tax or accounting changes or actions, including the impacts of the Tax Act, the Dodd-Frank Act, and other regulatio</w:t>
      </w:r>
      <w:r>
        <w:rPr>
          <w:rFonts w:eastAsia="Times New Roman"/>
          <w:color w:val="000000"/>
          <w:sz w:val="20"/>
          <w:szCs w:val="20"/>
        </w:rPr>
        <w:t>ns governing bank capital and liquidity standards;</w:t>
      </w:r>
    </w:p>
    <w:p w:rsidR="00000000" w:rsidRDefault="00795D39">
      <w:pPr>
        <w:ind w:hanging="360"/>
        <w:jc w:val="both"/>
        <w:divId w:val="1821458760"/>
        <w:rPr>
          <w:rFonts w:eastAsia="Times New Roman"/>
        </w:rPr>
      </w:pPr>
      <w:r>
        <w:rPr>
          <w:rFonts w:eastAsia="Times New Roman"/>
          <w:color w:val="000000"/>
          <w:sz w:val="20"/>
          <w:szCs w:val="20"/>
        </w:rPr>
        <w:t>•our ability to manage effectively our capital and liquidity;</w:t>
      </w:r>
    </w:p>
    <w:p w:rsidR="00000000" w:rsidRDefault="00795D39">
      <w:pPr>
        <w:ind w:hanging="360"/>
        <w:jc w:val="both"/>
        <w:divId w:val="2088376760"/>
        <w:rPr>
          <w:rFonts w:eastAsia="Times New Roman"/>
        </w:rPr>
      </w:pPr>
      <w:r>
        <w:rPr>
          <w:rFonts w:eastAsia="Times New Roman"/>
          <w:color w:val="000000"/>
          <w:sz w:val="20"/>
          <w:szCs w:val="20"/>
        </w:rPr>
        <w:t>•developments, changes or actions relating to any litigation, governmental investigation or regulatory enforcement action or matter involving u</w:t>
      </w:r>
      <w:r>
        <w:rPr>
          <w:rFonts w:eastAsia="Times New Roman"/>
          <w:color w:val="000000"/>
          <w:sz w:val="20"/>
          <w:szCs w:val="20"/>
        </w:rPr>
        <w:t>s;</w:t>
      </w:r>
    </w:p>
    <w:p w:rsidR="00000000" w:rsidRDefault="00795D39">
      <w:pPr>
        <w:ind w:hanging="360"/>
        <w:jc w:val="both"/>
        <w:divId w:val="956719873"/>
        <w:rPr>
          <w:rFonts w:eastAsia="Times New Roman"/>
        </w:rPr>
      </w:pPr>
      <w:r>
        <w:rPr>
          <w:rFonts w:eastAsia="Times New Roman"/>
          <w:color w:val="000000"/>
          <w:sz w:val="20"/>
          <w:szCs w:val="20"/>
        </w:rPr>
        <w:t>•the inability to sustain revenue and earnings growth;</w:t>
      </w:r>
    </w:p>
    <w:p w:rsidR="00000000" w:rsidRDefault="00795D39">
      <w:pPr>
        <w:ind w:hanging="360"/>
        <w:jc w:val="both"/>
        <w:divId w:val="1389572454"/>
        <w:rPr>
          <w:rFonts w:eastAsia="Times New Roman"/>
        </w:rPr>
      </w:pPr>
      <w:r>
        <w:rPr>
          <w:rFonts w:eastAsia="Times New Roman"/>
          <w:color w:val="000000"/>
          <w:sz w:val="20"/>
          <w:szCs w:val="20"/>
        </w:rPr>
        <w:t>•increases or decreases in interest rates and uncertainty with respect to the interest rate environment;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92490010"/>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9249001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69249001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8" style="width:0;height:1.5pt" o:hralign="center" o:hrstd="t" o:hr="t" fillcolor="#a0a0a0" stroked="f"/>
        </w:pict>
      </w:r>
    </w:p>
    <w:p w:rsidR="00000000" w:rsidRDefault="00795D39">
      <w:pPr>
        <w:jc w:val="both"/>
        <w:divId w:val="2590809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ind w:hanging="360"/>
        <w:jc w:val="both"/>
        <w:divId w:val="705443585"/>
        <w:rPr>
          <w:rFonts w:eastAsia="Times New Roman"/>
        </w:rPr>
      </w:pPr>
      <w:r>
        <w:rPr>
          <w:rFonts w:eastAsia="Times New Roman"/>
          <w:color w:val="000000"/>
          <w:sz w:val="20"/>
          <w:szCs w:val="20"/>
        </w:rPr>
        <w:t>•</w:t>
      </w:r>
      <w:r>
        <w:rPr>
          <w:rFonts w:eastAsia="Times New Roman"/>
          <w:color w:val="000000"/>
          <w:sz w:val="20"/>
          <w:szCs w:val="20"/>
        </w:rPr>
        <w:t>uncertainty regarding, and transition away from, the London Interbank Offered Rate;</w:t>
      </w:r>
    </w:p>
    <w:p w:rsidR="00000000" w:rsidRDefault="00795D39">
      <w:pPr>
        <w:ind w:hanging="360"/>
        <w:jc w:val="both"/>
        <w:divId w:val="1051271538"/>
        <w:rPr>
          <w:rFonts w:eastAsia="Times New Roman"/>
        </w:rPr>
      </w:pPr>
      <w:r>
        <w:rPr>
          <w:rFonts w:eastAsia="Times New Roman"/>
          <w:color w:val="000000"/>
          <w:sz w:val="20"/>
          <w:szCs w:val="20"/>
        </w:rPr>
        <w:t>•our ability to access the capital markets at attractive rates and terms to capitalize and fund our operations and future growth;</w:t>
      </w:r>
    </w:p>
    <w:p w:rsidR="00000000" w:rsidRDefault="00795D39">
      <w:pPr>
        <w:ind w:hanging="360"/>
        <w:jc w:val="both"/>
        <w:divId w:val="370812839"/>
        <w:rPr>
          <w:rFonts w:eastAsia="Times New Roman"/>
        </w:rPr>
      </w:pPr>
      <w:r>
        <w:rPr>
          <w:rFonts w:eastAsia="Times New Roman"/>
          <w:color w:val="000000"/>
          <w:sz w:val="20"/>
          <w:szCs w:val="20"/>
        </w:rPr>
        <w:t>•increases or decreases in our aggregate l</w:t>
      </w:r>
      <w:r>
        <w:rPr>
          <w:rFonts w:eastAsia="Times New Roman"/>
          <w:color w:val="000000"/>
          <w:sz w:val="20"/>
          <w:szCs w:val="20"/>
        </w:rPr>
        <w:t>oan balances or the number of customers and the growth rate and composition thereof, including increases or decreases resulting from factors such as shifting product mix, amount of actual marketing expenses we incur and attrition of loan balances;</w:t>
      </w:r>
    </w:p>
    <w:p w:rsidR="00000000" w:rsidRDefault="00795D39">
      <w:pPr>
        <w:ind w:hanging="360"/>
        <w:jc w:val="both"/>
        <w:divId w:val="1247960279"/>
        <w:rPr>
          <w:rFonts w:eastAsia="Times New Roman"/>
        </w:rPr>
      </w:pPr>
      <w:r>
        <w:rPr>
          <w:rFonts w:eastAsia="Times New Roman"/>
          <w:color w:val="000000"/>
          <w:sz w:val="20"/>
          <w:szCs w:val="20"/>
        </w:rPr>
        <w:t>•the amo</w:t>
      </w:r>
      <w:r>
        <w:rPr>
          <w:rFonts w:eastAsia="Times New Roman"/>
          <w:color w:val="000000"/>
          <w:sz w:val="20"/>
          <w:szCs w:val="20"/>
        </w:rPr>
        <w:t>unt and rate of deposit growth;</w:t>
      </w:r>
    </w:p>
    <w:p w:rsidR="00000000" w:rsidRDefault="00795D39">
      <w:pPr>
        <w:ind w:hanging="360"/>
        <w:jc w:val="both"/>
        <w:divId w:val="1278373794"/>
        <w:rPr>
          <w:rFonts w:eastAsia="Times New Roman"/>
        </w:rPr>
      </w:pPr>
      <w:r>
        <w:rPr>
          <w:rFonts w:eastAsia="Times New Roman"/>
          <w:color w:val="000000"/>
          <w:sz w:val="20"/>
          <w:szCs w:val="20"/>
        </w:rPr>
        <w:t>•changes in deposit costs;</w:t>
      </w:r>
    </w:p>
    <w:p w:rsidR="00000000" w:rsidRDefault="00795D39">
      <w:pPr>
        <w:ind w:hanging="360"/>
        <w:jc w:val="both"/>
        <w:divId w:val="959728693"/>
        <w:rPr>
          <w:rFonts w:eastAsia="Times New Roman"/>
        </w:rPr>
      </w:pPr>
      <w:r>
        <w:rPr>
          <w:rFonts w:eastAsia="Times New Roman"/>
          <w:color w:val="000000"/>
          <w:sz w:val="20"/>
          <w:szCs w:val="20"/>
        </w:rPr>
        <w:t>•our ability to execute on our strategic and operational plans;</w:t>
      </w:r>
    </w:p>
    <w:p w:rsidR="00000000" w:rsidRDefault="00795D39">
      <w:pPr>
        <w:ind w:hanging="360"/>
        <w:jc w:val="both"/>
        <w:divId w:val="885869704"/>
        <w:rPr>
          <w:rFonts w:eastAsia="Times New Roman"/>
        </w:rPr>
      </w:pPr>
      <w:r>
        <w:rPr>
          <w:rFonts w:eastAsia="Times New Roman"/>
          <w:color w:val="000000"/>
          <w:sz w:val="20"/>
          <w:szCs w:val="20"/>
        </w:rPr>
        <w:t>•restructuring activities or other charges;</w:t>
      </w:r>
    </w:p>
    <w:p w:rsidR="00000000" w:rsidRDefault="00795D39">
      <w:pPr>
        <w:ind w:hanging="360"/>
        <w:jc w:val="both"/>
        <w:divId w:val="785926779"/>
        <w:rPr>
          <w:rFonts w:eastAsia="Times New Roman"/>
        </w:rPr>
      </w:pPr>
      <w:r>
        <w:rPr>
          <w:rFonts w:eastAsia="Times New Roman"/>
          <w:color w:val="000000"/>
          <w:sz w:val="20"/>
          <w:szCs w:val="20"/>
        </w:rPr>
        <w:t>•our response to competitive pressures;</w:t>
      </w:r>
    </w:p>
    <w:p w:rsidR="00000000" w:rsidRDefault="00795D39">
      <w:pPr>
        <w:ind w:hanging="360"/>
        <w:jc w:val="both"/>
        <w:divId w:val="1708141017"/>
        <w:rPr>
          <w:rFonts w:eastAsia="Times New Roman"/>
        </w:rPr>
      </w:pPr>
      <w:r>
        <w:rPr>
          <w:rFonts w:eastAsia="Times New Roman"/>
          <w:color w:val="000000"/>
          <w:sz w:val="20"/>
          <w:szCs w:val="20"/>
        </w:rPr>
        <w:t>•</w:t>
      </w:r>
      <w:r>
        <w:rPr>
          <w:rFonts w:eastAsia="Times New Roman"/>
          <w:color w:val="000000"/>
          <w:sz w:val="20"/>
          <w:szCs w:val="20"/>
        </w:rPr>
        <w:t>changes in retail distribution strategies and channels, including the emergence of new technologies and product delivery systems;</w:t>
      </w:r>
    </w:p>
    <w:p w:rsidR="00000000" w:rsidRDefault="00795D39">
      <w:pPr>
        <w:ind w:hanging="360"/>
        <w:jc w:val="both"/>
        <w:divId w:val="2124227910"/>
        <w:rPr>
          <w:rFonts w:eastAsia="Times New Roman"/>
        </w:rPr>
      </w:pPr>
      <w:r>
        <w:rPr>
          <w:rFonts w:eastAsia="Times New Roman"/>
          <w:color w:val="000000"/>
          <w:sz w:val="20"/>
          <w:szCs w:val="20"/>
        </w:rPr>
        <w:t>•our success in integrating acquired businesses and loan portfolios, and our ability to realize anticipated benefits from anno</w:t>
      </w:r>
      <w:r>
        <w:rPr>
          <w:rFonts w:eastAsia="Times New Roman"/>
          <w:color w:val="000000"/>
          <w:sz w:val="20"/>
          <w:szCs w:val="20"/>
        </w:rPr>
        <w:t>unced transactions and strategic partnerships;</w:t>
      </w:r>
    </w:p>
    <w:p w:rsidR="00000000" w:rsidRDefault="00795D39">
      <w:pPr>
        <w:ind w:hanging="360"/>
        <w:jc w:val="both"/>
        <w:divId w:val="2118215343"/>
        <w:rPr>
          <w:rFonts w:eastAsia="Times New Roman"/>
        </w:rPr>
      </w:pPr>
      <w:r>
        <w:rPr>
          <w:rFonts w:eastAsia="Times New Roman"/>
          <w:color w:val="000000"/>
          <w:sz w:val="20"/>
          <w:szCs w:val="20"/>
        </w:rPr>
        <w:t>•the success of our marketing efforts in attracting and retaining customers;</w:t>
      </w:r>
    </w:p>
    <w:p w:rsidR="00000000" w:rsidRDefault="00795D39">
      <w:pPr>
        <w:ind w:hanging="360"/>
        <w:jc w:val="both"/>
        <w:divId w:val="1740322178"/>
        <w:rPr>
          <w:rFonts w:eastAsia="Times New Roman"/>
        </w:rPr>
      </w:pPr>
      <w:r>
        <w:rPr>
          <w:rFonts w:eastAsia="Times New Roman"/>
          <w:color w:val="000000"/>
          <w:sz w:val="20"/>
          <w:szCs w:val="20"/>
        </w:rPr>
        <w:t xml:space="preserve">•changes in the reputation of, or expectations regarding, the financial services industry or us with respect to practices, products </w:t>
      </w:r>
      <w:r>
        <w:rPr>
          <w:rFonts w:eastAsia="Times New Roman"/>
          <w:color w:val="000000"/>
          <w:sz w:val="20"/>
          <w:szCs w:val="20"/>
        </w:rPr>
        <w:t>or financial condition;</w:t>
      </w:r>
    </w:p>
    <w:p w:rsidR="00000000" w:rsidRDefault="00795D39">
      <w:pPr>
        <w:ind w:hanging="360"/>
        <w:jc w:val="both"/>
        <w:divId w:val="1379818260"/>
        <w:rPr>
          <w:rFonts w:eastAsia="Times New Roman"/>
        </w:rPr>
      </w:pPr>
      <w:r>
        <w:rPr>
          <w:rFonts w:eastAsia="Times New Roman"/>
          <w:color w:val="000000"/>
          <w:sz w:val="20"/>
          <w:szCs w:val="20"/>
        </w:rPr>
        <w:t>•any significant disruption in our operations or in the technology platforms on which we rely, including cybersecurity, business continuity and related operational risks, as well as other security failures or breaches of our systems</w:t>
      </w:r>
      <w:r>
        <w:rPr>
          <w:rFonts w:eastAsia="Times New Roman"/>
          <w:color w:val="000000"/>
          <w:sz w:val="20"/>
          <w:szCs w:val="20"/>
        </w:rPr>
        <w:t xml:space="preserve"> or those of our customers, partners, service providers or other third parties;</w:t>
      </w:r>
    </w:p>
    <w:p w:rsidR="00000000" w:rsidRDefault="00795D39">
      <w:pPr>
        <w:ind w:hanging="360"/>
        <w:jc w:val="both"/>
        <w:divId w:val="830565200"/>
        <w:rPr>
          <w:rFonts w:eastAsia="Times New Roman"/>
        </w:rPr>
      </w:pPr>
      <w:r>
        <w:rPr>
          <w:rFonts w:eastAsia="Times New Roman"/>
          <w:color w:val="000000"/>
          <w:sz w:val="20"/>
          <w:szCs w:val="20"/>
        </w:rPr>
        <w:t xml:space="preserve">•the potential impact to our business, operations and reputation from, and expenses and uncertainties associated with, the Cybersecurity Incident we announced on July 29, 2019 </w:t>
      </w:r>
      <w:r>
        <w:rPr>
          <w:rFonts w:eastAsia="Times New Roman"/>
          <w:color w:val="000000"/>
          <w:sz w:val="20"/>
          <w:szCs w:val="20"/>
        </w:rPr>
        <w:t>and associated legal proceedings and other inquiries or investigations, as discussed in “MD&amp;A—Introduction—Cybersecurity Incident” and “Note 13—Commitments, Contingencies, Guarantees and Others”;</w:t>
      </w:r>
    </w:p>
    <w:p w:rsidR="00000000" w:rsidRDefault="00795D39">
      <w:pPr>
        <w:ind w:hanging="360"/>
        <w:jc w:val="both"/>
        <w:divId w:val="69161534"/>
        <w:rPr>
          <w:rFonts w:eastAsia="Times New Roman"/>
        </w:rPr>
      </w:pPr>
      <w:r>
        <w:rPr>
          <w:rFonts w:eastAsia="Times New Roman"/>
          <w:color w:val="000000"/>
          <w:sz w:val="20"/>
          <w:szCs w:val="20"/>
        </w:rPr>
        <w:t>•our ability to maintain a compliance and technology infrast</w:t>
      </w:r>
      <w:r>
        <w:rPr>
          <w:rFonts w:eastAsia="Times New Roman"/>
          <w:color w:val="000000"/>
          <w:sz w:val="20"/>
          <w:szCs w:val="20"/>
        </w:rPr>
        <w:t>ructure suitable for the nature of our business;</w:t>
      </w:r>
    </w:p>
    <w:p w:rsidR="00000000" w:rsidRDefault="00795D39">
      <w:pPr>
        <w:ind w:hanging="360"/>
        <w:jc w:val="both"/>
        <w:divId w:val="767387662"/>
        <w:rPr>
          <w:rFonts w:eastAsia="Times New Roman"/>
        </w:rPr>
      </w:pPr>
      <w:r>
        <w:rPr>
          <w:rFonts w:eastAsia="Times New Roman"/>
          <w:color w:val="000000"/>
          <w:sz w:val="20"/>
          <w:szCs w:val="20"/>
        </w:rPr>
        <w:t>•our ability to develop and adapt to rapid changes in digital technology to address the needs of our customers and comply with applicable regulatory standards, including compliance with data protection and p</w:t>
      </w:r>
      <w:r>
        <w:rPr>
          <w:rFonts w:eastAsia="Times New Roman"/>
          <w:color w:val="000000"/>
          <w:sz w:val="20"/>
          <w:szCs w:val="20"/>
        </w:rPr>
        <w:t>rivacy standards;</w:t>
      </w:r>
    </w:p>
    <w:p w:rsidR="00000000" w:rsidRDefault="00795D39">
      <w:pPr>
        <w:ind w:hanging="360"/>
        <w:jc w:val="both"/>
        <w:divId w:val="389157602"/>
        <w:rPr>
          <w:rFonts w:eastAsia="Times New Roman"/>
        </w:rPr>
      </w:pPr>
      <w:r>
        <w:rPr>
          <w:rFonts w:eastAsia="Times New Roman"/>
          <w:color w:val="000000"/>
          <w:sz w:val="20"/>
          <w:szCs w:val="20"/>
        </w:rPr>
        <w:t>•the effectiveness of our risk management strategies;</w:t>
      </w:r>
    </w:p>
    <w:p w:rsidR="00000000" w:rsidRDefault="00795D39">
      <w:pPr>
        <w:ind w:hanging="360"/>
        <w:jc w:val="both"/>
        <w:divId w:val="1806848517"/>
        <w:rPr>
          <w:rFonts w:eastAsia="Times New Roman"/>
        </w:rPr>
      </w:pPr>
      <w:r>
        <w:rPr>
          <w:rFonts w:eastAsia="Times New Roman"/>
          <w:color w:val="000000"/>
          <w:sz w:val="20"/>
          <w:szCs w:val="20"/>
        </w:rPr>
        <w:t>•our ability to control costs, including the amount of, and rate of growth in, our expenses as our business develops or changes or as it expands into new market areas;</w:t>
      </w:r>
    </w:p>
    <w:p w:rsidR="00000000" w:rsidRDefault="00795D39">
      <w:pPr>
        <w:ind w:hanging="360"/>
        <w:jc w:val="both"/>
        <w:divId w:val="709499321"/>
        <w:rPr>
          <w:rFonts w:eastAsia="Times New Roman"/>
        </w:rPr>
      </w:pPr>
      <w:r>
        <w:rPr>
          <w:rFonts w:eastAsia="Times New Roman"/>
          <w:color w:val="000000"/>
          <w:sz w:val="20"/>
          <w:szCs w:val="20"/>
        </w:rPr>
        <w:t>•the extensive u</w:t>
      </w:r>
      <w:r>
        <w:rPr>
          <w:rFonts w:eastAsia="Times New Roman"/>
          <w:color w:val="000000"/>
          <w:sz w:val="20"/>
          <w:szCs w:val="20"/>
        </w:rPr>
        <w:t>se, reliability and accuracy of the models and data we rely on;</w:t>
      </w:r>
    </w:p>
    <w:p w:rsidR="00000000" w:rsidRDefault="00795D39">
      <w:pPr>
        <w:ind w:hanging="360"/>
        <w:jc w:val="both"/>
        <w:divId w:val="1592928352"/>
        <w:rPr>
          <w:rFonts w:eastAsia="Times New Roman"/>
        </w:rPr>
      </w:pPr>
      <w:r>
        <w:rPr>
          <w:rFonts w:eastAsia="Times New Roman"/>
          <w:color w:val="000000"/>
          <w:sz w:val="20"/>
          <w:szCs w:val="20"/>
        </w:rPr>
        <w:t>•our ability to recruit and retain talented and experienced personnel;</w:t>
      </w:r>
    </w:p>
    <w:p w:rsidR="00000000" w:rsidRDefault="00795D39">
      <w:pPr>
        <w:ind w:hanging="360"/>
        <w:jc w:val="both"/>
        <w:divId w:val="33387983"/>
        <w:rPr>
          <w:rFonts w:eastAsia="Times New Roman"/>
        </w:rPr>
      </w:pPr>
      <w:r>
        <w:rPr>
          <w:rFonts w:eastAsia="Times New Roman"/>
          <w:color w:val="000000"/>
          <w:sz w:val="20"/>
          <w:szCs w:val="20"/>
        </w:rPr>
        <w:t>•the impact from, and our ability to respond to, natural disasters and other catastrophic events;</w:t>
      </w:r>
    </w:p>
    <w:p w:rsidR="00000000" w:rsidRDefault="00795D39">
      <w:pPr>
        <w:ind w:hanging="360"/>
        <w:jc w:val="both"/>
        <w:divId w:val="894506159"/>
        <w:rPr>
          <w:rFonts w:eastAsia="Times New Roman"/>
        </w:rPr>
      </w:pPr>
      <w:r>
        <w:rPr>
          <w:rFonts w:eastAsia="Times New Roman"/>
          <w:color w:val="000000"/>
          <w:sz w:val="20"/>
          <w:szCs w:val="20"/>
        </w:rPr>
        <w:t>•changes in the labor a</w:t>
      </w:r>
      <w:r>
        <w:rPr>
          <w:rFonts w:eastAsia="Times New Roman"/>
          <w:color w:val="000000"/>
          <w:sz w:val="20"/>
          <w:szCs w:val="20"/>
        </w:rPr>
        <w:t>nd employment markets;</w:t>
      </w:r>
    </w:p>
    <w:p w:rsidR="00000000" w:rsidRDefault="00795D39">
      <w:pPr>
        <w:ind w:hanging="360"/>
        <w:jc w:val="both"/>
        <w:divId w:val="452141247"/>
        <w:rPr>
          <w:rFonts w:eastAsia="Times New Roman"/>
        </w:rPr>
      </w:pPr>
      <w:r>
        <w:rPr>
          <w:rFonts w:eastAsia="Times New Roman"/>
          <w:color w:val="000000"/>
          <w:sz w:val="20"/>
          <w:szCs w:val="20"/>
        </w:rPr>
        <w:t>•fraud or misconduct by our customers, employees, business partners or third parties;</w:t>
      </w:r>
    </w:p>
    <w:p w:rsidR="00000000" w:rsidRDefault="00795D39">
      <w:pPr>
        <w:ind w:hanging="360"/>
        <w:jc w:val="both"/>
        <w:divId w:val="1135828557"/>
        <w:rPr>
          <w:rFonts w:eastAsia="Times New Roman"/>
        </w:rPr>
      </w:pPr>
      <w:r>
        <w:rPr>
          <w:rFonts w:eastAsia="Times New Roman"/>
          <w:color w:val="000000"/>
          <w:sz w:val="20"/>
          <w:szCs w:val="20"/>
        </w:rPr>
        <w:t>•merchants’ increasing focus on the fees charged by credit card networks; and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16984006"/>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1698400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1698400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89" style="width:0;height:1.5pt" o:hralign="center" o:hrstd="t" o:hr="t" fillcolor="#a0a0a0" stroked="f"/>
        </w:pict>
      </w:r>
    </w:p>
    <w:p w:rsidR="00000000" w:rsidRDefault="00795D39">
      <w:pPr>
        <w:jc w:val="both"/>
        <w:divId w:val="88128377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ind w:hanging="360"/>
        <w:jc w:val="both"/>
        <w:divId w:val="1734965569"/>
        <w:rPr>
          <w:rFonts w:eastAsia="Times New Roman"/>
        </w:rPr>
      </w:pPr>
      <w:r>
        <w:rPr>
          <w:rFonts w:eastAsia="Times New Roman"/>
          <w:color w:val="000000"/>
          <w:sz w:val="20"/>
          <w:szCs w:val="20"/>
        </w:rPr>
        <w:t>•</w:t>
      </w:r>
      <w:r>
        <w:rPr>
          <w:rFonts w:eastAsia="Times New Roman"/>
          <w:color w:val="000000"/>
          <w:sz w:val="20"/>
          <w:szCs w:val="20"/>
        </w:rPr>
        <w:t>other risk factors identified from time to time in our public disclosures, including in the reports that we file with the SEC.</w:t>
      </w:r>
    </w:p>
    <w:p w:rsidR="00000000" w:rsidRDefault="00795D39">
      <w:pPr>
        <w:jc w:val="both"/>
        <w:divId w:val="1335106892"/>
        <w:rPr>
          <w:rFonts w:eastAsia="Times New Roman"/>
        </w:rPr>
      </w:pPr>
      <w:r>
        <w:rPr>
          <w:rFonts w:eastAsia="Times New Roman"/>
          <w:color w:val="000000"/>
          <w:sz w:val="20"/>
          <w:szCs w:val="20"/>
        </w:rPr>
        <w:t>We expect that the effects of the COVID-19 pandemic will heighten the risks associated with many of these factors.</w:t>
      </w:r>
    </w:p>
    <w:p w:rsidR="00000000" w:rsidRDefault="00795D39">
      <w:pPr>
        <w:jc w:val="both"/>
        <w:divId w:val="1789352418"/>
        <w:rPr>
          <w:rFonts w:eastAsia="Times New Roman"/>
        </w:rPr>
      </w:pPr>
      <w:r>
        <w:rPr>
          <w:rFonts w:eastAsia="Times New Roman"/>
          <w:color w:val="000000"/>
          <w:sz w:val="20"/>
          <w:szCs w:val="20"/>
        </w:rPr>
        <w:t>Forward-lookin</w:t>
      </w:r>
      <w:r>
        <w:rPr>
          <w:rFonts w:eastAsia="Times New Roman"/>
          <w:color w:val="000000"/>
          <w:sz w:val="20"/>
          <w:szCs w:val="20"/>
        </w:rPr>
        <w:t>g statements often use words such as “will,” “anticipate,” “target,” “expect,” “estimate,” “intend,” “plan,” “goal,” “believe,” “forecast,” “outlook” or other words of similar meaning. Any forward-looking statements made by us or on our behalf speak only a</w:t>
      </w:r>
      <w:r>
        <w:rPr>
          <w:rFonts w:eastAsia="Times New Roman"/>
          <w:color w:val="000000"/>
          <w:sz w:val="20"/>
          <w:szCs w:val="20"/>
        </w:rPr>
        <w:t>s of the date they are made or as of the date indicated, and we do not undertake any obligation to update forward-looking statements as a result of new information, future events or otherwise. For additional information on factors that could materially inf</w:t>
      </w:r>
      <w:r>
        <w:rPr>
          <w:rFonts w:eastAsia="Times New Roman"/>
          <w:color w:val="000000"/>
          <w:sz w:val="20"/>
          <w:szCs w:val="20"/>
        </w:rPr>
        <w:t>luence forward-looking statements included in this Report, see the risk factors set forth under “Part I—Item 1A. Risk Factors” in our 2019 Form 10-K and “Part II—Item 1A. Risk Factors” in our Quarterly Report on Form 10-Q for the period ended March 31, 202</w:t>
      </w:r>
      <w:r>
        <w:rPr>
          <w:rFonts w:eastAsia="Times New Roman"/>
          <w:color w:val="000000"/>
          <w:sz w:val="20"/>
          <w:szCs w:val="20"/>
        </w:rPr>
        <w:t>0. You should carefully consider the factors discussed above, and in our Risk Factors or other disclosure, in evaluating these forward-looking statements.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31150627"/>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3115062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3115062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0" style="width:0;height:1.5pt" o:hralign="center" o:hrstd="t" o:hr="t" fillcolor="#a0a0a0" stroked="f"/>
        </w:pict>
      </w:r>
    </w:p>
    <w:p w:rsidR="00000000" w:rsidRDefault="00795D39">
      <w:pPr>
        <w:jc w:val="both"/>
        <w:divId w:val="1851679637"/>
        <w:rPr>
          <w:rFonts w:eastAsia="Times New Roman"/>
        </w:rPr>
      </w:pPr>
      <w:hyperlink w:anchor="i86ab6d5a0edf43c49d46a425718ef61b_7"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224607904"/>
          <w:jc w:val="center"/>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24607904"/>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divId w:val="371462586"/>
              <w:rPr>
                <w:rFonts w:eastAsia="Times New Roman"/>
              </w:rPr>
            </w:pPr>
            <w:r>
              <w:rPr>
                <w:rFonts w:eastAsia="Times New Roman"/>
                <w:b/>
                <w:bCs/>
                <w:color w:val="000000"/>
                <w:sz w:val="20"/>
                <w:szCs w:val="20"/>
              </w:rPr>
              <w:t>SUPPLEMENTAL TABLE</w:t>
            </w:r>
          </w:p>
        </w:tc>
      </w:tr>
    </w:tbl>
    <w:p w:rsidR="00000000" w:rsidRDefault="00795D39">
      <w:pPr>
        <w:divId w:val="1509059888"/>
        <w:rPr>
          <w:rFonts w:eastAsia="Times New Roman"/>
        </w:rPr>
      </w:pPr>
      <w:r>
        <w:rPr>
          <w:rFonts w:eastAsia="Times New Roman"/>
          <w:b/>
          <w:bCs/>
          <w:color w:val="000000"/>
          <w:sz w:val="20"/>
          <w:szCs w:val="20"/>
        </w:rPr>
        <w:t>Reconciliation of Non-GAAP Measures</w:t>
      </w:r>
    </w:p>
    <w:p w:rsidR="00000000" w:rsidRDefault="00795D39">
      <w:pPr>
        <w:jc w:val="both"/>
        <w:divId w:val="1648045866"/>
        <w:rPr>
          <w:rFonts w:eastAsia="Times New Roman"/>
        </w:rPr>
      </w:pPr>
      <w:r>
        <w:rPr>
          <w:rFonts w:eastAsia="Times New Roman"/>
          <w:color w:val="000000"/>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eastAsia="Times New Roman"/>
          <w:color w:val="000000"/>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eastAsia="Times New Roman"/>
          <w:color w:val="000000"/>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rsidR="00000000" w:rsidRDefault="00795D39">
      <w:pPr>
        <w:divId w:val="1654022001"/>
        <w:rPr>
          <w:rFonts w:eastAsia="Times New Roman"/>
        </w:rPr>
      </w:pPr>
      <w:r>
        <w:rPr>
          <w:rFonts w:eastAsia="Times New Roman"/>
          <w:b/>
          <w:bCs/>
          <w:color w:val="000000"/>
          <w:sz w:val="18"/>
          <w:szCs w:val="18"/>
        </w:rPr>
        <w:t>Table</w:t>
      </w:r>
      <w:r>
        <w:rPr>
          <w:rFonts w:eastAsia="Times New Roman"/>
          <w:b/>
          <w:bCs/>
          <w:color w:val="000000"/>
          <w:sz w:val="18"/>
          <w:szCs w:val="18"/>
        </w:rPr>
        <w:t xml:space="preserve"> A—Reconciliation of Non-GAAP Measures</w:t>
      </w:r>
    </w:p>
    <w:tbl>
      <w:tblPr>
        <w:tblW w:w="5000" w:type="pct"/>
        <w:tblCellMar>
          <w:top w:w="15" w:type="dxa"/>
          <w:left w:w="15" w:type="dxa"/>
          <w:bottom w:w="15" w:type="dxa"/>
          <w:right w:w="15" w:type="dxa"/>
        </w:tblCellMar>
        <w:tblLook w:val="04A0" w:firstRow="1" w:lastRow="0" w:firstColumn="1" w:lastColumn="0" w:noHBand="0" w:noVBand="1"/>
      </w:tblPr>
      <w:tblGrid>
        <w:gridCol w:w="40"/>
        <w:gridCol w:w="5399"/>
        <w:gridCol w:w="39"/>
        <w:gridCol w:w="36"/>
        <w:gridCol w:w="36"/>
        <w:gridCol w:w="36"/>
        <w:gridCol w:w="110"/>
        <w:gridCol w:w="903"/>
        <w:gridCol w:w="200"/>
        <w:gridCol w:w="36"/>
        <w:gridCol w:w="36"/>
        <w:gridCol w:w="36"/>
        <w:gridCol w:w="110"/>
        <w:gridCol w:w="903"/>
        <w:gridCol w:w="170"/>
        <w:gridCol w:w="36"/>
        <w:gridCol w:w="36"/>
        <w:gridCol w:w="36"/>
        <w:gridCol w:w="36"/>
        <w:gridCol w:w="36"/>
        <w:gridCol w:w="36"/>
      </w:tblGrid>
      <w:tr w:rsidR="00000000">
        <w:trPr>
          <w:divId w:val="156918737"/>
        </w:trPr>
        <w:tc>
          <w:tcPr>
            <w:tcW w:w="50" w:type="pct"/>
            <w:vAlign w:val="center"/>
            <w:hideMark/>
          </w:tcPr>
          <w:p w:rsidR="00000000" w:rsidRDefault="00795D39">
            <w:pPr>
              <w:rPr>
                <w:rFonts w:eastAsia="Times New Roman"/>
              </w:rPr>
            </w:pPr>
          </w:p>
        </w:tc>
        <w:tc>
          <w:tcPr>
            <w:tcW w:w="342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6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6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Tangible Common Equity (Period-End):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58,424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58,011 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0" w:type="dxa"/>
              <w:bottom w:w="30" w:type="dxa"/>
              <w:right w:w="20" w:type="dxa"/>
            </w:tcMar>
            <w:vAlign w:val="center"/>
            <w:hideMark/>
          </w:tcPr>
          <w:p w:rsidR="00000000" w:rsidRDefault="00795D39">
            <w:pPr>
              <w:divId w:val="346952584"/>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(14,825)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(14,932)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Noncumulative perpetual preferred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(5,330)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(4,853)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Tangible common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38,269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38,226 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Tangible Common Equity (Quarterly Average):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58,148 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0" w:type="dxa"/>
              <w:bottom w:w="30" w:type="dxa"/>
              <w:right w:w="20" w:type="dxa"/>
            </w:tcMar>
            <w:vAlign w:val="center"/>
            <w:hideMark/>
          </w:tcPr>
          <w:p w:rsidR="00000000" w:rsidRDefault="00795D39">
            <w:pPr>
              <w:divId w:val="1707220995"/>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(14,867)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(14,967)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Noncumulative perpetual 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(5,228)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(5,506)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Tangible common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37,128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37,675 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Tangible Assets (Period-End):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421,883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390,365 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0" w:type="dxa"/>
              <w:bottom w:w="30" w:type="dxa"/>
              <w:right w:w="20" w:type="dxa"/>
            </w:tcMar>
            <w:vAlign w:val="center"/>
            <w:hideMark/>
          </w:tcPr>
          <w:p w:rsidR="00000000" w:rsidRDefault="00795D39">
            <w:pPr>
              <w:divId w:val="890192015"/>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(14,825)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(14,932)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407,058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375,433 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Tangible Assets (Quarterly Average):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422,854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383,162 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0" w:type="dxa"/>
              <w:bottom w:w="30" w:type="dxa"/>
              <w:right w:w="20" w:type="dxa"/>
            </w:tcMar>
            <w:vAlign w:val="center"/>
            <w:hideMark/>
          </w:tcPr>
          <w:p w:rsidR="00000000" w:rsidRDefault="00795D39">
            <w:pPr>
              <w:divId w:val="1278024175"/>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(14,867)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(14,967)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407,987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368,195 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Non-GAAP Ratio: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6918737"/>
        </w:trPr>
        <w:tc>
          <w:tcPr>
            <w:tcW w:w="0" w:type="auto"/>
            <w:gridSpan w:val="3"/>
            <w:shd w:val="clear" w:color="auto" w:fill="FFFFFF"/>
            <w:tcMar>
              <w:top w:w="30" w:type="dxa"/>
              <w:left w:w="20" w:type="dxa"/>
              <w:bottom w:w="30" w:type="dxa"/>
              <w:right w:w="20" w:type="dxa"/>
            </w:tcMar>
            <w:vAlign w:val="center"/>
            <w:hideMark/>
          </w:tcPr>
          <w:p w:rsidR="00000000" w:rsidRDefault="00795D39">
            <w:pPr>
              <w:divId w:val="1750228006"/>
              <w:rPr>
                <w:rFonts w:eastAsia="Times New Roman"/>
              </w:rPr>
            </w:pPr>
            <w:r>
              <w:rPr>
                <w:rFonts w:eastAsia="Times New Roman"/>
                <w:color w:val="000000"/>
                <w:sz w:val="18"/>
                <w:szCs w:val="18"/>
              </w:rPr>
              <w:t>Tangible common equit</w:t>
            </w:r>
            <w:r>
              <w:rPr>
                <w:rFonts w:eastAsia="Times New Roman"/>
                <w:color w:val="000000"/>
                <w:sz w:val="18"/>
                <w:szCs w:val="18"/>
              </w:rPr>
              <w:t>y</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10.2 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2108427987"/>
        <w:rPr>
          <w:rFonts w:eastAsia="Times New Roman"/>
        </w:rPr>
      </w:pPr>
      <w:r>
        <w:rPr>
          <w:rFonts w:eastAsia="Times New Roman"/>
          <w:color w:val="000000"/>
          <w:sz w:val="20"/>
          <w:szCs w:val="20"/>
        </w:rPr>
        <w:t>__________</w:t>
      </w:r>
    </w:p>
    <w:p w:rsidR="00000000" w:rsidRDefault="00795D39">
      <w:pPr>
        <w:ind w:hanging="360"/>
        <w:jc w:val="both"/>
        <w:divId w:val="97892043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rsidR="00000000" w:rsidRDefault="00795D39">
      <w:pPr>
        <w:ind w:hanging="360"/>
        <w:jc w:val="both"/>
        <w:divId w:val="176117788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Tangible common equity (“TCE”) ratio is a non-GAAP measure calculated based on TCE divided by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41658163"/>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4165816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4165816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1" style="width:0;height:1.5pt" o:hralign="center" o:hrstd="t" o:hr="t" fillcolor="#a0a0a0" stroked="f"/>
        </w:pict>
      </w:r>
    </w:p>
    <w:p w:rsidR="00000000" w:rsidRDefault="00795D39">
      <w:pPr>
        <w:jc w:val="both"/>
        <w:divId w:val="977490539"/>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4523823"/>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452382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Glossary and Acronyms</w:t>
            </w:r>
          </w:p>
        </w:tc>
      </w:tr>
    </w:tbl>
    <w:p w:rsidR="00000000" w:rsidRDefault="00795D39">
      <w:pPr>
        <w:jc w:val="both"/>
        <w:divId w:val="976882340"/>
        <w:rPr>
          <w:rFonts w:eastAsia="Times New Roman"/>
        </w:rPr>
      </w:pPr>
      <w:r>
        <w:rPr>
          <w:rFonts w:eastAsia="Times New Roman"/>
          <w:b/>
          <w:bCs/>
          <w:color w:val="000000"/>
          <w:sz w:val="20"/>
          <w:szCs w:val="20"/>
        </w:rPr>
        <w:t xml:space="preserve">2019 Stock Repurchase Program: </w:t>
      </w:r>
      <w:r>
        <w:rPr>
          <w:rFonts w:eastAsia="Times New Roman"/>
          <w:color w:val="000000"/>
          <w:sz w:val="20"/>
          <w:szCs w:val="20"/>
        </w:rPr>
        <w:t>On June 27, 2019, we announced that our Board of Directors authorized the repurchase of up to $2.2 billion of shares of our common stock from the third quarter of 2019 through the end of the second quarter of 2020.</w:t>
      </w:r>
    </w:p>
    <w:p w:rsidR="00000000" w:rsidRDefault="00795D39">
      <w:pPr>
        <w:jc w:val="both"/>
        <w:divId w:val="1309822009"/>
        <w:rPr>
          <w:rFonts w:eastAsia="Times New Roman"/>
        </w:rPr>
      </w:pPr>
      <w:r>
        <w:rPr>
          <w:rFonts w:eastAsia="Times New Roman"/>
          <w:b/>
          <w:bCs/>
          <w:color w:val="000000"/>
          <w:sz w:val="20"/>
          <w:szCs w:val="20"/>
        </w:rPr>
        <w:t xml:space="preserve">Annual Report: </w:t>
      </w:r>
      <w:r>
        <w:rPr>
          <w:rFonts w:eastAsia="Times New Roman"/>
          <w:color w:val="000000"/>
          <w:sz w:val="20"/>
          <w:szCs w:val="20"/>
        </w:rPr>
        <w:t>References to our “2019 Fo</w:t>
      </w:r>
      <w:r>
        <w:rPr>
          <w:rFonts w:eastAsia="Times New Roman"/>
          <w:color w:val="000000"/>
          <w:sz w:val="20"/>
          <w:szCs w:val="20"/>
        </w:rPr>
        <w:t xml:space="preserve">rm 10-K” or “2019 Annual Report” are to our Annual Report on Form 10-K for the fiscal year ended December 31, 2019. </w:t>
      </w:r>
    </w:p>
    <w:p w:rsidR="00000000" w:rsidRDefault="00795D39">
      <w:pPr>
        <w:jc w:val="both"/>
        <w:divId w:val="1384213508"/>
        <w:rPr>
          <w:rFonts w:eastAsia="Times New Roman"/>
        </w:rPr>
      </w:pPr>
      <w:r>
        <w:rPr>
          <w:rFonts w:eastAsia="Times New Roman"/>
          <w:b/>
          <w:bCs/>
          <w:color w:val="000000"/>
          <w:sz w:val="20"/>
          <w:szCs w:val="20"/>
        </w:rPr>
        <w:t xml:space="preserve">Banks: </w:t>
      </w:r>
      <w:r>
        <w:rPr>
          <w:rFonts w:eastAsia="Times New Roman"/>
          <w:color w:val="000000"/>
          <w:sz w:val="20"/>
          <w:szCs w:val="20"/>
        </w:rPr>
        <w:t>Refers to COBNA and CONA.</w:t>
      </w:r>
    </w:p>
    <w:p w:rsidR="00000000" w:rsidRDefault="00795D39">
      <w:pPr>
        <w:jc w:val="both"/>
        <w:divId w:val="1817837863"/>
        <w:rPr>
          <w:rFonts w:eastAsia="Times New Roman"/>
        </w:rPr>
      </w:pPr>
      <w:r>
        <w:rPr>
          <w:rFonts w:eastAsia="Times New Roman"/>
          <w:b/>
          <w:bCs/>
          <w:color w:val="000000"/>
          <w:sz w:val="20"/>
          <w:szCs w:val="20"/>
        </w:rPr>
        <w:t>Basel Committee:</w:t>
      </w:r>
      <w:r>
        <w:rPr>
          <w:rFonts w:eastAsia="Times New Roman"/>
          <w:color w:val="000000"/>
          <w:sz w:val="20"/>
          <w:szCs w:val="20"/>
        </w:rPr>
        <w:t xml:space="preserve"> The Basel Committee on Banking Supervision.</w:t>
      </w:r>
    </w:p>
    <w:p w:rsidR="00000000" w:rsidRDefault="00795D39">
      <w:pPr>
        <w:jc w:val="both"/>
        <w:divId w:val="1299844344"/>
        <w:rPr>
          <w:rFonts w:eastAsia="Times New Roman"/>
        </w:rPr>
      </w:pPr>
      <w:r>
        <w:rPr>
          <w:rFonts w:eastAsia="Times New Roman"/>
          <w:b/>
          <w:bCs/>
          <w:color w:val="000000"/>
          <w:sz w:val="20"/>
          <w:szCs w:val="20"/>
        </w:rPr>
        <w:t xml:space="preserve">Basel III Advanced Approaches: </w:t>
      </w:r>
      <w:r>
        <w:rPr>
          <w:rFonts w:eastAsia="Times New Roman"/>
          <w:color w:val="000000"/>
          <w:sz w:val="20"/>
          <w:szCs w:val="20"/>
        </w:rPr>
        <w:t>The Basel III Advanced Approaches is mandatory for those institutions with consolidated total assets of $250 billion or more or consolidated total on-balance sheet foreign exposure of $10 billion or more. The Basel III Capita</w:t>
      </w:r>
      <w:r>
        <w:rPr>
          <w:rFonts w:eastAsia="Times New Roman"/>
          <w:color w:val="000000"/>
          <w:sz w:val="20"/>
          <w:szCs w:val="20"/>
        </w:rPr>
        <w:t>l Rule modified the Advanced Approaches version of Basel II to create the Basel III Advanced Approaches.</w:t>
      </w:r>
    </w:p>
    <w:p w:rsidR="00000000" w:rsidRDefault="00795D39">
      <w:pPr>
        <w:jc w:val="both"/>
        <w:divId w:val="604388692"/>
        <w:rPr>
          <w:rFonts w:eastAsia="Times New Roman"/>
        </w:rPr>
      </w:pPr>
      <w:r>
        <w:rPr>
          <w:rFonts w:eastAsia="Times New Roman"/>
          <w:b/>
          <w:bCs/>
          <w:color w:val="000000"/>
          <w:sz w:val="20"/>
          <w:szCs w:val="20"/>
        </w:rPr>
        <w:t>Basel III Capital Rule:</w:t>
      </w:r>
      <w:r>
        <w:rPr>
          <w:rFonts w:eastAsia="Times New Roman"/>
          <w:color w:val="000000"/>
          <w:sz w:val="20"/>
          <w:szCs w:val="20"/>
        </w:rPr>
        <w:t xml:space="preserve"> The Federal Banking Agencies issued a rule in July 2013 implementing the Basel III capital framework developed by the Basel Com</w:t>
      </w:r>
      <w:r>
        <w:rPr>
          <w:rFonts w:eastAsia="Times New Roman"/>
          <w:color w:val="000000"/>
          <w:sz w:val="20"/>
          <w:szCs w:val="20"/>
        </w:rPr>
        <w:t>mittee as well as certain Dodd-Frank Act and other capital provisions.</w:t>
      </w:r>
    </w:p>
    <w:p w:rsidR="00000000" w:rsidRDefault="00795D39">
      <w:pPr>
        <w:jc w:val="both"/>
        <w:divId w:val="1760906941"/>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 modified Basel I to create the Basel III Standardized Approach, which requires for Basel III Advanced Approaches banking orga</w:t>
      </w:r>
      <w:r>
        <w:rPr>
          <w:rFonts w:eastAsia="Times New Roman"/>
          <w:color w:val="000000"/>
          <w:sz w:val="20"/>
          <w:szCs w:val="20"/>
        </w:rPr>
        <w:t>nizations that have yet to exit parallel run to use the Basel III Standardized Approach to calculate regulatory capital, including capital ratios, subject to transition provisions.</w:t>
      </w:r>
    </w:p>
    <w:p w:rsidR="00000000" w:rsidRDefault="00795D39">
      <w:pPr>
        <w:jc w:val="both"/>
        <w:divId w:val="1168642979"/>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Capital One Financial Corporation and its subsi</w:t>
      </w:r>
      <w:r>
        <w:rPr>
          <w:rFonts w:eastAsia="Times New Roman"/>
          <w:color w:val="000000"/>
          <w:sz w:val="20"/>
          <w:szCs w:val="20"/>
        </w:rPr>
        <w:t>diaries.</w:t>
      </w:r>
    </w:p>
    <w:p w:rsidR="00000000" w:rsidRDefault="00795D39">
      <w:pPr>
        <w:jc w:val="both"/>
        <w:divId w:val="1582133172"/>
        <w:rPr>
          <w:rFonts w:eastAsia="Times New Roman"/>
        </w:rPr>
      </w:pPr>
      <w:r>
        <w:rPr>
          <w:rFonts w:eastAsia="Times New Roman"/>
          <w:b/>
          <w:bCs/>
          <w:color w:val="000000"/>
          <w:sz w:val="20"/>
          <w:szCs w:val="20"/>
        </w:rPr>
        <w:t>The Coronavirus Aid, Relief, and Economic Security Act (“CARES Act”):</w:t>
      </w:r>
      <w:r>
        <w:rPr>
          <w:rFonts w:eastAsia="Times New Roman"/>
          <w:color w:val="000000"/>
          <w:sz w:val="20"/>
          <w:szCs w:val="20"/>
        </w:rPr>
        <w:t xml:space="preserve"> This was signed into law on March 27, 2020, and among other provisions, authorizes a number of lending programs to support the flow of credit to consumers and businesses.</w:t>
      </w:r>
    </w:p>
    <w:p w:rsidR="00000000" w:rsidRDefault="00795D39">
      <w:pPr>
        <w:jc w:val="both"/>
        <w:divId w:val="125507489"/>
        <w:rPr>
          <w:rFonts w:eastAsia="Times New Roman"/>
        </w:rPr>
      </w:pPr>
      <w:r>
        <w:rPr>
          <w:rFonts w:eastAsia="Times New Roman"/>
          <w:b/>
          <w:bCs/>
          <w:color w:val="000000"/>
          <w:sz w:val="20"/>
          <w:szCs w:val="20"/>
        </w:rPr>
        <w:t>Carryi</w:t>
      </w:r>
      <w:r>
        <w:rPr>
          <w:rFonts w:eastAsia="Times New Roman"/>
          <w:b/>
          <w:bCs/>
          <w:color w:val="000000"/>
          <w:sz w:val="20"/>
          <w:szCs w:val="20"/>
        </w:rPr>
        <w:t xml:space="preserve">ng value </w:t>
      </w:r>
      <w:r>
        <w:rPr>
          <w:rFonts w:eastAsia="Times New Roman"/>
          <w:color w:val="000000"/>
          <w:sz w:val="20"/>
          <w:szCs w:val="20"/>
        </w:rPr>
        <w:t>(with respect to loans)</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origination fees and costs, a</w:t>
      </w:r>
      <w:r>
        <w:rPr>
          <w:rFonts w:eastAsia="Times New Roman"/>
          <w:color w:val="000000"/>
          <w:sz w:val="20"/>
          <w:szCs w:val="20"/>
        </w:rPr>
        <w:t>nd unamortized purchase premium or discount. For loans that are or have been on nonaccrual status, the carrying value is also reduced by any net charge-offs that have been recorded and the amount of interest payments applied as a reduction of principal und</w:t>
      </w:r>
      <w:r>
        <w:rPr>
          <w:rFonts w:eastAsia="Times New Roman"/>
          <w:color w:val="000000"/>
          <w:sz w:val="20"/>
          <w:szCs w:val="20"/>
        </w:rPr>
        <w:t>er the cost recovery method. For credit card loans, the carrying value also includes interest that has been billed to the customer, net of any related reserves. Loans held for sale are recorded at either fair value (if we elect the fair value option) or at</w:t>
      </w:r>
      <w:r>
        <w:rPr>
          <w:rFonts w:eastAsia="Times New Roman"/>
          <w:color w:val="000000"/>
          <w:sz w:val="20"/>
          <w:szCs w:val="20"/>
        </w:rPr>
        <w:t xml:space="preserve"> the lower of cost or fair value.</w:t>
      </w:r>
    </w:p>
    <w:p w:rsidR="00000000" w:rsidRDefault="00795D39">
      <w:pPr>
        <w:jc w:val="both"/>
        <w:divId w:val="52900209"/>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Losses on Financial Instr</w:t>
      </w:r>
      <w:r>
        <w:rPr>
          <w:rFonts w:eastAsia="Times New Roman"/>
          <w:i/>
          <w:iCs/>
          <w:color w:val="000000"/>
          <w:sz w:val="20"/>
          <w:szCs w:val="20"/>
        </w:rPr>
        <w:t>uments</w:t>
      </w:r>
      <w:r>
        <w:rPr>
          <w:rFonts w:eastAsia="Times New Roman"/>
          <w:color w:val="000000"/>
          <w:sz w:val="20"/>
          <w:szCs w:val="20"/>
        </w:rPr>
        <w:t>. This ASU requires an impairment model (known as the current expected credit loss (“CECL”) model) that is based on expected rather than incurred losses, with an anticipated result of more timely loss recognition. This guidance was effective for us o</w:t>
      </w:r>
      <w:r>
        <w:rPr>
          <w:rFonts w:eastAsia="Times New Roman"/>
          <w:color w:val="000000"/>
          <w:sz w:val="20"/>
          <w:szCs w:val="20"/>
        </w:rPr>
        <w:t xml:space="preserve">n January 1, 2020. </w:t>
      </w:r>
    </w:p>
    <w:p w:rsidR="00000000" w:rsidRDefault="00795D39">
      <w:pPr>
        <w:jc w:val="both"/>
        <w:divId w:val="1517884690"/>
        <w:rPr>
          <w:rFonts w:eastAsia="Times New Roman"/>
        </w:rPr>
      </w:pPr>
      <w:r>
        <w:rPr>
          <w:rFonts w:eastAsia="Times New Roman"/>
          <w:b/>
          <w:bCs/>
          <w:color w:val="000000"/>
          <w:sz w:val="20"/>
          <w:szCs w:val="20"/>
        </w:rPr>
        <w:t>COBNA:</w:t>
      </w:r>
      <w:r>
        <w:rPr>
          <w:rFonts w:eastAsia="Times New Roman"/>
          <w:color w:val="000000"/>
          <w:sz w:val="20"/>
          <w:szCs w:val="20"/>
        </w:rPr>
        <w:t xml:space="preserve"> Capital One Bank (USA), National Association, one of our fully owned subsidiaries, which offers credit and debit card products, other lending products and deposit products.</w:t>
      </w:r>
    </w:p>
    <w:p w:rsidR="00000000" w:rsidRDefault="00795D39">
      <w:pPr>
        <w:jc w:val="both"/>
        <w:divId w:val="1425033180"/>
        <w:rPr>
          <w:rFonts w:eastAsia="Times New Roman"/>
        </w:rPr>
      </w:pPr>
      <w:r>
        <w:rPr>
          <w:rFonts w:eastAsia="Times New Roman"/>
          <w:b/>
          <w:bCs/>
          <w:color w:val="000000"/>
          <w:sz w:val="20"/>
          <w:szCs w:val="20"/>
        </w:rPr>
        <w:t xml:space="preserve">Common equity Tier 1 capital: </w:t>
      </w:r>
      <w:r>
        <w:rPr>
          <w:rFonts w:eastAsia="Times New Roman"/>
          <w:color w:val="000000"/>
          <w:sz w:val="20"/>
          <w:szCs w:val="20"/>
        </w:rPr>
        <w:t>Calculated as the sum of c</w:t>
      </w:r>
      <w:r>
        <w:rPr>
          <w:rFonts w:eastAsia="Times New Roman"/>
          <w:color w:val="000000"/>
          <w:sz w:val="20"/>
          <w:szCs w:val="20"/>
        </w:rPr>
        <w:t>ommon equity, related surplus and retained earnings, and accumulated other comprehensive income net of applicable phase-ins, less goodwill and intangibles net of associated deferred tax liabilities and applicable phase-ins, less other deductions, as define</w:t>
      </w:r>
      <w:r>
        <w:rPr>
          <w:rFonts w:eastAsia="Times New Roman"/>
          <w:color w:val="000000"/>
          <w:sz w:val="20"/>
          <w:szCs w:val="20"/>
        </w:rPr>
        <w:t>d by regulators.</w:t>
      </w:r>
    </w:p>
    <w:p w:rsidR="00000000" w:rsidRDefault="00795D39">
      <w:pPr>
        <w:jc w:val="both"/>
        <w:divId w:val="1410271561"/>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fully owned subsidiaries, which offers a broad spectrum of banking products and financial services to consumers, small businesses and commercial clients.</w:t>
      </w:r>
    </w:p>
    <w:p w:rsidR="00000000" w:rsidRDefault="00795D39">
      <w:pPr>
        <w:jc w:val="both"/>
        <w:divId w:val="1199857812"/>
        <w:rPr>
          <w:rFonts w:eastAsia="Times New Roman"/>
        </w:rPr>
      </w:pPr>
      <w:r>
        <w:rPr>
          <w:rFonts w:eastAsia="Times New Roman"/>
          <w:b/>
          <w:bCs/>
          <w:color w:val="000000"/>
          <w:sz w:val="20"/>
          <w:szCs w:val="20"/>
        </w:rPr>
        <w:t>Credit risk:</w:t>
      </w:r>
      <w:r>
        <w:rPr>
          <w:rFonts w:eastAsia="Times New Roman"/>
          <w:color w:val="000000"/>
          <w:sz w:val="20"/>
          <w:szCs w:val="20"/>
        </w:rPr>
        <w:t xml:space="preserve"> The risk of loss fro</w:t>
      </w:r>
      <w:r>
        <w:rPr>
          <w:rFonts w:eastAsia="Times New Roman"/>
          <w:color w:val="000000"/>
          <w:sz w:val="20"/>
          <w:szCs w:val="20"/>
        </w:rPr>
        <w:t>m an obligor’s failure to meet the terms of any contract or otherwise fail to perform as agreed.</w:t>
      </w:r>
    </w:p>
    <w:p w:rsidR="00000000" w:rsidRDefault="00795D39">
      <w:pPr>
        <w:jc w:val="both"/>
        <w:divId w:val="970867969"/>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The unauthorized access by an outside individual who obtained certain types of personal information relating to people who had applied </w:t>
      </w:r>
      <w:r>
        <w:rPr>
          <w:rFonts w:eastAsia="Times New Roman"/>
          <w:color w:val="000000"/>
          <w:sz w:val="20"/>
          <w:szCs w:val="20"/>
        </w:rPr>
        <w:t xml:space="preserve">for our credit card products and to our credit card customers that we announced on July 29, 2019.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7448764"/>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3744876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93744876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2" style="width:0;height:1.5pt" o:hralign="center" o:hrstd="t" o:hr="t" fillcolor="#a0a0a0" stroked="f"/>
        </w:pict>
      </w:r>
    </w:p>
    <w:p w:rsidR="00000000" w:rsidRDefault="00795D39">
      <w:pPr>
        <w:jc w:val="both"/>
        <w:divId w:val="116054346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27462036"/>
        <w:rPr>
          <w:rFonts w:eastAsia="Times New Roman"/>
        </w:rPr>
      </w:pPr>
      <w:r>
        <w:rPr>
          <w:rFonts w:eastAsia="Times New Roman"/>
          <w:b/>
          <w:bCs/>
          <w:color w:val="000000"/>
          <w:sz w:val="20"/>
          <w:szCs w:val="20"/>
        </w:rPr>
        <w:t>Derivative:</w:t>
      </w:r>
      <w:r>
        <w:rPr>
          <w:rFonts w:eastAsia="Times New Roman"/>
          <w:color w:val="000000"/>
          <w:sz w:val="20"/>
          <w:szCs w:val="20"/>
        </w:rPr>
        <w:t xml:space="preserve"> </w:t>
      </w:r>
      <w:r>
        <w:rPr>
          <w:rFonts w:eastAsia="Times New Roman"/>
          <w:color w:val="000000"/>
          <w:sz w:val="20"/>
          <w:szCs w:val="20"/>
        </w:rPr>
        <w:t>A contract or agreement whose value is derived from changes in interest rates, foreign exchange rates, prices of securities or commodities, credit worthiness for credit default swaps or financial or commodity indices.</w:t>
      </w:r>
    </w:p>
    <w:p w:rsidR="00000000" w:rsidRDefault="00795D39">
      <w:pPr>
        <w:jc w:val="both"/>
        <w:divId w:val="135876914"/>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The operating</w:t>
      </w:r>
      <w:r>
        <w:rPr>
          <w:rFonts w:eastAsia="Times New Roman"/>
          <w:color w:val="000000"/>
          <w:sz w:val="20"/>
          <w:szCs w:val="20"/>
        </w:rPr>
        <w:t xml:space="preserve"> results of a component of an entity, as defined by Accounting Standards Codification (“ASC”) 205, that are removed from continuing operations when that component has been disposed of or it is management’s intention to sell the component.</w:t>
      </w:r>
    </w:p>
    <w:p w:rsidR="00000000" w:rsidRDefault="00795D39">
      <w:pPr>
        <w:jc w:val="both"/>
        <w:divId w:val="321280866"/>
        <w:rPr>
          <w:rFonts w:eastAsia="Times New Roman"/>
        </w:rPr>
      </w:pPr>
      <w:r>
        <w:rPr>
          <w:rFonts w:eastAsia="Times New Roman"/>
          <w:b/>
          <w:bCs/>
          <w:color w:val="000000"/>
          <w:sz w:val="20"/>
          <w:szCs w:val="20"/>
        </w:rPr>
        <w:t>Dodd-Frank Wall S</w:t>
      </w:r>
      <w:r>
        <w:rPr>
          <w:rFonts w:eastAsia="Times New Roman"/>
          <w:b/>
          <w:bCs/>
          <w:color w:val="000000"/>
          <w:sz w:val="20"/>
          <w:szCs w:val="20"/>
        </w:rPr>
        <w:t>treet Reform and Consumer Protection Act (“Dodd-Frank Act”):</w:t>
      </w:r>
      <w:r>
        <w:rPr>
          <w:rFonts w:eastAsia="Times New Roman"/>
          <w:color w:val="000000"/>
          <w:sz w:val="20"/>
          <w:szCs w:val="20"/>
        </w:rPr>
        <w:t xml:space="preserve"> Regulatory reform legislation signed into law on July 21, 2010. This law broadly affects the financial services industry and contains numerous provisions aimed at strengthening the sound operatio</w:t>
      </w:r>
      <w:r>
        <w:rPr>
          <w:rFonts w:eastAsia="Times New Roman"/>
          <w:color w:val="000000"/>
          <w:sz w:val="20"/>
          <w:szCs w:val="20"/>
        </w:rPr>
        <w:t>n of the financial services sector.</w:t>
      </w:r>
    </w:p>
    <w:p w:rsidR="00000000" w:rsidRDefault="00795D39">
      <w:pPr>
        <w:jc w:val="both"/>
        <w:divId w:val="1746419346"/>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Securities Exchange Act of 1934, as amended.</w:t>
      </w:r>
    </w:p>
    <w:p w:rsidR="00000000" w:rsidRDefault="00795D39">
      <w:pPr>
        <w:jc w:val="both"/>
        <w:divId w:val="2087725346"/>
        <w:rPr>
          <w:rFonts w:eastAsia="Times New Roman"/>
        </w:rPr>
      </w:pPr>
      <w:r>
        <w:rPr>
          <w:rFonts w:eastAsia="Times New Roman"/>
          <w:b/>
          <w:bCs/>
          <w:color w:val="000000"/>
          <w:sz w:val="20"/>
          <w:szCs w:val="20"/>
        </w:rPr>
        <w:t>eXtensible Business Reporting Language (“XBRL”):</w:t>
      </w:r>
      <w:r>
        <w:rPr>
          <w:rFonts w:eastAsia="Times New Roman"/>
          <w:color w:val="000000"/>
          <w:sz w:val="20"/>
          <w:szCs w:val="20"/>
        </w:rPr>
        <w:t xml:space="preserve"> A language for the electronic communication of business and financial data.</w:t>
      </w:r>
    </w:p>
    <w:p w:rsidR="00000000" w:rsidRDefault="00795D39">
      <w:pPr>
        <w:jc w:val="both"/>
        <w:divId w:val="117115792"/>
        <w:rPr>
          <w:rFonts w:eastAsia="Times New Roman"/>
        </w:rPr>
      </w:pPr>
      <w:r>
        <w:rPr>
          <w:rFonts w:eastAsia="Times New Roman"/>
          <w:b/>
          <w:bCs/>
          <w:color w:val="000000"/>
          <w:sz w:val="20"/>
          <w:szCs w:val="20"/>
        </w:rPr>
        <w:t>Federal Banking Agencies:</w:t>
      </w:r>
      <w:r>
        <w:rPr>
          <w:rFonts w:eastAsia="Times New Roman"/>
          <w:color w:val="000000"/>
          <w:sz w:val="20"/>
          <w:szCs w:val="20"/>
        </w:rPr>
        <w:t xml:space="preserve"> The Fe</w:t>
      </w:r>
      <w:r>
        <w:rPr>
          <w:rFonts w:eastAsia="Times New Roman"/>
          <w:color w:val="000000"/>
          <w:sz w:val="20"/>
          <w:szCs w:val="20"/>
        </w:rPr>
        <w:t>deral Reserve, Office of the Comptroller of the Currency and Federal Deposit Insurance Corporation.</w:t>
      </w:r>
    </w:p>
    <w:p w:rsidR="00000000" w:rsidRDefault="00795D39">
      <w:pPr>
        <w:jc w:val="both"/>
        <w:divId w:val="374080690"/>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Federal Reserve System.</w:t>
      </w:r>
    </w:p>
    <w:p w:rsidR="00000000" w:rsidRDefault="00795D39">
      <w:pPr>
        <w:jc w:val="both"/>
        <w:divId w:val="588975299"/>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 typically p</w:t>
      </w:r>
      <w:r>
        <w:rPr>
          <w:rFonts w:eastAsia="Times New Roman"/>
          <w:color w:val="000000"/>
          <w:sz w:val="20"/>
          <w:szCs w:val="20"/>
        </w:rPr>
        <w:t>roduced from statistical modeling software created by FICO (formerly known as “Fair Isaac Corporation”) utilizing data collected by the credit bureaus.</w:t>
      </w:r>
    </w:p>
    <w:p w:rsidR="00000000" w:rsidRDefault="00795D39">
      <w:pPr>
        <w:jc w:val="both"/>
        <w:divId w:val="335766536"/>
        <w:rPr>
          <w:rFonts w:eastAsia="Times New Roman"/>
        </w:rPr>
      </w:pPr>
      <w:r>
        <w:rPr>
          <w:rFonts w:eastAsia="Times New Roman"/>
          <w:b/>
          <w:bCs/>
          <w:color w:val="000000"/>
          <w:sz w:val="20"/>
          <w:szCs w:val="20"/>
        </w:rPr>
        <w:t>Foreign currency derivative contracts:</w:t>
      </w:r>
      <w:r>
        <w:rPr>
          <w:rFonts w:eastAsia="Times New Roman"/>
          <w:color w:val="000000"/>
          <w:sz w:val="20"/>
          <w:szCs w:val="20"/>
        </w:rPr>
        <w:t xml:space="preserve"> An agreement to exchange contractual amounts of one currency for </w:t>
      </w:r>
      <w:r>
        <w:rPr>
          <w:rFonts w:eastAsia="Times New Roman"/>
          <w:color w:val="000000"/>
          <w:sz w:val="20"/>
          <w:szCs w:val="20"/>
        </w:rPr>
        <w:t>another currency at one or more future dates.</w:t>
      </w:r>
    </w:p>
    <w:p w:rsidR="00000000" w:rsidRDefault="00795D39">
      <w:pPr>
        <w:jc w:val="both"/>
        <w:divId w:val="560989512"/>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foreign currency at previously agreed-upon terms.</w:t>
      </w:r>
    </w:p>
    <w:p w:rsidR="00000000" w:rsidRDefault="00795D39">
      <w:pPr>
        <w:jc w:val="both"/>
        <w:divId w:val="926232043"/>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government-sponsored enterprise or agency is a financi</w:t>
      </w:r>
      <w:r>
        <w:rPr>
          <w:rFonts w:eastAsia="Times New Roman"/>
          <w:color w:val="000000"/>
          <w:sz w:val="20"/>
          <w:szCs w:val="20"/>
        </w:rPr>
        <w:t>al services corporation created by the United States Congress. Examples of U.S. government agencies include Federal National Mortgage Association (“Fannie Mae”), Federal Home Loan Mortgage Corporation (“Freddie Mac”), Government National Mortgage Associati</w:t>
      </w:r>
      <w:r>
        <w:rPr>
          <w:rFonts w:eastAsia="Times New Roman"/>
          <w:color w:val="000000"/>
          <w:sz w:val="20"/>
          <w:szCs w:val="20"/>
        </w:rPr>
        <w:t>on (“Ginnie Mae”) and the Federal Home Loan Banks (“FHLB”).</w:t>
      </w:r>
    </w:p>
    <w:p w:rsidR="00000000" w:rsidRDefault="00795D39">
      <w:pPr>
        <w:jc w:val="both"/>
        <w:divId w:val="902788764"/>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rsidR="00000000" w:rsidRDefault="00795D39">
      <w:pPr>
        <w:jc w:val="both"/>
        <w:divId w:val="1653483202"/>
        <w:rPr>
          <w:rFonts w:eastAsia="Times New Roman"/>
        </w:rPr>
      </w:pPr>
      <w:r>
        <w:rPr>
          <w:rFonts w:eastAsia="Times New Roman"/>
          <w:b/>
          <w:bCs/>
          <w:color w:val="000000"/>
          <w:sz w:val="20"/>
          <w:szCs w:val="20"/>
        </w:rPr>
        <w:t>Interest rate swaps:</w:t>
      </w:r>
      <w:r>
        <w:rPr>
          <w:rFonts w:eastAsia="Times New Roman"/>
          <w:color w:val="000000"/>
          <w:sz w:val="20"/>
          <w:szCs w:val="20"/>
        </w:rPr>
        <w:t xml:space="preserve"> </w:t>
      </w:r>
      <w:r>
        <w:rPr>
          <w:rFonts w:eastAsia="Times New Roman"/>
          <w:color w:val="000000"/>
          <w:sz w:val="20"/>
          <w:szCs w:val="20"/>
        </w:rPr>
        <w:t>Contracts in which a series of interest rate flows in a single currency are exchanged over a prescribed period. Interest rate swaps are the most common type of derivative contract that we use in our asset/liability management activities.</w:t>
      </w:r>
    </w:p>
    <w:p w:rsidR="00000000" w:rsidRDefault="00795D39">
      <w:pPr>
        <w:jc w:val="both"/>
        <w:divId w:val="2067680484"/>
        <w:rPr>
          <w:rFonts w:eastAsia="Times New Roman"/>
        </w:rPr>
      </w:pPr>
      <w:r>
        <w:rPr>
          <w:rFonts w:eastAsia="Times New Roman"/>
          <w:b/>
          <w:bCs/>
          <w:color w:val="000000"/>
          <w:sz w:val="20"/>
          <w:szCs w:val="20"/>
        </w:rPr>
        <w:t>Investment grade:</w:t>
      </w:r>
      <w:r>
        <w:rPr>
          <w:rFonts w:eastAsia="Times New Roman"/>
          <w:color w:val="000000"/>
          <w:sz w:val="20"/>
          <w:szCs w:val="20"/>
        </w:rPr>
        <w:t xml:space="preserve"> </w:t>
      </w:r>
      <w:r>
        <w:rPr>
          <w:rFonts w:eastAsia="Times New Roman"/>
          <w:color w:val="000000"/>
          <w:sz w:val="20"/>
          <w:szCs w:val="20"/>
        </w:rPr>
        <w:t>Represents Moody’s long-term rating of Baa3 or better; and/or a Standard &amp; Poor’s or DBRS long-term rating of BBB- or better; or if unrated, an equivalent rating using our internal risk ratings. Instruments that fall below these levels are considered to be</w:t>
      </w:r>
      <w:r>
        <w:rPr>
          <w:rFonts w:eastAsia="Times New Roman"/>
          <w:color w:val="000000"/>
          <w:sz w:val="20"/>
          <w:szCs w:val="20"/>
        </w:rPr>
        <w:t xml:space="preserve"> non-investment grade.</w:t>
      </w:r>
    </w:p>
    <w:p w:rsidR="00000000" w:rsidRDefault="00795D39">
      <w:pPr>
        <w:jc w:val="both"/>
        <w:divId w:val="1611083468"/>
        <w:rPr>
          <w:rFonts w:eastAsia="Times New Roman"/>
        </w:rPr>
      </w:pPr>
      <w:r>
        <w:rPr>
          <w:rFonts w:eastAsia="Times New Roman"/>
          <w:b/>
          <w:bCs/>
          <w:color w:val="000000"/>
          <w:sz w:val="20"/>
          <w:szCs w:val="20"/>
        </w:rPr>
        <w:t xml:space="preserve">Investor entities: </w:t>
      </w:r>
      <w:r>
        <w:rPr>
          <w:rFonts w:eastAsia="Times New Roman"/>
          <w:color w:val="000000"/>
          <w:sz w:val="20"/>
          <w:szCs w:val="20"/>
        </w:rPr>
        <w:t>Entities that invest in community development entities (“CDE”) that provide debt financing to businesses and non-profit entities in low-income and rural communities.</w:t>
      </w:r>
    </w:p>
    <w:p w:rsidR="00000000" w:rsidRDefault="00795D39">
      <w:pPr>
        <w:jc w:val="both"/>
        <w:divId w:val="1323050213"/>
        <w:rPr>
          <w:rFonts w:eastAsia="Times New Roman"/>
        </w:rPr>
      </w:pPr>
      <w:r>
        <w:rPr>
          <w:rFonts w:eastAsia="Times New Roman"/>
          <w:b/>
          <w:bCs/>
          <w:color w:val="000000"/>
          <w:sz w:val="20"/>
          <w:szCs w:val="20"/>
        </w:rPr>
        <w:t>LCR Rule:</w:t>
      </w:r>
      <w:r>
        <w:rPr>
          <w:rFonts w:eastAsia="Times New Roman"/>
          <w:color w:val="000000"/>
          <w:sz w:val="20"/>
          <w:szCs w:val="20"/>
        </w:rPr>
        <w:t xml:space="preserve"> In September 2014, the Federal Banking</w:t>
      </w:r>
      <w:r>
        <w:rPr>
          <w:rFonts w:eastAsia="Times New Roman"/>
          <w:color w:val="000000"/>
          <w:sz w:val="20"/>
          <w:szCs w:val="20"/>
        </w:rPr>
        <w:t xml:space="preserve"> Agencies issued final rules implementing the Basel III Liquidity Coverage Ratio in the United States. The LCR is calculated by dividing the amount of an institution’s high quality, unencumbered liquid assets by its estimated net cash outflow, as defined a</w:t>
      </w:r>
      <w:r>
        <w:rPr>
          <w:rFonts w:eastAsia="Times New Roman"/>
          <w:color w:val="000000"/>
          <w:sz w:val="20"/>
          <w:szCs w:val="20"/>
        </w:rPr>
        <w:t xml:space="preserve">nd calculated in accordance with the LCR Rule. </w:t>
      </w:r>
    </w:p>
    <w:p w:rsidR="00000000" w:rsidRDefault="00795D39">
      <w:pPr>
        <w:jc w:val="both"/>
        <w:divId w:val="109977946"/>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 divided by average assets after certain adjustments, as defined by the regulators. </w:t>
      </w:r>
    </w:p>
    <w:p w:rsidR="00000000" w:rsidRDefault="00795D39">
      <w:pPr>
        <w:jc w:val="both"/>
        <w:divId w:val="124392502"/>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not be able to meet its future financial oblig</w:t>
      </w:r>
      <w:r>
        <w:rPr>
          <w:rFonts w:eastAsia="Times New Roman"/>
          <w:color w:val="000000"/>
          <w:sz w:val="20"/>
          <w:szCs w:val="20"/>
        </w:rPr>
        <w:t>ations as they come due, or invest in future asset growth because of an inability to obtain funds at a reasonable price within a reasonable time period.</w:t>
      </w:r>
    </w:p>
    <w:p w:rsidR="00000000" w:rsidRDefault="00795D39">
      <w:pPr>
        <w:jc w:val="both"/>
        <w:divId w:val="1772504067"/>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 xml:space="preserve">The relationship, expressed as a percentage, between the principal amount </w:t>
      </w:r>
      <w:r>
        <w:rPr>
          <w:rFonts w:eastAsia="Times New Roman"/>
          <w:color w:val="000000"/>
          <w:sz w:val="20"/>
          <w:szCs w:val="20"/>
        </w:rPr>
        <w:t>of a loan and the appraised value of the collateral securing the loan.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7904408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7904408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7904408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3" style="width:0;height:1.5pt" o:hralign="center" o:hrstd="t" o:hr="t" fillcolor="#a0a0a0" stroked="f"/>
        </w:pict>
      </w:r>
    </w:p>
    <w:p w:rsidR="00000000" w:rsidRDefault="00795D39">
      <w:pPr>
        <w:jc w:val="both"/>
        <w:divId w:val="77682980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663433083"/>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A non-GAAP presentation of financial results that includes reclassifications to present revenue on a fully taxable-equival</w:t>
      </w:r>
      <w:r>
        <w:rPr>
          <w:rFonts w:eastAsia="Times New Roman"/>
          <w:color w:val="000000"/>
          <w:sz w:val="20"/>
          <w:szCs w:val="20"/>
        </w:rPr>
        <w:t>ent basis. Management uses this non-GAAP financial measure at the segment level, because it believes this provides information to enable investors to understand the underlying operational performance and trends of the particular business segment and facili</w:t>
      </w:r>
      <w:r>
        <w:rPr>
          <w:rFonts w:eastAsia="Times New Roman"/>
          <w:color w:val="000000"/>
          <w:sz w:val="20"/>
          <w:szCs w:val="20"/>
        </w:rPr>
        <w:t>tates a comparison of the business segment with the performance of competitors.</w:t>
      </w:r>
    </w:p>
    <w:p w:rsidR="00000000" w:rsidRDefault="00795D39">
      <w:pPr>
        <w:jc w:val="both"/>
        <w:divId w:val="302202362"/>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institution’s earnings or the economic value of equity could be adversely impacted by changes in interest rates, foreign exchange rates or other m</w:t>
      </w:r>
      <w:r>
        <w:rPr>
          <w:rFonts w:eastAsia="Times New Roman"/>
          <w:color w:val="000000"/>
          <w:sz w:val="20"/>
          <w:szCs w:val="20"/>
        </w:rPr>
        <w:t>arket factors.</w:t>
      </w:r>
    </w:p>
    <w:p w:rsidR="00000000" w:rsidRDefault="00795D39">
      <w:pPr>
        <w:jc w:val="both"/>
        <w:divId w:val="918638010"/>
        <w:rPr>
          <w:rFonts w:eastAsia="Times New Roman"/>
        </w:rPr>
      </w:pPr>
      <w:r>
        <w:rPr>
          <w:rFonts w:eastAsia="Times New Roman"/>
          <w:b/>
          <w:bCs/>
          <w:color w:val="000000"/>
          <w:sz w:val="20"/>
          <w:szCs w:val="20"/>
        </w:rPr>
        <w:t>Master netting arrangements:</w:t>
      </w:r>
      <w:r>
        <w:rPr>
          <w:rFonts w:eastAsia="Times New Roman"/>
          <w:color w:val="000000"/>
          <w:sz w:val="20"/>
          <w:szCs w:val="20"/>
        </w:rPr>
        <w:t xml:space="preserve"> An agreement between two counterparties that have multiple contracts with each other that provides for the net settlement of all contracts through a single payment in the event of default or termination of any on</w:t>
      </w:r>
      <w:r>
        <w:rPr>
          <w:rFonts w:eastAsia="Times New Roman"/>
          <w:color w:val="000000"/>
          <w:sz w:val="20"/>
          <w:szCs w:val="20"/>
        </w:rPr>
        <w:t>e contract.</w:t>
      </w:r>
    </w:p>
    <w:p w:rsidR="00000000" w:rsidRDefault="00795D39">
      <w:pPr>
        <w:jc w:val="both"/>
        <w:divId w:val="1850944513"/>
        <w:rPr>
          <w:rFonts w:eastAsia="Times New Roman"/>
        </w:rPr>
      </w:pPr>
      <w:r>
        <w:rPr>
          <w:rFonts w:eastAsia="Times New Roman"/>
          <w:b/>
          <w:bCs/>
          <w:color w:val="000000"/>
          <w:sz w:val="20"/>
          <w:szCs w:val="20"/>
        </w:rPr>
        <w:t xml:space="preserve">Mortgage-backed security (“MBS”): </w:t>
      </w:r>
      <w:r>
        <w:rPr>
          <w:rFonts w:eastAsia="Times New Roman"/>
          <w:color w:val="000000"/>
          <w:sz w:val="20"/>
          <w:szCs w:val="20"/>
        </w:rPr>
        <w:t>An asset-backed security whose cash flows are backed by the principal and interest payments of a set of mortgage loans.</w:t>
      </w:r>
    </w:p>
    <w:p w:rsidR="00000000" w:rsidRDefault="00795D39">
      <w:pPr>
        <w:jc w:val="both"/>
        <w:divId w:val="877087455"/>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The right to service a mortgage loan when the underlyi</w:t>
      </w:r>
      <w:r>
        <w:rPr>
          <w:rFonts w:eastAsia="Times New Roman"/>
          <w:color w:val="000000"/>
          <w:sz w:val="20"/>
          <w:szCs w:val="20"/>
        </w:rPr>
        <w:t>ng loan is sold or securitized. Servicing includes collections for principal, interest and escrow payments from borrowers and accounting for and remitting principal and interest payments to investors.</w:t>
      </w:r>
    </w:p>
    <w:p w:rsidR="00000000" w:rsidRDefault="00795D39">
      <w:pPr>
        <w:jc w:val="both"/>
        <w:divId w:val="1852059909"/>
        <w:rPr>
          <w:rFonts w:eastAsia="Times New Roman"/>
        </w:rPr>
      </w:pPr>
      <w:r>
        <w:rPr>
          <w:rFonts w:eastAsia="Times New Roman"/>
          <w:b/>
          <w:bCs/>
          <w:color w:val="000000"/>
          <w:sz w:val="20"/>
          <w:szCs w:val="20"/>
        </w:rPr>
        <w:t>Net charge-off rate</w:t>
      </w:r>
      <w:r>
        <w:rPr>
          <w:rFonts w:eastAsia="Times New Roman"/>
          <w:color w:val="000000"/>
          <w:sz w:val="20"/>
          <w:szCs w:val="20"/>
        </w:rPr>
        <w:t>: Represents (annualized) net charge</w:t>
      </w:r>
      <w:r>
        <w:rPr>
          <w:rFonts w:eastAsia="Times New Roman"/>
          <w:color w:val="000000"/>
          <w:sz w:val="20"/>
          <w:szCs w:val="20"/>
        </w:rPr>
        <w:t>-offs divided by average loans held for investment for the period.</w:t>
      </w:r>
    </w:p>
    <w:p w:rsidR="00000000" w:rsidRDefault="00795D39">
      <w:pPr>
        <w:jc w:val="both"/>
        <w:divId w:val="602567615"/>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income divided by average interest-earning assets for the period.</w:t>
      </w:r>
    </w:p>
    <w:p w:rsidR="00000000" w:rsidRDefault="00795D39">
      <w:pPr>
        <w:jc w:val="both"/>
        <w:divId w:val="68768898"/>
        <w:rPr>
          <w:rFonts w:eastAsia="Times New Roman"/>
        </w:rPr>
      </w:pPr>
      <w:r>
        <w:rPr>
          <w:rFonts w:eastAsia="Times New Roman"/>
          <w:b/>
          <w:bCs/>
          <w:color w:val="000000"/>
          <w:sz w:val="20"/>
          <w:szCs w:val="20"/>
        </w:rPr>
        <w:t xml:space="preserve">Net stable funding ratio (“NSFR”): </w:t>
      </w:r>
      <w:r>
        <w:rPr>
          <w:rFonts w:eastAsia="Times New Roman"/>
          <w:color w:val="000000"/>
          <w:sz w:val="20"/>
          <w:szCs w:val="20"/>
        </w:rPr>
        <w:t>The Federal Banking Agencies i</w:t>
      </w:r>
      <w:r>
        <w:rPr>
          <w:rFonts w:eastAsia="Times New Roman"/>
          <w:color w:val="000000"/>
          <w:sz w:val="20"/>
          <w:szCs w:val="20"/>
        </w:rPr>
        <w:t>ssued a rule in October 2020 implementing the NSFR. The NSFR measures the stability of our funding profile and requires us to maintain minimum amounts of stable funding to support our assets, commitments and derivatives exposures over a one-year period.</w:t>
      </w:r>
    </w:p>
    <w:p w:rsidR="00000000" w:rsidRDefault="00795D39">
      <w:pPr>
        <w:jc w:val="both"/>
        <w:divId w:val="552473868"/>
        <w:rPr>
          <w:rFonts w:eastAsia="Times New Roman"/>
        </w:rPr>
      </w:pPr>
      <w:r>
        <w:rPr>
          <w:rFonts w:eastAsia="Times New Roman"/>
          <w:b/>
          <w:bCs/>
          <w:color w:val="000000"/>
          <w:sz w:val="20"/>
          <w:szCs w:val="20"/>
        </w:rPr>
        <w:t>No</w:t>
      </w:r>
      <w:r>
        <w:rPr>
          <w:rFonts w:eastAsia="Times New Roman"/>
          <w:b/>
          <w:bCs/>
          <w:color w:val="000000"/>
          <w:sz w:val="20"/>
          <w:szCs w:val="20"/>
        </w:rPr>
        <w:t>nperforming loans:</w:t>
      </w:r>
      <w:r>
        <w:rPr>
          <w:rFonts w:eastAsia="Times New Roman"/>
          <w:color w:val="000000"/>
          <w:sz w:val="20"/>
          <w:szCs w:val="20"/>
        </w:rPr>
        <w:t xml:space="preserve"> Generally include loans that have been placed on nonaccrual status. We also do not report loans classified as held for sale as nonperforming.</w:t>
      </w:r>
    </w:p>
    <w:p w:rsidR="00000000" w:rsidRDefault="00795D39">
      <w:pPr>
        <w:jc w:val="both"/>
        <w:divId w:val="1953394622"/>
        <w:rPr>
          <w:rFonts w:eastAsia="Times New Roman"/>
        </w:rPr>
      </w:pPr>
      <w:r>
        <w:rPr>
          <w:rFonts w:eastAsia="Times New Roman"/>
          <w:b/>
          <w:bCs/>
          <w:color w:val="000000"/>
          <w:sz w:val="20"/>
          <w:szCs w:val="20"/>
        </w:rPr>
        <w:t>Option-ARM loans:</w:t>
      </w:r>
      <w:r>
        <w:rPr>
          <w:rFonts w:eastAsia="Times New Roman"/>
          <w:color w:val="000000"/>
          <w:sz w:val="20"/>
          <w:szCs w:val="20"/>
        </w:rPr>
        <w:t xml:space="preserve"> The option-ARM real estate loan product is an adjustable-rate mortgage (“ARM”</w:t>
      </w:r>
      <w:r>
        <w:rPr>
          <w:rFonts w:eastAsia="Times New Roman"/>
          <w:color w:val="000000"/>
          <w:sz w:val="20"/>
          <w:szCs w:val="20"/>
        </w:rPr>
        <w:t>) loan that initially provides the borrower with the monthly option to make a fully-amortizing, interest-only or minimum fixed payment. After the initial payment option period, usually five years, the recalculated minimum payment represents a fully-amortiz</w:t>
      </w:r>
      <w:r>
        <w:rPr>
          <w:rFonts w:eastAsia="Times New Roman"/>
          <w:color w:val="000000"/>
          <w:sz w:val="20"/>
          <w:szCs w:val="20"/>
        </w:rPr>
        <w:t>ing principal and interest payment that would effectively repay the loan by the end of its contractual term.</w:t>
      </w:r>
    </w:p>
    <w:p w:rsidR="00000000" w:rsidRDefault="00795D39">
      <w:pPr>
        <w:jc w:val="both"/>
        <w:divId w:val="116947836"/>
        <w:rPr>
          <w:rFonts w:eastAsia="Times New Roman"/>
        </w:rPr>
      </w:pPr>
      <w:r>
        <w:rPr>
          <w:rFonts w:eastAsia="Times New Roman"/>
          <w:b/>
          <w:bCs/>
          <w:color w:val="000000"/>
          <w:sz w:val="20"/>
          <w:szCs w:val="20"/>
        </w:rPr>
        <w:t xml:space="preserve">Public Funds deposits: </w:t>
      </w:r>
      <w:r>
        <w:rPr>
          <w:rFonts w:eastAsia="Times New Roman"/>
          <w:color w:val="000000"/>
          <w:sz w:val="20"/>
          <w:szCs w:val="20"/>
        </w:rPr>
        <w:t xml:space="preserve">Deposits that are derived from a variety of political subdivisions such as school districts and municipalities. </w:t>
      </w:r>
    </w:p>
    <w:p w:rsidR="00000000" w:rsidRDefault="00795D39">
      <w:pPr>
        <w:jc w:val="both"/>
        <w:divId w:val="1747415820"/>
        <w:rPr>
          <w:rFonts w:eastAsia="Times New Roman"/>
        </w:rPr>
      </w:pPr>
      <w:r>
        <w:rPr>
          <w:rFonts w:eastAsia="Times New Roman"/>
          <w:b/>
          <w:bCs/>
          <w:color w:val="000000"/>
          <w:sz w:val="20"/>
          <w:szCs w:val="20"/>
        </w:rPr>
        <w:t>Purchase vo</w:t>
      </w:r>
      <w:r>
        <w:rPr>
          <w:rFonts w:eastAsia="Times New Roman"/>
          <w:b/>
          <w:bCs/>
          <w:color w:val="000000"/>
          <w:sz w:val="20"/>
          <w:szCs w:val="20"/>
        </w:rPr>
        <w:t>lume:</w:t>
      </w:r>
      <w:r>
        <w:rPr>
          <w:rFonts w:eastAsia="Times New Roman"/>
          <w:color w:val="000000"/>
          <w:sz w:val="20"/>
          <w:szCs w:val="20"/>
        </w:rPr>
        <w:t xml:space="preserve"> Consists of purchase transactions, net of returns, for the period, and excludes cash advance and balance transfer transactions.</w:t>
      </w:r>
    </w:p>
    <w:p w:rsidR="00000000" w:rsidRDefault="00795D39">
      <w:pPr>
        <w:jc w:val="both"/>
        <w:divId w:val="855189509"/>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of an issue or issuer and </w:t>
      </w:r>
      <w:r>
        <w:rPr>
          <w:rFonts w:eastAsia="Times New Roman"/>
          <w:color w:val="000000"/>
          <w:sz w:val="20"/>
          <w:szCs w:val="20"/>
        </w:rPr>
        <w:t>assigns a rating to that issue or issuer.</w:t>
      </w:r>
    </w:p>
    <w:p w:rsidR="00000000" w:rsidRDefault="00795D39">
      <w:pPr>
        <w:jc w:val="both"/>
        <w:divId w:val="1300266815"/>
        <w:rPr>
          <w:rFonts w:eastAsia="Times New Roman"/>
        </w:rPr>
      </w:pPr>
      <w:r>
        <w:rPr>
          <w:rFonts w:eastAsia="Times New Roman"/>
          <w:b/>
          <w:bCs/>
          <w:color w:val="000000"/>
          <w:sz w:val="20"/>
          <w:szCs w:val="20"/>
        </w:rPr>
        <w:t xml:space="preserve">Recorded investment: </w:t>
      </w:r>
      <w:r>
        <w:rPr>
          <w:rFonts w:eastAsia="Times New Roman"/>
          <w:color w:val="000000"/>
          <w:sz w:val="20"/>
          <w:szCs w:val="20"/>
        </w:rPr>
        <w:t>The amount of the investment in a loan which includes any direct write-down of the investment.</w:t>
      </w:r>
    </w:p>
    <w:p w:rsidR="00000000" w:rsidRDefault="00795D39">
      <w:pPr>
        <w:jc w:val="both"/>
        <w:divId w:val="917133611"/>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An instrument used to raise short-term funds whereby securities are sold wit</w:t>
      </w:r>
      <w:r>
        <w:rPr>
          <w:rFonts w:eastAsia="Times New Roman"/>
          <w:color w:val="000000"/>
          <w:sz w:val="20"/>
          <w:szCs w:val="20"/>
        </w:rPr>
        <w:t xml:space="preserve">h an agreement for the seller to buy back the securities at a later date. </w:t>
      </w:r>
    </w:p>
    <w:p w:rsidR="00000000" w:rsidRDefault="00795D39">
      <w:pPr>
        <w:jc w:val="both"/>
        <w:divId w:val="1473475250"/>
        <w:rPr>
          <w:rFonts w:eastAsia="Times New Roman"/>
        </w:rPr>
      </w:pPr>
      <w:r>
        <w:rPr>
          <w:rFonts w:eastAsia="Times New Roman"/>
          <w:b/>
          <w:bCs/>
          <w:color w:val="000000"/>
          <w:sz w:val="20"/>
          <w:szCs w:val="20"/>
        </w:rPr>
        <w:t>Restructuring charges:</w:t>
      </w:r>
      <w:r>
        <w:rPr>
          <w:rFonts w:eastAsia="Times New Roman"/>
          <w:color w:val="000000"/>
          <w:sz w:val="20"/>
          <w:szCs w:val="20"/>
        </w:rPr>
        <w:t xml:space="preserve"> Charges associated with the realignment of resources supporting various businesses, primarily consisting of severance and related benefits pursuant to our ong</w:t>
      </w:r>
      <w:r>
        <w:rPr>
          <w:rFonts w:eastAsia="Times New Roman"/>
          <w:color w:val="000000"/>
          <w:sz w:val="20"/>
          <w:szCs w:val="20"/>
        </w:rPr>
        <w:t>oing benefit programs and impairment of certain assets related to business locations and activities being exited.</w:t>
      </w:r>
    </w:p>
    <w:p w:rsidR="00000000" w:rsidRDefault="00795D39">
      <w:pPr>
        <w:jc w:val="both"/>
        <w:divId w:val="913008311"/>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On- and off-balance sheet assets that are assigned to one of several broad risk categories and weighted by factors repre</w:t>
      </w:r>
      <w:r>
        <w:rPr>
          <w:rFonts w:eastAsia="Times New Roman"/>
          <w:color w:val="000000"/>
          <w:sz w:val="20"/>
          <w:szCs w:val="20"/>
        </w:rPr>
        <w:t xml:space="preserve">senting their risk and potential for default. </w:t>
      </w:r>
    </w:p>
    <w:p w:rsidR="00000000" w:rsidRDefault="00795D39">
      <w:pPr>
        <w:jc w:val="both"/>
        <w:divId w:val="511916053"/>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A type of asset-backed security and structured credit product constructed from a portfolio of fixed-income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01904866"/>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0190486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0190486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4" style="width:0;height:1.5pt" o:hralign="center" o:hrstd="t" o:hr="t" fillcolor="#a0a0a0" stroked="f"/>
        </w:pict>
      </w:r>
    </w:p>
    <w:p w:rsidR="00000000" w:rsidRDefault="00795D39">
      <w:pPr>
        <w:jc w:val="both"/>
        <w:divId w:val="31071761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1125581427"/>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scores of 660 or below, or other equivalent risk score</w:t>
      </w:r>
      <w:r>
        <w:rPr>
          <w:rFonts w:eastAsia="Times New Roman"/>
          <w:color w:val="000000"/>
          <w:sz w:val="20"/>
          <w:szCs w:val="20"/>
        </w:rPr>
        <w:t>s, to be subprime. For purposes of auto lending in our Consumer Banking business, we generally consider FICO scores of 620 or below to be subprime.</w:t>
      </w:r>
    </w:p>
    <w:p w:rsidR="00000000" w:rsidRDefault="00795D39">
      <w:pPr>
        <w:jc w:val="both"/>
        <w:divId w:val="2139908417"/>
        <w:rPr>
          <w:rFonts w:eastAsia="Times New Roman"/>
        </w:rPr>
      </w:pPr>
      <w:r>
        <w:rPr>
          <w:rFonts w:eastAsia="Times New Roman"/>
          <w:b/>
          <w:bCs/>
          <w:color w:val="000000"/>
          <w:sz w:val="20"/>
          <w:szCs w:val="20"/>
        </w:rPr>
        <w:t xml:space="preserve">Tailoring Rules: </w:t>
      </w:r>
      <w:r>
        <w:rPr>
          <w:rFonts w:eastAsia="Times New Roman"/>
          <w:color w:val="000000"/>
          <w:sz w:val="20"/>
          <w:szCs w:val="20"/>
        </w:rPr>
        <w:t>In October 2019, the Federal Banking Agencies released final rules that provide for tailore</w:t>
      </w:r>
      <w:r>
        <w:rPr>
          <w:rFonts w:eastAsia="Times New Roman"/>
          <w:color w:val="000000"/>
          <w:sz w:val="20"/>
          <w:szCs w:val="20"/>
        </w:rPr>
        <w:t>d application of certain capital, liquidity and stress-testing requirements across different categories of banking institutions. As a bank holding company with total consolidated assets of at least $250 billion that does not exceed any of the applicable ri</w:t>
      </w:r>
      <w:r>
        <w:rPr>
          <w:rFonts w:eastAsia="Times New Roman"/>
          <w:color w:val="000000"/>
          <w:sz w:val="20"/>
          <w:szCs w:val="20"/>
        </w:rPr>
        <w:t>sk-based thresholds, we are a Category III institution under the Tailoring Rules.</w:t>
      </w:r>
    </w:p>
    <w:p w:rsidR="00000000" w:rsidRDefault="00795D39">
      <w:pPr>
        <w:jc w:val="both"/>
        <w:divId w:val="196430146"/>
        <w:rPr>
          <w:rFonts w:eastAsia="Times New Roman"/>
        </w:rPr>
      </w:pPr>
      <w:r>
        <w:rPr>
          <w:rFonts w:eastAsia="Times New Roman"/>
          <w:b/>
          <w:bCs/>
          <w:color w:val="000000"/>
          <w:sz w:val="20"/>
          <w:szCs w:val="20"/>
        </w:rPr>
        <w:t>Tangible common equity:</w:t>
      </w:r>
      <w:r>
        <w:rPr>
          <w:rFonts w:eastAsia="Times New Roman"/>
          <w:color w:val="000000"/>
          <w:sz w:val="20"/>
          <w:szCs w:val="20"/>
        </w:rPr>
        <w:t xml:space="preserve"> A non-GAAP financial measure. Common equity less goodwill and intangible assets adjusted for deferred tax liabilities associated with non-tax deductib</w:t>
      </w:r>
      <w:r>
        <w:rPr>
          <w:rFonts w:eastAsia="Times New Roman"/>
          <w:color w:val="000000"/>
          <w:sz w:val="20"/>
          <w:szCs w:val="20"/>
        </w:rPr>
        <w:t>le intangible assets and tax deductible goodwill.</w:t>
      </w:r>
    </w:p>
    <w:p w:rsidR="00000000" w:rsidRDefault="00795D39">
      <w:pPr>
        <w:jc w:val="both"/>
        <w:divId w:val="366417572"/>
        <w:rPr>
          <w:rFonts w:eastAsia="Times New Roman"/>
        </w:rPr>
      </w:pPr>
      <w:r>
        <w:rPr>
          <w:rFonts w:eastAsia="Times New Roman"/>
          <w:b/>
          <w:bCs/>
          <w:color w:val="000000"/>
          <w:sz w:val="20"/>
          <w:szCs w:val="20"/>
        </w:rPr>
        <w:t xml:space="preserve">Tax Act: </w:t>
      </w:r>
      <w:r>
        <w:rPr>
          <w:rFonts w:eastAsia="Times New Roman"/>
          <w:color w:val="000000"/>
          <w:sz w:val="20"/>
          <w:szCs w:val="20"/>
        </w:rPr>
        <w:t>The Act to provide for reconciliation pursuant to titles II and V of the concurrent resolution on the budget for fiscal year 2018 enacted on December 22, 2017.</w:t>
      </w:r>
    </w:p>
    <w:p w:rsidR="00000000" w:rsidRDefault="00795D39">
      <w:pPr>
        <w:jc w:val="both"/>
        <w:divId w:val="602495777"/>
        <w:rPr>
          <w:rFonts w:eastAsia="Times New Roman"/>
        </w:rPr>
      </w:pPr>
      <w:r>
        <w:rPr>
          <w:rFonts w:eastAsia="Times New Roman"/>
          <w:b/>
          <w:bCs/>
          <w:color w:val="000000"/>
          <w:sz w:val="20"/>
          <w:szCs w:val="20"/>
        </w:rPr>
        <w:t>Troubled debt restructuring (“TDR”):</w:t>
      </w:r>
      <w:r>
        <w:rPr>
          <w:rFonts w:eastAsia="Times New Roman"/>
          <w:color w:val="000000"/>
          <w:sz w:val="20"/>
          <w:szCs w:val="20"/>
        </w:rPr>
        <w:t xml:space="preserve"> </w:t>
      </w:r>
      <w:r>
        <w:rPr>
          <w:rFonts w:eastAsia="Times New Roman"/>
          <w:color w:val="000000"/>
          <w:sz w:val="20"/>
          <w:szCs w:val="20"/>
        </w:rPr>
        <w:t>A TDR is deemed to occur when the contractual terms of a loan agreement are modified by granting a concession to a borrower that is experiencing financial difficulty.</w:t>
      </w:r>
    </w:p>
    <w:p w:rsidR="00000000" w:rsidRDefault="00795D39">
      <w:pPr>
        <w:jc w:val="both"/>
        <w:divId w:val="898440777"/>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Legally binding agreements to provide a defined level of financing </w:t>
      </w:r>
      <w:r>
        <w:rPr>
          <w:rFonts w:eastAsia="Times New Roman"/>
          <w:color w:val="000000"/>
          <w:sz w:val="20"/>
          <w:szCs w:val="20"/>
        </w:rPr>
        <w:t>until a specified future date.</w:t>
      </w:r>
    </w:p>
    <w:p w:rsidR="00000000" w:rsidRDefault="00795D39">
      <w:pPr>
        <w:jc w:val="both"/>
        <w:divId w:val="1520662761"/>
        <w:rPr>
          <w:rFonts w:eastAsia="Times New Roman"/>
        </w:rPr>
      </w:pPr>
      <w:r>
        <w:rPr>
          <w:rFonts w:eastAsia="Times New Roman"/>
          <w:b/>
          <w:bCs/>
          <w:color w:val="000000"/>
          <w:sz w:val="20"/>
          <w:szCs w:val="20"/>
        </w:rPr>
        <w:t xml:space="preserve">U.K. PPI Reserve: </w:t>
      </w:r>
      <w:r>
        <w:rPr>
          <w:rFonts w:eastAsia="Times New Roman"/>
          <w:color w:val="000000"/>
          <w:sz w:val="20"/>
          <w:szCs w:val="20"/>
        </w:rPr>
        <w:t>U.K. payment protection insurance customer refund reserve.</w:t>
      </w:r>
    </w:p>
    <w:p w:rsidR="00000000" w:rsidRDefault="00795D39">
      <w:pPr>
        <w:jc w:val="both"/>
        <w:divId w:val="892619061"/>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United States of America. Accounting rules and conventions defining acceptable practices </w:t>
      </w:r>
      <w:r>
        <w:rPr>
          <w:rFonts w:eastAsia="Times New Roman"/>
          <w:color w:val="000000"/>
          <w:sz w:val="20"/>
          <w:szCs w:val="20"/>
        </w:rPr>
        <w:t>in preparing financial statements in the U.S.</w:t>
      </w:r>
    </w:p>
    <w:p w:rsidR="00000000" w:rsidRDefault="00795D39">
      <w:pPr>
        <w:jc w:val="both"/>
        <w:divId w:val="471599700"/>
        <w:rPr>
          <w:rFonts w:eastAsia="Times New Roman"/>
        </w:rPr>
      </w:pPr>
      <w:r>
        <w:rPr>
          <w:rFonts w:eastAsia="Times New Roman"/>
          <w:b/>
          <w:bCs/>
          <w:color w:val="000000"/>
          <w:sz w:val="20"/>
          <w:szCs w:val="20"/>
        </w:rPr>
        <w:t>Variable interest entity (“VIE”):</w:t>
      </w:r>
      <w:r>
        <w:rPr>
          <w:rFonts w:eastAsia="Times New Roman"/>
          <w:color w:val="000000"/>
          <w:sz w:val="20"/>
          <w:szCs w:val="20"/>
        </w:rPr>
        <w:t xml:space="preserve"> An entity that (i) lacks enough equity investment at risk to permit the entity to finance its activities without additional financial support from other parties; (ii) has equit</w:t>
      </w:r>
      <w:r>
        <w:rPr>
          <w:rFonts w:eastAsia="Times New Roman"/>
          <w:color w:val="000000"/>
          <w:sz w:val="20"/>
          <w:szCs w:val="20"/>
        </w:rPr>
        <w:t>y owners that lack the right to make significant decisions affecting the entity’s operations; and/or (iii) has equity owners that do not have an obligation to absorb or the right to receive the entity’s losses or return.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87772553"/>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78777255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8777255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5" style="width:0;height:1.5pt" o:hralign="center" o:hrstd="t" o:hr="t" fillcolor="#a0a0a0" stroked="f"/>
        </w:pict>
      </w:r>
    </w:p>
    <w:p w:rsidR="00000000" w:rsidRDefault="00795D39">
      <w:pPr>
        <w:jc w:val="both"/>
        <w:divId w:val="1257135101"/>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97478249"/>
        </w:trPr>
        <w:tc>
          <w:tcPr>
            <w:tcW w:w="50" w:type="pct"/>
            <w:vAlign w:val="center"/>
            <w:hideMark/>
          </w:tcPr>
          <w:p w:rsidR="00000000" w:rsidRDefault="00795D39">
            <w:pPr>
              <w:jc w:val="both"/>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9747824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divId w:val="915820191"/>
              <w:rPr>
                <w:rFonts w:eastAsia="Times New Roman"/>
              </w:rPr>
            </w:pPr>
            <w:r>
              <w:rPr>
                <w:rFonts w:eastAsia="Times New Roman"/>
                <w:b/>
                <w:bCs/>
                <w:i/>
                <w:iCs/>
                <w:color w:val="000000"/>
                <w:sz w:val="20"/>
                <w:szCs w:val="20"/>
              </w:rPr>
              <w:t>Acronyms</w:t>
            </w:r>
          </w:p>
        </w:tc>
      </w:tr>
    </w:tbl>
    <w:p w:rsidR="00000000" w:rsidRDefault="00795D39">
      <w:pPr>
        <w:jc w:val="both"/>
        <w:divId w:val="1182013541"/>
        <w:rPr>
          <w:rFonts w:eastAsia="Times New Roman"/>
        </w:rPr>
      </w:pPr>
      <w:r>
        <w:rPr>
          <w:rFonts w:eastAsia="Times New Roman"/>
          <w:b/>
          <w:bCs/>
          <w:color w:val="000000"/>
          <w:sz w:val="20"/>
          <w:szCs w:val="20"/>
        </w:rPr>
        <w:t xml:space="preserve">AML: </w:t>
      </w:r>
      <w:r>
        <w:rPr>
          <w:rFonts w:eastAsia="Times New Roman"/>
          <w:color w:val="000000"/>
          <w:sz w:val="20"/>
          <w:szCs w:val="20"/>
        </w:rPr>
        <w:t>Anti-money laundering</w:t>
      </w:r>
    </w:p>
    <w:p w:rsidR="00000000" w:rsidRDefault="00795D39">
      <w:pPr>
        <w:jc w:val="both"/>
        <w:divId w:val="1906641766"/>
        <w:rPr>
          <w:rFonts w:eastAsia="Times New Roman"/>
        </w:rPr>
      </w:pPr>
      <w:r>
        <w:rPr>
          <w:rFonts w:eastAsia="Times New Roman"/>
          <w:b/>
          <w:bCs/>
          <w:color w:val="000000"/>
          <w:sz w:val="20"/>
          <w:szCs w:val="20"/>
        </w:rPr>
        <w:t>AOCI:</w:t>
      </w:r>
      <w:r>
        <w:rPr>
          <w:rFonts w:eastAsia="Times New Roman"/>
          <w:color w:val="000000"/>
          <w:sz w:val="20"/>
          <w:szCs w:val="20"/>
        </w:rPr>
        <w:t xml:space="preserve"> Accumulated other comprehensive income</w:t>
      </w:r>
    </w:p>
    <w:p w:rsidR="00000000" w:rsidRDefault="00795D39">
      <w:pPr>
        <w:jc w:val="both"/>
        <w:divId w:val="1304893222"/>
        <w:rPr>
          <w:rFonts w:eastAsia="Times New Roman"/>
        </w:rPr>
      </w:pPr>
      <w:r>
        <w:rPr>
          <w:rFonts w:eastAsia="Times New Roman"/>
          <w:b/>
          <w:bCs/>
          <w:color w:val="000000"/>
          <w:sz w:val="20"/>
          <w:szCs w:val="20"/>
        </w:rPr>
        <w:t>ARM:</w:t>
      </w:r>
      <w:r>
        <w:rPr>
          <w:rFonts w:ascii="Arial" w:eastAsia="Times New Roman" w:hAnsi="Arial" w:cs="Arial"/>
          <w:color w:val="000000"/>
          <w:sz w:val="20"/>
          <w:szCs w:val="20"/>
        </w:rPr>
        <w:t xml:space="preserve"> </w:t>
      </w:r>
      <w:r>
        <w:rPr>
          <w:rFonts w:eastAsia="Times New Roman"/>
          <w:color w:val="000000"/>
          <w:sz w:val="20"/>
          <w:szCs w:val="20"/>
        </w:rPr>
        <w:t>Adjustable rate mortgage</w:t>
      </w:r>
    </w:p>
    <w:p w:rsidR="00000000" w:rsidRDefault="00795D39">
      <w:pPr>
        <w:jc w:val="both"/>
        <w:divId w:val="733939844"/>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rsidR="00000000" w:rsidRDefault="00795D39">
      <w:pPr>
        <w:jc w:val="both"/>
        <w:divId w:val="1196193801"/>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rsidR="00000000" w:rsidRDefault="00795D39">
      <w:pPr>
        <w:jc w:val="both"/>
        <w:divId w:val="686717680"/>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rsidR="00000000" w:rsidRDefault="00795D39">
      <w:pPr>
        <w:jc w:val="both"/>
        <w:divId w:val="1925996145"/>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rsidR="00000000" w:rsidRDefault="00795D39">
      <w:pPr>
        <w:jc w:val="both"/>
        <w:divId w:val="644091672"/>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rsidR="00000000" w:rsidRDefault="00795D39">
      <w:pPr>
        <w:jc w:val="both"/>
        <w:divId w:val="689334280"/>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rsidR="00000000" w:rsidRDefault="00795D39">
      <w:pPr>
        <w:jc w:val="both"/>
        <w:divId w:val="425270423"/>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rsidR="00000000" w:rsidRDefault="00795D39">
      <w:pPr>
        <w:jc w:val="both"/>
        <w:divId w:val="1389183027"/>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rsidR="00000000" w:rsidRDefault="00795D39">
      <w:pPr>
        <w:jc w:val="both"/>
        <w:divId w:val="221644560"/>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rsidR="00000000" w:rsidRDefault="00795D39">
      <w:pPr>
        <w:jc w:val="both"/>
        <w:divId w:val="1803771963"/>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rsidR="00000000" w:rsidRDefault="00795D39">
      <w:pPr>
        <w:jc w:val="both"/>
        <w:divId w:val="1686395515"/>
        <w:rPr>
          <w:rFonts w:eastAsia="Times New Roman"/>
        </w:rPr>
      </w:pPr>
      <w:r>
        <w:rPr>
          <w:rFonts w:eastAsia="Times New Roman"/>
          <w:b/>
          <w:bCs/>
          <w:color w:val="000000"/>
          <w:sz w:val="20"/>
          <w:szCs w:val="20"/>
        </w:rPr>
        <w:t>CFTC:</w:t>
      </w:r>
      <w:r>
        <w:rPr>
          <w:rFonts w:eastAsia="Times New Roman"/>
          <w:color w:val="000000"/>
          <w:sz w:val="20"/>
          <w:szCs w:val="20"/>
        </w:rPr>
        <w:t xml:space="preserve"> Commodity Futures Trading Commission</w:t>
      </w:r>
    </w:p>
    <w:p w:rsidR="00000000" w:rsidRDefault="00795D39">
      <w:pPr>
        <w:jc w:val="both"/>
        <w:divId w:val="887840484"/>
        <w:rPr>
          <w:rFonts w:eastAsia="Times New Roman"/>
        </w:rPr>
      </w:pPr>
      <w:r>
        <w:rPr>
          <w:rFonts w:eastAsia="Times New Roman"/>
          <w:b/>
          <w:bCs/>
          <w:color w:val="000000"/>
          <w:sz w:val="20"/>
          <w:szCs w:val="20"/>
        </w:rPr>
        <w:t xml:space="preserve">CMBS: </w:t>
      </w:r>
      <w:r>
        <w:rPr>
          <w:rFonts w:eastAsia="Times New Roman"/>
          <w:color w:val="000000"/>
          <w:sz w:val="20"/>
          <w:szCs w:val="20"/>
        </w:rPr>
        <w:t xml:space="preserve">Commercial mortgage-backed </w:t>
      </w:r>
      <w:r>
        <w:rPr>
          <w:rFonts w:eastAsia="Times New Roman"/>
          <w:color w:val="000000"/>
          <w:sz w:val="20"/>
          <w:szCs w:val="20"/>
        </w:rPr>
        <w:t>securities</w:t>
      </w:r>
    </w:p>
    <w:p w:rsidR="00000000" w:rsidRDefault="00795D39">
      <w:pPr>
        <w:jc w:val="both"/>
        <w:divId w:val="2069834785"/>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rsidR="00000000" w:rsidRDefault="00795D39">
      <w:pPr>
        <w:jc w:val="both"/>
        <w:divId w:val="232278657"/>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rsidR="00000000" w:rsidRDefault="00795D39">
      <w:pPr>
        <w:jc w:val="both"/>
        <w:divId w:val="1734279753"/>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rsidR="00000000" w:rsidRDefault="00795D39">
      <w:pPr>
        <w:jc w:val="both"/>
        <w:divId w:val="912155334"/>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rsidR="00000000" w:rsidRDefault="00795D39">
      <w:pPr>
        <w:jc w:val="both"/>
        <w:divId w:val="1502160347"/>
        <w:rPr>
          <w:rFonts w:eastAsia="Times New Roman"/>
        </w:rPr>
      </w:pPr>
      <w:r>
        <w:rPr>
          <w:rFonts w:eastAsia="Times New Roman"/>
          <w:b/>
          <w:bCs/>
          <w:color w:val="000000"/>
          <w:sz w:val="20"/>
          <w:szCs w:val="20"/>
        </w:rPr>
        <w:t xml:space="preserve">DIF: </w:t>
      </w:r>
      <w:r>
        <w:rPr>
          <w:rFonts w:eastAsia="Times New Roman"/>
          <w:color w:val="000000"/>
          <w:sz w:val="20"/>
          <w:szCs w:val="20"/>
        </w:rPr>
        <w:t>Deposit Insurance Fund</w:t>
      </w:r>
    </w:p>
    <w:p w:rsidR="00000000" w:rsidRDefault="00795D39">
      <w:pPr>
        <w:jc w:val="both"/>
        <w:divId w:val="1675841310"/>
        <w:rPr>
          <w:rFonts w:eastAsia="Times New Roman"/>
        </w:rPr>
      </w:pPr>
      <w:r>
        <w:rPr>
          <w:rFonts w:eastAsia="Times New Roman"/>
          <w:b/>
          <w:bCs/>
          <w:color w:val="000000"/>
          <w:sz w:val="20"/>
          <w:szCs w:val="20"/>
        </w:rPr>
        <w:t xml:space="preserve">DVA: </w:t>
      </w:r>
      <w:r>
        <w:rPr>
          <w:rFonts w:eastAsia="Times New Roman"/>
          <w:color w:val="000000"/>
          <w:sz w:val="20"/>
          <w:szCs w:val="20"/>
        </w:rPr>
        <w:t>Debit valuation adjustment</w:t>
      </w:r>
    </w:p>
    <w:p w:rsidR="00000000" w:rsidRDefault="00795D39">
      <w:pPr>
        <w:jc w:val="both"/>
        <w:divId w:val="1301836967"/>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rsidR="00000000" w:rsidRDefault="00795D39">
      <w:pPr>
        <w:jc w:val="both"/>
        <w:divId w:val="1206068215"/>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w:t>
      </w:r>
      <w:r>
        <w:rPr>
          <w:rFonts w:eastAsia="Times New Roman"/>
          <w:color w:val="000000"/>
          <w:sz w:val="20"/>
          <w:szCs w:val="20"/>
        </w:rPr>
        <w:t>ssociation</w:t>
      </w:r>
    </w:p>
    <w:p w:rsidR="00000000" w:rsidRDefault="00795D39">
      <w:pPr>
        <w:jc w:val="both"/>
        <w:divId w:val="1584797346"/>
        <w:rPr>
          <w:rFonts w:eastAsia="Times New Roman"/>
        </w:rPr>
      </w:pPr>
      <w:r>
        <w:rPr>
          <w:rFonts w:eastAsia="Times New Roman"/>
          <w:b/>
          <w:bCs/>
          <w:color w:val="000000"/>
          <w:sz w:val="20"/>
          <w:szCs w:val="20"/>
        </w:rPr>
        <w:t>FASB:</w:t>
      </w:r>
      <w:r>
        <w:rPr>
          <w:rFonts w:eastAsia="Times New Roman"/>
          <w:color w:val="000000"/>
          <w:sz w:val="20"/>
          <w:szCs w:val="20"/>
        </w:rPr>
        <w:t xml:space="preserve"> Financial Accounting Standards Board</w:t>
      </w:r>
    </w:p>
    <w:p w:rsidR="00000000" w:rsidRDefault="00795D39">
      <w:pPr>
        <w:jc w:val="both"/>
        <w:divId w:val="1180660356"/>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rsidR="00000000" w:rsidRDefault="00795D39">
      <w:pPr>
        <w:jc w:val="both"/>
        <w:divId w:val="1337420280"/>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rsidR="00000000" w:rsidRDefault="00795D39">
      <w:pPr>
        <w:jc w:val="both"/>
        <w:divId w:val="124590760"/>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Insurance Corporation</w:t>
      </w:r>
    </w:p>
    <w:p w:rsidR="00000000" w:rsidRDefault="00795D39">
      <w:pPr>
        <w:jc w:val="both"/>
        <w:divId w:val="834106054"/>
        <w:rPr>
          <w:rFonts w:eastAsia="Times New Roman"/>
        </w:rPr>
      </w:pPr>
      <w:r>
        <w:rPr>
          <w:rFonts w:eastAsia="Times New Roman"/>
          <w:b/>
          <w:bCs/>
          <w:color w:val="000000"/>
          <w:sz w:val="20"/>
          <w:szCs w:val="20"/>
        </w:rPr>
        <w:t xml:space="preserve">FFIEC: </w:t>
      </w:r>
      <w:r>
        <w:rPr>
          <w:rFonts w:eastAsia="Times New Roman"/>
          <w:color w:val="000000"/>
          <w:sz w:val="20"/>
          <w:szCs w:val="20"/>
        </w:rPr>
        <w:t>Federal Financial Institutions Examination Council</w:t>
      </w:r>
    </w:p>
    <w:p w:rsidR="00000000" w:rsidRDefault="00795D39">
      <w:pPr>
        <w:jc w:val="both"/>
        <w:divId w:val="1278102290"/>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rsidR="00000000" w:rsidRDefault="00795D39">
      <w:pPr>
        <w:jc w:val="both"/>
        <w:divId w:val="535898657"/>
        <w:rPr>
          <w:rFonts w:eastAsia="Times New Roman"/>
        </w:rPr>
      </w:pPr>
      <w:r>
        <w:rPr>
          <w:rFonts w:eastAsia="Times New Roman"/>
          <w:b/>
          <w:bCs/>
          <w:color w:val="000000"/>
          <w:sz w:val="20"/>
          <w:szCs w:val="20"/>
        </w:rPr>
        <w:t>FinCEN</w:t>
      </w:r>
      <w:r>
        <w:rPr>
          <w:rFonts w:eastAsia="Times New Roman"/>
          <w:color w:val="000000"/>
          <w:sz w:val="20"/>
          <w:szCs w:val="20"/>
        </w:rPr>
        <w:t>: Financial Crimes Enforcement Network</w:t>
      </w:r>
    </w:p>
    <w:p w:rsidR="00000000" w:rsidRDefault="00795D39">
      <w:pPr>
        <w:jc w:val="both"/>
        <w:divId w:val="1045327748"/>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rsidR="00000000" w:rsidRDefault="00795D39">
      <w:pPr>
        <w:jc w:val="both"/>
        <w:divId w:val="1418403625"/>
        <w:rPr>
          <w:rFonts w:eastAsia="Times New Roman"/>
        </w:rPr>
      </w:pPr>
      <w:r>
        <w:rPr>
          <w:rFonts w:eastAsia="Times New Roman"/>
          <w:b/>
          <w:bCs/>
          <w:color w:val="000000"/>
          <w:sz w:val="20"/>
          <w:szCs w:val="20"/>
        </w:rPr>
        <w:t xml:space="preserve">FOS: </w:t>
      </w:r>
      <w:r>
        <w:rPr>
          <w:rFonts w:eastAsia="Times New Roman"/>
          <w:color w:val="000000"/>
          <w:sz w:val="20"/>
          <w:szCs w:val="20"/>
        </w:rPr>
        <w:t>Financial Ombudsman Service</w:t>
      </w:r>
    </w:p>
    <w:p w:rsidR="00000000" w:rsidRDefault="00795D39">
      <w:pPr>
        <w:jc w:val="both"/>
        <w:divId w:val="13894987"/>
        <w:rPr>
          <w:rFonts w:eastAsia="Times New Roman"/>
        </w:rPr>
      </w:pPr>
      <w:r>
        <w:rPr>
          <w:rFonts w:eastAsia="Times New Roman"/>
          <w:b/>
          <w:bCs/>
          <w:color w:val="000000"/>
          <w:sz w:val="20"/>
          <w:szCs w:val="20"/>
        </w:rPr>
        <w:t>Freddie Mac:</w:t>
      </w:r>
      <w:r>
        <w:rPr>
          <w:rFonts w:ascii="Arial" w:eastAsia="Times New Roman" w:hAnsi="Arial" w:cs="Arial"/>
          <w:color w:val="000000"/>
          <w:sz w:val="20"/>
          <w:szCs w:val="20"/>
        </w:rPr>
        <w:t xml:space="preserve"> </w:t>
      </w:r>
      <w:r>
        <w:rPr>
          <w:rFonts w:eastAsia="Times New Roman"/>
          <w:color w:val="000000"/>
          <w:sz w:val="20"/>
          <w:szCs w:val="20"/>
        </w:rPr>
        <w:t>Federal Home Loan Mortgage Corporation</w:t>
      </w:r>
    </w:p>
    <w:p w:rsidR="00000000" w:rsidRDefault="00795D39">
      <w:pPr>
        <w:jc w:val="both"/>
        <w:divId w:val="83110340"/>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w:t>
      </w:r>
      <w:r>
        <w:rPr>
          <w:rFonts w:eastAsia="Times New Roman"/>
          <w:color w:val="000000"/>
          <w:sz w:val="20"/>
          <w:szCs w:val="20"/>
        </w:rPr>
        <w:t xml:space="preserve"> accounting principles in the U.S.</w:t>
      </w:r>
    </w:p>
    <w:p w:rsidR="00000000" w:rsidRDefault="00795D39">
      <w:pPr>
        <w:jc w:val="both"/>
        <w:divId w:val="1752464982"/>
        <w:rPr>
          <w:rFonts w:eastAsia="Times New Roman"/>
        </w:rPr>
      </w:pPr>
      <w:r>
        <w:rPr>
          <w:rFonts w:eastAsia="Times New Roman"/>
          <w:b/>
          <w:bCs/>
          <w:color w:val="000000"/>
          <w:sz w:val="20"/>
          <w:szCs w:val="20"/>
        </w:rPr>
        <w:t xml:space="preserve">GBP: </w:t>
      </w:r>
      <w:r>
        <w:rPr>
          <w:rFonts w:eastAsia="Times New Roman"/>
          <w:color w:val="000000"/>
          <w:sz w:val="20"/>
          <w:szCs w:val="20"/>
        </w:rPr>
        <w:t>Great British pound</w:t>
      </w:r>
    </w:p>
    <w:p w:rsidR="00000000" w:rsidRDefault="00795D39">
      <w:pPr>
        <w:jc w:val="both"/>
        <w:divId w:val="1660160435"/>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Association</w:t>
      </w:r>
    </w:p>
    <w:p w:rsidR="00000000" w:rsidRDefault="00795D39">
      <w:pPr>
        <w:jc w:val="both"/>
        <w:divId w:val="513421329"/>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Government-sponsored enterprise</w:t>
      </w:r>
    </w:p>
    <w:p w:rsidR="00000000" w:rsidRDefault="00795D39">
      <w:pPr>
        <w:jc w:val="both"/>
        <w:divId w:val="27612648"/>
        <w:rPr>
          <w:rFonts w:eastAsia="Times New Roman"/>
        </w:rPr>
      </w:pPr>
      <w:r>
        <w:rPr>
          <w:rFonts w:eastAsia="Times New Roman"/>
          <w:b/>
          <w:bCs/>
          <w:color w:val="000000"/>
          <w:sz w:val="20"/>
          <w:szCs w:val="20"/>
        </w:rPr>
        <w:t>IBOR</w:t>
      </w:r>
      <w:r>
        <w:rPr>
          <w:rFonts w:eastAsia="Times New Roman"/>
          <w:color w:val="000000"/>
          <w:sz w:val="20"/>
          <w:szCs w:val="20"/>
        </w:rPr>
        <w:t>: Interbank Offered Rate</w:t>
      </w:r>
    </w:p>
    <w:p w:rsidR="00000000" w:rsidRDefault="00795D39">
      <w:pPr>
        <w:jc w:val="both"/>
        <w:divId w:val="1237738603"/>
        <w:rPr>
          <w:rFonts w:eastAsia="Times New Roman"/>
        </w:rPr>
      </w:pPr>
      <w:r>
        <w:rPr>
          <w:rFonts w:eastAsia="Times New Roman"/>
          <w:b/>
          <w:bCs/>
          <w:color w:val="000000"/>
          <w:sz w:val="20"/>
          <w:szCs w:val="20"/>
        </w:rPr>
        <w:t>IRM:</w:t>
      </w:r>
      <w:r>
        <w:rPr>
          <w:rFonts w:eastAsia="Times New Roman"/>
          <w:color w:val="000000"/>
          <w:sz w:val="20"/>
          <w:szCs w:val="20"/>
        </w:rPr>
        <w:t xml:space="preserve"> Independent Risk Management</w:t>
      </w:r>
    </w:p>
    <w:p w:rsidR="00000000" w:rsidRDefault="00795D39">
      <w:pPr>
        <w:jc w:val="both"/>
        <w:divId w:val="316570346"/>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p w:rsidR="00000000" w:rsidRDefault="00795D39">
      <w:pPr>
        <w:jc w:val="both"/>
        <w:divId w:val="561142501"/>
        <w:rPr>
          <w:rFonts w:eastAsia="Times New Roman"/>
        </w:rPr>
      </w:pPr>
      <w:r>
        <w:rPr>
          <w:rFonts w:eastAsia="Times New Roman"/>
          <w:b/>
          <w:bCs/>
          <w:color w:val="000000"/>
          <w:sz w:val="20"/>
          <w:szCs w:val="20"/>
        </w:rPr>
        <w:t>LCR:</w:t>
      </w:r>
      <w:r>
        <w:rPr>
          <w:rFonts w:eastAsia="Times New Roman"/>
          <w:color w:val="000000"/>
          <w:sz w:val="20"/>
          <w:szCs w:val="20"/>
        </w:rPr>
        <w:t xml:space="preserve"> </w:t>
      </w:r>
      <w:r>
        <w:rPr>
          <w:rFonts w:eastAsia="Times New Roman"/>
          <w:color w:val="000000"/>
          <w:sz w:val="20"/>
          <w:szCs w:val="20"/>
        </w:rPr>
        <w:t>Liquidity coverage ratio</w:t>
      </w:r>
    </w:p>
    <w:p w:rsidR="00000000" w:rsidRDefault="00795D39">
      <w:pPr>
        <w:jc w:val="both"/>
        <w:divId w:val="846941127"/>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rsidR="00000000" w:rsidRDefault="00795D39">
      <w:pPr>
        <w:jc w:val="both"/>
        <w:divId w:val="759644384"/>
        <w:rPr>
          <w:rFonts w:eastAsia="Times New Roman"/>
        </w:rPr>
      </w:pPr>
      <w:r>
        <w:rPr>
          <w:rFonts w:eastAsia="Times New Roman"/>
          <w:b/>
          <w:bCs/>
          <w:color w:val="000000"/>
          <w:sz w:val="20"/>
          <w:szCs w:val="20"/>
        </w:rPr>
        <w:t>MDL:</w:t>
      </w:r>
      <w:r>
        <w:rPr>
          <w:rFonts w:eastAsia="Times New Roman"/>
          <w:color w:val="000000"/>
          <w:sz w:val="20"/>
          <w:szCs w:val="20"/>
        </w:rPr>
        <w:t xml:space="preserve"> Multi-district litigation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77567459"/>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77567459"/>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77567459"/>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6" style="width:0;height:1.5pt" o:hralign="center" o:hrstd="t" o:hr="t" fillcolor="#a0a0a0" stroked="f"/>
        </w:pict>
      </w:r>
    </w:p>
    <w:p w:rsidR="00000000" w:rsidRDefault="00795D39">
      <w:pPr>
        <w:jc w:val="both"/>
        <w:divId w:val="34146884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both"/>
        <w:divId w:val="320543316"/>
        <w:rPr>
          <w:rFonts w:eastAsia="Times New Roman"/>
        </w:rPr>
      </w:pPr>
      <w:r>
        <w:rPr>
          <w:rFonts w:eastAsia="Times New Roman"/>
          <w:b/>
          <w:bCs/>
          <w:color w:val="000000"/>
          <w:sz w:val="20"/>
          <w:szCs w:val="20"/>
        </w:rPr>
        <w:t>Moody’s:</w:t>
      </w:r>
      <w:r>
        <w:rPr>
          <w:rFonts w:eastAsia="Times New Roman"/>
          <w:color w:val="000000"/>
          <w:sz w:val="20"/>
          <w:szCs w:val="20"/>
        </w:rPr>
        <w:t xml:space="preserve"> Moody’s Investors Service</w:t>
      </w:r>
    </w:p>
    <w:p w:rsidR="00000000" w:rsidRDefault="00795D39">
      <w:pPr>
        <w:jc w:val="both"/>
        <w:divId w:val="651562133"/>
        <w:rPr>
          <w:rFonts w:eastAsia="Times New Roman"/>
        </w:rPr>
      </w:pPr>
      <w:r>
        <w:rPr>
          <w:rFonts w:eastAsia="Times New Roman"/>
          <w:b/>
          <w:bCs/>
          <w:color w:val="000000"/>
          <w:sz w:val="20"/>
          <w:szCs w:val="20"/>
        </w:rPr>
        <w:t xml:space="preserve">MSRs: </w:t>
      </w:r>
      <w:r>
        <w:rPr>
          <w:rFonts w:eastAsia="Times New Roman"/>
          <w:color w:val="000000"/>
          <w:sz w:val="20"/>
          <w:szCs w:val="20"/>
        </w:rPr>
        <w:t>Mortgage servicing rights</w:t>
      </w:r>
    </w:p>
    <w:p w:rsidR="00000000" w:rsidRDefault="00795D39">
      <w:pPr>
        <w:jc w:val="both"/>
        <w:divId w:val="1038896630"/>
        <w:rPr>
          <w:rFonts w:eastAsia="Times New Roman"/>
        </w:rPr>
      </w:pPr>
      <w:r>
        <w:rPr>
          <w:rFonts w:eastAsia="Times New Roman"/>
          <w:b/>
          <w:bCs/>
          <w:color w:val="000000"/>
          <w:sz w:val="20"/>
          <w:szCs w:val="20"/>
        </w:rPr>
        <w:t>NSFR:</w:t>
      </w:r>
      <w:r>
        <w:rPr>
          <w:rFonts w:eastAsia="Times New Roman"/>
          <w:color w:val="000000"/>
          <w:sz w:val="20"/>
          <w:szCs w:val="20"/>
        </w:rPr>
        <w:t xml:space="preserve"> Net stable funding ratio</w:t>
      </w:r>
    </w:p>
    <w:p w:rsidR="00000000" w:rsidRDefault="00795D39">
      <w:pPr>
        <w:jc w:val="both"/>
        <w:divId w:val="1840656091"/>
        <w:rPr>
          <w:rFonts w:eastAsia="Times New Roman"/>
        </w:rPr>
      </w:pPr>
      <w:r>
        <w:rPr>
          <w:rFonts w:eastAsia="Times New Roman"/>
          <w:b/>
          <w:bCs/>
          <w:color w:val="000000"/>
          <w:sz w:val="20"/>
          <w:szCs w:val="20"/>
        </w:rPr>
        <w:t>OCC:</w:t>
      </w:r>
      <w:r>
        <w:rPr>
          <w:rFonts w:eastAsia="Times New Roman"/>
          <w:color w:val="000000"/>
          <w:sz w:val="20"/>
          <w:szCs w:val="20"/>
        </w:rPr>
        <w:t xml:space="preserve"> </w:t>
      </w:r>
      <w:r>
        <w:rPr>
          <w:rFonts w:eastAsia="Times New Roman"/>
          <w:color w:val="000000"/>
          <w:sz w:val="20"/>
          <w:szCs w:val="20"/>
        </w:rPr>
        <w:t xml:space="preserve">Office of the Comptroller of the Currency </w:t>
      </w:r>
    </w:p>
    <w:p w:rsidR="00000000" w:rsidRDefault="00795D39">
      <w:pPr>
        <w:jc w:val="both"/>
        <w:divId w:val="717047952"/>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p w:rsidR="00000000" w:rsidRDefault="00795D39">
      <w:pPr>
        <w:jc w:val="both"/>
        <w:divId w:val="1593397092"/>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Prompt corrective action</w:t>
      </w:r>
    </w:p>
    <w:p w:rsidR="00000000" w:rsidRDefault="00795D39">
      <w:pPr>
        <w:jc w:val="both"/>
        <w:divId w:val="1144807887"/>
        <w:rPr>
          <w:rFonts w:eastAsia="Times New Roman"/>
        </w:rPr>
      </w:pPr>
      <w:r>
        <w:rPr>
          <w:rFonts w:eastAsia="Times New Roman"/>
          <w:b/>
          <w:bCs/>
          <w:color w:val="000000"/>
          <w:sz w:val="20"/>
          <w:szCs w:val="20"/>
        </w:rPr>
        <w:t>PCD:</w:t>
      </w:r>
      <w:r>
        <w:rPr>
          <w:rFonts w:eastAsia="Times New Roman"/>
          <w:color w:val="000000"/>
          <w:sz w:val="20"/>
          <w:szCs w:val="20"/>
        </w:rPr>
        <w:t xml:space="preserve"> Purchased credit-deteriorated</w:t>
      </w:r>
    </w:p>
    <w:p w:rsidR="00000000" w:rsidRDefault="00795D39">
      <w:pPr>
        <w:jc w:val="both"/>
        <w:divId w:val="1989434573"/>
        <w:rPr>
          <w:rFonts w:eastAsia="Times New Roman"/>
        </w:rPr>
      </w:pPr>
      <w:r>
        <w:rPr>
          <w:rFonts w:eastAsia="Times New Roman"/>
          <w:b/>
          <w:bCs/>
          <w:color w:val="000000"/>
          <w:sz w:val="20"/>
          <w:szCs w:val="20"/>
        </w:rPr>
        <w:t xml:space="preserve">PCI: </w:t>
      </w:r>
      <w:r>
        <w:rPr>
          <w:rFonts w:eastAsia="Times New Roman"/>
          <w:color w:val="000000"/>
          <w:sz w:val="20"/>
          <w:szCs w:val="20"/>
        </w:rPr>
        <w:t>Purchased credit-impaired</w:t>
      </w:r>
    </w:p>
    <w:p w:rsidR="00000000" w:rsidRDefault="00795D39">
      <w:pPr>
        <w:jc w:val="both"/>
        <w:divId w:val="1439250204"/>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rsidR="00000000" w:rsidRDefault="00795D39">
      <w:pPr>
        <w:jc w:val="both"/>
        <w:divId w:val="1471703387"/>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insurance</w:t>
      </w:r>
    </w:p>
    <w:p w:rsidR="00000000" w:rsidRDefault="00795D39">
      <w:pPr>
        <w:jc w:val="both"/>
        <w:divId w:val="1906573612"/>
        <w:rPr>
          <w:rFonts w:eastAsia="Times New Roman"/>
        </w:rPr>
      </w:pPr>
      <w:r>
        <w:rPr>
          <w:rFonts w:eastAsia="Times New Roman"/>
          <w:b/>
          <w:bCs/>
          <w:color w:val="000000"/>
          <w:sz w:val="20"/>
          <w:szCs w:val="20"/>
        </w:rPr>
        <w:t xml:space="preserve">PPP: </w:t>
      </w:r>
      <w:r>
        <w:rPr>
          <w:rFonts w:eastAsia="Times New Roman"/>
          <w:color w:val="000000"/>
          <w:sz w:val="20"/>
          <w:szCs w:val="20"/>
        </w:rPr>
        <w:t>Paycheck Prote</w:t>
      </w:r>
      <w:r>
        <w:rPr>
          <w:rFonts w:eastAsia="Times New Roman"/>
          <w:color w:val="000000"/>
          <w:sz w:val="20"/>
          <w:szCs w:val="20"/>
        </w:rPr>
        <w:t>ction Program</w:t>
      </w:r>
    </w:p>
    <w:p w:rsidR="00000000" w:rsidRDefault="00795D39">
      <w:pPr>
        <w:jc w:val="both"/>
        <w:divId w:val="128403552"/>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mortgage-backed securities</w:t>
      </w:r>
    </w:p>
    <w:p w:rsidR="00000000" w:rsidRDefault="00795D39">
      <w:pPr>
        <w:jc w:val="both"/>
        <w:divId w:val="542642402"/>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rsidR="00000000" w:rsidRDefault="00795D39">
      <w:pPr>
        <w:jc w:val="both"/>
        <w:divId w:val="1175341719"/>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Standard &amp; Poor’s</w:t>
      </w:r>
    </w:p>
    <w:p w:rsidR="00000000" w:rsidRDefault="00795D39">
      <w:pPr>
        <w:jc w:val="both"/>
        <w:divId w:val="506360310"/>
        <w:rPr>
          <w:rFonts w:eastAsia="Times New Roman"/>
        </w:rPr>
      </w:pPr>
      <w:r>
        <w:rPr>
          <w:rFonts w:eastAsia="Times New Roman"/>
          <w:b/>
          <w:bCs/>
          <w:color w:val="000000"/>
          <w:sz w:val="20"/>
          <w:szCs w:val="20"/>
        </w:rPr>
        <w:t>SD:</w:t>
      </w:r>
      <w:r>
        <w:rPr>
          <w:rFonts w:eastAsia="Times New Roman"/>
          <w:color w:val="000000"/>
          <w:sz w:val="20"/>
          <w:szCs w:val="20"/>
        </w:rPr>
        <w:t xml:space="preserve"> Swap dealer</w:t>
      </w:r>
    </w:p>
    <w:p w:rsidR="00000000" w:rsidRDefault="00795D39">
      <w:pPr>
        <w:jc w:val="both"/>
        <w:divId w:val="409037253"/>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Exchange Commission</w:t>
      </w:r>
    </w:p>
    <w:p w:rsidR="00000000" w:rsidRDefault="00795D39">
      <w:pPr>
        <w:jc w:val="both"/>
        <w:divId w:val="1184318258"/>
        <w:rPr>
          <w:rFonts w:eastAsia="Times New Roman"/>
        </w:rPr>
      </w:pPr>
      <w:r>
        <w:rPr>
          <w:rFonts w:eastAsia="Times New Roman"/>
          <w:b/>
          <w:bCs/>
          <w:color w:val="000000"/>
          <w:sz w:val="20"/>
          <w:szCs w:val="20"/>
        </w:rPr>
        <w:t>SLR:</w:t>
      </w:r>
      <w:r>
        <w:rPr>
          <w:rFonts w:eastAsia="Times New Roman"/>
          <w:color w:val="000000"/>
          <w:sz w:val="20"/>
          <w:szCs w:val="20"/>
        </w:rPr>
        <w:t xml:space="preserve"> Supplementary leverage ratio</w:t>
      </w:r>
    </w:p>
    <w:p w:rsidR="00000000" w:rsidRDefault="00795D39">
      <w:pPr>
        <w:jc w:val="both"/>
        <w:divId w:val="1771463548"/>
        <w:rPr>
          <w:rFonts w:eastAsia="Times New Roman"/>
        </w:rPr>
      </w:pPr>
      <w:r>
        <w:rPr>
          <w:rFonts w:eastAsia="Times New Roman"/>
          <w:b/>
          <w:bCs/>
          <w:color w:val="000000"/>
          <w:sz w:val="20"/>
          <w:szCs w:val="20"/>
        </w:rPr>
        <w:t>SOFR:</w:t>
      </w:r>
      <w:r>
        <w:rPr>
          <w:rFonts w:eastAsia="Times New Roman"/>
          <w:color w:val="000000"/>
          <w:sz w:val="20"/>
          <w:szCs w:val="20"/>
        </w:rPr>
        <w:t xml:space="preserve"> Secured Overnight Financing Rate</w:t>
      </w:r>
    </w:p>
    <w:p w:rsidR="00000000" w:rsidRDefault="00795D39">
      <w:pPr>
        <w:jc w:val="both"/>
        <w:divId w:val="1080566620"/>
        <w:rPr>
          <w:rFonts w:eastAsia="Times New Roman"/>
        </w:rPr>
      </w:pPr>
      <w:r>
        <w:rPr>
          <w:rFonts w:eastAsia="Times New Roman"/>
          <w:b/>
          <w:bCs/>
          <w:color w:val="000000"/>
          <w:sz w:val="20"/>
          <w:szCs w:val="20"/>
        </w:rPr>
        <w:t>TCE:</w:t>
      </w:r>
      <w:r>
        <w:rPr>
          <w:rFonts w:eastAsia="Times New Roman"/>
          <w:color w:val="000000"/>
          <w:sz w:val="20"/>
          <w:szCs w:val="20"/>
        </w:rPr>
        <w:t xml:space="preserve"> </w:t>
      </w:r>
      <w:r>
        <w:rPr>
          <w:rFonts w:eastAsia="Times New Roman"/>
          <w:color w:val="000000"/>
          <w:sz w:val="20"/>
          <w:szCs w:val="20"/>
        </w:rPr>
        <w:t>Tangible common equity</w:t>
      </w:r>
    </w:p>
    <w:p w:rsidR="00000000" w:rsidRDefault="00795D39">
      <w:pPr>
        <w:jc w:val="both"/>
        <w:divId w:val="615916317"/>
        <w:rPr>
          <w:rFonts w:eastAsia="Times New Roman"/>
        </w:rPr>
      </w:pPr>
      <w:r>
        <w:rPr>
          <w:rFonts w:eastAsia="Times New Roman"/>
          <w:b/>
          <w:bCs/>
          <w:color w:val="000000"/>
          <w:sz w:val="20"/>
          <w:szCs w:val="20"/>
        </w:rPr>
        <w:t>TDR:</w:t>
      </w:r>
      <w:r>
        <w:rPr>
          <w:rFonts w:eastAsia="Times New Roman"/>
          <w:color w:val="000000"/>
          <w:sz w:val="20"/>
          <w:szCs w:val="20"/>
        </w:rPr>
        <w:t xml:space="preserve"> Troubled debt restructuring</w:t>
      </w:r>
    </w:p>
    <w:p w:rsidR="00000000" w:rsidRDefault="00795D39">
      <w:pPr>
        <w:jc w:val="both"/>
        <w:divId w:val="677005381"/>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rsidR="00000000" w:rsidRDefault="00795D39">
      <w:pPr>
        <w:jc w:val="both"/>
        <w:divId w:val="556554516"/>
        <w:rPr>
          <w:rFonts w:eastAsia="Times New Roman"/>
        </w:rPr>
      </w:pPr>
      <w:r>
        <w:rPr>
          <w:rFonts w:eastAsia="Times New Roman"/>
          <w:b/>
          <w:bCs/>
          <w:color w:val="000000"/>
          <w:sz w:val="20"/>
          <w:szCs w:val="20"/>
        </w:rPr>
        <w:t>U.S.:</w:t>
      </w:r>
      <w:r>
        <w:rPr>
          <w:rFonts w:eastAsia="Times New Roman"/>
          <w:color w:val="000000"/>
          <w:sz w:val="20"/>
          <w:szCs w:val="20"/>
        </w:rPr>
        <w:t xml:space="preserve"> United States of America</w:t>
      </w:r>
    </w:p>
    <w:p w:rsidR="00000000" w:rsidRDefault="00795D39">
      <w:pPr>
        <w:jc w:val="both"/>
        <w:divId w:val="3782619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8088670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8088670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68088670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7" style="width:0;height:1.5pt" o:hralign="center" o:hrstd="t" o:hr="t" fillcolor="#a0a0a0" stroked="f"/>
        </w:pict>
      </w:r>
    </w:p>
    <w:p w:rsidR="00000000" w:rsidRDefault="00795D39">
      <w:pPr>
        <w:jc w:val="both"/>
        <w:divId w:val="706762943"/>
        <w:rPr>
          <w:rFonts w:eastAsia="Times New Roman"/>
        </w:rPr>
      </w:pPr>
      <w:hyperlink w:anchor="i86ab6d5a0edf43c49d46a425718ef61b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8"/>
        <w:gridCol w:w="7678"/>
        <w:gridCol w:w="39"/>
        <w:gridCol w:w="72"/>
        <w:gridCol w:w="413"/>
        <w:gridCol w:w="36"/>
      </w:tblGrid>
      <w:tr w:rsidR="00000000">
        <w:trPr>
          <w:divId w:val="1830947261"/>
        </w:trPr>
        <w:tc>
          <w:tcPr>
            <w:tcW w:w="50" w:type="pct"/>
            <w:vAlign w:val="center"/>
            <w:hideMark/>
          </w:tcPr>
          <w:p w:rsidR="00000000" w:rsidRDefault="00795D39">
            <w:pPr>
              <w:jc w:val="both"/>
              <w:rPr>
                <w:rFonts w:eastAsia="Times New Roman"/>
              </w:rPr>
            </w:pPr>
          </w:p>
        </w:tc>
        <w:tc>
          <w:tcPr>
            <w:tcW w:w="463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30947261"/>
        </w:trPr>
        <w:tc>
          <w:tcPr>
            <w:tcW w:w="0" w:type="auto"/>
            <w:gridSpan w:val="6"/>
            <w:tcMar>
              <w:top w:w="30" w:type="dxa"/>
              <w:left w:w="20" w:type="dxa"/>
              <w:bottom w:w="30" w:type="dxa"/>
              <w:right w:w="20" w:type="dxa"/>
            </w:tcMar>
            <w:vAlign w:val="bottom"/>
            <w:hideMark/>
          </w:tcPr>
          <w:p w:rsidR="00000000" w:rsidRDefault="00795D39">
            <w:pPr>
              <w:divId w:val="1023870509"/>
              <w:rPr>
                <w:rFonts w:eastAsia="Times New Roman"/>
              </w:rPr>
            </w:pPr>
            <w:hyperlink w:anchor="i86ab6d5a0edf43c49d46a425718ef61b_331" w:history="1">
              <w:r>
                <w:rPr>
                  <w:rStyle w:val="a3"/>
                  <w:rFonts w:eastAsia="Times New Roman"/>
                  <w:b/>
                  <w:bCs/>
                  <w:color w:val="000000"/>
                  <w:sz w:val="20"/>
                  <w:szCs w:val="20"/>
                  <w:u w:val="none"/>
                </w:rPr>
                <w:t>Item 1. Financial Statements and Notes</w:t>
              </w:r>
            </w:hyperlink>
          </w:p>
        </w:tc>
      </w:tr>
      <w:tr w:rsidR="00000000">
        <w:trPr>
          <w:divId w:val="1830947261"/>
        </w:trPr>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20"/>
                <w:szCs w:val="20"/>
              </w:rPr>
              <w:t>Page</w:t>
            </w:r>
          </w:p>
        </w:tc>
      </w:tr>
      <w:tr w:rsidR="00000000">
        <w:trPr>
          <w:divId w:val="1830947261"/>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tcMar>
              <w:top w:w="30" w:type="dxa"/>
              <w:left w:w="20" w:type="dxa"/>
              <w:bottom w:w="30" w:type="dxa"/>
              <w:right w:w="20" w:type="dxa"/>
            </w:tcMar>
            <w:hideMark/>
          </w:tcPr>
          <w:p w:rsidR="00000000" w:rsidRDefault="00795D39">
            <w:pPr>
              <w:divId w:val="1775634942"/>
              <w:rPr>
                <w:rFonts w:eastAsia="Times New Roman"/>
              </w:rPr>
            </w:pPr>
            <w:hyperlink w:anchor="i86ab6d5a0edf43c49d46a425718ef61b_343" w:history="1">
              <w:r>
                <w:rPr>
                  <w:rStyle w:val="a3"/>
                  <w:rFonts w:eastAsia="Times New Roman"/>
                  <w:color w:val="000000"/>
                  <w:sz w:val="20"/>
                  <w:szCs w:val="20"/>
                  <w:u w:val="none"/>
                </w:rPr>
                <w:t>Consolidated Financial Statements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43" w:history="1">
              <w:r>
                <w:rPr>
                  <w:rStyle w:val="a3"/>
                  <w:rFonts w:eastAsia="Times New Roman"/>
                  <w:color w:val="000000"/>
                  <w:sz w:val="20"/>
                  <w:szCs w:val="20"/>
                  <w:u w:val="none"/>
                </w:rPr>
                <w:t>74</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911425040"/>
              <w:rPr>
                <w:rFonts w:eastAsia="Times New Roman"/>
              </w:rPr>
            </w:pPr>
            <w:hyperlink w:anchor="i86ab6d5a0edf43c49d46a425718ef61b_346"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46" w:history="1">
              <w:r>
                <w:rPr>
                  <w:rStyle w:val="a3"/>
                  <w:rFonts w:eastAsia="Times New Roman"/>
                  <w:color w:val="000000"/>
                  <w:sz w:val="20"/>
                  <w:szCs w:val="20"/>
                  <w:u w:val="none"/>
                </w:rPr>
                <w:t>74</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240941505"/>
              <w:rPr>
                <w:rFonts w:eastAsia="Times New Roman"/>
              </w:rPr>
            </w:pPr>
            <w:hyperlink w:anchor="i86ab6d5a0edf43c49d46a425718ef61b_349" w:history="1">
              <w:r>
                <w:rPr>
                  <w:rStyle w:val="a3"/>
                  <w:rFonts w:eastAsia="Times New Roman"/>
                  <w:color w:val="000000"/>
                  <w:sz w:val="20"/>
                  <w:szCs w:val="20"/>
                  <w:u w:val="none"/>
                </w:rPr>
                <w:t>Consolidated Statements of Compreh</w:t>
              </w:r>
              <w:r>
                <w:rPr>
                  <w:rStyle w:val="a3"/>
                  <w:rFonts w:eastAsia="Times New Roman"/>
                  <w:color w:val="000000"/>
                  <w:sz w:val="20"/>
                  <w:szCs w:val="20"/>
                  <w:u w:val="none"/>
                </w:rPr>
                <w:t>ensive Income</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49" w:history="1">
              <w:r>
                <w:rPr>
                  <w:rStyle w:val="a3"/>
                  <w:rFonts w:eastAsia="Times New Roman"/>
                  <w:color w:val="000000"/>
                  <w:sz w:val="20"/>
                  <w:szCs w:val="20"/>
                  <w:u w:val="none"/>
                </w:rPr>
                <w:t>75</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449353599"/>
              <w:rPr>
                <w:rFonts w:eastAsia="Times New Roman"/>
              </w:rPr>
            </w:pPr>
            <w:hyperlink w:anchor="i86ab6d5a0edf43c49d46a425718ef61b_352"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52" w:history="1">
              <w:r>
                <w:rPr>
                  <w:rStyle w:val="a3"/>
                  <w:rFonts w:eastAsia="Times New Roman"/>
                  <w:color w:val="000000"/>
                  <w:sz w:val="20"/>
                  <w:szCs w:val="20"/>
                  <w:u w:val="none"/>
                </w:rPr>
                <w:t>76</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966614250"/>
              <w:rPr>
                <w:rFonts w:eastAsia="Times New Roman"/>
              </w:rPr>
            </w:pPr>
            <w:hyperlink w:anchor="i86ab6d5a0edf43c49d46a425718ef61b_358"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58" w:history="1">
              <w:r>
                <w:rPr>
                  <w:rStyle w:val="a3"/>
                  <w:rFonts w:eastAsia="Times New Roman"/>
                  <w:color w:val="000000"/>
                  <w:sz w:val="20"/>
                  <w:szCs w:val="20"/>
                  <w:u w:val="none"/>
                </w:rPr>
                <w:t>77</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803885634"/>
              <w:rPr>
                <w:rFonts w:eastAsia="Times New Roman"/>
              </w:rPr>
            </w:pPr>
            <w:hyperlink w:anchor="i86ab6d5a0edf43c49d46a425718ef61b_364"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64" w:history="1">
              <w:r>
                <w:rPr>
                  <w:rStyle w:val="a3"/>
                  <w:rFonts w:eastAsia="Times New Roman"/>
                  <w:color w:val="000000"/>
                  <w:sz w:val="20"/>
                  <w:szCs w:val="20"/>
                  <w:u w:val="none"/>
                </w:rPr>
                <w:t>79</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356859172"/>
              <w:rPr>
                <w:rFonts w:eastAsia="Times New Roman"/>
              </w:rPr>
            </w:pPr>
            <w:hyperlink w:anchor="i86ab6d5a0edf43c49d46a425718ef61b_367"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70" w:history="1">
              <w:r>
                <w:rPr>
                  <w:rStyle w:val="a3"/>
                  <w:rFonts w:eastAsia="Times New Roman"/>
                  <w:color w:val="000000"/>
                  <w:sz w:val="20"/>
                  <w:szCs w:val="20"/>
                  <w:u w:val="none"/>
                </w:rPr>
                <w:t>81</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700395723"/>
              <w:rPr>
                <w:rFonts w:eastAsia="Times New Roman"/>
              </w:rPr>
            </w:pPr>
            <w:hyperlink w:anchor="i86ab6d5a0edf43c49d46a425718ef61b_370" w:history="1">
              <w:r>
                <w:rPr>
                  <w:rStyle w:val="a3"/>
                  <w:rFonts w:eastAsia="Times New Roman"/>
                  <w:color w:val="000000"/>
                  <w:sz w:val="20"/>
                  <w:szCs w:val="20"/>
                  <w:u w:val="none"/>
                </w:rPr>
                <w:t>Note 1—</w:t>
              </w:r>
              <w:r>
                <w:rPr>
                  <w:rStyle w:val="a3"/>
                  <w:rFonts w:eastAsia="Times New Roman"/>
                  <w:color w:val="000000"/>
                  <w:sz w:val="20"/>
                  <w:szCs w:val="20"/>
                  <w:u w:val="none"/>
                </w:rPr>
                <w:t>Summary of Significant Accounting Policies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70" w:history="1">
              <w:r>
                <w:rPr>
                  <w:rStyle w:val="a3"/>
                  <w:rFonts w:eastAsia="Times New Roman"/>
                  <w:color w:val="000000"/>
                  <w:sz w:val="20"/>
                  <w:szCs w:val="20"/>
                  <w:u w:val="none"/>
                </w:rPr>
                <w:t>81</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86773093"/>
              <w:rPr>
                <w:rFonts w:eastAsia="Times New Roman"/>
              </w:rPr>
            </w:pPr>
            <w:hyperlink w:anchor="i86ab6d5a0edf43c49d46a425718ef61b_376"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76" w:history="1">
              <w:r>
                <w:rPr>
                  <w:rStyle w:val="a3"/>
                  <w:rFonts w:eastAsia="Times New Roman"/>
                  <w:color w:val="000000"/>
                  <w:sz w:val="20"/>
                  <w:szCs w:val="20"/>
                  <w:u w:val="none"/>
                </w:rPr>
                <w:t>90</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689022875"/>
              <w:rPr>
                <w:rFonts w:eastAsia="Times New Roman"/>
              </w:rPr>
            </w:pPr>
            <w:hyperlink w:anchor="i86ab6d5a0edf43c49d46a425718ef61b_382"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382" w:history="1">
              <w:r>
                <w:rPr>
                  <w:rStyle w:val="a3"/>
                  <w:rFonts w:eastAsia="Times New Roman"/>
                  <w:color w:val="000000"/>
                  <w:sz w:val="20"/>
                  <w:szCs w:val="20"/>
                  <w:u w:val="none"/>
                </w:rPr>
                <w:t>93</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723868626"/>
              <w:rPr>
                <w:rFonts w:eastAsia="Times New Roman"/>
              </w:rPr>
            </w:pPr>
            <w:hyperlink w:anchor="i86ab6d5a0edf43c49d46a425718ef61b_412" w:history="1">
              <w:r>
                <w:rPr>
                  <w:rStyle w:val="a3"/>
                  <w:rFonts w:eastAsia="Times New Roman"/>
                  <w:color w:val="000000"/>
                  <w:sz w:val="20"/>
                  <w:szCs w:val="20"/>
                  <w:u w:val="none"/>
                </w:rPr>
                <w:t>Note 4—Allowance for Credit Losses and Rese</w:t>
              </w:r>
              <w:r>
                <w:rPr>
                  <w:rStyle w:val="a3"/>
                  <w:rFonts w:eastAsia="Times New Roman"/>
                  <w:color w:val="000000"/>
                  <w:sz w:val="20"/>
                  <w:szCs w:val="20"/>
                  <w:u w:val="none"/>
                </w:rPr>
                <w:t>rve for Unfunded Lending Commitments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12" w:history="1">
              <w:r>
                <w:rPr>
                  <w:rStyle w:val="a3"/>
                  <w:rFonts w:eastAsia="Times New Roman"/>
                  <w:color w:val="000000"/>
                  <w:sz w:val="20"/>
                  <w:szCs w:val="20"/>
                  <w:u w:val="none"/>
                </w:rPr>
                <w:t>102</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975063461"/>
              <w:rPr>
                <w:rFonts w:eastAsia="Times New Roman"/>
              </w:rPr>
            </w:pPr>
            <w:hyperlink w:anchor="i86ab6d5a0edf43c49d46a425718ef61b_415" w:history="1">
              <w:r>
                <w:rPr>
                  <w:rStyle w:val="a3"/>
                  <w:rFonts w:eastAsia="Times New Roman"/>
                  <w:color w:val="000000"/>
                  <w:sz w:val="20"/>
                  <w:szCs w:val="20"/>
                  <w:u w:val="none"/>
                </w:rPr>
                <w:t>Note 5—</w:t>
              </w:r>
              <w:r>
                <w:rPr>
                  <w:rStyle w:val="a3"/>
                  <w:rFonts w:eastAsia="Times New Roman"/>
                  <w:color w:val="000000"/>
                  <w:sz w:val="20"/>
                  <w:szCs w:val="20"/>
                  <w:u w:val="none"/>
                </w:rPr>
                <w:t>Variable Interest Entities and Securitizations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15" w:history="1">
              <w:r>
                <w:rPr>
                  <w:rStyle w:val="a3"/>
                  <w:rFonts w:eastAsia="Times New Roman"/>
                  <w:color w:val="000000"/>
                  <w:sz w:val="20"/>
                  <w:szCs w:val="20"/>
                  <w:u w:val="none"/>
                </w:rPr>
                <w:t>106</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1074357906"/>
              <w:rPr>
                <w:rFonts w:eastAsia="Times New Roman"/>
              </w:rPr>
            </w:pPr>
            <w:hyperlink w:anchor="i86ab6d5a0edf43c49d46a425718ef61b_421" w:history="1">
              <w:r>
                <w:rPr>
                  <w:rStyle w:val="a3"/>
                  <w:rFonts w:eastAsia="Times New Roman"/>
                  <w:color w:val="000000"/>
                  <w:sz w:val="20"/>
                  <w:szCs w:val="20"/>
                  <w:u w:val="none"/>
                </w:rPr>
                <w:t>Note 6—Goodwill and Intangible Assets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21" w:history="1">
              <w:r>
                <w:rPr>
                  <w:rStyle w:val="a3"/>
                  <w:rFonts w:eastAsia="Times New Roman"/>
                  <w:color w:val="000000"/>
                  <w:sz w:val="20"/>
                  <w:szCs w:val="20"/>
                  <w:u w:val="none"/>
                </w:rPr>
                <w:t>110</w:t>
              </w:r>
            </w:hyperlink>
          </w:p>
        </w:tc>
      </w:tr>
      <w:tr w:rsidR="00000000">
        <w:trPr>
          <w:divId w:val="1830947261"/>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tcMar>
              <w:top w:w="30" w:type="dxa"/>
              <w:left w:w="20" w:type="dxa"/>
              <w:bottom w:w="30" w:type="dxa"/>
              <w:right w:w="20" w:type="dxa"/>
            </w:tcMar>
            <w:hideMark/>
          </w:tcPr>
          <w:p w:rsidR="00000000" w:rsidRDefault="00795D39">
            <w:pPr>
              <w:divId w:val="295993306"/>
              <w:rPr>
                <w:rFonts w:eastAsia="Times New Roman"/>
              </w:rPr>
            </w:pPr>
            <w:hyperlink w:anchor="i86ab6d5a0edf43c49d46a425718ef61b_430"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30" w:history="1">
              <w:r>
                <w:rPr>
                  <w:rStyle w:val="a3"/>
                  <w:rFonts w:eastAsia="Times New Roman"/>
                  <w:color w:val="000000"/>
                  <w:sz w:val="20"/>
                  <w:szCs w:val="20"/>
                  <w:u w:val="none"/>
                </w:rPr>
                <w:t>111</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26377989"/>
              <w:rPr>
                <w:rFonts w:eastAsia="Times New Roman"/>
              </w:rPr>
            </w:pPr>
            <w:hyperlink w:anchor="i86ab6d5a0edf43c49d46a425718ef61b_436"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36" w:history="1">
              <w:r>
                <w:rPr>
                  <w:rStyle w:val="a3"/>
                  <w:rFonts w:eastAsia="Times New Roman"/>
                  <w:color w:val="000000"/>
                  <w:sz w:val="20"/>
                  <w:szCs w:val="20"/>
                  <w:u w:val="none"/>
                </w:rPr>
                <w:t>112</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532963498"/>
              <w:rPr>
                <w:rFonts w:eastAsia="Times New Roman"/>
              </w:rPr>
            </w:pPr>
            <w:hyperlink w:anchor="i86ab6d5a0edf43c49d46a425718ef61b_442"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42" w:history="1">
              <w:r>
                <w:rPr>
                  <w:rStyle w:val="a3"/>
                  <w:rFonts w:eastAsia="Times New Roman"/>
                  <w:color w:val="000000"/>
                  <w:sz w:val="20"/>
                  <w:szCs w:val="20"/>
                  <w:u w:val="none"/>
                </w:rPr>
                <w:t>122</w:t>
              </w:r>
            </w:hyperlink>
          </w:p>
        </w:tc>
      </w:tr>
      <w:tr w:rsidR="00000000">
        <w:trPr>
          <w:divId w:val="1830947261"/>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tcMar>
              <w:top w:w="30" w:type="dxa"/>
              <w:left w:w="20" w:type="dxa"/>
              <w:bottom w:w="30" w:type="dxa"/>
              <w:right w:w="20" w:type="dxa"/>
            </w:tcMar>
            <w:hideMark/>
          </w:tcPr>
          <w:p w:rsidR="00000000" w:rsidRDefault="00795D39">
            <w:pPr>
              <w:divId w:val="296422232"/>
              <w:rPr>
                <w:rFonts w:eastAsia="Times New Roman"/>
              </w:rPr>
            </w:pPr>
            <w:hyperlink w:anchor="i86ab6d5a0edf43c49d46a425718ef61b_451"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51" w:history="1">
              <w:r>
                <w:rPr>
                  <w:rStyle w:val="a3"/>
                  <w:rFonts w:eastAsia="Times New Roman"/>
                  <w:color w:val="000000"/>
                  <w:sz w:val="20"/>
                  <w:szCs w:val="20"/>
                  <w:u w:val="none"/>
                </w:rPr>
                <w:t>126</w:t>
              </w:r>
            </w:hyperlink>
          </w:p>
        </w:tc>
      </w:tr>
      <w:tr w:rsidR="00000000">
        <w:trPr>
          <w:divId w:val="1830947261"/>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tcMar>
              <w:top w:w="30" w:type="dxa"/>
              <w:left w:w="20" w:type="dxa"/>
              <w:bottom w:w="30" w:type="dxa"/>
              <w:right w:w="20" w:type="dxa"/>
            </w:tcMar>
            <w:hideMark/>
          </w:tcPr>
          <w:p w:rsidR="00000000" w:rsidRDefault="00795D39">
            <w:pPr>
              <w:divId w:val="1082290258"/>
              <w:rPr>
                <w:rFonts w:eastAsia="Times New Roman"/>
              </w:rPr>
            </w:pPr>
            <w:hyperlink w:anchor="i86ab6d5a0edf43c49d46a425718ef61b_469"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69" w:history="1">
              <w:r>
                <w:rPr>
                  <w:rStyle w:val="a3"/>
                  <w:rFonts w:eastAsia="Times New Roman"/>
                  <w:color w:val="000000"/>
                  <w:sz w:val="20"/>
                  <w:szCs w:val="20"/>
                  <w:u w:val="none"/>
                </w:rPr>
                <w:t>127</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584343884"/>
              <w:rPr>
                <w:rFonts w:eastAsia="Times New Roman"/>
              </w:rPr>
            </w:pPr>
            <w:hyperlink w:anchor="i86ab6d5a0edf43c49d46a425718ef61b_475"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75" w:history="1">
              <w:r>
                <w:rPr>
                  <w:rStyle w:val="a3"/>
                  <w:rFonts w:eastAsia="Times New Roman"/>
                  <w:color w:val="000000"/>
                  <w:sz w:val="20"/>
                  <w:szCs w:val="20"/>
                  <w:u w:val="none"/>
                </w:rPr>
                <w:t>134</w:t>
              </w:r>
            </w:hyperlink>
          </w:p>
        </w:tc>
      </w:tr>
      <w:tr w:rsidR="00000000">
        <w:trPr>
          <w:divId w:val="1830947261"/>
        </w:trPr>
        <w:tc>
          <w:tcPr>
            <w:tcW w:w="0" w:type="auto"/>
            <w:gridSpan w:val="3"/>
            <w:tcMar>
              <w:top w:w="30" w:type="dxa"/>
              <w:left w:w="20" w:type="dxa"/>
              <w:bottom w:w="30" w:type="dxa"/>
              <w:right w:w="20" w:type="dxa"/>
            </w:tcMar>
            <w:hideMark/>
          </w:tcPr>
          <w:p w:rsidR="00000000" w:rsidRDefault="00795D39">
            <w:pPr>
              <w:divId w:val="958217711"/>
              <w:rPr>
                <w:rFonts w:eastAsia="Times New Roman"/>
              </w:rPr>
            </w:pPr>
            <w:hyperlink w:anchor="i86ab6d5a0edf43c49d46a425718ef61b_481"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hideMark/>
          </w:tcPr>
          <w:p w:rsidR="00000000" w:rsidRDefault="00795D39">
            <w:pPr>
              <w:jc w:val="center"/>
              <w:rPr>
                <w:rFonts w:eastAsia="Times New Roman"/>
              </w:rPr>
            </w:pPr>
            <w:hyperlink w:anchor="i86ab6d5a0edf43c49d46a425718ef61b_481" w:history="1">
              <w:r>
                <w:rPr>
                  <w:rStyle w:val="a3"/>
                  <w:rFonts w:eastAsia="Times New Roman"/>
                  <w:color w:val="000000"/>
                  <w:sz w:val="20"/>
                  <w:szCs w:val="20"/>
                  <w:u w:val="none"/>
                </w:rPr>
                <w:t>138</w:t>
              </w:r>
            </w:hyperlink>
          </w:p>
        </w:tc>
      </w:tr>
      <w:tr w:rsidR="00000000">
        <w:trPr>
          <w:divId w:val="1830947261"/>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83094726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8" style="width:0;height:1.5pt" o:hralign="center" o:hrstd="t" o:hr="t" fillcolor="#a0a0a0" stroked="f"/>
        </w:pict>
      </w:r>
    </w:p>
    <w:p w:rsidR="00000000" w:rsidRDefault="00795D39">
      <w:pPr>
        <w:jc w:val="both"/>
        <w:divId w:val="119885273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198852732"/>
        <w:rPr>
          <w:rFonts w:eastAsia="Times New Roman"/>
        </w:rPr>
      </w:pPr>
    </w:p>
    <w:p w:rsidR="00000000" w:rsidRDefault="00795D39">
      <w:pPr>
        <w:jc w:val="center"/>
        <w:divId w:val="1198852732"/>
        <w:rPr>
          <w:rFonts w:eastAsia="Times New Roman"/>
        </w:rPr>
      </w:pPr>
      <w:r>
        <w:rPr>
          <w:rFonts w:eastAsia="Times New Roman"/>
          <w:b/>
          <w:bCs/>
          <w:color w:val="000000"/>
          <w:sz w:val="20"/>
          <w:szCs w:val="20"/>
        </w:rPr>
        <w:t>CAPITAL ONE FINANCIAL CORPORATION</w:t>
      </w:r>
    </w:p>
    <w:p w:rsidR="00000000" w:rsidRDefault="00795D39">
      <w:pPr>
        <w:jc w:val="center"/>
        <w:divId w:val="1198852732"/>
        <w:rPr>
          <w:rFonts w:eastAsia="Times New Roman"/>
        </w:rPr>
      </w:pPr>
      <w:r>
        <w:rPr>
          <w:rFonts w:eastAsia="Times New Roman"/>
          <w:b/>
          <w:bCs/>
          <w:color w:val="000000"/>
          <w:sz w:val="20"/>
          <w:szCs w:val="20"/>
        </w:rPr>
        <w:t>CONSOLIDATED STATEMENTS OF INCOME (UNAUDITED)</w:t>
      </w:r>
    </w:p>
    <w:p w:rsidR="00000000" w:rsidRDefault="00795D39">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5404"/>
        <w:gridCol w:w="40"/>
        <w:gridCol w:w="36"/>
        <w:gridCol w:w="36"/>
        <w:gridCol w:w="36"/>
        <w:gridCol w:w="100"/>
        <w:gridCol w:w="400"/>
        <w:gridCol w:w="36"/>
        <w:gridCol w:w="36"/>
        <w:gridCol w:w="36"/>
        <w:gridCol w:w="36"/>
        <w:gridCol w:w="100"/>
        <w:gridCol w:w="400"/>
        <w:gridCol w:w="36"/>
        <w:gridCol w:w="36"/>
        <w:gridCol w:w="36"/>
        <w:gridCol w:w="36"/>
        <w:gridCol w:w="100"/>
        <w:gridCol w:w="480"/>
        <w:gridCol w:w="36"/>
        <w:gridCol w:w="36"/>
        <w:gridCol w:w="36"/>
        <w:gridCol w:w="36"/>
        <w:gridCol w:w="100"/>
        <w:gridCol w:w="480"/>
        <w:gridCol w:w="36"/>
        <w:gridCol w:w="36"/>
        <w:gridCol w:w="36"/>
      </w:tblGrid>
      <w:tr w:rsidR="00000000">
        <w:trPr>
          <w:divId w:val="587271981"/>
          <w:jc w:val="center"/>
        </w:trPr>
        <w:tc>
          <w:tcPr>
            <w:tcW w:w="50" w:type="pct"/>
            <w:vAlign w:val="center"/>
            <w:hideMark/>
          </w:tcPr>
          <w:p w:rsidR="00000000" w:rsidRDefault="00795D39">
            <w:pPr>
              <w:jc w:val="both"/>
              <w:rPr>
                <w:rFonts w:eastAsia="Times New Roman"/>
              </w:rPr>
            </w:pPr>
          </w:p>
        </w:tc>
        <w:tc>
          <w:tcPr>
            <w:tcW w:w="33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5,758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6,429 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18,120</w:t>
            </w:r>
            <w:r>
              <w:rPr>
                <w:rFonts w:eastAsia="Times New Roman"/>
                <w:color w:val="000000"/>
                <w:sz w:val="16"/>
                <w:szCs w:val="16"/>
              </w:rPr>
              <w:t> </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19,180 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443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583 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1,455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1,867 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67</w:t>
            </w:r>
            <w:r>
              <w:rPr>
                <w:rFonts w:eastAsia="Times New Roman"/>
                <w:color w:val="000000"/>
                <w:sz w:val="16"/>
                <w:szCs w:val="16"/>
              </w:rPr>
              <w:t> </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6,215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7,075 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19,642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21,243 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1,818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2,588 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132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551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923 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2,602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3,969 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5,555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5,737 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17,040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17,274 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331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1,383 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4,418 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5,224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7,040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12,856 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775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790 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2,199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2,368 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320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283 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905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988 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 xml:space="preserve">Net securities gains </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706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1,017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492 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Total non-interest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1,826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4,146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Salaries and associate benefits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1,719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1,605 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5,050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4,736 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Occupancy and equipment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506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519 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1,546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Marketing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1,047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1,564 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Professional services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327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314 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919 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Communications and data processing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Amortization of intangibles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389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596 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1,514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3,548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11,047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11,322 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3,502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139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5,426 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1,096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375 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b/>
                <w:bCs/>
                <w:color w:val="000000"/>
                <w:sz w:val="16"/>
                <w:szCs w:val="16"/>
              </w:rPr>
              <w:t>10)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1,071 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2,406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2,406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 cost for redeemed 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Net income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2,319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4,151 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5.07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2.70 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(0.20)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income (loss) per basic common share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5.07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Diluted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5.06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2.68 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(0.20)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8.76 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587271981"/>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income (loss)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5.06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jc w:val="cente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099" style="width:0;height:1.5pt" o:hralign="center" o:hrstd="t" o:hr="t" fillcolor="#a0a0a0" stroked="f"/>
        </w:pict>
      </w:r>
    </w:p>
    <w:p w:rsidR="00000000" w:rsidRDefault="00795D39">
      <w:pPr>
        <w:jc w:val="both"/>
        <w:divId w:val="114015498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140154983"/>
        <w:rPr>
          <w:rFonts w:eastAsia="Times New Roman"/>
        </w:rPr>
      </w:pPr>
    </w:p>
    <w:p w:rsidR="00000000" w:rsidRDefault="00795D39">
      <w:pPr>
        <w:jc w:val="center"/>
        <w:divId w:val="1140154983"/>
        <w:rPr>
          <w:rFonts w:eastAsia="Times New Roman"/>
        </w:rPr>
      </w:pPr>
      <w:r>
        <w:rPr>
          <w:rFonts w:eastAsia="Times New Roman"/>
          <w:b/>
          <w:bCs/>
          <w:color w:val="000000"/>
          <w:sz w:val="20"/>
          <w:szCs w:val="20"/>
        </w:rPr>
        <w:t>CAPITAL ONE FINANCIAL CORPORATION</w:t>
      </w:r>
    </w:p>
    <w:p w:rsidR="00000000" w:rsidRDefault="00795D39">
      <w:pPr>
        <w:jc w:val="center"/>
        <w:divId w:val="1140154983"/>
        <w:rPr>
          <w:rFonts w:eastAsia="Times New Roman"/>
        </w:rPr>
      </w:pPr>
      <w:r>
        <w:rPr>
          <w:rFonts w:eastAsia="Times New Roman"/>
          <w:b/>
          <w:bCs/>
          <w:color w:val="000000"/>
          <w:sz w:val="20"/>
          <w:szCs w:val="20"/>
        </w:rPr>
        <w:t>CONSOLIDATED STATEMENTS OF COMPREHENSIVE INCOME (UNAUDITED)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456"/>
        <w:gridCol w:w="37"/>
        <w:gridCol w:w="36"/>
        <w:gridCol w:w="36"/>
        <w:gridCol w:w="36"/>
        <w:gridCol w:w="100"/>
        <w:gridCol w:w="472"/>
        <w:gridCol w:w="36"/>
        <w:gridCol w:w="36"/>
        <w:gridCol w:w="36"/>
        <w:gridCol w:w="36"/>
        <w:gridCol w:w="100"/>
        <w:gridCol w:w="430"/>
        <w:gridCol w:w="36"/>
        <w:gridCol w:w="36"/>
        <w:gridCol w:w="36"/>
        <w:gridCol w:w="36"/>
        <w:gridCol w:w="100"/>
        <w:gridCol w:w="400"/>
        <w:gridCol w:w="36"/>
        <w:gridCol w:w="36"/>
        <w:gridCol w:w="36"/>
        <w:gridCol w:w="36"/>
        <w:gridCol w:w="100"/>
        <w:gridCol w:w="400"/>
        <w:gridCol w:w="36"/>
        <w:gridCol w:w="36"/>
        <w:gridCol w:w="36"/>
      </w:tblGrid>
      <w:tr w:rsidR="00000000">
        <w:trPr>
          <w:divId w:val="830485345"/>
          <w:jc w:val="center"/>
        </w:trPr>
        <w:tc>
          <w:tcPr>
            <w:tcW w:w="50" w:type="pct"/>
            <w:vAlign w:val="center"/>
            <w:hideMark/>
          </w:tcPr>
          <w:p w:rsidR="00000000" w:rsidRDefault="00795D39">
            <w:pPr>
              <w:jc w:val="center"/>
              <w:rPr>
                <w:rFonts w:eastAsia="Times New Roman"/>
              </w:rPr>
            </w:pPr>
          </w:p>
        </w:tc>
        <w:tc>
          <w:tcPr>
            <w:tcW w:w="3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1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2,406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unrealized gains on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1,447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664 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unrealized gains (losses) on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(175)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1,256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changes in securities held to maturity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2,685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0485345"/>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2,258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1,616 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2,833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6,086 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289824235"/>
          <w:jc w:val="center"/>
        </w:trPr>
        <w:tc>
          <w:tcPr>
            <w:tcW w:w="50" w:type="pct"/>
            <w:vAlign w:val="center"/>
            <w:hideMark/>
          </w:tcPr>
          <w:p w:rsidR="00000000" w:rsidRDefault="00795D39">
            <w:pPr>
              <w:jc w:val="cente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89824235"/>
          <w:jc w:val="center"/>
        </w:trPr>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See Notes to Consolidated Financial Statements.</w:t>
            </w:r>
          </w:p>
        </w:tc>
      </w:tr>
      <w:tr w:rsidR="00000000">
        <w:trPr>
          <w:divId w:val="289824235"/>
          <w:jc w:val="center"/>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0" style="width:0;height:1.5pt" o:hralign="center" o:hrstd="t" o:hr="t" fillcolor="#a0a0a0" stroked="f"/>
        </w:pict>
      </w:r>
    </w:p>
    <w:p w:rsidR="00000000" w:rsidRDefault="00795D39">
      <w:pPr>
        <w:jc w:val="both"/>
        <w:divId w:val="112669809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126698093"/>
        <w:rPr>
          <w:rFonts w:eastAsia="Times New Roman"/>
        </w:rPr>
      </w:pPr>
    </w:p>
    <w:p w:rsidR="00000000" w:rsidRDefault="00795D39">
      <w:pPr>
        <w:jc w:val="center"/>
        <w:divId w:val="1126698093"/>
        <w:rPr>
          <w:rFonts w:eastAsia="Times New Roman"/>
        </w:rPr>
      </w:pPr>
      <w:r>
        <w:rPr>
          <w:rFonts w:eastAsia="Times New Roman"/>
          <w:b/>
          <w:bCs/>
          <w:color w:val="000000"/>
          <w:sz w:val="20"/>
          <w:szCs w:val="20"/>
        </w:rPr>
        <w:t>CAPITAL ONE FINANCIAL CORPORATION</w:t>
      </w:r>
    </w:p>
    <w:p w:rsidR="00000000" w:rsidRDefault="00795D39">
      <w:pPr>
        <w:jc w:val="center"/>
        <w:divId w:val="1126698093"/>
        <w:rPr>
          <w:rFonts w:eastAsia="Times New Roman"/>
        </w:rPr>
      </w:pPr>
      <w:r>
        <w:rPr>
          <w:rFonts w:eastAsia="Times New Roman"/>
          <w:b/>
          <w:bCs/>
          <w:color w:val="000000"/>
          <w:sz w:val="20"/>
          <w:szCs w:val="20"/>
        </w:rPr>
        <w:t>CONSOLIDATED BALANCE SHEETS (UNAUDITED)</w:t>
      </w:r>
    </w:p>
    <w:p w:rsidR="00000000" w:rsidRDefault="00795D39">
      <w:pPr>
        <w:jc w:val="center"/>
        <w:divId w:val="112669809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6076"/>
        <w:gridCol w:w="39"/>
        <w:gridCol w:w="36"/>
        <w:gridCol w:w="36"/>
        <w:gridCol w:w="36"/>
        <w:gridCol w:w="101"/>
        <w:gridCol w:w="859"/>
        <w:gridCol w:w="36"/>
        <w:gridCol w:w="36"/>
        <w:gridCol w:w="36"/>
        <w:gridCol w:w="36"/>
        <w:gridCol w:w="101"/>
        <w:gridCol w:w="798"/>
        <w:gridCol w:w="36"/>
      </w:tblGrid>
      <w:tr w:rsidR="00000000">
        <w:trPr>
          <w:divId w:val="1913462790"/>
          <w:jc w:val="center"/>
        </w:trPr>
        <w:tc>
          <w:tcPr>
            <w:tcW w:w="50" w:type="pct"/>
            <w:vAlign w:val="center"/>
            <w:hideMark/>
          </w:tcPr>
          <w:p w:rsidR="00000000" w:rsidRDefault="00795D39">
            <w:pPr>
              <w:jc w:val="center"/>
              <w:rPr>
                <w:rFonts w:eastAsia="Times New Roman"/>
              </w:rPr>
            </w:pPr>
          </w:p>
        </w:tc>
        <w:tc>
          <w:tcPr>
            <w:tcW w:w="36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13462790"/>
          <w:jc w:val="center"/>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913462790"/>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4,267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4,129 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39,839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9,278 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44,106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13,407 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895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13462790"/>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divId w:val="1023554596"/>
              <w:rPr>
                <w:rFonts w:eastAsia="Times New Roman"/>
              </w:rPr>
            </w:pPr>
            <w:r>
              <w:rPr>
                <w:rFonts w:eastAsia="Times New Roman"/>
                <w:color w:val="000000"/>
                <w:sz w:val="16"/>
                <w:szCs w:val="16"/>
              </w:rPr>
              <w:t>Securities available for sale (amortized cost of $96.7 billion and allowance for credit losses of $3 million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99,853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79,213 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13462790"/>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217,878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231,992 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30,345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33,817 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248,223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265,809 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(16,129)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(7,208)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232,094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258,601 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divId w:val="1700471741"/>
              <w:rPr>
                <w:rFonts w:eastAsia="Times New Roman"/>
              </w:rPr>
            </w:pPr>
            <w:r>
              <w:rPr>
                <w:rFonts w:eastAsia="Times New Roman"/>
                <w:color w:val="000000"/>
                <w:sz w:val="16"/>
                <w:szCs w:val="16"/>
              </w:rPr>
              <w:t>Loans held for sale ($1.3 billion and $251 </w:t>
            </w:r>
            <w:r>
              <w:rPr>
                <w:rFonts w:eastAsia="Times New Roman"/>
                <w:color w:val="000000"/>
                <w:sz w:val="16"/>
                <w:szCs w:val="16"/>
              </w:rPr>
              <w:t>million carried at fair value at September 30, 2020 and December 31, 2019, respectively)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3,433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4,333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4,378 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1,551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14,648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14,653 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20,970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17,613 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421,883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390,365 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332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29,633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23,488 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276,092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239,209 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305,725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262,697 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13,566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17,808 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314 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28,448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30,472 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7,103 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29,229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37,889 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14,607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13,521 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363,459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332,354 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Commitments, contingencies and guarantees (see Note 13)</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divId w:val="717244774"/>
              <w:rPr>
                <w:rFonts w:eastAsia="Times New Roman"/>
              </w:rPr>
            </w:pPr>
            <w:r>
              <w:rPr>
                <w:rFonts w:eastAsia="Times New Roman"/>
                <w:color w:val="000000"/>
                <w:sz w:val="16"/>
                <w:szCs w:val="16"/>
              </w:rPr>
              <w:t>Preferred stock (par value $0.01 per share; 50,000,000 shares authorized; 5,475,000 and 4,975,000 shares issued and outstanding as of September 30, 2020 and December 31, 2019, respectively)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divId w:val="1835760292"/>
              <w:rPr>
                <w:rFonts w:eastAsia="Times New Roman"/>
              </w:rPr>
            </w:pPr>
            <w:r>
              <w:rPr>
                <w:rFonts w:eastAsia="Times New Roman"/>
                <w:color w:val="000000"/>
                <w:sz w:val="16"/>
                <w:szCs w:val="16"/>
              </w:rPr>
              <w:t>Common stock (par value $0.01 per share; 1,000,</w:t>
            </w:r>
            <w:r>
              <w:rPr>
                <w:rFonts w:eastAsia="Times New Roman"/>
                <w:color w:val="000000"/>
                <w:sz w:val="16"/>
                <w:szCs w:val="16"/>
              </w:rPr>
              <w:t>000,000 shares authorized; 678,318,329 and 672,969,391 shares issued as of September 30, 2020 and December 31, 2019, respectively; 457,397,091 and 456,562,399 shares outstanding as of September 30, 2020 and December 31, 2019, respectively)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33,793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32,980 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37,653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40,340 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Accumulated 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3,833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1,156 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divId w:val="468867684"/>
              <w:rPr>
                <w:rFonts w:eastAsia="Times New Roman"/>
              </w:rPr>
            </w:pPr>
            <w:r>
              <w:rPr>
                <w:rFonts w:eastAsia="Times New Roman"/>
                <w:color w:val="000000"/>
                <w:sz w:val="16"/>
                <w:szCs w:val="16"/>
              </w:rPr>
              <w:t xml:space="preserve">Treasury stock, at cost (par value $0.01 per share; 220,921,238 and </w:t>
            </w:r>
            <w:r>
              <w:rPr>
                <w:rFonts w:eastAsia="Times New Roman"/>
                <w:color w:val="000000"/>
                <w:sz w:val="16"/>
                <w:szCs w:val="16"/>
              </w:rPr>
              <w:t>216,406,992 shares as of September 30, 2020 and December 31, 2019, respectively)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(16,862)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(16,472)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58,424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58,011 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3462790"/>
          <w:jc w:val="center"/>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421,883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390,365 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jc w:val="cente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1" style="width:0;height:1.5pt" o:hralign="center" o:hrstd="t" o:hr="t" fillcolor="#a0a0a0" stroked="f"/>
        </w:pict>
      </w:r>
    </w:p>
    <w:p w:rsidR="00000000" w:rsidRDefault="00795D39">
      <w:pPr>
        <w:jc w:val="both"/>
        <w:divId w:val="63055263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630552633"/>
        <w:rPr>
          <w:rFonts w:eastAsia="Times New Roman"/>
        </w:rPr>
      </w:pPr>
    </w:p>
    <w:p w:rsidR="00000000" w:rsidRDefault="00795D39">
      <w:pPr>
        <w:jc w:val="center"/>
        <w:divId w:val="630552633"/>
        <w:rPr>
          <w:rFonts w:eastAsia="Times New Roman"/>
        </w:rPr>
      </w:pPr>
      <w:r>
        <w:rPr>
          <w:rFonts w:eastAsia="Times New Roman"/>
          <w:b/>
          <w:bCs/>
          <w:color w:val="000000"/>
          <w:sz w:val="20"/>
          <w:szCs w:val="20"/>
        </w:rPr>
        <w:t>CAPITAL ONE FINANCIAL CORPORATION</w:t>
      </w:r>
    </w:p>
    <w:p w:rsidR="00000000" w:rsidRDefault="00795D39">
      <w:pPr>
        <w:jc w:val="center"/>
        <w:divId w:val="630552633"/>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92"/>
        <w:gridCol w:w="1043"/>
        <w:gridCol w:w="36"/>
        <w:gridCol w:w="36"/>
        <w:gridCol w:w="36"/>
        <w:gridCol w:w="36"/>
        <w:gridCol w:w="89"/>
        <w:gridCol w:w="611"/>
        <w:gridCol w:w="38"/>
        <w:gridCol w:w="36"/>
        <w:gridCol w:w="36"/>
        <w:gridCol w:w="36"/>
        <w:gridCol w:w="101"/>
        <w:gridCol w:w="431"/>
        <w:gridCol w:w="36"/>
        <w:gridCol w:w="36"/>
        <w:gridCol w:w="26"/>
        <w:gridCol w:w="10"/>
        <w:gridCol w:w="36"/>
        <w:gridCol w:w="95"/>
        <w:gridCol w:w="3"/>
        <w:gridCol w:w="144"/>
        <w:gridCol w:w="618"/>
        <w:gridCol w:w="39"/>
        <w:gridCol w:w="37"/>
        <w:gridCol w:w="36"/>
        <w:gridCol w:w="36"/>
        <w:gridCol w:w="101"/>
        <w:gridCol w:w="434"/>
        <w:gridCol w:w="36"/>
        <w:gridCol w:w="36"/>
        <w:gridCol w:w="36"/>
        <w:gridCol w:w="36"/>
        <w:gridCol w:w="101"/>
        <w:gridCol w:w="577"/>
        <w:gridCol w:w="36"/>
        <w:gridCol w:w="36"/>
        <w:gridCol w:w="36"/>
        <w:gridCol w:w="36"/>
        <w:gridCol w:w="100"/>
        <w:gridCol w:w="309"/>
        <w:gridCol w:w="144"/>
        <w:gridCol w:w="27"/>
        <w:gridCol w:w="36"/>
        <w:gridCol w:w="36"/>
        <w:gridCol w:w="36"/>
        <w:gridCol w:w="9"/>
        <w:gridCol w:w="27"/>
        <w:gridCol w:w="101"/>
        <w:gridCol w:w="871"/>
        <w:gridCol w:w="36"/>
        <w:gridCol w:w="36"/>
        <w:gridCol w:w="36"/>
        <w:gridCol w:w="36"/>
        <w:gridCol w:w="100"/>
        <w:gridCol w:w="547"/>
        <w:gridCol w:w="36"/>
        <w:gridCol w:w="36"/>
        <w:gridCol w:w="36"/>
        <w:gridCol w:w="36"/>
        <w:gridCol w:w="101"/>
        <w:gridCol w:w="641"/>
        <w:gridCol w:w="122"/>
        <w:gridCol w:w="22"/>
        <w:gridCol w:w="14"/>
      </w:tblGrid>
      <w:tr w:rsidR="00000000">
        <w:trPr>
          <w:divId w:val="1794211266"/>
        </w:trPr>
        <w:tc>
          <w:tcPr>
            <w:tcW w:w="50" w:type="pct"/>
            <w:vAlign w:val="center"/>
            <w:hideMark/>
          </w:tcPr>
          <w:p w:rsidR="00000000" w:rsidRDefault="00795D39">
            <w:pPr>
              <w:jc w:val="center"/>
              <w:rPr>
                <w:rFonts w:eastAsia="Times New Roman"/>
              </w:rPr>
            </w:pPr>
          </w:p>
        </w:tc>
        <w:tc>
          <w:tcPr>
            <w:tcW w:w="1092"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3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gridSpan w:val="3"/>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3" w:type="pct"/>
            <w:gridSpan w:val="3"/>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gridSpan w:val="2"/>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gridSpan w:val="2"/>
            <w:vAlign w:val="center"/>
            <w:hideMark/>
          </w:tcPr>
          <w:p w:rsidR="00000000" w:rsidRDefault="00795D39">
            <w:pPr>
              <w:rPr>
                <w:rFonts w:eastAsia="Times New Roman"/>
                <w:sz w:val="20"/>
                <w:szCs w:val="20"/>
              </w:rPr>
            </w:pPr>
          </w:p>
        </w:tc>
        <w:tc>
          <w:tcPr>
            <w:tcW w:w="5" w:type="pct"/>
            <w:gridSpan w:val="2"/>
            <w:vAlign w:val="center"/>
            <w:hideMark/>
          </w:tcPr>
          <w:p w:rsidR="00000000" w:rsidRDefault="00795D39">
            <w:pPr>
              <w:rPr>
                <w:rFonts w:eastAsia="Times New Roman"/>
                <w:sz w:val="20"/>
                <w:szCs w:val="20"/>
              </w:rPr>
            </w:pPr>
          </w:p>
        </w:tc>
      </w:tr>
      <w:tr w:rsidR="00000000">
        <w:trPr>
          <w:divId w:val="1794211266"/>
          <w:trHeight w:val="240"/>
        </w:trPr>
        <w:tc>
          <w:tcPr>
            <w:tcW w:w="0" w:type="auto"/>
            <w:gridSpan w:val="4"/>
            <w:vMerge w:val="restart"/>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795D39">
            <w:pP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Preferred Stock</w:t>
            </w:r>
          </w:p>
        </w:tc>
        <w:tc>
          <w:tcPr>
            <w:tcW w:w="0" w:type="auto"/>
            <w:gridSpan w:val="4"/>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5"/>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Retained Earnings</w:t>
            </w:r>
          </w:p>
        </w:tc>
        <w:tc>
          <w:tcPr>
            <w:tcW w:w="0" w:type="auto"/>
            <w:gridSpan w:val="4"/>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5"/>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r>
            <w:r>
              <w:rPr>
                <w:rFonts w:eastAsia="Times New Roman"/>
                <w:b/>
                <w:bCs/>
                <w:color w:val="000000"/>
                <w:sz w:val="14"/>
                <w:szCs w:val="14"/>
              </w:rPr>
              <w:t>Equity</w:t>
            </w:r>
          </w:p>
        </w:tc>
      </w:tr>
      <w:tr w:rsidR="00000000">
        <w:trPr>
          <w:divId w:val="1794211266"/>
          <w:trHeight w:val="400"/>
        </w:trPr>
        <w:tc>
          <w:tcPr>
            <w:tcW w:w="0" w:type="auto"/>
            <w:gridSpan w:val="4"/>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Amount</w:t>
            </w:r>
          </w:p>
        </w:tc>
        <w:tc>
          <w:tcPr>
            <w:tcW w:w="0" w:type="auto"/>
            <w:gridSpan w:val="4"/>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5"/>
            <w:vMerge/>
            <w:vAlign w:val="center"/>
            <w:hideMark/>
          </w:tcPr>
          <w:p w:rsidR="00000000" w:rsidRDefault="00795D39">
            <w:pPr>
              <w:rPr>
                <w:rFonts w:eastAsia="Times New Roman"/>
              </w:rPr>
            </w:pPr>
          </w:p>
        </w:tc>
        <w:tc>
          <w:tcPr>
            <w:tcW w:w="0" w:type="auto"/>
            <w:gridSpan w:val="4"/>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5"/>
            <w:vMerge/>
            <w:vAlign w:val="center"/>
            <w:hideMark/>
          </w:tcPr>
          <w:p w:rsidR="00000000" w:rsidRDefault="00795D39">
            <w:pPr>
              <w:rPr>
                <w:rFonts w:eastAsia="Times New Roman"/>
              </w:rPr>
            </w:pPr>
          </w:p>
        </w:tc>
      </w:tr>
      <w:tr w:rsidR="00000000">
        <w:trPr>
          <w:divId w:val="179421126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795D39">
        <w:trPr>
          <w:divId w:val="1794211266"/>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672,969,391 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32,980 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(16,472)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58,011 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(2,184)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(2,192)</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(1,340)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2,531 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1,191 </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divId w:val="1059326819"/>
              <w:rPr>
                <w:rFonts w:eastAsia="Times New Roman"/>
              </w:rPr>
            </w:pPr>
            <w:r>
              <w:rPr>
                <w:rFonts w:eastAsia="Times New Roman"/>
                <w:color w:val="000000"/>
                <w:sz w:val="16"/>
                <w:szCs w:val="16"/>
              </w:rPr>
              <w:t>Dividends—</w:t>
            </w:r>
            <w:r>
              <w:rPr>
                <w:rFonts w:eastAsia="Times New Roman"/>
                <w:color w:val="000000"/>
                <w:sz w:val="16"/>
                <w:szCs w:val="16"/>
              </w:rPr>
              <w:t>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23,213 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(185)</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(386)</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2,618,628 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63 </w:t>
            </w:r>
          </w:p>
        </w:tc>
        <w:tc>
          <w:tcPr>
            <w:tcW w:w="0" w:type="auto"/>
            <w:gridSpan w:val="2"/>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559,333 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20 </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1,209 </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 xml:space="preserve">Redemptions of preferred stock </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(875,000)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(853)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(875)</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29 </w:t>
            </w:r>
          </w:p>
        </w:tc>
        <w:tc>
          <w:tcPr>
            <w:tcW w:w="0" w:type="auto"/>
            <w:gridSpan w:val="2"/>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Balance as of March 31,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5,350,000 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676,170,565 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33,450 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36,552 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3,679 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(16,858)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56,830 </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(616)</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divId w:val="1509172983"/>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6,521 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(183)</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w:t>
            </w:r>
            <w:r>
              <w:rPr>
                <w:rFonts w:eastAsia="Times New Roman"/>
                <w:color w:val="000000"/>
                <w:sz w:val="16"/>
                <w:szCs w:val="16"/>
              </w:rPr>
              <w:t>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(90)</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1,041,311 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58 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58 </w:t>
            </w:r>
          </w:p>
        </w:tc>
        <w:tc>
          <w:tcPr>
            <w:tcW w:w="0" w:type="auto"/>
            <w:gridSpan w:val="2"/>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8,410 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48 </w:t>
            </w:r>
          </w:p>
        </w:tc>
        <w:tc>
          <w:tcPr>
            <w:tcW w:w="0" w:type="auto"/>
            <w:gridSpan w:val="2"/>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Balance as of June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5,350,000 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677,226,807 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33,556 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35,361 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3,981 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(16,860)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56,045 </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2,406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2,258</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divId w:val="1462965589"/>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1,608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(47)</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(67)</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1,073,323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63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63</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16,591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125,000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121</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94211266"/>
        </w:trPr>
        <w:tc>
          <w:tcPr>
            <w:tcW w:w="0" w:type="auto"/>
            <w:gridSpan w:val="4"/>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r>
      <w:tr w:rsidR="00000000">
        <w:trPr>
          <w:divId w:val="179421126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52</w:t>
            </w: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795D39">
        <w:trPr>
          <w:divId w:val="179421126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Balance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5,475,000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678,318,329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33,793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37,653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3,833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(16,862)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58,424</w:t>
            </w:r>
            <w:r>
              <w:rPr>
                <w:rFonts w:eastAsia="Times New Roman"/>
                <w:color w:val="000000"/>
                <w:sz w:val="16"/>
                <w:szCs w:val="16"/>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blPrEx>
          <w:tblW w:w="4992" w:type="pct"/>
          <w:jc w:val="center"/>
        </w:tblPrEx>
        <w:trPr>
          <w:gridAfter w:val="1"/>
          <w:jc w:val="center"/>
        </w:trPr>
        <w:tc>
          <w:tcPr>
            <w:tcW w:w="50" w:type="pct"/>
            <w:gridSpan w:val="2"/>
            <w:vAlign w:val="center"/>
            <w:hideMark/>
          </w:tcPr>
          <w:p w:rsidR="00000000" w:rsidRDefault="00795D39">
            <w:pPr>
              <w:jc w:val="both"/>
              <w:rPr>
                <w:rFonts w:eastAsia="Times New Roman"/>
              </w:rPr>
            </w:pPr>
          </w:p>
        </w:tc>
        <w:tc>
          <w:tcPr>
            <w:tcW w:w="1606" w:type="pct"/>
            <w:gridSpan w:val="16"/>
            <w:vAlign w:val="center"/>
            <w:hideMark/>
          </w:tcPr>
          <w:p w:rsidR="00000000" w:rsidRDefault="00795D39">
            <w:pPr>
              <w:rPr>
                <w:rFonts w:eastAsia="Times New Roman"/>
                <w:sz w:val="20"/>
                <w:szCs w:val="20"/>
              </w:rPr>
            </w:pPr>
          </w:p>
        </w:tc>
        <w:tc>
          <w:tcPr>
            <w:tcW w:w="5" w:type="pct"/>
            <w:gridSpan w:val="4"/>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gridSpan w:val="19"/>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gridSpan w:val="5"/>
            <w:vAlign w:val="center"/>
            <w:hideMark/>
          </w:tcPr>
          <w:p w:rsidR="00000000" w:rsidRDefault="00795D39">
            <w:pPr>
              <w:rPr>
                <w:rFonts w:eastAsia="Times New Roman"/>
                <w:sz w:val="20"/>
                <w:szCs w:val="20"/>
              </w:rPr>
            </w:pPr>
          </w:p>
        </w:tc>
        <w:tc>
          <w:tcPr>
            <w:tcW w:w="1614" w:type="pct"/>
            <w:gridSpan w:val="15"/>
            <w:vAlign w:val="center"/>
            <w:hideMark/>
          </w:tcPr>
          <w:p w:rsidR="00000000" w:rsidRDefault="00795D39">
            <w:pPr>
              <w:rPr>
                <w:rFonts w:eastAsia="Times New Roman"/>
                <w:sz w:val="20"/>
                <w:szCs w:val="20"/>
              </w:rPr>
            </w:pPr>
          </w:p>
        </w:tc>
        <w:tc>
          <w:tcPr>
            <w:tcW w:w="5" w:type="pct"/>
            <w:gridSpan w:val="2"/>
            <w:vAlign w:val="center"/>
            <w:hideMark/>
          </w:tcPr>
          <w:p w:rsidR="00000000" w:rsidRDefault="00795D39">
            <w:pPr>
              <w:rPr>
                <w:rFonts w:eastAsia="Times New Roman"/>
                <w:sz w:val="20"/>
                <w:szCs w:val="20"/>
              </w:rPr>
            </w:pPr>
          </w:p>
        </w:tc>
      </w:tr>
      <w:tr w:rsidR="00000000">
        <w:tblPrEx>
          <w:tblW w:w="4992" w:type="pct"/>
          <w:jc w:val="center"/>
        </w:tblPrEx>
        <w:trPr>
          <w:gridAfter w:val="1"/>
          <w:jc w:val="center"/>
        </w:trPr>
        <w:tc>
          <w:tcPr>
            <w:tcW w:w="0" w:type="auto"/>
            <w:gridSpan w:val="6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See Notes to Consolidated Financial Statements.</w:t>
            </w:r>
          </w:p>
        </w:tc>
      </w:tr>
      <w:tr w:rsidR="00000000">
        <w:tblPrEx>
          <w:tblW w:w="4992" w:type="pct"/>
          <w:jc w:val="center"/>
        </w:tblPrEx>
        <w:trPr>
          <w:gridAfter w:val="1"/>
          <w:jc w:val="center"/>
        </w:trPr>
        <w:tc>
          <w:tcPr>
            <w:tcW w:w="0" w:type="auto"/>
            <w:gridSpan w:val="22"/>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77</w:t>
            </w:r>
          </w:p>
        </w:tc>
        <w:tc>
          <w:tcPr>
            <w:tcW w:w="0" w:type="auto"/>
            <w:gridSpan w:val="22"/>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2" style="width:0;height:1.5pt" o:hralign="center" o:hrstd="t" o:hr="t" fillcolor="#a0a0a0" stroked="f"/>
        </w:pict>
      </w:r>
    </w:p>
    <w:p w:rsidR="00000000" w:rsidRDefault="00795D39">
      <w:pPr>
        <w:jc w:val="both"/>
        <w:divId w:val="179990984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799909841"/>
        <w:rPr>
          <w:rFonts w:eastAsia="Times New Roman"/>
        </w:rPr>
      </w:pPr>
    </w:p>
    <w:p w:rsidR="00000000" w:rsidRDefault="00795D39">
      <w:pPr>
        <w:jc w:val="center"/>
        <w:divId w:val="1799909841"/>
        <w:rPr>
          <w:rFonts w:eastAsia="Times New Roman"/>
        </w:rPr>
      </w:pPr>
      <w:r>
        <w:rPr>
          <w:rFonts w:eastAsia="Times New Roman"/>
          <w:b/>
          <w:bCs/>
          <w:color w:val="000000"/>
          <w:sz w:val="20"/>
          <w:szCs w:val="20"/>
        </w:rPr>
        <w:t>CAPITAL ONE FINANCIAL CORPORATION</w:t>
      </w:r>
    </w:p>
    <w:p w:rsidR="00000000" w:rsidRDefault="00795D39">
      <w:pPr>
        <w:jc w:val="center"/>
        <w:divId w:val="1799909841"/>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1"/>
        <w:gridCol w:w="1136"/>
        <w:gridCol w:w="36"/>
        <w:gridCol w:w="36"/>
        <w:gridCol w:w="36"/>
        <w:gridCol w:w="36"/>
        <w:gridCol w:w="94"/>
        <w:gridCol w:w="606"/>
        <w:gridCol w:w="38"/>
        <w:gridCol w:w="37"/>
        <w:gridCol w:w="36"/>
        <w:gridCol w:w="36"/>
        <w:gridCol w:w="101"/>
        <w:gridCol w:w="434"/>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2"/>
        <w:gridCol w:w="36"/>
      </w:tblGrid>
      <w:tr w:rsidR="00000000">
        <w:trPr>
          <w:divId w:val="1452826578"/>
        </w:trPr>
        <w:tc>
          <w:tcPr>
            <w:tcW w:w="50" w:type="pct"/>
            <w:vAlign w:val="center"/>
            <w:hideMark/>
          </w:tcPr>
          <w:p w:rsidR="00000000" w:rsidRDefault="00795D39">
            <w:pPr>
              <w:jc w:val="center"/>
              <w:rPr>
                <w:rFonts w:eastAsia="Times New Roman"/>
              </w:rPr>
            </w:pPr>
          </w:p>
        </w:tc>
        <w:tc>
          <w:tcPr>
            <w:tcW w:w="112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52826578"/>
          <w:trHeight w:val="240"/>
        </w:trPr>
        <w:tc>
          <w:tcPr>
            <w:tcW w:w="0" w:type="auto"/>
            <w:gridSpan w:val="3"/>
            <w:vMerge w:val="restart"/>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795D39">
            <w:pP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r>
            <w:r>
              <w:rPr>
                <w:rFonts w:eastAsia="Times New Roman"/>
                <w:b/>
                <w:bCs/>
                <w:color w:val="000000"/>
                <w:sz w:val="14"/>
                <w:szCs w:val="14"/>
              </w:rPr>
              <w:t>Equity</w:t>
            </w:r>
          </w:p>
        </w:tc>
      </w:tr>
      <w:tr w:rsidR="00000000">
        <w:trPr>
          <w:divId w:val="1452826578"/>
          <w:trHeight w:val="400"/>
        </w:trPr>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r>
      <w:tr w:rsidR="00795D39">
        <w:trPr>
          <w:divId w:val="14528265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4,475,000 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667,969,069 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32,040 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35,875 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(1,263)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(14,991)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51,668 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Cumulative effects from adoption of new lease standard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2,015 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divId w:val="89393049"/>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32,700 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2,641,635 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5,000 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Balance as of March 31,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4,475,000 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670,648,404 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32,160 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37,030 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(660)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(15,056)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53,481 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1,625 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2,455 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divId w:val="261452786"/>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8,680 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w:t>
            </w:r>
            <w:r>
              <w:rPr>
                <w:rFonts w:eastAsia="Times New Roman"/>
                <w:color w:val="000000"/>
                <w:sz w:val="16"/>
                <w:szCs w:val="16"/>
              </w:rPr>
              <w:t>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745,017 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Balance as of June 30,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4,475,000 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671,406,101 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32,262 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38,386 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(15,058)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55,767 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1,616 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divId w:val="666329304"/>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w:t>
            </w:r>
            <w:r>
              <w:rPr>
                <w:rFonts w:eastAsia="Times New Roman"/>
                <w:color w:val="000000"/>
                <w:sz w:val="16"/>
                <w:szCs w:val="16"/>
              </w:rPr>
              <w:t>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673,255 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1,500,000 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1,463 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1,463 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282657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45282657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5,975,000 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672,084,002 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33,826 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39,476 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(15,527)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58,235 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469635815"/>
        <w:rPr>
          <w:rFonts w:eastAsia="Times New Roman"/>
        </w:rPr>
      </w:pPr>
      <w:r>
        <w:rPr>
          <w:rFonts w:eastAsia="Times New Roman"/>
          <w:color w:val="000000"/>
          <w:sz w:val="20"/>
          <w:szCs w:val="20"/>
        </w:rPr>
        <w:t>__________</w:t>
      </w:r>
    </w:p>
    <w:p w:rsidR="00000000" w:rsidRDefault="00795D39">
      <w:pPr>
        <w:ind w:hanging="360"/>
        <w:jc w:val="both"/>
        <w:divId w:val="119873449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declared dividend per </w:t>
      </w:r>
      <w:r>
        <w:rPr>
          <w:rFonts w:eastAsia="Times New Roman"/>
          <w:color w:val="000000"/>
          <w:sz w:val="16"/>
          <w:szCs w:val="16"/>
        </w:rPr>
        <w:t>share on our common stock of $0.10 and $0.40 in the third quarter of 2020 and 2019, respectively, and $0.90 and $1.20 in the first nine months of 2020 and 2019, respectively.</w:t>
      </w:r>
    </w:p>
    <w:tbl>
      <w:tblPr>
        <w:tblW w:w="4978" w:type="pct"/>
        <w:jc w:val="center"/>
        <w:tblCellMar>
          <w:top w:w="15" w:type="dxa"/>
          <w:left w:w="15" w:type="dxa"/>
          <w:bottom w:w="15" w:type="dxa"/>
          <w:right w:w="15" w:type="dxa"/>
        </w:tblCellMar>
        <w:tblLook w:val="04A0" w:firstRow="1" w:lastRow="0" w:firstColumn="1" w:lastColumn="0" w:noHBand="0" w:noVBand="1"/>
      </w:tblPr>
      <w:tblGrid>
        <w:gridCol w:w="56"/>
        <w:gridCol w:w="1791"/>
        <w:gridCol w:w="36"/>
        <w:gridCol w:w="36"/>
        <w:gridCol w:w="36"/>
        <w:gridCol w:w="36"/>
        <w:gridCol w:w="36"/>
        <w:gridCol w:w="514"/>
        <w:gridCol w:w="36"/>
        <w:gridCol w:w="36"/>
        <w:gridCol w:w="36"/>
        <w:gridCol w:w="36"/>
        <w:gridCol w:w="36"/>
        <w:gridCol w:w="380"/>
        <w:gridCol w:w="36"/>
        <w:gridCol w:w="36"/>
        <w:gridCol w:w="36"/>
        <w:gridCol w:w="36"/>
        <w:gridCol w:w="36"/>
        <w:gridCol w:w="648"/>
        <w:gridCol w:w="36"/>
        <w:gridCol w:w="36"/>
        <w:gridCol w:w="36"/>
        <w:gridCol w:w="36"/>
        <w:gridCol w:w="36"/>
        <w:gridCol w:w="380"/>
        <w:gridCol w:w="36"/>
        <w:gridCol w:w="36"/>
        <w:gridCol w:w="36"/>
        <w:gridCol w:w="36"/>
        <w:gridCol w:w="36"/>
        <w:gridCol w:w="502"/>
        <w:gridCol w:w="36"/>
        <w:gridCol w:w="36"/>
        <w:gridCol w:w="36"/>
        <w:gridCol w:w="36"/>
        <w:gridCol w:w="36"/>
        <w:gridCol w:w="477"/>
        <w:gridCol w:w="36"/>
        <w:gridCol w:w="36"/>
        <w:gridCol w:w="36"/>
        <w:gridCol w:w="36"/>
        <w:gridCol w:w="36"/>
        <w:gridCol w:w="745"/>
        <w:gridCol w:w="36"/>
        <w:gridCol w:w="36"/>
        <w:gridCol w:w="36"/>
        <w:gridCol w:w="36"/>
        <w:gridCol w:w="37"/>
        <w:gridCol w:w="455"/>
        <w:gridCol w:w="36"/>
        <w:gridCol w:w="36"/>
        <w:gridCol w:w="36"/>
        <w:gridCol w:w="36"/>
        <w:gridCol w:w="38"/>
        <w:gridCol w:w="662"/>
        <w:gridCol w:w="36"/>
      </w:tblGrid>
      <w:tr w:rsidR="00000000">
        <w:trPr>
          <w:divId w:val="1642150017"/>
          <w:jc w:val="center"/>
        </w:trPr>
        <w:tc>
          <w:tcPr>
            <w:tcW w:w="50" w:type="pct"/>
            <w:vAlign w:val="center"/>
            <w:hideMark/>
          </w:tcPr>
          <w:p w:rsidR="00000000" w:rsidRDefault="00795D39">
            <w:pPr>
              <w:ind w:hanging="360"/>
              <w:jc w:val="both"/>
              <w:rPr>
                <w:rFonts w:eastAsia="Times New Roman"/>
              </w:rPr>
            </w:pPr>
          </w:p>
        </w:tc>
        <w:tc>
          <w:tcPr>
            <w:tcW w:w="10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42150017"/>
          <w:trHeight w:val="60"/>
          <w:jc w:val="center"/>
        </w:trPr>
        <w:tc>
          <w:tcPr>
            <w:tcW w:w="0" w:type="auto"/>
            <w:gridSpan w:val="57"/>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642150017"/>
          <w:jc w:val="center"/>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jc w:val="both"/>
        <w:divId w:val="109952339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610156941"/>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10156941"/>
          <w:jc w:val="center"/>
        </w:trPr>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See Notes to Consolidated Financial Statements.</w:t>
            </w:r>
          </w:p>
        </w:tc>
      </w:tr>
      <w:tr w:rsidR="00000000">
        <w:trPr>
          <w:divId w:val="1610156941"/>
          <w:jc w:val="center"/>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3" style="width:0;height:1.5pt" o:hralign="center" o:hrstd="t" o:hr="t" fillcolor="#a0a0a0" stroked="f"/>
        </w:pict>
      </w:r>
    </w:p>
    <w:p w:rsidR="00000000" w:rsidRDefault="00795D39">
      <w:pPr>
        <w:jc w:val="both"/>
        <w:divId w:val="549418927"/>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549418927"/>
        <w:rPr>
          <w:rFonts w:eastAsia="Times New Roman"/>
        </w:rPr>
      </w:pPr>
    </w:p>
    <w:p w:rsidR="00000000" w:rsidRDefault="00795D39">
      <w:pPr>
        <w:jc w:val="center"/>
        <w:divId w:val="549418927"/>
        <w:rPr>
          <w:rFonts w:eastAsia="Times New Roman"/>
        </w:rPr>
      </w:pPr>
      <w:r>
        <w:rPr>
          <w:rFonts w:eastAsia="Times New Roman"/>
          <w:b/>
          <w:bCs/>
          <w:color w:val="000000"/>
          <w:sz w:val="20"/>
          <w:szCs w:val="20"/>
        </w:rPr>
        <w:t>CAPITAL ONE FINANCIAL CORPORATION</w:t>
      </w:r>
    </w:p>
    <w:p w:rsidR="00000000" w:rsidRDefault="00795D39">
      <w:pPr>
        <w:jc w:val="center"/>
        <w:divId w:val="549418927"/>
        <w:rPr>
          <w:rFonts w:eastAsia="Times New Roman"/>
        </w:rPr>
      </w:pPr>
      <w:r>
        <w:rPr>
          <w:rFonts w:eastAsia="Times New Roman"/>
          <w:b/>
          <w:bCs/>
          <w:color w:val="000000"/>
          <w:sz w:val="20"/>
          <w:szCs w:val="20"/>
        </w:rPr>
        <w:t>CONSOLIDATED STATEMENTS OF CASH FLOWS (UNAUDITED)</w:t>
      </w:r>
    </w:p>
    <w:tbl>
      <w:tblPr>
        <w:tblW w:w="4992" w:type="pct"/>
        <w:tblCellMar>
          <w:top w:w="15" w:type="dxa"/>
          <w:left w:w="15" w:type="dxa"/>
          <w:bottom w:w="15" w:type="dxa"/>
          <w:right w:w="15" w:type="dxa"/>
        </w:tblCellMar>
        <w:tblLook w:val="04A0" w:firstRow="1" w:lastRow="0" w:firstColumn="1" w:lastColumn="0" w:noHBand="0" w:noVBand="1"/>
      </w:tblPr>
      <w:tblGrid>
        <w:gridCol w:w="41"/>
        <w:gridCol w:w="5916"/>
        <w:gridCol w:w="39"/>
        <w:gridCol w:w="36"/>
        <w:gridCol w:w="36"/>
        <w:gridCol w:w="36"/>
        <w:gridCol w:w="102"/>
        <w:gridCol w:w="794"/>
        <w:gridCol w:w="36"/>
        <w:gridCol w:w="36"/>
        <w:gridCol w:w="36"/>
        <w:gridCol w:w="36"/>
        <w:gridCol w:w="101"/>
        <w:gridCol w:w="796"/>
        <w:gridCol w:w="36"/>
        <w:gridCol w:w="36"/>
        <w:gridCol w:w="36"/>
        <w:gridCol w:w="36"/>
        <w:gridCol w:w="36"/>
        <w:gridCol w:w="36"/>
        <w:gridCol w:w="36"/>
      </w:tblGrid>
      <w:tr w:rsidR="00000000">
        <w:trPr>
          <w:divId w:val="725837945"/>
        </w:trPr>
        <w:tc>
          <w:tcPr>
            <w:tcW w:w="50" w:type="pct"/>
            <w:vAlign w:val="center"/>
            <w:hideMark/>
          </w:tcPr>
          <w:p w:rsidR="00000000" w:rsidRDefault="00795D39">
            <w:pPr>
              <w:jc w:val="center"/>
              <w:rPr>
                <w:rFonts w:eastAsia="Times New Roman"/>
              </w:rPr>
            </w:pPr>
          </w:p>
        </w:tc>
        <w:tc>
          <w:tcPr>
            <w:tcW w:w="368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4,355 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4,370 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4,418 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2,701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2,434 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Deferred tax benefit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(1,420)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securities gains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Other (including unrealized gains from equity investments)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(477)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(6,739)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(8,064)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5,833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8,126 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207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1,852 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(107)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785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(522)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Net cash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12,072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12,519 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(35,189)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(8,919)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15,593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6,099 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812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4,226 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Securities held to maturity: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(396)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3,209 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Loans: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changes in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9,083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(10,555)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1,898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1,947 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purchases of premises and equipment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(543)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(631)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cash from acquisition activities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cash from other investing activities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(564)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(781)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Net cash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(8,917)</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(5,886)</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725837945"/>
          <w:trHeight w:val="60"/>
        </w:trPr>
        <w:tc>
          <w:tcPr>
            <w:tcW w:w="0" w:type="auto"/>
            <w:gridSpan w:val="15"/>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79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4" style="width:0;height:1.5pt" o:hralign="center" o:hrstd="t" o:hr="t" fillcolor="#a0a0a0" stroked="f"/>
        </w:pict>
      </w:r>
    </w:p>
    <w:p w:rsidR="00000000" w:rsidRDefault="00795D39">
      <w:pPr>
        <w:jc w:val="both"/>
        <w:divId w:val="79478722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794787223"/>
        <w:rPr>
          <w:rFonts w:eastAsia="Times New Roman"/>
        </w:rPr>
      </w:pPr>
    </w:p>
    <w:p w:rsidR="00000000" w:rsidRDefault="00795D39">
      <w:pPr>
        <w:jc w:val="center"/>
        <w:divId w:val="794787223"/>
        <w:rPr>
          <w:rFonts w:eastAsia="Times New Roman"/>
        </w:rPr>
      </w:pPr>
      <w:r>
        <w:rPr>
          <w:rFonts w:eastAsia="Times New Roman"/>
          <w:b/>
          <w:bCs/>
          <w:color w:val="000000"/>
          <w:sz w:val="20"/>
          <w:szCs w:val="20"/>
        </w:rPr>
        <w:t>CAPITAL ONE FINANCIAL CORPORATION</w:t>
      </w:r>
    </w:p>
    <w:p w:rsidR="00000000" w:rsidRDefault="00795D39">
      <w:pPr>
        <w:jc w:val="center"/>
        <w:divId w:val="794787223"/>
        <w:rPr>
          <w:rFonts w:eastAsia="Times New Roman"/>
        </w:rPr>
      </w:pPr>
      <w:r>
        <w:rPr>
          <w:rFonts w:eastAsia="Times New Roman"/>
          <w:b/>
          <w:bCs/>
          <w:color w:val="000000"/>
          <w:sz w:val="20"/>
          <w:szCs w:val="20"/>
        </w:rPr>
        <w:t>CONSOLIDATED STATEMENTS OF CASH FLOWS (UNAUDITED)</w:t>
      </w:r>
    </w:p>
    <w:tbl>
      <w:tblPr>
        <w:tblW w:w="4992" w:type="pct"/>
        <w:tblCellMar>
          <w:top w:w="15" w:type="dxa"/>
          <w:left w:w="15" w:type="dxa"/>
          <w:bottom w:w="15" w:type="dxa"/>
          <w:right w:w="15" w:type="dxa"/>
        </w:tblCellMar>
        <w:tblLook w:val="04A0" w:firstRow="1" w:lastRow="0" w:firstColumn="1" w:lastColumn="0" w:noHBand="0" w:noVBand="1"/>
      </w:tblPr>
      <w:tblGrid>
        <w:gridCol w:w="42"/>
        <w:gridCol w:w="5917"/>
        <w:gridCol w:w="40"/>
        <w:gridCol w:w="36"/>
        <w:gridCol w:w="36"/>
        <w:gridCol w:w="36"/>
        <w:gridCol w:w="100"/>
        <w:gridCol w:w="794"/>
        <w:gridCol w:w="36"/>
        <w:gridCol w:w="36"/>
        <w:gridCol w:w="36"/>
        <w:gridCol w:w="36"/>
        <w:gridCol w:w="100"/>
        <w:gridCol w:w="796"/>
        <w:gridCol w:w="36"/>
        <w:gridCol w:w="36"/>
        <w:gridCol w:w="36"/>
        <w:gridCol w:w="36"/>
        <w:gridCol w:w="36"/>
        <w:gridCol w:w="36"/>
        <w:gridCol w:w="36"/>
      </w:tblGrid>
      <w:tr w:rsidR="00000000">
        <w:trPr>
          <w:divId w:val="1598900421"/>
        </w:trPr>
        <w:tc>
          <w:tcPr>
            <w:tcW w:w="50" w:type="pct"/>
            <w:vAlign w:val="center"/>
            <w:hideMark/>
          </w:tcPr>
          <w:p w:rsidR="00000000" w:rsidRDefault="00795D39">
            <w:pPr>
              <w:jc w:val="center"/>
              <w:rPr>
                <w:rFonts w:eastAsia="Times New Roman"/>
              </w:rPr>
            </w:pPr>
          </w:p>
        </w:tc>
        <w:tc>
          <w:tcPr>
            <w:tcW w:w="368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98900421"/>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42,763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7,072 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1,248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6,656 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(5,752)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(6,222)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3,987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4,142 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(7,156)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(5,595)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(6,636)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(8,964)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184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153 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(415)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(569)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proceeds from issuances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1,330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1,463 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(185)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Redemptions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(875)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(390)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(536)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Net cash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28,097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(2,585)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31,252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4,048 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13,749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13,489 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45,001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17,537 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Non-cash items: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Net transfers from (to) loans held for investment to (from) loans held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2,173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1,494 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Interest paid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2,944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3,689 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9890042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tax paid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625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364 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5" style="width:0;height:1.5pt" o:hralign="center" o:hrstd="t" o:hr="t" fillcolor="#a0a0a0" stroked="f"/>
        </w:pict>
      </w:r>
    </w:p>
    <w:p w:rsidR="00000000" w:rsidRDefault="00795D39">
      <w:pPr>
        <w:jc w:val="both"/>
        <w:divId w:val="38653341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38653341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87739276"/>
          <w:jc w:val="center"/>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87739276"/>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1—SUMMARY OF SIGNIFICANT ACCOUNTING POLICIES</w:t>
            </w:r>
          </w:p>
        </w:tc>
      </w:tr>
    </w:tbl>
    <w:p w:rsidR="00000000" w:rsidRDefault="00795D39">
      <w:pPr>
        <w:divId w:val="789217"/>
        <w:rPr>
          <w:rFonts w:eastAsia="Times New Roman"/>
        </w:rPr>
      </w:pPr>
      <w:r>
        <w:rPr>
          <w:rFonts w:eastAsia="Times New Roman"/>
          <w:b/>
          <w:bCs/>
          <w:color w:val="000000"/>
          <w:sz w:val="20"/>
          <w:szCs w:val="20"/>
        </w:rPr>
        <w:t>The Company</w:t>
      </w:r>
    </w:p>
    <w:p w:rsidR="00000000" w:rsidRDefault="00795D39">
      <w:pPr>
        <w:jc w:val="both"/>
        <w:divId w:val="2013870479"/>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offer a broad array of financial products and services to consumers, small businesses and commercial clients through digital channels, branches, Cafés and other distribution channels. As of September 30, 2020, our principal subsi</w:t>
      </w:r>
      <w:r>
        <w:rPr>
          <w:rFonts w:eastAsia="Times New Roman"/>
          <w:color w:val="000000"/>
          <w:sz w:val="20"/>
          <w:szCs w:val="20"/>
        </w:rPr>
        <w:t>diaries included:</w:t>
      </w:r>
    </w:p>
    <w:p w:rsidR="00000000" w:rsidRDefault="00795D39">
      <w:pPr>
        <w:ind w:hanging="360"/>
        <w:jc w:val="both"/>
        <w:divId w:val="849564300"/>
        <w:rPr>
          <w:rFonts w:eastAsia="Times New Roman"/>
        </w:rPr>
      </w:pPr>
      <w:r>
        <w:rPr>
          <w:rFonts w:eastAsia="Times New Roman"/>
          <w:color w:val="000000"/>
          <w:sz w:val="20"/>
          <w:szCs w:val="20"/>
        </w:rPr>
        <w:t>•Capital One Bank (USA), National Association (“COBNA”), which offers credit and debit card products, other lending products and deposit products; and</w:t>
      </w:r>
    </w:p>
    <w:p w:rsidR="00000000" w:rsidRDefault="00795D39">
      <w:pPr>
        <w:ind w:hanging="360"/>
        <w:jc w:val="both"/>
        <w:divId w:val="1821996590"/>
        <w:rPr>
          <w:rFonts w:eastAsia="Times New Roman"/>
        </w:rPr>
      </w:pPr>
      <w:r>
        <w:rPr>
          <w:rFonts w:eastAsia="Times New Roman"/>
          <w:color w:val="000000"/>
          <w:sz w:val="20"/>
          <w:szCs w:val="20"/>
        </w:rPr>
        <w:t>•Capital One, National Association (“CONA”</w:t>
      </w:r>
      <w:r>
        <w:rPr>
          <w:rFonts w:eastAsia="Times New Roman"/>
          <w:color w:val="000000"/>
          <w:sz w:val="20"/>
          <w:szCs w:val="20"/>
        </w:rPr>
        <w:t>), which offers a broad spectrum of banking products and financial services to consumers, small businesses and commercial clients.</w:t>
      </w:r>
    </w:p>
    <w:p w:rsidR="00000000" w:rsidRDefault="00795D39">
      <w:pPr>
        <w:jc w:val="both"/>
        <w:divId w:val="1798834410"/>
        <w:rPr>
          <w:rFonts w:eastAsia="Times New Roman"/>
        </w:rPr>
      </w:pPr>
      <w:r>
        <w:rPr>
          <w:rFonts w:eastAsia="Times New Roman"/>
          <w:color w:val="000000"/>
          <w:sz w:val="20"/>
          <w:szCs w:val="20"/>
        </w:rPr>
        <w:t xml:space="preserve">The Company is hereafter collectively referred to as “we,” “us” or “our.” COBNA and CONA are collectively referred to as the </w:t>
      </w:r>
      <w:r>
        <w:rPr>
          <w:rFonts w:eastAsia="Times New Roman"/>
          <w:color w:val="000000"/>
          <w:sz w:val="20"/>
          <w:szCs w:val="20"/>
        </w:rPr>
        <w:t>“Banks.”</w:t>
      </w:r>
    </w:p>
    <w:p w:rsidR="00000000" w:rsidRDefault="00795D39">
      <w:pPr>
        <w:jc w:val="both"/>
        <w:divId w:val="1934587694"/>
        <w:rPr>
          <w:rFonts w:eastAsia="Times New Roman"/>
        </w:rPr>
      </w:pPr>
      <w:r>
        <w:rPr>
          <w:rFonts w:eastAsia="Times New Roman"/>
          <w:color w:val="000000"/>
          <w:sz w:val="20"/>
          <w:szCs w:val="20"/>
        </w:rPr>
        <w:t>We also offer products outside of the United States of America (“U.S.”) principally through Capital One (Europe) plc (“COEP”), an indirect subsidiary of COBNA organized and located in the United Kingdom (“U.K.”), and through a branch of COBNA in C</w:t>
      </w:r>
      <w:r>
        <w:rPr>
          <w:rFonts w:eastAsia="Times New Roman"/>
          <w:color w:val="000000"/>
          <w:sz w:val="20"/>
          <w:szCs w:val="20"/>
        </w:rPr>
        <w:t>anada. COEP has authority, among other things, to provide credit card loans. Our branch of COBNA in Canada also has the authority to provide credit card loans.</w:t>
      </w:r>
    </w:p>
    <w:p w:rsidR="00000000" w:rsidRDefault="00795D39">
      <w:pPr>
        <w:jc w:val="both"/>
        <w:divId w:val="1017269370"/>
        <w:rPr>
          <w:rFonts w:eastAsia="Times New Roman"/>
        </w:rPr>
      </w:pPr>
      <w:r>
        <w:rPr>
          <w:rFonts w:eastAsia="Times New Roman"/>
          <w:color w:val="000000"/>
          <w:sz w:val="20"/>
          <w:szCs w:val="20"/>
        </w:rPr>
        <w:t>Our principal operations are organized for management reporting purposes into three major busine</w:t>
      </w:r>
      <w:r>
        <w:rPr>
          <w:rFonts w:eastAsia="Times New Roman"/>
          <w:color w:val="000000"/>
          <w:sz w:val="20"/>
          <w:szCs w:val="20"/>
        </w:rPr>
        <w:t>ss segments, which are defined primarily based on the products and services provided or the types of customer served: Credit Card, Consumer Banking and Commercial Banking. We provide details on our business segments, the integration of recent acquisitions,</w:t>
      </w:r>
      <w:r>
        <w:rPr>
          <w:rFonts w:eastAsia="Times New Roman"/>
          <w:color w:val="000000"/>
          <w:sz w:val="20"/>
          <w:szCs w:val="20"/>
        </w:rPr>
        <w:t xml:space="preserve"> if any, into our business segments and the allocation methodologies and accounting policies used to derive our business segment results in “Note 12—Business Segments and Revenue from Contracts with Customers.”</w:t>
      </w:r>
    </w:p>
    <w:p w:rsidR="00000000" w:rsidRDefault="00795D39">
      <w:pPr>
        <w:divId w:val="302083658"/>
        <w:rPr>
          <w:rFonts w:eastAsia="Times New Roman"/>
        </w:rPr>
      </w:pPr>
      <w:r>
        <w:rPr>
          <w:rFonts w:eastAsia="Times New Roman"/>
          <w:b/>
          <w:bCs/>
          <w:color w:val="000000"/>
          <w:sz w:val="20"/>
          <w:szCs w:val="20"/>
        </w:rPr>
        <w:t>Basis of Presentation and Use of Estimates</w:t>
      </w:r>
    </w:p>
    <w:p w:rsidR="00000000" w:rsidRDefault="00795D39">
      <w:pPr>
        <w:jc w:val="both"/>
        <w:divId w:val="780106495"/>
        <w:rPr>
          <w:rFonts w:eastAsia="Times New Roman"/>
        </w:rPr>
      </w:pPr>
      <w:r>
        <w:rPr>
          <w:rFonts w:eastAsia="Times New Roman"/>
          <w:color w:val="000000"/>
          <w:sz w:val="20"/>
          <w:szCs w:val="20"/>
        </w:rPr>
        <w:t>Th</w:t>
      </w:r>
      <w:r>
        <w:rPr>
          <w:rFonts w:eastAsia="Times New Roman"/>
          <w:color w:val="000000"/>
          <w:sz w:val="20"/>
          <w:szCs w:val="20"/>
        </w:rPr>
        <w:t>e accompanying unaudited interim consolidated financial statements have been prepared in accordance with generally accepted accounting principles in the U.S. (“U.S. GAAP”). The preparation of the consolidated financial statements in conformity with U.S. GA</w:t>
      </w:r>
      <w:r>
        <w:rPr>
          <w:rFonts w:eastAsia="Times New Roman"/>
          <w:color w:val="000000"/>
          <w:sz w:val="20"/>
          <w:szCs w:val="20"/>
        </w:rPr>
        <w:t>AP requires management to make estimates and assumptions that affect the amounts reported in the consolidated financial statements and in the related disclosures. These estimates are based on information available as of the date of the consolidated financi</w:t>
      </w:r>
      <w:r>
        <w:rPr>
          <w:rFonts w:eastAsia="Times New Roman"/>
          <w:color w:val="000000"/>
          <w:sz w:val="20"/>
          <w:szCs w:val="20"/>
        </w:rPr>
        <w:t>al statements. While management makes its best judgments, actual amounts or results could differ from these estimates. In the opinion of management, all normal, recurring adjustments have been included for a fair statement of this interim financial informa</w:t>
      </w:r>
      <w:r>
        <w:rPr>
          <w:rFonts w:eastAsia="Times New Roman"/>
          <w:color w:val="000000"/>
          <w:sz w:val="20"/>
          <w:szCs w:val="20"/>
        </w:rPr>
        <w:t>tion.</w:t>
      </w:r>
      <w:r>
        <w:rPr>
          <w:rFonts w:eastAsia="Times New Roman"/>
          <w:i/>
          <w:iCs/>
          <w:color w:val="000000"/>
          <w:sz w:val="20"/>
          <w:szCs w:val="20"/>
        </w:rPr>
        <w:t xml:space="preserve"> </w:t>
      </w:r>
      <w:r>
        <w:rPr>
          <w:rFonts w:eastAsia="Times New Roman"/>
          <w:color w:val="000000"/>
          <w:sz w:val="20"/>
          <w:szCs w:val="20"/>
        </w:rPr>
        <w:t>Certain prior period amounts have been reclassified to conform to the current period presentation.</w:t>
      </w:r>
    </w:p>
    <w:p w:rsidR="00000000" w:rsidRDefault="00795D39">
      <w:pPr>
        <w:jc w:val="both"/>
        <w:divId w:val="788353677"/>
        <w:rPr>
          <w:rFonts w:eastAsia="Times New Roman"/>
        </w:rPr>
      </w:pPr>
      <w:r>
        <w:rPr>
          <w:rFonts w:eastAsia="Times New Roman"/>
          <w:color w:val="000000"/>
          <w:sz w:val="20"/>
          <w:szCs w:val="20"/>
        </w:rPr>
        <w:t>These unaudited interim consolidated financial statements should be read in conjunction with the audited consolidated financial statements, and related</w:t>
      </w:r>
      <w:r>
        <w:rPr>
          <w:rFonts w:eastAsia="Times New Roman"/>
          <w:color w:val="000000"/>
          <w:sz w:val="20"/>
          <w:szCs w:val="20"/>
        </w:rPr>
        <w:t xml:space="preserve"> notes thereto, included in Capital One Financial Corporation’s 2019 Annual Report on Form 10-K (“2019 Form 10-K”).</w:t>
      </w:r>
    </w:p>
    <w:p w:rsidR="00000000" w:rsidRDefault="00795D39">
      <w:pPr>
        <w:divId w:val="23361069"/>
        <w:rPr>
          <w:rFonts w:eastAsia="Times New Roman"/>
        </w:rPr>
      </w:pPr>
      <w:r>
        <w:rPr>
          <w:rFonts w:eastAsia="Times New Roman"/>
          <w:b/>
          <w:bCs/>
          <w:color w:val="000000"/>
          <w:sz w:val="20"/>
          <w:szCs w:val="20"/>
        </w:rPr>
        <w:t>Income Taxes</w:t>
      </w:r>
    </w:p>
    <w:p w:rsidR="00000000" w:rsidRDefault="00795D39">
      <w:pPr>
        <w:jc w:val="both"/>
        <w:divId w:val="1026710253"/>
        <w:rPr>
          <w:rFonts w:eastAsia="Times New Roman"/>
        </w:rPr>
      </w:pPr>
      <w:r>
        <w:rPr>
          <w:rFonts w:eastAsia="Times New Roman"/>
          <w:color w:val="000000"/>
          <w:sz w:val="20"/>
          <w:szCs w:val="20"/>
        </w:rPr>
        <w:t>Our effective tax rates in the third quarter and first nine months of 2020 were computed utilizing the estimated annual effecti</w:t>
      </w:r>
      <w:r>
        <w:rPr>
          <w:rFonts w:eastAsia="Times New Roman"/>
          <w:color w:val="000000"/>
          <w:sz w:val="20"/>
          <w:szCs w:val="20"/>
        </w:rPr>
        <w:t xml:space="preserve">ve tax rate method and were driven by the relationship of our tax credits in proportion to our pre-tax earnings. </w:t>
      </w:r>
    </w:p>
    <w:p w:rsidR="00000000" w:rsidRDefault="00795D39">
      <w:pPr>
        <w:divId w:val="1389770169"/>
        <w:rPr>
          <w:rFonts w:eastAsia="Times New Roman"/>
        </w:rPr>
      </w:pPr>
      <w:r>
        <w:rPr>
          <w:rFonts w:eastAsia="Times New Roman"/>
          <w:b/>
          <w:bCs/>
          <w:color w:val="000000"/>
          <w:sz w:val="20"/>
          <w:szCs w:val="20"/>
        </w:rPr>
        <w:t>Significant Accounting Policies Impacted by our Adoption of the CECL Standard</w:t>
      </w:r>
    </w:p>
    <w:p w:rsidR="00000000" w:rsidRDefault="00795D39">
      <w:pPr>
        <w:jc w:val="both"/>
        <w:divId w:val="52043025"/>
        <w:rPr>
          <w:rFonts w:eastAsia="Times New Roman"/>
        </w:rPr>
      </w:pPr>
      <w:r>
        <w:rPr>
          <w:rFonts w:eastAsia="Times New Roman"/>
          <w:color w:val="000000"/>
          <w:sz w:val="20"/>
          <w:szCs w:val="20"/>
        </w:rPr>
        <w:t>In the first quarter of 2020, we adopted ASU No. 2016-13, Financ</w:t>
      </w:r>
      <w:r>
        <w:rPr>
          <w:rFonts w:eastAsia="Times New Roman"/>
          <w:color w:val="000000"/>
          <w:sz w:val="20"/>
          <w:szCs w:val="20"/>
        </w:rPr>
        <w:t xml:space="preserve">ial Instruments—Credit Losses (Topic 326): </w:t>
      </w:r>
      <w:r>
        <w:rPr>
          <w:rFonts w:eastAsia="Times New Roman"/>
          <w:i/>
          <w:iCs/>
          <w:color w:val="000000"/>
          <w:sz w:val="20"/>
          <w:szCs w:val="20"/>
        </w:rPr>
        <w:t xml:space="preserve">Measurement of Credit Losses on Financial Instruments </w:t>
      </w:r>
      <w:r>
        <w:rPr>
          <w:rFonts w:eastAsia="Times New Roman"/>
          <w:color w:val="000000"/>
          <w:sz w:val="20"/>
          <w:szCs w:val="20"/>
        </w:rPr>
        <w:t>(“CECL standard”) and updated the below significant accounting policies.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2749248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2749248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2749248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6" style="width:0;height:1.5pt" o:hralign="center" o:hrstd="t" o:hr="t" fillcolor="#a0a0a0" stroked="f"/>
        </w:pict>
      </w:r>
    </w:p>
    <w:p w:rsidR="00000000" w:rsidRDefault="00795D39">
      <w:pPr>
        <w:jc w:val="both"/>
        <w:divId w:val="4175607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41756070"/>
        <w:rPr>
          <w:rFonts w:eastAsia="Times New Roman"/>
        </w:rPr>
      </w:pPr>
    </w:p>
    <w:p w:rsidR="00000000" w:rsidRDefault="00795D39">
      <w:pPr>
        <w:divId w:val="1382557001"/>
        <w:rPr>
          <w:rFonts w:eastAsia="Times New Roman"/>
        </w:rPr>
      </w:pPr>
      <w:r>
        <w:rPr>
          <w:rFonts w:eastAsia="Times New Roman"/>
          <w:b/>
          <w:bCs/>
          <w:color w:val="000000"/>
          <w:sz w:val="20"/>
          <w:szCs w:val="20"/>
        </w:rPr>
        <w:t xml:space="preserve">Investment Securities </w:t>
      </w:r>
    </w:p>
    <w:p w:rsidR="00000000" w:rsidRDefault="00795D39">
      <w:pPr>
        <w:jc w:val="both"/>
        <w:divId w:val="1980259696"/>
        <w:rPr>
          <w:rFonts w:eastAsia="Times New Roman"/>
        </w:rPr>
      </w:pPr>
      <w:r>
        <w:rPr>
          <w:rFonts w:eastAsia="Times New Roman"/>
          <w:color w:val="000000"/>
          <w:sz w:val="20"/>
          <w:szCs w:val="20"/>
        </w:rPr>
        <w:t>We classify securities as available for sale or held to maturity based on our investment strategy and management’s asse</w:t>
      </w:r>
      <w:r>
        <w:rPr>
          <w:rFonts w:eastAsia="Times New Roman"/>
          <w:color w:val="000000"/>
          <w:sz w:val="20"/>
          <w:szCs w:val="20"/>
        </w:rPr>
        <w:t xml:space="preserve">ssment of our intent and ability to hold the securities until maturity. We did not have any securities that were classified as held to maturity as of September 30, 2020. </w:t>
      </w:r>
    </w:p>
    <w:p w:rsidR="00000000" w:rsidRDefault="00795D39">
      <w:pPr>
        <w:jc w:val="both"/>
        <w:divId w:val="639772392"/>
        <w:rPr>
          <w:rFonts w:eastAsia="Times New Roman"/>
        </w:rPr>
      </w:pPr>
      <w:r>
        <w:rPr>
          <w:rFonts w:eastAsia="Times New Roman"/>
          <w:color w:val="000000"/>
          <w:sz w:val="20"/>
          <w:szCs w:val="20"/>
        </w:rPr>
        <w:t>We report securities available for sale on our consolidated balance sheets at fair va</w:t>
      </w:r>
      <w:r>
        <w:rPr>
          <w:rFonts w:eastAsia="Times New Roman"/>
          <w:color w:val="000000"/>
          <w:sz w:val="20"/>
          <w:szCs w:val="20"/>
        </w:rPr>
        <w:t xml:space="preserve">lue. The amortized cost of investment securities reflects the amount for which the security was acquired, adjusted for accrued interest, amortization of premiums, discounts, and net deferred fees and costs, collection of cash, and charge-offs. We elect to </w:t>
      </w:r>
      <w:r>
        <w:rPr>
          <w:rFonts w:eastAsia="Times New Roman"/>
          <w:color w:val="000000"/>
          <w:sz w:val="20"/>
          <w:szCs w:val="20"/>
        </w:rPr>
        <w:t>present accrued interest for securities available for sale within interest receivable on our consolidated balance sheets. Unrealized gains or losses are recorded, net of tax, as a component of accumulated other comprehensive income (“AOCI”). Unamortized pr</w:t>
      </w:r>
      <w:r>
        <w:rPr>
          <w:rFonts w:eastAsia="Times New Roman"/>
          <w:color w:val="000000"/>
          <w:sz w:val="20"/>
          <w:szCs w:val="20"/>
        </w:rPr>
        <w:t>emiums, discounts and other basis adjustments for available for sale securities are generally recognized in interest income over the contractual lives of the securities using the effective interest method. However, premiums on certain callable investment s</w:t>
      </w:r>
      <w:r>
        <w:rPr>
          <w:rFonts w:eastAsia="Times New Roman"/>
          <w:color w:val="000000"/>
          <w:sz w:val="20"/>
          <w:szCs w:val="20"/>
        </w:rPr>
        <w:t>ecurities are amortized to the earliest call date. We record purchases and sales of investment securities available for sale on a trade date basis. Realized gains or losses from the sale of debt securities are computed using the first-in first-out method o</w:t>
      </w:r>
      <w:r>
        <w:rPr>
          <w:rFonts w:eastAsia="Times New Roman"/>
          <w:color w:val="000000"/>
          <w:sz w:val="20"/>
          <w:szCs w:val="20"/>
        </w:rPr>
        <w:t>f identification, and are included in non-interest income in our consolidated statements of income.</w:t>
      </w:r>
    </w:p>
    <w:p w:rsidR="00000000" w:rsidRDefault="00795D39">
      <w:pPr>
        <w:jc w:val="both"/>
        <w:divId w:val="331688061"/>
        <w:rPr>
          <w:rFonts w:eastAsia="Times New Roman"/>
        </w:rPr>
      </w:pPr>
      <w:r>
        <w:rPr>
          <w:rFonts w:eastAsia="Times New Roman"/>
          <w:color w:val="000000"/>
          <w:sz w:val="20"/>
          <w:szCs w:val="20"/>
        </w:rPr>
        <w:t>An individual debt security is impaired when the fair value of the security is less than its amortized cost. If we intend to sell an available for sale secu</w:t>
      </w:r>
      <w:r>
        <w:rPr>
          <w:rFonts w:eastAsia="Times New Roman"/>
          <w:color w:val="000000"/>
          <w:sz w:val="20"/>
          <w:szCs w:val="20"/>
        </w:rPr>
        <w:t>rity in an unrealized loss position or it is more likely than not that we will be required to sell the security prior to recovery of its amortized cost basis, any allowance for credit losses is reversed through our provision for credit losses and the diffe</w:t>
      </w:r>
      <w:r>
        <w:rPr>
          <w:rFonts w:eastAsia="Times New Roman"/>
          <w:color w:val="000000"/>
          <w:sz w:val="20"/>
          <w:szCs w:val="20"/>
        </w:rPr>
        <w:t xml:space="preserve">rence between the amortized cost basis of the security and its fair value is recognized in our consolidated statements of income. </w:t>
      </w:r>
    </w:p>
    <w:p w:rsidR="00000000" w:rsidRDefault="00795D39">
      <w:pPr>
        <w:jc w:val="both"/>
        <w:divId w:val="1293442414"/>
        <w:rPr>
          <w:rFonts w:eastAsia="Times New Roman"/>
        </w:rPr>
      </w:pPr>
      <w:r>
        <w:rPr>
          <w:rFonts w:eastAsia="Times New Roman"/>
          <w:color w:val="000000"/>
          <w:sz w:val="20"/>
          <w:szCs w:val="20"/>
        </w:rPr>
        <w:t>For impaired debt securities that we have both the intent and ability to hold, the securities are evaluated to determine if a</w:t>
      </w:r>
      <w:r>
        <w:rPr>
          <w:rFonts w:eastAsia="Times New Roman"/>
          <w:color w:val="000000"/>
          <w:sz w:val="20"/>
          <w:szCs w:val="20"/>
        </w:rPr>
        <w:t xml:space="preserve"> credit loss exists. The allowance for credit losses on our investment securities is recognized through our provision for credit losses and limited by the unrealized losses of a security measured as the difference between the security’s amortized cost and </w:t>
      </w:r>
      <w:r>
        <w:rPr>
          <w:rFonts w:eastAsia="Times New Roman"/>
          <w:color w:val="000000"/>
          <w:sz w:val="20"/>
          <w:szCs w:val="20"/>
        </w:rPr>
        <w:t xml:space="preserve">fair value. See further discussion below under the “Allowance for Credit Losses - Available for Sale Investment Securities” section of this Note. </w:t>
      </w:r>
    </w:p>
    <w:p w:rsidR="00000000" w:rsidRDefault="00795D39">
      <w:pPr>
        <w:jc w:val="both"/>
        <w:divId w:val="1899583674"/>
        <w:rPr>
          <w:rFonts w:eastAsia="Times New Roman"/>
        </w:rPr>
      </w:pPr>
      <w:r>
        <w:rPr>
          <w:rFonts w:eastAsia="Times New Roman"/>
          <w:color w:val="000000"/>
          <w:sz w:val="20"/>
          <w:szCs w:val="20"/>
        </w:rPr>
        <w:t xml:space="preserve">Our investment portfolio also includes certain debt securities that, at the time of purchase, had experienced a more-than-insignificant deterioration in credit quality since origination. Such debt securities are accounted for in accordance with accounting </w:t>
      </w:r>
      <w:r>
        <w:rPr>
          <w:rFonts w:eastAsia="Times New Roman"/>
          <w:color w:val="000000"/>
          <w:sz w:val="20"/>
          <w:szCs w:val="20"/>
        </w:rPr>
        <w:t>guidance for purchased financial assets with credit deterioration and are herein referred to as purchased credit-deteriorated (“PCD”) securities.</w:t>
      </w:r>
    </w:p>
    <w:p w:rsidR="00000000" w:rsidRDefault="00795D39">
      <w:pPr>
        <w:jc w:val="both"/>
        <w:divId w:val="2031907588"/>
        <w:rPr>
          <w:rFonts w:eastAsia="Times New Roman"/>
        </w:rPr>
      </w:pPr>
      <w:r>
        <w:rPr>
          <w:rFonts w:eastAsia="Times New Roman"/>
          <w:color w:val="000000"/>
          <w:sz w:val="20"/>
          <w:szCs w:val="20"/>
        </w:rPr>
        <w:t>PCD securities require the recognition of an allowance for credit losses at the time of acquisition. The allow</w:t>
      </w:r>
      <w:r>
        <w:rPr>
          <w:rFonts w:eastAsia="Times New Roman"/>
          <w:color w:val="000000"/>
          <w:sz w:val="20"/>
          <w:szCs w:val="20"/>
        </w:rPr>
        <w:t>ance for credit losses is not recognized in earnings. Instead, the purchase price and the initial allowance collectively represent the amortized cost basis of a PCD security. Any noncredit discount or premium at the date of acquisition is amortized into in</w:t>
      </w:r>
      <w:r>
        <w:rPr>
          <w:rFonts w:eastAsia="Times New Roman"/>
          <w:color w:val="000000"/>
          <w:sz w:val="20"/>
          <w:szCs w:val="20"/>
        </w:rPr>
        <w:t>terest income over the remaining life of the security. Subsequent to the date of purchase, we re-measure the allowance for credit losses on the amortized cost basis using the same policies as for other debt securities available for sale and changes are rec</w:t>
      </w:r>
      <w:r>
        <w:rPr>
          <w:rFonts w:eastAsia="Times New Roman"/>
          <w:color w:val="000000"/>
          <w:sz w:val="20"/>
          <w:szCs w:val="20"/>
        </w:rPr>
        <w:t xml:space="preserve">ognized through our provision for credit losses. See further discussion below under the “Allowance for Credit Losses - Available for Sale Investment Securities” section of this Note. </w:t>
      </w:r>
    </w:p>
    <w:p w:rsidR="00000000" w:rsidRDefault="00795D39">
      <w:pPr>
        <w:jc w:val="both"/>
        <w:divId w:val="2097358743"/>
        <w:rPr>
          <w:rFonts w:eastAsia="Times New Roman"/>
        </w:rPr>
      </w:pPr>
      <w:r>
        <w:rPr>
          <w:rFonts w:eastAsia="Times New Roman"/>
          <w:color w:val="000000"/>
          <w:sz w:val="20"/>
          <w:szCs w:val="20"/>
        </w:rPr>
        <w:t>We charge off any portion of an investment security that we determine is</w:t>
      </w:r>
      <w:r>
        <w:rPr>
          <w:rFonts w:eastAsia="Times New Roman"/>
          <w:color w:val="000000"/>
          <w:sz w:val="20"/>
          <w:szCs w:val="20"/>
        </w:rPr>
        <w:t xml:space="preserve"> uncollectible. The amortized cost basis, excluding accrued interest, is charged off through the allowance for credit losses. Accrued interest is charged off as a reduction to interest income. Recoveries of previously charged off principal amounts are reco</w:t>
      </w:r>
      <w:r>
        <w:rPr>
          <w:rFonts w:eastAsia="Times New Roman"/>
          <w:color w:val="000000"/>
          <w:sz w:val="20"/>
          <w:szCs w:val="20"/>
        </w:rPr>
        <w:t>gnized in our provision for credit losses when received.</w:t>
      </w:r>
    </w:p>
    <w:p w:rsidR="00000000" w:rsidRDefault="00795D39">
      <w:pPr>
        <w:divId w:val="1854608763"/>
        <w:rPr>
          <w:rFonts w:eastAsia="Times New Roman"/>
        </w:rPr>
      </w:pPr>
      <w:r>
        <w:rPr>
          <w:rFonts w:eastAsia="Times New Roman"/>
          <w:b/>
          <w:bCs/>
          <w:color w:val="000000"/>
          <w:sz w:val="20"/>
          <w:szCs w:val="20"/>
        </w:rPr>
        <w:t>Loans</w:t>
      </w:r>
    </w:p>
    <w:p w:rsidR="00000000" w:rsidRDefault="00795D39">
      <w:pPr>
        <w:jc w:val="both"/>
        <w:divId w:val="804086948"/>
        <w:rPr>
          <w:rFonts w:eastAsia="Times New Roman"/>
        </w:rPr>
      </w:pPr>
      <w:r>
        <w:rPr>
          <w:rFonts w:eastAsia="Times New Roman"/>
          <w:color w:val="000000"/>
          <w:sz w:val="20"/>
          <w:szCs w:val="20"/>
        </w:rPr>
        <w:t>Our loan portfolio consists of loans held for investment, including loans underlying our consolidated securitization trusts, and loans held for sale and is divided into three portfolio segments: credit card, consumer banking and commercial banking loans. C</w:t>
      </w:r>
      <w:r>
        <w:rPr>
          <w:rFonts w:eastAsia="Times New Roman"/>
          <w:color w:val="000000"/>
          <w:sz w:val="20"/>
          <w:szCs w:val="20"/>
        </w:rPr>
        <w:t>redit card loans consist of domestic and international credit card loans. Consumer banking loans consist of auto and retail banking loans. Commercial banking loans consist of commercial and multifamily real estate as well as commercial and industrial loans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84294344"/>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8429434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8429434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7" style="width:0;height:1.5pt" o:hralign="center" o:hrstd="t" o:hr="t" fillcolor="#a0a0a0" stroked="f"/>
        </w:pict>
      </w:r>
    </w:p>
    <w:p w:rsidR="00000000" w:rsidRDefault="00795D39">
      <w:pPr>
        <w:jc w:val="both"/>
        <w:divId w:val="198496717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984967179"/>
        <w:rPr>
          <w:rFonts w:eastAsia="Times New Roman"/>
        </w:rPr>
      </w:pPr>
    </w:p>
    <w:p w:rsidR="00000000" w:rsidRDefault="00795D39">
      <w:pPr>
        <w:jc w:val="both"/>
        <w:divId w:val="1429888268"/>
        <w:rPr>
          <w:rFonts w:eastAsia="Times New Roman"/>
        </w:rPr>
      </w:pPr>
      <w:r>
        <w:rPr>
          <w:rFonts w:eastAsia="Times New Roman"/>
          <w:b/>
          <w:bCs/>
          <w:i/>
          <w:iCs/>
          <w:color w:val="000000"/>
          <w:sz w:val="20"/>
          <w:szCs w:val="20"/>
        </w:rPr>
        <w:t xml:space="preserve">Loan Classification </w:t>
      </w:r>
    </w:p>
    <w:p w:rsidR="00000000" w:rsidRDefault="00795D39">
      <w:pPr>
        <w:jc w:val="both"/>
        <w:divId w:val="726227411"/>
        <w:rPr>
          <w:rFonts w:eastAsia="Times New Roman"/>
        </w:rPr>
      </w:pPr>
      <w:r>
        <w:rPr>
          <w:rFonts w:eastAsia="Times New Roman"/>
          <w:color w:val="000000"/>
          <w:sz w:val="20"/>
          <w:szCs w:val="20"/>
        </w:rPr>
        <w:t xml:space="preserve">Upon origination or purchase, we classify loans as held for investment or held for sale based on our investment strategy </w:t>
      </w:r>
      <w:r>
        <w:rPr>
          <w:rFonts w:eastAsia="Times New Roman"/>
          <w:color w:val="000000"/>
          <w:sz w:val="20"/>
          <w:szCs w:val="20"/>
        </w:rPr>
        <w:t>and management’s intent and ability with regard to the loans, which may change over time. The accounting and measurement framework for loans differs depending on the loan classification, whether we elect the fair value option, whether the loans are origina</w:t>
      </w:r>
      <w:r>
        <w:rPr>
          <w:rFonts w:eastAsia="Times New Roman"/>
          <w:color w:val="000000"/>
          <w:sz w:val="20"/>
          <w:szCs w:val="20"/>
        </w:rPr>
        <w:t>ted or purchased and whether purchased loans are considered to have experienced a more-than-insignificant deterioration in credit quality since origination. The presentation within the consolidated statements of cash flows is based on management’s intent a</w:t>
      </w:r>
      <w:r>
        <w:rPr>
          <w:rFonts w:eastAsia="Times New Roman"/>
          <w:color w:val="000000"/>
          <w:sz w:val="20"/>
          <w:szCs w:val="20"/>
        </w:rPr>
        <w:t xml:space="preserve">t acquisition or origination. Cash flows related to loans that are acquired or originated with the intent to hold for investment are included in cash flows from investing activities on our consolidated statements of cash flows. Cash flows related to loans </w:t>
      </w:r>
      <w:r>
        <w:rPr>
          <w:rFonts w:eastAsia="Times New Roman"/>
          <w:color w:val="000000"/>
          <w:sz w:val="20"/>
          <w:szCs w:val="20"/>
        </w:rPr>
        <w:t>that are acquired or originated with the intent to sell are included in cash flows from operating activities on our consolidated statements of cash flows.</w:t>
      </w:r>
    </w:p>
    <w:p w:rsidR="00000000" w:rsidRDefault="00795D39">
      <w:pPr>
        <w:divId w:val="81142616"/>
        <w:rPr>
          <w:rFonts w:eastAsia="Times New Roman"/>
        </w:rPr>
      </w:pPr>
      <w:r>
        <w:rPr>
          <w:rFonts w:eastAsia="Times New Roman"/>
          <w:b/>
          <w:bCs/>
          <w:i/>
          <w:iCs/>
          <w:color w:val="000000"/>
          <w:sz w:val="20"/>
          <w:szCs w:val="20"/>
        </w:rPr>
        <w:t>Loans Held for Investment</w:t>
      </w:r>
    </w:p>
    <w:p w:rsidR="00000000" w:rsidRDefault="00795D39">
      <w:pPr>
        <w:jc w:val="both"/>
        <w:divId w:val="2092660197"/>
        <w:rPr>
          <w:rFonts w:eastAsia="Times New Roman"/>
        </w:rPr>
      </w:pPr>
      <w:r>
        <w:rPr>
          <w:rFonts w:eastAsia="Times New Roman"/>
          <w:color w:val="000000"/>
          <w:sz w:val="20"/>
          <w:szCs w:val="20"/>
        </w:rPr>
        <w:t>Loans that we have the ability and intent to hold for the foreseeable futur</w:t>
      </w:r>
      <w:r>
        <w:rPr>
          <w:rFonts w:eastAsia="Times New Roman"/>
          <w:color w:val="000000"/>
          <w:sz w:val="20"/>
          <w:szCs w:val="20"/>
        </w:rPr>
        <w:t>e and loans associated with consolidated securitization transactions are classified as held for investment. Loans classified as held for investment, except for credit card loans, are reported at their amortized cost basis, excluding accrued interest. For t</w:t>
      </w:r>
      <w:r>
        <w:rPr>
          <w:rFonts w:eastAsia="Times New Roman"/>
          <w:color w:val="000000"/>
          <w:sz w:val="20"/>
          <w:szCs w:val="20"/>
        </w:rPr>
        <w:t>hese loans, we elect to present accrued interest within interest receivable on our consolidated balance sheets. For credit card loans, billed finance charges and fees are included in loans held for investment. Unbilled finance charges and fees on credit ca</w:t>
      </w:r>
      <w:r>
        <w:rPr>
          <w:rFonts w:eastAsia="Times New Roman"/>
          <w:color w:val="000000"/>
          <w:sz w:val="20"/>
          <w:szCs w:val="20"/>
        </w:rPr>
        <w:t>rd loans are included in interest receivable.</w:t>
      </w:r>
    </w:p>
    <w:p w:rsidR="00000000" w:rsidRDefault="00795D39">
      <w:pPr>
        <w:jc w:val="both"/>
        <w:divId w:val="58677315"/>
        <w:rPr>
          <w:rFonts w:eastAsia="Times New Roman"/>
        </w:rPr>
      </w:pPr>
      <w:r>
        <w:rPr>
          <w:rFonts w:eastAsia="Times New Roman"/>
          <w:color w:val="000000"/>
          <w:sz w:val="20"/>
          <w:szCs w:val="20"/>
        </w:rPr>
        <w:t>Interest income is recognized on performing loans held for investment on an accrual basis. We defer loan origination fees and direct loan origination costs on originated loans, premiums and discounts on purchas</w:t>
      </w:r>
      <w:r>
        <w:rPr>
          <w:rFonts w:eastAsia="Times New Roman"/>
          <w:color w:val="000000"/>
          <w:sz w:val="20"/>
          <w:szCs w:val="20"/>
        </w:rPr>
        <w:t>ed loans and loan commitment fees. We recognize these amounts in interest income as yield adjustments over the life of the loan and/or commitment period using the effective interest method. For credit card loans, loan origination fees and direct loan origi</w:t>
      </w:r>
      <w:r>
        <w:rPr>
          <w:rFonts w:eastAsia="Times New Roman"/>
          <w:color w:val="000000"/>
          <w:sz w:val="20"/>
          <w:szCs w:val="20"/>
        </w:rPr>
        <w:t>nation costs are amortized on a straight-line basis over a 12-month period. The amortized cost of loans held for investment is subject to our allowance for credit losses methodology described below under the “Allowance for Credit Losses - Loans Held for In</w:t>
      </w:r>
      <w:r>
        <w:rPr>
          <w:rFonts w:eastAsia="Times New Roman"/>
          <w:color w:val="000000"/>
          <w:sz w:val="20"/>
          <w:szCs w:val="20"/>
        </w:rPr>
        <w:t>vestment” section of this Note.</w:t>
      </w:r>
    </w:p>
    <w:p w:rsidR="00000000" w:rsidRDefault="00795D39">
      <w:pPr>
        <w:divId w:val="663439686"/>
        <w:rPr>
          <w:rFonts w:eastAsia="Times New Roman"/>
        </w:rPr>
      </w:pPr>
      <w:r>
        <w:rPr>
          <w:rFonts w:eastAsia="Times New Roman"/>
          <w:b/>
          <w:bCs/>
          <w:i/>
          <w:iCs/>
          <w:color w:val="000000"/>
          <w:sz w:val="20"/>
          <w:szCs w:val="20"/>
        </w:rPr>
        <w:t>Loans Held for Sale</w:t>
      </w:r>
    </w:p>
    <w:p w:rsidR="00000000" w:rsidRDefault="00795D39">
      <w:pPr>
        <w:jc w:val="both"/>
        <w:divId w:val="348994034"/>
        <w:rPr>
          <w:rFonts w:eastAsia="Times New Roman"/>
        </w:rPr>
      </w:pPr>
      <w:r>
        <w:rPr>
          <w:rFonts w:eastAsia="Times New Roman"/>
          <w:color w:val="000000"/>
          <w:sz w:val="20"/>
          <w:szCs w:val="20"/>
        </w:rPr>
        <w:t>Loans purchased or originated with the intent to sell or for which we do not have the ability and intent to hold for the foreseeable future are classified as held for sale. Multifamily commercial real est</w:t>
      </w:r>
      <w:r>
        <w:rPr>
          <w:rFonts w:eastAsia="Times New Roman"/>
          <w:color w:val="000000"/>
          <w:sz w:val="20"/>
          <w:szCs w:val="20"/>
        </w:rPr>
        <w:t>ate loans originated with the intent to sell to government-sponsored enterprises are accounted for under the fair value option. We elect the fair value option on these loans as part of our management of interest rate risk with corresponding forward sale co</w:t>
      </w:r>
      <w:r>
        <w:rPr>
          <w:rFonts w:eastAsia="Times New Roman"/>
          <w:color w:val="000000"/>
          <w:sz w:val="20"/>
          <w:szCs w:val="20"/>
        </w:rPr>
        <w:t xml:space="preserve">mmitments. Loan origination fees and direct loan origination costs are recognized as incurred and are reported in other non-interest income in the consolidated statements of income. Interest income is calculated based on the loan's stated rate of interest </w:t>
      </w:r>
      <w:r>
        <w:rPr>
          <w:rFonts w:eastAsia="Times New Roman"/>
          <w:color w:val="000000"/>
          <w:sz w:val="20"/>
          <w:szCs w:val="20"/>
        </w:rPr>
        <w:t>and is reported in interest income in the consolidated statements of income. Fair value adjustments are recorded in other non-interest income in the consolidated statements of income.</w:t>
      </w:r>
    </w:p>
    <w:p w:rsidR="00000000" w:rsidRDefault="00795D39">
      <w:pPr>
        <w:jc w:val="both"/>
        <w:divId w:val="399794229"/>
        <w:rPr>
          <w:rFonts w:eastAsia="Times New Roman"/>
        </w:rPr>
      </w:pPr>
      <w:r>
        <w:rPr>
          <w:rFonts w:eastAsia="Times New Roman"/>
          <w:color w:val="000000"/>
          <w:sz w:val="20"/>
          <w:szCs w:val="20"/>
        </w:rPr>
        <w:t>All other loans classified as held for sale are recorded at the lower of</w:t>
      </w:r>
      <w:r>
        <w:rPr>
          <w:rFonts w:eastAsia="Times New Roman"/>
          <w:color w:val="000000"/>
          <w:sz w:val="20"/>
          <w:szCs w:val="20"/>
        </w:rPr>
        <w:t xml:space="preserve"> cost or fair value. Loan origination fees, direct loan origination costs and any discounts and premiums are deferred until the loan is sold and are then recognized as part of the total gain or loss on sale. The fair value of loans held for sale is determi</w:t>
      </w:r>
      <w:r>
        <w:rPr>
          <w:rFonts w:eastAsia="Times New Roman"/>
          <w:color w:val="000000"/>
          <w:sz w:val="20"/>
          <w:szCs w:val="20"/>
        </w:rPr>
        <w:t>ned on an aggregate portfolio basis for each loan type. Fair value adjustments are recorded in other non-interest income in the consolidated statements of income.</w:t>
      </w:r>
    </w:p>
    <w:p w:rsidR="00000000" w:rsidRDefault="00795D39">
      <w:pPr>
        <w:jc w:val="both"/>
        <w:divId w:val="28340335"/>
        <w:rPr>
          <w:rFonts w:eastAsia="Times New Roman"/>
        </w:rPr>
      </w:pPr>
      <w:r>
        <w:rPr>
          <w:rFonts w:eastAsia="Times New Roman"/>
          <w:color w:val="000000"/>
          <w:sz w:val="20"/>
          <w:szCs w:val="20"/>
        </w:rPr>
        <w:t>If a loan is transferred from held for investment to held for sale, then on the transfer date</w:t>
      </w:r>
      <w:r>
        <w:rPr>
          <w:rFonts w:eastAsia="Times New Roman"/>
          <w:color w:val="000000"/>
          <w:sz w:val="20"/>
          <w:szCs w:val="20"/>
        </w:rPr>
        <w:t>, any decline in fair value related to credit is recorded as a charge-off and any allowance for credit losses is reversed through our provision for credit losses. The loan is then reclassified to held for sale at its amortized cost at the date of the trans</w:t>
      </w:r>
      <w:r>
        <w:rPr>
          <w:rFonts w:eastAsia="Times New Roman"/>
          <w:color w:val="000000"/>
          <w:sz w:val="20"/>
          <w:szCs w:val="20"/>
        </w:rPr>
        <w:t>fer. A valuation allowance is established, if needed, such that the loan held for sale is recorded at the lower of cost or fair value. Subsequent to transfer, we report write-downs or recoveries in fair value up to the carrying value at the date of transfe</w:t>
      </w:r>
      <w:r>
        <w:rPr>
          <w:rFonts w:eastAsia="Times New Roman"/>
          <w:color w:val="000000"/>
          <w:sz w:val="20"/>
          <w:szCs w:val="20"/>
        </w:rPr>
        <w:t>r and realized gains or losses on loans held for sale in our consolidated statements of income as a component of other non-interest income. We calculate the gain or loss on loan sales as the difference between the proceeds received and the carrying value o</w:t>
      </w:r>
      <w:r>
        <w:rPr>
          <w:rFonts w:eastAsia="Times New Roman"/>
          <w:color w:val="000000"/>
          <w:sz w:val="20"/>
          <w:szCs w:val="20"/>
        </w:rPr>
        <w:t>f the loans sold, net of the fair value of any residual interests retained.</w:t>
      </w:r>
    </w:p>
    <w:p w:rsidR="00000000" w:rsidRDefault="00795D39">
      <w:pPr>
        <w:divId w:val="195700197"/>
        <w:rPr>
          <w:rFonts w:eastAsia="Times New Roman"/>
        </w:rPr>
      </w:pPr>
      <w:r>
        <w:rPr>
          <w:rFonts w:eastAsia="Times New Roman"/>
          <w:b/>
          <w:bCs/>
          <w:i/>
          <w:iCs/>
          <w:color w:val="000000"/>
          <w:sz w:val="20"/>
          <w:szCs w:val="20"/>
        </w:rPr>
        <w:t>Loans Acquired</w:t>
      </w:r>
    </w:p>
    <w:p w:rsidR="00000000" w:rsidRDefault="00795D39">
      <w:pPr>
        <w:jc w:val="both"/>
        <w:divId w:val="1336886670"/>
        <w:rPr>
          <w:rFonts w:eastAsia="Times New Roman"/>
        </w:rPr>
      </w:pPr>
      <w:r>
        <w:rPr>
          <w:rFonts w:eastAsia="Times New Roman"/>
          <w:color w:val="000000"/>
          <w:sz w:val="20"/>
          <w:szCs w:val="20"/>
        </w:rPr>
        <w:t>All purchased loans, including loans transferred in a business combination, are initially recorded at fair value, which includes consideration of expected future los</w:t>
      </w:r>
      <w:r>
        <w:rPr>
          <w:rFonts w:eastAsia="Times New Roman"/>
          <w:color w:val="000000"/>
          <w:sz w:val="20"/>
          <w:szCs w:val="20"/>
        </w:rPr>
        <w:t xml:space="preserve">ses, as of the date of the acquisition. To determine the fair value of loans at acquisition, we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4496902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4496902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94496902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8" style="width:0;height:1.5pt" o:hralign="center" o:hrstd="t" o:hr="t" fillcolor="#a0a0a0" stroked="f"/>
        </w:pict>
      </w:r>
    </w:p>
    <w:p w:rsidR="00000000" w:rsidRDefault="00795D39">
      <w:pPr>
        <w:jc w:val="both"/>
        <w:divId w:val="32008428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320084280"/>
        <w:rPr>
          <w:rFonts w:eastAsia="Times New Roman"/>
        </w:rPr>
      </w:pPr>
    </w:p>
    <w:p w:rsidR="00000000" w:rsidRDefault="00795D39">
      <w:pPr>
        <w:jc w:val="both"/>
        <w:divId w:val="132137817"/>
        <w:rPr>
          <w:rFonts w:eastAsia="Times New Roman"/>
        </w:rPr>
      </w:pPr>
      <w:r>
        <w:rPr>
          <w:rFonts w:eastAsia="Times New Roman"/>
          <w:color w:val="000000"/>
          <w:sz w:val="20"/>
          <w:szCs w:val="20"/>
        </w:rPr>
        <w:t>estimate discounted contractual cash flows due using an observable market rate of interest, when available, adjusted for factors that a market participant would consider in determining fair value. In determining fair value, contractual cash flows are adjus</w:t>
      </w:r>
      <w:r>
        <w:rPr>
          <w:rFonts w:eastAsia="Times New Roman"/>
          <w:color w:val="000000"/>
          <w:sz w:val="20"/>
          <w:szCs w:val="20"/>
        </w:rPr>
        <w:t>ted to include prepayment estimates based upon historical payment trends, forecasted default rates and loss severities and other relevant factors. The difference between the fair value and the contractual cash flows is recorded as a loan premium or discoun</w:t>
      </w:r>
      <w:r>
        <w:rPr>
          <w:rFonts w:eastAsia="Times New Roman"/>
          <w:color w:val="000000"/>
          <w:sz w:val="20"/>
          <w:szCs w:val="20"/>
        </w:rPr>
        <w:t>t, which may relate to either credit or non-credit factors, at acquisition.</w:t>
      </w:r>
    </w:p>
    <w:p w:rsidR="00000000" w:rsidRDefault="00795D39">
      <w:pPr>
        <w:jc w:val="both"/>
        <w:divId w:val="1224949047"/>
        <w:rPr>
          <w:rFonts w:eastAsia="Times New Roman"/>
        </w:rPr>
      </w:pPr>
      <w:r>
        <w:rPr>
          <w:rFonts w:eastAsia="Times New Roman"/>
          <w:color w:val="000000"/>
          <w:sz w:val="20"/>
          <w:szCs w:val="20"/>
        </w:rPr>
        <w:t>We account for purchased loans under the accounting guidance for purchased financial assets with credit deterioration when, at the time of purchase, the loans have experienced a mo</w:t>
      </w:r>
      <w:r>
        <w:rPr>
          <w:rFonts w:eastAsia="Times New Roman"/>
          <w:color w:val="000000"/>
          <w:sz w:val="20"/>
          <w:szCs w:val="20"/>
        </w:rPr>
        <w:t>re-than-insignificant deterioration in credit quality since origination. We also account for loans under this guidance when the loans were previously accounted for under the accounting guidance for purchased credit impaired loans and debt securities (“PCI”</w:t>
      </w:r>
      <w:r>
        <w:rPr>
          <w:rFonts w:eastAsia="Times New Roman"/>
          <w:color w:val="000000"/>
          <w:sz w:val="20"/>
          <w:szCs w:val="20"/>
        </w:rPr>
        <w:t xml:space="preserve">) prior to our adoption of Accounting Standards Codification (“ASC”) 326, </w:t>
      </w:r>
      <w:r>
        <w:rPr>
          <w:rFonts w:eastAsia="Times New Roman"/>
          <w:i/>
          <w:iCs/>
          <w:color w:val="000000"/>
          <w:sz w:val="20"/>
          <w:szCs w:val="20"/>
        </w:rPr>
        <w:t>Financial Instruments</w:t>
      </w:r>
      <w:r>
        <w:rPr>
          <w:rFonts w:eastAsia="Times New Roman"/>
          <w:i/>
          <w:iCs/>
          <w:color w:val="000000"/>
          <w:sz w:val="18"/>
          <w:szCs w:val="18"/>
        </w:rPr>
        <w:t>-</w:t>
      </w:r>
      <w:r>
        <w:rPr>
          <w:rFonts w:eastAsia="Times New Roman"/>
          <w:i/>
          <w:iCs/>
          <w:color w:val="000000"/>
          <w:sz w:val="20"/>
          <w:szCs w:val="20"/>
        </w:rPr>
        <w:t>Credit Losses</w:t>
      </w:r>
      <w:r>
        <w:rPr>
          <w:rFonts w:eastAsia="Times New Roman"/>
          <w:color w:val="000000"/>
          <w:sz w:val="20"/>
          <w:szCs w:val="20"/>
        </w:rPr>
        <w:t>, on January 1, 2020. We refer to these loans which are accounted for under accounting guidance for purchased financial assets with more-than-insig</w:t>
      </w:r>
      <w:r>
        <w:rPr>
          <w:rFonts w:eastAsia="Times New Roman"/>
          <w:color w:val="000000"/>
          <w:sz w:val="20"/>
          <w:szCs w:val="20"/>
        </w:rPr>
        <w:t xml:space="preserve">nificant deterioration in credit quality since origination as “PCD loans”. </w:t>
      </w:r>
    </w:p>
    <w:p w:rsidR="00000000" w:rsidRDefault="00795D39">
      <w:pPr>
        <w:jc w:val="both"/>
        <w:divId w:val="1994676810"/>
        <w:rPr>
          <w:rFonts w:eastAsia="Times New Roman"/>
        </w:rPr>
      </w:pPr>
      <w:r>
        <w:rPr>
          <w:rFonts w:eastAsia="Times New Roman"/>
          <w:color w:val="000000"/>
          <w:sz w:val="20"/>
          <w:szCs w:val="20"/>
        </w:rPr>
        <w:t xml:space="preserve">We recognize an allowance for credit losses on purchased loans that have not experienced a more-than-insignificant deterioration in credit quality since origination at the time of </w:t>
      </w:r>
      <w:r>
        <w:rPr>
          <w:rFonts w:eastAsia="Times New Roman"/>
          <w:color w:val="000000"/>
          <w:sz w:val="20"/>
          <w:szCs w:val="20"/>
        </w:rPr>
        <w:t>purchase through earnings in a manner that is consistent with originated loans. The policies relating to the allowance for credit losses on loans is described below in the “Allowance for Credit Losses - Loans Held for Investment” section of this Note.</w:t>
      </w:r>
    </w:p>
    <w:p w:rsidR="00000000" w:rsidRDefault="00795D39">
      <w:pPr>
        <w:divId w:val="1887986291"/>
        <w:rPr>
          <w:rFonts w:eastAsia="Times New Roman"/>
        </w:rPr>
      </w:pPr>
      <w:r>
        <w:rPr>
          <w:rFonts w:eastAsia="Times New Roman"/>
          <w:b/>
          <w:bCs/>
          <w:i/>
          <w:iCs/>
          <w:color w:val="000000"/>
          <w:sz w:val="20"/>
          <w:szCs w:val="20"/>
        </w:rPr>
        <w:t>Loan</w:t>
      </w:r>
      <w:r>
        <w:rPr>
          <w:rFonts w:eastAsia="Times New Roman"/>
          <w:b/>
          <w:bCs/>
          <w:i/>
          <w:iCs/>
          <w:color w:val="000000"/>
          <w:sz w:val="20"/>
          <w:szCs w:val="20"/>
        </w:rPr>
        <w:t xml:space="preserve"> Modifications and Restructurings</w:t>
      </w:r>
    </w:p>
    <w:p w:rsidR="00000000" w:rsidRDefault="00795D39">
      <w:pPr>
        <w:jc w:val="both"/>
        <w:divId w:val="1956447195"/>
        <w:rPr>
          <w:rFonts w:eastAsia="Times New Roman"/>
        </w:rPr>
      </w:pPr>
      <w:r>
        <w:rPr>
          <w:rFonts w:eastAsia="Times New Roman"/>
          <w:color w:val="000000"/>
          <w:sz w:val="20"/>
          <w:szCs w:val="20"/>
        </w:rPr>
        <w:t xml:space="preserve">As part of our loss mitigation efforts, we may provide modifications to a borrower experiencing financial difficulty to improve long-term collectability of the loan and to avoid the need for foreclosure or repossession of </w:t>
      </w:r>
      <w:r>
        <w:rPr>
          <w:rFonts w:eastAsia="Times New Roman"/>
          <w:color w:val="000000"/>
          <w:sz w:val="20"/>
          <w:szCs w:val="20"/>
        </w:rPr>
        <w:t>collateral, if any. Our loan modifications typically include short-term payment deferrals, an extension of the loan term, a reduction in the interest rate, a reduction in the loan balance, or a combination of these concessions. A loan modification in which</w:t>
      </w:r>
      <w:r>
        <w:rPr>
          <w:rFonts w:eastAsia="Times New Roman"/>
          <w:color w:val="000000"/>
          <w:sz w:val="20"/>
          <w:szCs w:val="20"/>
        </w:rPr>
        <w:t xml:space="preserve"> a concession is granted to a borrower experiencing financial difficulty is accounted for and reported as a troubled debt restructuring (“TDR”). See “Note 3—Loans” for additional information on our loan modifications and restructurings, including those in </w:t>
      </w:r>
      <w:r>
        <w:rPr>
          <w:rFonts w:eastAsia="Times New Roman"/>
          <w:color w:val="000000"/>
          <w:sz w:val="20"/>
          <w:szCs w:val="20"/>
        </w:rPr>
        <w:t xml:space="preserve">response to the COVID-19 pandemic. </w:t>
      </w:r>
    </w:p>
    <w:p w:rsidR="00000000" w:rsidRDefault="00795D39">
      <w:pPr>
        <w:divId w:val="1786074066"/>
        <w:rPr>
          <w:rFonts w:eastAsia="Times New Roman"/>
        </w:rPr>
      </w:pPr>
      <w:r>
        <w:rPr>
          <w:rFonts w:eastAsia="Times New Roman"/>
          <w:b/>
          <w:bCs/>
          <w:i/>
          <w:iCs/>
          <w:color w:val="000000"/>
          <w:sz w:val="20"/>
          <w:szCs w:val="20"/>
        </w:rPr>
        <w:t>Delinquent and Nonperforming Loans</w:t>
      </w:r>
    </w:p>
    <w:p w:rsidR="00000000" w:rsidRDefault="00795D39">
      <w:pPr>
        <w:jc w:val="both"/>
        <w:divId w:val="795485519"/>
        <w:rPr>
          <w:rFonts w:eastAsia="Times New Roman"/>
        </w:rPr>
      </w:pPr>
      <w:r>
        <w:rPr>
          <w:rFonts w:eastAsia="Times New Roman"/>
          <w:color w:val="000000"/>
          <w:sz w:val="20"/>
          <w:szCs w:val="20"/>
        </w:rPr>
        <w:t xml:space="preserve">The entire balance of a loan is considered contractually delinquent if the minimum required payment is not received by the first statement cycle date equal to or following the due date </w:t>
      </w:r>
      <w:r>
        <w:rPr>
          <w:rFonts w:eastAsia="Times New Roman"/>
          <w:color w:val="000000"/>
          <w:sz w:val="20"/>
          <w:szCs w:val="20"/>
        </w:rPr>
        <w:t>specified on the customer’s billing statement. Delinquency is reported on loans that are 30 or more days past due. Interest and fees continue to accrue on past due loans until the date the loan is placed on nonaccrual status, if applicable. For loan modifi</w:t>
      </w:r>
      <w:r>
        <w:rPr>
          <w:rFonts w:eastAsia="Times New Roman"/>
          <w:color w:val="000000"/>
          <w:sz w:val="20"/>
          <w:szCs w:val="20"/>
        </w:rPr>
        <w:t xml:space="preserve">cations, delinquency and nonaccrual status are reported in accordance with the revised terms of the loans. We generally place loans on nonaccrual status when we believe the collectability of interest and principal is not reasonably assured. </w:t>
      </w:r>
    </w:p>
    <w:p w:rsidR="00000000" w:rsidRDefault="00795D39">
      <w:pPr>
        <w:jc w:val="both"/>
        <w:divId w:val="1359577067"/>
        <w:rPr>
          <w:rFonts w:eastAsia="Times New Roman"/>
        </w:rPr>
      </w:pPr>
      <w:r>
        <w:rPr>
          <w:rFonts w:eastAsia="Times New Roman"/>
          <w:color w:val="000000"/>
          <w:sz w:val="20"/>
          <w:szCs w:val="20"/>
        </w:rPr>
        <w:t xml:space="preserve">Nonperforming </w:t>
      </w:r>
      <w:r>
        <w:rPr>
          <w:rFonts w:eastAsia="Times New Roman"/>
          <w:color w:val="000000"/>
          <w:sz w:val="20"/>
          <w:szCs w:val="20"/>
        </w:rPr>
        <w:t>loans generally include loans that have been placed on nonaccrual status. We do not report loans classified as held for sale as nonperforming.</w:t>
      </w:r>
    </w:p>
    <w:p w:rsidR="00000000" w:rsidRDefault="00795D39">
      <w:pPr>
        <w:jc w:val="both"/>
        <w:divId w:val="224724876"/>
        <w:rPr>
          <w:rFonts w:eastAsia="Times New Roman"/>
        </w:rPr>
      </w:pPr>
      <w:r>
        <w:rPr>
          <w:rFonts w:eastAsia="Times New Roman"/>
          <w:color w:val="000000"/>
          <w:sz w:val="20"/>
          <w:szCs w:val="20"/>
        </w:rPr>
        <w:t>Our policies for classifying loans as nonperforming, by loan category, are as follows:</w:t>
      </w:r>
    </w:p>
    <w:p w:rsidR="00000000" w:rsidRDefault="00795D39">
      <w:pPr>
        <w:jc w:val="both"/>
        <w:divId w:val="20514031"/>
        <w:rPr>
          <w:rFonts w:eastAsia="Times New Roman"/>
        </w:rPr>
      </w:pPr>
      <w:r>
        <w:rPr>
          <w:rFonts w:eastAsia="Times New Roman"/>
          <w:color w:val="000000"/>
          <w:sz w:val="20"/>
          <w:szCs w:val="20"/>
        </w:rPr>
        <w:t>•</w:t>
      </w:r>
      <w:r>
        <w:rPr>
          <w:rFonts w:eastAsia="Times New Roman"/>
          <w:i/>
          <w:iCs/>
          <w:color w:val="000000"/>
          <w:sz w:val="20"/>
          <w:szCs w:val="20"/>
        </w:rPr>
        <w:t>Credit card loans:</w:t>
      </w:r>
      <w:r>
        <w:rPr>
          <w:rFonts w:eastAsia="Times New Roman"/>
          <w:color w:val="000000"/>
          <w:sz w:val="20"/>
          <w:szCs w:val="20"/>
        </w:rPr>
        <w:t xml:space="preserve"> As per</w:t>
      </w:r>
      <w:r>
        <w:rPr>
          <w:rFonts w:eastAsia="Times New Roman"/>
          <w:color w:val="000000"/>
          <w:sz w:val="20"/>
          <w:szCs w:val="20"/>
        </w:rPr>
        <w:t>mitted by regulatory guidance issued by the Federal Financial Institutions Examination Council (“FFIEC”), our policy is generally to exempt credit card loans from being classified as nonperforming, as these loans are generally charged off in the period the</w:t>
      </w:r>
      <w:r>
        <w:rPr>
          <w:rFonts w:eastAsia="Times New Roman"/>
          <w:color w:val="000000"/>
          <w:sz w:val="20"/>
          <w:szCs w:val="20"/>
        </w:rPr>
        <w:t xml:space="preserve"> account becomes 180 days past due. Consistent with industry conventions, we generally continue to accrue interest and fees on delinquent credit card loans until the loans are charged off.</w:t>
      </w:r>
    </w:p>
    <w:p w:rsidR="00000000" w:rsidRDefault="00795D39">
      <w:pPr>
        <w:jc w:val="both"/>
        <w:divId w:val="1392265165"/>
        <w:rPr>
          <w:rFonts w:eastAsia="Times New Roman"/>
        </w:rPr>
      </w:pPr>
      <w:r>
        <w:rPr>
          <w:rFonts w:eastAsia="Times New Roman"/>
          <w:color w:val="000000"/>
          <w:sz w:val="20"/>
          <w:szCs w:val="20"/>
        </w:rPr>
        <w:t>•</w:t>
      </w:r>
      <w:r>
        <w:rPr>
          <w:rFonts w:eastAsia="Times New Roman"/>
          <w:i/>
          <w:iCs/>
          <w:color w:val="000000"/>
          <w:sz w:val="20"/>
          <w:szCs w:val="20"/>
        </w:rPr>
        <w:t>Consumer banking loans:</w:t>
      </w:r>
      <w:r>
        <w:rPr>
          <w:rFonts w:eastAsia="Times New Roman"/>
          <w:color w:val="000000"/>
          <w:sz w:val="20"/>
          <w:szCs w:val="20"/>
        </w:rPr>
        <w:t xml:space="preserve"> We classify consumer banking loans as nonp</w:t>
      </w:r>
      <w:r>
        <w:rPr>
          <w:rFonts w:eastAsia="Times New Roman"/>
          <w:color w:val="000000"/>
          <w:sz w:val="20"/>
          <w:szCs w:val="20"/>
        </w:rPr>
        <w:t>erforming when we determine that the collectability of all interest and principal on the loan is not reasonably assured, generally when the loan becomes 90 days past due.</w:t>
      </w:r>
    </w:p>
    <w:p w:rsidR="00000000" w:rsidRDefault="00795D39">
      <w:pPr>
        <w:jc w:val="both"/>
        <w:divId w:val="295530181"/>
        <w:rPr>
          <w:rFonts w:eastAsia="Times New Roman"/>
        </w:rPr>
      </w:pPr>
      <w:r>
        <w:rPr>
          <w:rFonts w:eastAsia="Times New Roman"/>
          <w:color w:val="000000"/>
          <w:sz w:val="20"/>
          <w:szCs w:val="20"/>
        </w:rPr>
        <w:t>•</w:t>
      </w:r>
      <w:r>
        <w:rPr>
          <w:rFonts w:eastAsia="Times New Roman"/>
          <w:i/>
          <w:iCs/>
          <w:color w:val="000000"/>
          <w:sz w:val="20"/>
          <w:szCs w:val="20"/>
        </w:rPr>
        <w:t>Commercial banking loans</w:t>
      </w:r>
      <w:r>
        <w:rPr>
          <w:rFonts w:eastAsia="Times New Roman"/>
          <w:color w:val="000000"/>
          <w:sz w:val="20"/>
          <w:szCs w:val="20"/>
        </w:rPr>
        <w:t>: We classify commercial banking loans as nonperforming as o</w:t>
      </w:r>
      <w:r>
        <w:rPr>
          <w:rFonts w:eastAsia="Times New Roman"/>
          <w:color w:val="000000"/>
          <w:sz w:val="20"/>
          <w:szCs w:val="20"/>
        </w:rPr>
        <w:t>f the date we determine that the collectability of all interest and principal on the loan is not reasonably assured.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842795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842795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842795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09" style="width:0;height:1.5pt" o:hralign="center" o:hrstd="t" o:hr="t" fillcolor="#a0a0a0" stroked="f"/>
        </w:pict>
      </w:r>
    </w:p>
    <w:p w:rsidR="00000000" w:rsidRDefault="00795D39">
      <w:pPr>
        <w:jc w:val="both"/>
        <w:divId w:val="2010402137"/>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2010402137"/>
        <w:rPr>
          <w:rFonts w:eastAsia="Times New Roman"/>
        </w:rPr>
      </w:pPr>
    </w:p>
    <w:p w:rsidR="00000000" w:rsidRDefault="00795D39">
      <w:pPr>
        <w:jc w:val="both"/>
        <w:divId w:val="1979912813"/>
        <w:rPr>
          <w:rFonts w:eastAsia="Times New Roman"/>
        </w:rPr>
      </w:pPr>
      <w:r>
        <w:rPr>
          <w:rFonts w:eastAsia="Times New Roman"/>
          <w:color w:val="000000"/>
          <w:sz w:val="20"/>
          <w:szCs w:val="20"/>
        </w:rPr>
        <w:t>•</w:t>
      </w:r>
      <w:r>
        <w:rPr>
          <w:rFonts w:eastAsia="Times New Roman"/>
          <w:i/>
          <w:iCs/>
          <w:color w:val="000000"/>
          <w:sz w:val="20"/>
          <w:szCs w:val="20"/>
        </w:rPr>
        <w:t>Modified loans and troubled debt restructurings:</w:t>
      </w:r>
      <w:r>
        <w:rPr>
          <w:rFonts w:eastAsia="Times New Roman"/>
          <w:color w:val="000000"/>
          <w:sz w:val="20"/>
          <w:szCs w:val="20"/>
        </w:rPr>
        <w:t xml:space="preserve"> </w:t>
      </w:r>
      <w:r>
        <w:rPr>
          <w:rFonts w:eastAsia="Times New Roman"/>
          <w:color w:val="000000"/>
          <w:sz w:val="20"/>
          <w:szCs w:val="20"/>
        </w:rPr>
        <w:t>Modified loans, including TDRs, that are current at the time of the restructuring remain on accrual status if there is demonstrated performance prior to the restructuring and continued performance under the modified terms is expected. Otherwise, the modifi</w:t>
      </w:r>
      <w:r>
        <w:rPr>
          <w:rFonts w:eastAsia="Times New Roman"/>
          <w:color w:val="000000"/>
          <w:sz w:val="20"/>
          <w:szCs w:val="20"/>
        </w:rPr>
        <w:t>ed loan is classified as nonperforming.</w:t>
      </w:r>
    </w:p>
    <w:p w:rsidR="00000000" w:rsidRDefault="00795D39">
      <w:pPr>
        <w:jc w:val="both"/>
        <w:divId w:val="1640845025"/>
        <w:rPr>
          <w:rFonts w:eastAsia="Times New Roman"/>
        </w:rPr>
      </w:pPr>
      <w:r>
        <w:rPr>
          <w:rFonts w:eastAsia="Times New Roman"/>
          <w:color w:val="000000"/>
          <w:sz w:val="20"/>
          <w:szCs w:val="20"/>
        </w:rPr>
        <w:t>Interest and fees accrued but not collected at the date a loan is placed on nonaccrual status are reversed against earnings. In addition, the amortization of deferred loan fees, costs, premiums and discounts is suspe</w:t>
      </w:r>
      <w:r>
        <w:rPr>
          <w:rFonts w:eastAsia="Times New Roman"/>
          <w:color w:val="000000"/>
          <w:sz w:val="20"/>
          <w:szCs w:val="20"/>
        </w:rPr>
        <w:t>nded. Interest and fee income are subsequently recognized only upon the receipt of cash payments. However, if there is doubt regarding the ultimate collectability of loan principal, cash received is generally applied against the principal balance of the lo</w:t>
      </w:r>
      <w:r>
        <w:rPr>
          <w:rFonts w:eastAsia="Times New Roman"/>
          <w:color w:val="000000"/>
          <w:sz w:val="20"/>
          <w:szCs w:val="20"/>
        </w:rPr>
        <w:t>an. Nonaccrual loans are generally returned to accrual status when all principal and interest is current and repayment of the remaining contractual principal and interest is reasonably assured, or when the loan is both well-secured and in the process of co</w:t>
      </w:r>
      <w:r>
        <w:rPr>
          <w:rFonts w:eastAsia="Times New Roman"/>
          <w:color w:val="000000"/>
          <w:sz w:val="20"/>
          <w:szCs w:val="20"/>
        </w:rPr>
        <w:t>llection and collectability is no longer doubtful.</w:t>
      </w:r>
    </w:p>
    <w:p w:rsidR="00000000" w:rsidRDefault="00795D39">
      <w:pPr>
        <w:divId w:val="918293893"/>
        <w:rPr>
          <w:rFonts w:eastAsia="Times New Roman"/>
        </w:rPr>
      </w:pPr>
      <w:r>
        <w:rPr>
          <w:rFonts w:eastAsia="Times New Roman"/>
          <w:b/>
          <w:bCs/>
          <w:i/>
          <w:iCs/>
          <w:color w:val="000000"/>
          <w:sz w:val="20"/>
          <w:szCs w:val="20"/>
        </w:rPr>
        <w:t>Charge-Offs - Loans</w:t>
      </w:r>
    </w:p>
    <w:p w:rsidR="00000000" w:rsidRDefault="00795D39">
      <w:pPr>
        <w:jc w:val="both"/>
        <w:divId w:val="632249925"/>
        <w:rPr>
          <w:rFonts w:eastAsia="Times New Roman"/>
        </w:rPr>
      </w:pPr>
      <w:r>
        <w:rPr>
          <w:rFonts w:eastAsia="Times New Roman"/>
          <w:color w:val="000000"/>
          <w:sz w:val="20"/>
          <w:szCs w:val="20"/>
        </w:rPr>
        <w:t>We charge off loans when we determine that the loan is uncollectible. The amortized cost basis, excluding accrued interest, is charged off as a reduction to the allowance for credit los</w:t>
      </w:r>
      <w:r>
        <w:rPr>
          <w:rFonts w:eastAsia="Times New Roman"/>
          <w:color w:val="000000"/>
          <w:sz w:val="20"/>
          <w:szCs w:val="20"/>
        </w:rPr>
        <w:t>ses based on the time frames presented below. Accrued interest on loans other than credit card loans determined to be uncollectible is reversed as a reduction of interest income when the loan is classified as nonperforming. For credit card loans, accrued i</w:t>
      </w:r>
      <w:r>
        <w:rPr>
          <w:rFonts w:eastAsia="Times New Roman"/>
          <w:color w:val="000000"/>
          <w:sz w:val="20"/>
          <w:szCs w:val="20"/>
        </w:rPr>
        <w:t>nterest is charged off simultaneously with the charge off of other components of amortized cost and as a reduction of interest income. When received, recoveries of previously charged off amounts are recorded as an increase to the allowance for credit losse</w:t>
      </w:r>
      <w:r>
        <w:rPr>
          <w:rFonts w:eastAsia="Times New Roman"/>
          <w:color w:val="000000"/>
          <w:sz w:val="20"/>
          <w:szCs w:val="20"/>
        </w:rPr>
        <w:t>s (see the “Allowance for Credit Losses - Loans Held for Investment” section of this Note for information on how we account for expected recoveries). Costs to recover charged off loans are recorded as collection expense and included in our consolidated sta</w:t>
      </w:r>
      <w:r>
        <w:rPr>
          <w:rFonts w:eastAsia="Times New Roman"/>
          <w:color w:val="000000"/>
          <w:sz w:val="20"/>
          <w:szCs w:val="20"/>
        </w:rPr>
        <w:t>tements of income as a component of other non-interest expense as incurred. Our charge-off time frames by loan type are presented below.</w:t>
      </w:r>
    </w:p>
    <w:p w:rsidR="00000000" w:rsidRDefault="00795D39">
      <w:pPr>
        <w:jc w:val="both"/>
        <w:divId w:val="718438201"/>
        <w:rPr>
          <w:rFonts w:eastAsia="Times New Roman"/>
        </w:rPr>
      </w:pPr>
      <w:r>
        <w:rPr>
          <w:rFonts w:eastAsia="Times New Roman"/>
          <w:color w:val="000000"/>
          <w:sz w:val="20"/>
          <w:szCs w:val="20"/>
        </w:rPr>
        <w:t>•</w:t>
      </w:r>
      <w:r>
        <w:rPr>
          <w:rFonts w:eastAsia="Times New Roman"/>
          <w:i/>
          <w:iCs/>
          <w:color w:val="000000"/>
          <w:sz w:val="20"/>
          <w:szCs w:val="20"/>
        </w:rPr>
        <w:t>Credit card loans</w:t>
      </w:r>
      <w:r>
        <w:rPr>
          <w:rFonts w:eastAsia="Times New Roman"/>
          <w:color w:val="000000"/>
          <w:sz w:val="20"/>
          <w:szCs w:val="20"/>
        </w:rPr>
        <w:t>: We generally charge off credit card loans in the period the account becomes 180 days past due. We c</w:t>
      </w:r>
      <w:r>
        <w:rPr>
          <w:rFonts w:eastAsia="Times New Roman"/>
          <w:color w:val="000000"/>
          <w:sz w:val="20"/>
          <w:szCs w:val="20"/>
        </w:rPr>
        <w:t xml:space="preserve">harge off delinquent credit card loans for which revolving privileges have been revoked as part of loan workout when the account becomes 120 days past due. Credit card loans in bankruptcy are generally charged off by the end of the month following 30 days </w:t>
      </w:r>
      <w:r>
        <w:rPr>
          <w:rFonts w:eastAsia="Times New Roman"/>
          <w:color w:val="000000"/>
          <w:sz w:val="20"/>
          <w:szCs w:val="20"/>
        </w:rPr>
        <w:t>after the receipt of a complete bankruptcy notification from the bankruptcy court. Credit card loans of deceased account holders are generally charged off 5 days after receipt of notification.</w:t>
      </w:r>
    </w:p>
    <w:p w:rsidR="00000000" w:rsidRDefault="00795D39">
      <w:pPr>
        <w:jc w:val="both"/>
        <w:divId w:val="1486358149"/>
        <w:rPr>
          <w:rFonts w:eastAsia="Times New Roman"/>
        </w:rPr>
      </w:pPr>
      <w:r>
        <w:rPr>
          <w:rFonts w:eastAsia="Times New Roman"/>
          <w:color w:val="000000"/>
          <w:sz w:val="20"/>
          <w:szCs w:val="20"/>
        </w:rPr>
        <w:t>•</w:t>
      </w:r>
      <w:r>
        <w:rPr>
          <w:rFonts w:eastAsia="Times New Roman"/>
          <w:i/>
          <w:iCs/>
          <w:color w:val="000000"/>
          <w:sz w:val="20"/>
          <w:szCs w:val="20"/>
        </w:rPr>
        <w:t>Consumer banking loans:</w:t>
      </w:r>
      <w:r>
        <w:rPr>
          <w:rFonts w:eastAsia="Times New Roman"/>
          <w:color w:val="000000"/>
          <w:sz w:val="20"/>
          <w:szCs w:val="20"/>
        </w:rPr>
        <w:t xml:space="preserve"> We generally charge off consumer banki</w:t>
      </w:r>
      <w:r>
        <w:rPr>
          <w:rFonts w:eastAsia="Times New Roman"/>
          <w:color w:val="000000"/>
          <w:sz w:val="20"/>
          <w:szCs w:val="20"/>
        </w:rPr>
        <w:t>ng loans at the earlier of the date when the account is a specified number of days past due or upon repossession of the underlying collateral. Our charge-off period for auto loans is 120 days past due. Small business banking loans generally charge off at 1</w:t>
      </w:r>
      <w:r>
        <w:rPr>
          <w:rFonts w:eastAsia="Times New Roman"/>
          <w:color w:val="000000"/>
          <w:sz w:val="20"/>
          <w:szCs w:val="20"/>
        </w:rPr>
        <w:t>20 days past due based on the date the amortized cost basis is deemed uncollectible. Auto loans that have not been previously charged off where the borrower has filed for bankruptcy and the loan has not been reaffirmed charge off in the period that the loa</w:t>
      </w:r>
      <w:r>
        <w:rPr>
          <w:rFonts w:eastAsia="Times New Roman"/>
          <w:color w:val="000000"/>
          <w:sz w:val="20"/>
          <w:szCs w:val="20"/>
        </w:rPr>
        <w:t>n is 60 days from the bankruptcy notification date, regardless of delinquency status. Auto loans that have not been previously charged off and have been discharged under Chapter 7 bankruptcy are charged off at the end of the month in which the bankruptcy d</w:t>
      </w:r>
      <w:r>
        <w:rPr>
          <w:rFonts w:eastAsia="Times New Roman"/>
          <w:color w:val="000000"/>
          <w:sz w:val="20"/>
          <w:szCs w:val="20"/>
        </w:rPr>
        <w:t>ischarge occurs. Remaining consumer loans generally are charged off within 40 days of receipt of notification from the bankruptcy court. Consumer loans of deceased account holders are charged off by the end of the month following 60 days of receipt of noti</w:t>
      </w:r>
      <w:r>
        <w:rPr>
          <w:rFonts w:eastAsia="Times New Roman"/>
          <w:color w:val="000000"/>
          <w:sz w:val="20"/>
          <w:szCs w:val="20"/>
        </w:rPr>
        <w:t>fication.</w:t>
      </w:r>
    </w:p>
    <w:p w:rsidR="00000000" w:rsidRDefault="00795D39">
      <w:pPr>
        <w:jc w:val="both"/>
        <w:divId w:val="888567092"/>
        <w:rPr>
          <w:rFonts w:eastAsia="Times New Roman"/>
        </w:rPr>
      </w:pPr>
      <w:r>
        <w:rPr>
          <w:rFonts w:eastAsia="Times New Roman"/>
          <w:color w:val="000000"/>
          <w:sz w:val="20"/>
          <w:szCs w:val="20"/>
        </w:rPr>
        <w:t>•</w:t>
      </w:r>
      <w:r>
        <w:rPr>
          <w:rFonts w:eastAsia="Times New Roman"/>
          <w:i/>
          <w:iCs/>
          <w:color w:val="000000"/>
          <w:sz w:val="20"/>
          <w:szCs w:val="20"/>
        </w:rPr>
        <w:t xml:space="preserve">Commercial banking loans: </w:t>
      </w:r>
      <w:r>
        <w:rPr>
          <w:rFonts w:eastAsia="Times New Roman"/>
          <w:color w:val="000000"/>
          <w:sz w:val="20"/>
          <w:szCs w:val="20"/>
        </w:rPr>
        <w:t>We charge off commercial loans in the period we determine that the amortized cost basis is uncollectible.</w:t>
      </w:r>
    </w:p>
    <w:p w:rsidR="00000000" w:rsidRDefault="00795D39">
      <w:pPr>
        <w:divId w:val="1943145948"/>
        <w:rPr>
          <w:rFonts w:eastAsia="Times New Roman"/>
        </w:rPr>
      </w:pPr>
      <w:r>
        <w:rPr>
          <w:rFonts w:eastAsia="Times New Roman"/>
          <w:b/>
          <w:bCs/>
          <w:color w:val="000000"/>
          <w:sz w:val="20"/>
          <w:szCs w:val="20"/>
        </w:rPr>
        <w:t xml:space="preserve">Allowance for Credit Losses </w:t>
      </w:r>
    </w:p>
    <w:p w:rsidR="00000000" w:rsidRDefault="00795D39">
      <w:pPr>
        <w:jc w:val="both"/>
        <w:divId w:val="1315373347"/>
        <w:rPr>
          <w:rFonts w:eastAsia="Times New Roman"/>
        </w:rPr>
      </w:pPr>
      <w:r>
        <w:rPr>
          <w:rFonts w:eastAsia="Times New Roman"/>
          <w:color w:val="000000"/>
          <w:sz w:val="20"/>
          <w:szCs w:val="20"/>
        </w:rPr>
        <w:t>We maintain an allowance for credit losses (“allowance”) that represents management’</w:t>
      </w:r>
      <w:r>
        <w:rPr>
          <w:rFonts w:eastAsia="Times New Roman"/>
          <w:color w:val="000000"/>
          <w:sz w:val="20"/>
          <w:szCs w:val="20"/>
        </w:rPr>
        <w:t>s current estimate of expected credit losses over the contractual terms of our loans held for investment and investment securities classified as available for sale. We measure the allowance on a quarterly basis through consideration of past events, includi</w:t>
      </w:r>
      <w:r>
        <w:rPr>
          <w:rFonts w:eastAsia="Times New Roman"/>
          <w:color w:val="000000"/>
          <w:sz w:val="20"/>
          <w:szCs w:val="20"/>
        </w:rPr>
        <w:t xml:space="preserve">ng historical experience, current conditions and reasonable and supportable forecasts. </w:t>
      </w:r>
    </w:p>
    <w:p w:rsidR="00000000" w:rsidRDefault="00795D39">
      <w:pPr>
        <w:divId w:val="644698326"/>
        <w:rPr>
          <w:rFonts w:eastAsia="Times New Roman"/>
        </w:rPr>
      </w:pPr>
      <w:r>
        <w:rPr>
          <w:rFonts w:eastAsia="Times New Roman"/>
          <w:b/>
          <w:bCs/>
          <w:i/>
          <w:iCs/>
          <w:color w:val="000000"/>
          <w:sz w:val="20"/>
          <w:szCs w:val="20"/>
        </w:rPr>
        <w:t>Allowance for Credit Losses - Loans Held for Investment</w:t>
      </w:r>
    </w:p>
    <w:p w:rsidR="00000000" w:rsidRDefault="00795D39">
      <w:pPr>
        <w:jc w:val="both"/>
        <w:divId w:val="1266381920"/>
        <w:rPr>
          <w:rFonts w:eastAsia="Times New Roman"/>
        </w:rPr>
      </w:pPr>
      <w:r>
        <w:rPr>
          <w:rFonts w:eastAsia="Times New Roman"/>
          <w:color w:val="000000"/>
          <w:sz w:val="20"/>
          <w:szCs w:val="20"/>
        </w:rPr>
        <w:t>We measure current expected credit losses over the contractual terms of our loans. The contractual terms are adjusted for expected prepayments but are not extended for renewals or extensions, except when an extension or renewal arises from a borrower optio</w:t>
      </w:r>
      <w:r>
        <w:rPr>
          <w:rFonts w:eastAsia="Times New Roman"/>
          <w:color w:val="000000"/>
          <w:sz w:val="20"/>
          <w:szCs w:val="20"/>
        </w:rPr>
        <w:t>n that is not unconditionally cancellable or through a TDR that is reasonably expected to occur.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83809219"/>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83809219"/>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83809219"/>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0" style="width:0;height:1.5pt" o:hralign="center" o:hrstd="t" o:hr="t" fillcolor="#a0a0a0" stroked="f"/>
        </w:pict>
      </w:r>
    </w:p>
    <w:p w:rsidR="00000000" w:rsidRDefault="00795D39">
      <w:pPr>
        <w:jc w:val="both"/>
        <w:divId w:val="126047953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260479539"/>
        <w:rPr>
          <w:rFonts w:eastAsia="Times New Roman"/>
        </w:rPr>
      </w:pPr>
    </w:p>
    <w:p w:rsidR="00000000" w:rsidRDefault="00795D39">
      <w:pPr>
        <w:jc w:val="both"/>
        <w:divId w:val="529757556"/>
        <w:rPr>
          <w:rFonts w:eastAsia="Times New Roman"/>
        </w:rPr>
      </w:pPr>
      <w:r>
        <w:rPr>
          <w:rFonts w:eastAsia="Times New Roman"/>
          <w:color w:val="000000"/>
          <w:sz w:val="20"/>
          <w:szCs w:val="20"/>
        </w:rPr>
        <w:t>We aggregate loans sharing similar risk characteristics into pools for purposes of measuring expected credit losses. Pools are reassessed periodically to confirm that all loans within each pool continue to share similar risk characteristics. Expected credi</w:t>
      </w:r>
      <w:r>
        <w:rPr>
          <w:rFonts w:eastAsia="Times New Roman"/>
          <w:color w:val="000000"/>
          <w:sz w:val="20"/>
          <w:szCs w:val="20"/>
        </w:rPr>
        <w:t>t losses for loans that do not share similar risk characteristics with other financial assets are measured individually.</w:t>
      </w:r>
    </w:p>
    <w:p w:rsidR="00000000" w:rsidRDefault="00795D39">
      <w:pPr>
        <w:jc w:val="both"/>
        <w:divId w:val="41365207"/>
        <w:rPr>
          <w:rFonts w:eastAsia="Times New Roman"/>
        </w:rPr>
      </w:pPr>
      <w:r>
        <w:rPr>
          <w:rFonts w:eastAsia="Times New Roman"/>
          <w:color w:val="000000"/>
          <w:sz w:val="20"/>
          <w:szCs w:val="20"/>
        </w:rPr>
        <w:t>Expected recoveries of amounts previously charged off or expected to be charged off are recognized within the allowance, with a corresp</w:t>
      </w:r>
      <w:r>
        <w:rPr>
          <w:rFonts w:eastAsia="Times New Roman"/>
          <w:color w:val="000000"/>
          <w:sz w:val="20"/>
          <w:szCs w:val="20"/>
        </w:rPr>
        <w:t xml:space="preserve">onding reduction to our provision for credit losses. At times expected recoveries may result in a negative allowance. We limit the allowance to amounts previously charged off and expected to be charged off. Charge-offs of uncollectible amounts result in a </w:t>
      </w:r>
      <w:r>
        <w:rPr>
          <w:rFonts w:eastAsia="Times New Roman"/>
          <w:color w:val="000000"/>
          <w:sz w:val="20"/>
          <w:szCs w:val="20"/>
        </w:rPr>
        <w:t>reduction to the allowance and recoveries of previously charged off amounts result in an increase to the allowance.</w:t>
      </w:r>
    </w:p>
    <w:p w:rsidR="00000000" w:rsidRDefault="00795D39">
      <w:pPr>
        <w:jc w:val="both"/>
        <w:divId w:val="2088116383"/>
        <w:rPr>
          <w:rFonts w:eastAsia="Times New Roman"/>
        </w:rPr>
      </w:pPr>
      <w:r>
        <w:rPr>
          <w:rFonts w:eastAsia="Times New Roman"/>
          <w:color w:val="000000"/>
          <w:sz w:val="20"/>
          <w:szCs w:val="20"/>
        </w:rPr>
        <w:t>When developing an estimate of expected credit losses, we use both quantitative and qualitative methods in considering all available informa</w:t>
      </w:r>
      <w:r>
        <w:rPr>
          <w:rFonts w:eastAsia="Times New Roman"/>
          <w:color w:val="000000"/>
          <w:sz w:val="20"/>
          <w:szCs w:val="20"/>
        </w:rPr>
        <w:t>tion relevant to assessing collectability. This may include internal information, external information, or a combination of both relating to past events, current conditions, and reasonable and supportable forecasts. Significant judgment is applied to the d</w:t>
      </w:r>
      <w:r>
        <w:rPr>
          <w:rFonts w:eastAsia="Times New Roman"/>
          <w:color w:val="000000"/>
          <w:sz w:val="20"/>
          <w:szCs w:val="20"/>
        </w:rPr>
        <w:t xml:space="preserve">evelopment and duration of reasonable and supportable forecasts used in our estimation of lifetime losses. We estimate expected credit losses over the duration of those forecasts and then revert, on a rational and systematic basis, to historical losses at </w:t>
      </w:r>
      <w:r>
        <w:rPr>
          <w:rFonts w:eastAsia="Times New Roman"/>
          <w:color w:val="000000"/>
          <w:sz w:val="20"/>
          <w:szCs w:val="20"/>
        </w:rPr>
        <w:t>each relevant loss component of the estimate. Expected losses for contractual terms extending beyond the reasonable and supportable forecast and reversion periods are based on those historical losses.</w:t>
      </w:r>
    </w:p>
    <w:p w:rsidR="00000000" w:rsidRDefault="00795D39">
      <w:pPr>
        <w:jc w:val="both"/>
        <w:divId w:val="2043044438"/>
        <w:rPr>
          <w:rFonts w:eastAsia="Times New Roman"/>
        </w:rPr>
      </w:pPr>
      <w:r>
        <w:rPr>
          <w:rFonts w:eastAsia="Times New Roman"/>
          <w:color w:val="000000"/>
          <w:sz w:val="20"/>
          <w:szCs w:val="20"/>
        </w:rPr>
        <w:t>Management will consider and may qualitatively adjust f</w:t>
      </w:r>
      <w:r>
        <w:rPr>
          <w:rFonts w:eastAsia="Times New Roman"/>
          <w:color w:val="000000"/>
          <w:sz w:val="20"/>
          <w:szCs w:val="20"/>
        </w:rPr>
        <w:t>or conditions, changes and trends in loan portfolios that may not be captured in modeled results. These adjustments are referred to as qualitative factors and represent management’s judgment of the imprecision and risks inherent in the processes and assump</w:t>
      </w:r>
      <w:r>
        <w:rPr>
          <w:rFonts w:eastAsia="Times New Roman"/>
          <w:color w:val="000000"/>
          <w:sz w:val="20"/>
          <w:szCs w:val="20"/>
        </w:rPr>
        <w:t>tions used in establishing the allowance for credit losses. Management’s judgment may involve an assessment of current and forward-looking conditions including but not limited to changes in lending policies and procedures, nature and volume of the portfoli</w:t>
      </w:r>
      <w:r>
        <w:rPr>
          <w:rFonts w:eastAsia="Times New Roman"/>
          <w:color w:val="000000"/>
          <w:sz w:val="20"/>
          <w:szCs w:val="20"/>
        </w:rPr>
        <w:t>o, external factors, and uncertainty as it relates to economic, model or forecast risks, where not already captured in the modeled results.</w:t>
      </w:r>
    </w:p>
    <w:p w:rsidR="00000000" w:rsidRDefault="00795D39">
      <w:pPr>
        <w:jc w:val="both"/>
        <w:divId w:val="792333201"/>
        <w:rPr>
          <w:rFonts w:eastAsia="Times New Roman"/>
        </w:rPr>
      </w:pPr>
      <w:r>
        <w:rPr>
          <w:rFonts w:eastAsia="Times New Roman"/>
          <w:color w:val="000000"/>
          <w:sz w:val="20"/>
          <w:szCs w:val="20"/>
        </w:rPr>
        <w:t>Expected credit losses for collateral-dependent loans are based on the fair value of the underlying collateral. When</w:t>
      </w:r>
      <w:r>
        <w:rPr>
          <w:rFonts w:eastAsia="Times New Roman"/>
          <w:color w:val="000000"/>
          <w:sz w:val="20"/>
          <w:szCs w:val="20"/>
        </w:rPr>
        <w:t xml:space="preserve"> we intend to liquidate the collateral, the fair value of the collateral is adjusted for expected costs to sell. A loan is deemed to be a collateral-dependent loan when (i) we determine foreclosure or repossession of the underlying collateral is probable, </w:t>
      </w:r>
      <w:r>
        <w:rPr>
          <w:rFonts w:eastAsia="Times New Roman"/>
          <w:color w:val="000000"/>
          <w:sz w:val="20"/>
          <w:szCs w:val="20"/>
        </w:rPr>
        <w:t>or (ii) foreclosure or repossession is not probable, but the borrower is experiencing financial difficulty and we expect repayment to be provided substantially through the operation or sale of the collateral. The allowance for a collateral-dependent loan r</w:t>
      </w:r>
      <w:r>
        <w:rPr>
          <w:rFonts w:eastAsia="Times New Roman"/>
          <w:color w:val="000000"/>
          <w:sz w:val="20"/>
          <w:szCs w:val="20"/>
        </w:rPr>
        <w:t>eflects the difference between the loan’s amortized cost basis and the fair value (less selling costs, where applicable) of the loan's underlying collateral.</w:t>
      </w:r>
    </w:p>
    <w:p w:rsidR="00000000" w:rsidRDefault="00795D39">
      <w:pPr>
        <w:jc w:val="both"/>
        <w:divId w:val="967589882"/>
        <w:rPr>
          <w:rFonts w:eastAsia="Times New Roman"/>
        </w:rPr>
      </w:pPr>
      <w:r>
        <w:rPr>
          <w:rFonts w:eastAsia="Times New Roman"/>
          <w:color w:val="000000"/>
          <w:sz w:val="20"/>
          <w:szCs w:val="20"/>
        </w:rPr>
        <w:t>Our credit card and consumer banking loan portfolios consist of smaller-balance, homogeneous loans</w:t>
      </w:r>
      <w:r>
        <w:rPr>
          <w:rFonts w:eastAsia="Times New Roman"/>
          <w:color w:val="000000"/>
          <w:sz w:val="20"/>
          <w:szCs w:val="20"/>
        </w:rPr>
        <w:t>. The consumer banking loan portfolio is divided into two primary portfolio segments: auto loans and retail banking loans. The credit card and consumer banking loan portfolios are further divided by our business units into groups based on common risk chara</w:t>
      </w:r>
      <w:r>
        <w:rPr>
          <w:rFonts w:eastAsia="Times New Roman"/>
          <w:color w:val="000000"/>
          <w:sz w:val="20"/>
          <w:szCs w:val="20"/>
        </w:rPr>
        <w:t>cteristics, such as origination year, contract type, interest rate, credit bureau score and geography. The commercial banking loan portfolio is primarily composed of larger-balance, non-homogeneous loans. These loans are subject to reviews that result in i</w:t>
      </w:r>
      <w:r>
        <w:rPr>
          <w:rFonts w:eastAsia="Times New Roman"/>
          <w:color w:val="000000"/>
          <w:sz w:val="20"/>
          <w:szCs w:val="20"/>
        </w:rPr>
        <w:t>nternal risk ratings. In assessing the risk rating of a particular commercial banking loan, among the factors we consider are the financial condition of the borrower, geography, collateral performance, historical loss experience and industry-specific infor</w:t>
      </w:r>
      <w:r>
        <w:rPr>
          <w:rFonts w:eastAsia="Times New Roman"/>
          <w:color w:val="000000"/>
          <w:sz w:val="20"/>
          <w:szCs w:val="20"/>
        </w:rPr>
        <w:t>mation that management believes is relevant in determining and measuring expected credit losses. Subjective assessment and interpretation are involved. Emphasizing one factor over another or considering additional factors could impact the risk rating assig</w:t>
      </w:r>
      <w:r>
        <w:rPr>
          <w:rFonts w:eastAsia="Times New Roman"/>
          <w:color w:val="000000"/>
          <w:sz w:val="20"/>
          <w:szCs w:val="20"/>
        </w:rPr>
        <w:t>ned to that commercial banking loan.</w:t>
      </w:r>
    </w:p>
    <w:p w:rsidR="00000000" w:rsidRDefault="00795D39">
      <w:pPr>
        <w:jc w:val="both"/>
        <w:divId w:val="1794669284"/>
        <w:rPr>
          <w:rFonts w:eastAsia="Times New Roman"/>
        </w:rPr>
      </w:pPr>
      <w:r>
        <w:rPr>
          <w:rFonts w:eastAsia="Times New Roman"/>
          <w:color w:val="000000"/>
          <w:sz w:val="20"/>
          <w:szCs w:val="20"/>
        </w:rPr>
        <w:t>For consumer banking and commercial banking loans, the contractual period typically does not include renewals or extensions because the renewals and extensions are generally not at the borrower’s exclusive option to exe</w:t>
      </w:r>
      <w:r>
        <w:rPr>
          <w:rFonts w:eastAsia="Times New Roman"/>
          <w:color w:val="000000"/>
          <w:sz w:val="20"/>
          <w:szCs w:val="20"/>
        </w:rPr>
        <w:t>rcise. Management has determined that the undrawn credit exposure that is associated with our credit card loans is unconditionally cancellable. For this reason, expected credit losses are measured based on the drawn balance at each quarterly measurement da</w:t>
      </w:r>
      <w:r>
        <w:rPr>
          <w:rFonts w:eastAsia="Times New Roman"/>
          <w:color w:val="000000"/>
          <w:sz w:val="20"/>
          <w:szCs w:val="20"/>
        </w:rPr>
        <w:t xml:space="preserve">te, but not on the undrawn exposure. Because credit card loans do not have a defined contractual life, management estimates both the volume and application of payments to determine a contractual life of the drawn balance at the measurement date over which </w:t>
      </w:r>
      <w:r>
        <w:rPr>
          <w:rFonts w:eastAsia="Times New Roman"/>
          <w:color w:val="000000"/>
          <w:sz w:val="20"/>
          <w:szCs w:val="20"/>
        </w:rPr>
        <w:t>expected credit losses are developed for credit card loans.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47836327"/>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4783632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4783632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1" style="width:0;height:1.5pt" o:hralign="center" o:hrstd="t" o:hr="t" fillcolor="#a0a0a0" stroked="f"/>
        </w:pict>
      </w:r>
    </w:p>
    <w:p w:rsidR="00000000" w:rsidRDefault="00795D39">
      <w:pPr>
        <w:jc w:val="both"/>
        <w:divId w:val="55138070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551380708"/>
        <w:rPr>
          <w:rFonts w:eastAsia="Times New Roman"/>
        </w:rPr>
      </w:pPr>
    </w:p>
    <w:p w:rsidR="00000000" w:rsidRDefault="00795D39">
      <w:pPr>
        <w:jc w:val="both"/>
        <w:divId w:val="1663659876"/>
        <w:rPr>
          <w:rFonts w:eastAsia="Times New Roman"/>
        </w:rPr>
      </w:pPr>
      <w:r>
        <w:rPr>
          <w:rFonts w:eastAsia="Times New Roman"/>
          <w:color w:val="000000"/>
          <w:sz w:val="20"/>
          <w:szCs w:val="20"/>
        </w:rPr>
        <w:t>With the exception of credit card loans, we have made a policy election to not measure an allowance on accrued interest for loans held for inv</w:t>
      </w:r>
      <w:r>
        <w:rPr>
          <w:rFonts w:eastAsia="Times New Roman"/>
          <w:color w:val="000000"/>
          <w:sz w:val="20"/>
          <w:szCs w:val="20"/>
        </w:rPr>
        <w:t>estment because we reverse uncollectible accrued interest in a timely manner. See the “Delinquent and Nonperforming Loans” and “Charge-Offs - Loans” sections of this Note for information on what we consider timely. For credit card loans, we do not make thi</w:t>
      </w:r>
      <w:r>
        <w:rPr>
          <w:rFonts w:eastAsia="Times New Roman"/>
          <w:color w:val="000000"/>
          <w:sz w:val="20"/>
          <w:szCs w:val="20"/>
        </w:rPr>
        <w:t>s election, as we reserve for uncollectible accrued interest relating to credit card loans in the allowance.</w:t>
      </w:r>
    </w:p>
    <w:p w:rsidR="00000000" w:rsidRDefault="00795D39">
      <w:pPr>
        <w:jc w:val="both"/>
        <w:divId w:val="2012877966"/>
        <w:rPr>
          <w:rFonts w:eastAsia="Times New Roman"/>
        </w:rPr>
      </w:pPr>
      <w:r>
        <w:rPr>
          <w:rFonts w:eastAsia="Times New Roman"/>
          <w:color w:val="000000"/>
          <w:sz w:val="20"/>
          <w:szCs w:val="20"/>
        </w:rPr>
        <w:t>The allowance related to credit card and consumer banking loans assessed on a pooled basis is based on a modeled calculation, which is supplemented</w:t>
      </w:r>
      <w:r>
        <w:rPr>
          <w:rFonts w:eastAsia="Times New Roman"/>
          <w:color w:val="000000"/>
          <w:sz w:val="20"/>
          <w:szCs w:val="20"/>
        </w:rPr>
        <w:t xml:space="preserve"> by management judgment as described above. Because of the homogeneous nature of our consumer loan portfolios, the allowance is based on the aggregated portfolio segment evaluations. The allowance is established through a process that begins with estimates</w:t>
      </w:r>
      <w:r>
        <w:rPr>
          <w:rFonts w:eastAsia="Times New Roman"/>
          <w:color w:val="000000"/>
          <w:sz w:val="20"/>
          <w:szCs w:val="20"/>
        </w:rPr>
        <w:t xml:space="preserve"> of historical losses in each pool based upon various statistical analyses, with adjustments for current conditions and reasonable and supportable forecasts of conditions, which includes expected economic conditions. Loss forecast models are utilized to es</w:t>
      </w:r>
      <w:r>
        <w:rPr>
          <w:rFonts w:eastAsia="Times New Roman"/>
          <w:color w:val="000000"/>
          <w:sz w:val="20"/>
          <w:szCs w:val="20"/>
        </w:rPr>
        <w:t xml:space="preserve">timate expected credit losses and consider several portfolio indicators including, but not limited to, expected economic conditions, historical loss experience, account seasoning, the value of collateral underlying secured loans, estimated foreclosures or </w:t>
      </w:r>
      <w:r>
        <w:rPr>
          <w:rFonts w:eastAsia="Times New Roman"/>
          <w:color w:val="000000"/>
          <w:sz w:val="20"/>
          <w:szCs w:val="20"/>
        </w:rPr>
        <w:t xml:space="preserve">defaults based on observable trends, delinquencies, bankruptcy filings, unemployment, credit bureau scores and general business trends. Management believes these factors are relevant in estimating expected credit losses and also considers an evaluation of </w:t>
      </w:r>
      <w:r>
        <w:rPr>
          <w:rFonts w:eastAsia="Times New Roman"/>
          <w:color w:val="000000"/>
          <w:sz w:val="20"/>
          <w:szCs w:val="20"/>
        </w:rPr>
        <w:t>overall portfolio credit quality based on indicators such as changes in our credit evaluation, underwriting and collection management policies, the effect of other external factors such as competition and legal and regulatory requirements, general economic</w:t>
      </w:r>
      <w:r>
        <w:rPr>
          <w:rFonts w:eastAsia="Times New Roman"/>
          <w:color w:val="000000"/>
          <w:sz w:val="20"/>
          <w:szCs w:val="20"/>
        </w:rPr>
        <w:t xml:space="preserve"> conditions and business trends, and uncertainties in forecasting and modeling techniques used in estimating our allowance.</w:t>
      </w:r>
    </w:p>
    <w:p w:rsidR="00000000" w:rsidRDefault="00795D39">
      <w:pPr>
        <w:jc w:val="both"/>
        <w:divId w:val="212936003"/>
        <w:rPr>
          <w:rFonts w:eastAsia="Times New Roman"/>
        </w:rPr>
      </w:pPr>
      <w:r>
        <w:rPr>
          <w:rFonts w:eastAsia="Times New Roman"/>
          <w:color w:val="000000"/>
          <w:sz w:val="20"/>
          <w:szCs w:val="20"/>
        </w:rPr>
        <w:t>The allowance related to commercial banking loans assessed on a pooled basis is based on our historical loss experience for loans wi</w:t>
      </w:r>
      <w:r>
        <w:rPr>
          <w:rFonts w:eastAsia="Times New Roman"/>
          <w:color w:val="000000"/>
          <w:sz w:val="20"/>
          <w:szCs w:val="20"/>
        </w:rPr>
        <w:t>th similar risk characteristics and consideration of the current credit quality of the portfolio, which is supplemented by management judgment as described above. These are adjusted for current conditions, and reasonable and supportable forecasts of condit</w:t>
      </w:r>
      <w:r>
        <w:rPr>
          <w:rFonts w:eastAsia="Times New Roman"/>
          <w:color w:val="000000"/>
          <w:sz w:val="20"/>
          <w:szCs w:val="20"/>
        </w:rPr>
        <w:t xml:space="preserve">ions likely to cause future losses which vary from historical levels. We apply internal risk ratings to commercial banking loans, which we use to assess credit quality and derive a total loss estimate based on an estimated probability of default (“default </w:t>
      </w:r>
      <w:r>
        <w:rPr>
          <w:rFonts w:eastAsia="Times New Roman"/>
          <w:color w:val="000000"/>
          <w:sz w:val="20"/>
          <w:szCs w:val="20"/>
        </w:rPr>
        <w:t>rate”) and loss given default (“loss severity”). Management may also apply judgment to adjust the loss factors derived, taking into consideration both quantitative and qualitative factors, including general economic conditions, industry-specific and geogra</w:t>
      </w:r>
      <w:r>
        <w:rPr>
          <w:rFonts w:eastAsia="Times New Roman"/>
          <w:color w:val="000000"/>
          <w:sz w:val="20"/>
          <w:szCs w:val="20"/>
        </w:rPr>
        <w:t>phic trends, portfolio concentrations, trends in internal credit quality indicators, and current and past underwriting standards that have occurred but are not yet reflected in the historical data underlying our loss estimates.</w:t>
      </w:r>
    </w:p>
    <w:p w:rsidR="00000000" w:rsidRDefault="00795D39">
      <w:pPr>
        <w:jc w:val="both"/>
        <w:divId w:val="2122914647"/>
        <w:rPr>
          <w:rFonts w:eastAsia="Times New Roman"/>
        </w:rPr>
      </w:pPr>
      <w:r>
        <w:rPr>
          <w:rFonts w:eastAsia="Times New Roman"/>
          <w:color w:val="000000"/>
          <w:sz w:val="20"/>
          <w:szCs w:val="20"/>
        </w:rPr>
        <w:t>The allowance related to smaller-balance homogeneous credit card and consumer banking loans whose terms have been modified in a TDR is calculated on a pool basis using historical loss experience, adjusted for current conditions and reasonable and supportab</w:t>
      </w:r>
      <w:r>
        <w:rPr>
          <w:rFonts w:eastAsia="Times New Roman"/>
          <w:color w:val="000000"/>
          <w:sz w:val="20"/>
          <w:szCs w:val="20"/>
        </w:rPr>
        <w:t xml:space="preserve">le forecasts of conditions likely to cause future losses which vary from historical levels for the respective class of assets. The allowance related to consumer banking loans that are assessed at a loan-level is determined based on key considerations that </w:t>
      </w:r>
      <w:r>
        <w:rPr>
          <w:rFonts w:eastAsia="Times New Roman"/>
          <w:color w:val="000000"/>
          <w:sz w:val="20"/>
          <w:szCs w:val="20"/>
        </w:rPr>
        <w:t>include the borrower’s overall financial condition, resources and payment history, prospects for support from financially responsible guarantors, and when applicable, the estimated realizable value of any collateral. The allowance related to commercial ban</w:t>
      </w:r>
      <w:r>
        <w:rPr>
          <w:rFonts w:eastAsia="Times New Roman"/>
          <w:color w:val="000000"/>
          <w:sz w:val="20"/>
          <w:szCs w:val="20"/>
        </w:rPr>
        <w:t>king loans that are assessed at a loan-level is generally determined in accordance with our policy for estimating expected credit losses for collateral-dependent loans as described above.</w:t>
      </w:r>
    </w:p>
    <w:p w:rsidR="00000000" w:rsidRDefault="00795D39">
      <w:pPr>
        <w:divId w:val="1453404912"/>
        <w:rPr>
          <w:rFonts w:eastAsia="Times New Roman"/>
        </w:rPr>
      </w:pPr>
      <w:r>
        <w:rPr>
          <w:rFonts w:eastAsia="Times New Roman"/>
          <w:b/>
          <w:bCs/>
          <w:i/>
          <w:iCs/>
          <w:color w:val="000000"/>
          <w:sz w:val="20"/>
          <w:szCs w:val="20"/>
        </w:rPr>
        <w:t>Off-balance sheet credit exposures</w:t>
      </w:r>
    </w:p>
    <w:p w:rsidR="00000000" w:rsidRDefault="00795D39">
      <w:pPr>
        <w:jc w:val="both"/>
        <w:divId w:val="947347594"/>
        <w:rPr>
          <w:rFonts w:eastAsia="Times New Roman"/>
        </w:rPr>
      </w:pPr>
      <w:r>
        <w:rPr>
          <w:rFonts w:eastAsia="Times New Roman"/>
          <w:color w:val="000000"/>
          <w:sz w:val="20"/>
          <w:szCs w:val="20"/>
        </w:rPr>
        <w:t xml:space="preserve">In addition to the allowance, we </w:t>
      </w:r>
      <w:r>
        <w:rPr>
          <w:rFonts w:eastAsia="Times New Roman"/>
          <w:color w:val="000000"/>
          <w:sz w:val="20"/>
          <w:szCs w:val="20"/>
        </w:rPr>
        <w:t>also measure expected credit losses related to unfunded lending commitments that are not unconditionally cancellable in our Commercial Banking business. This reserve is measured using the same measurement objectives as the allowance for loans held for inve</w:t>
      </w:r>
      <w:r>
        <w:rPr>
          <w:rFonts w:eastAsia="Times New Roman"/>
          <w:color w:val="000000"/>
          <w:sz w:val="20"/>
          <w:szCs w:val="20"/>
        </w:rPr>
        <w:t xml:space="preserve">stment and is recorded within other liabilities on our consolidated balance sheets. These commitments are segregated by risk according to our internal risk rating scale, which we use to assess credit quality and derive an expected credit loss estimate. We </w:t>
      </w:r>
      <w:r>
        <w:rPr>
          <w:rFonts w:eastAsia="Times New Roman"/>
          <w:color w:val="000000"/>
          <w:sz w:val="20"/>
          <w:szCs w:val="20"/>
        </w:rPr>
        <w:t>assess these risk classifications, taking into consideration both quantitative and qualitative factors, including historical loss experience, adjusted for current conditions and reasonable and supportable forecasts of conditions likely to cause future loss</w:t>
      </w:r>
      <w:r>
        <w:rPr>
          <w:rFonts w:eastAsia="Times New Roman"/>
          <w:color w:val="000000"/>
          <w:sz w:val="20"/>
          <w:szCs w:val="20"/>
        </w:rPr>
        <w:t>es which vary from historical levels, and utilization assumptions to estimate the reserve for unfunded lending commitments. Expected credit losses are not measured on unfunded lending commitments that are unconditionally cancellable, including all of our u</w:t>
      </w:r>
      <w:r>
        <w:rPr>
          <w:rFonts w:eastAsia="Times New Roman"/>
          <w:color w:val="000000"/>
          <w:sz w:val="20"/>
          <w:szCs w:val="20"/>
        </w:rPr>
        <w:t>nfunded credit card and consumer banking lending commitments and certain of our unfunded commercial banking lending commitments.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8548986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8548986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8548986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2" style="width:0;height:1.5pt" o:hralign="center" o:hrstd="t" o:hr="t" fillcolor="#a0a0a0" stroked="f"/>
        </w:pict>
      </w:r>
    </w:p>
    <w:p w:rsidR="00000000" w:rsidRDefault="00795D39">
      <w:pPr>
        <w:jc w:val="both"/>
        <w:divId w:val="386703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3867034"/>
        <w:rPr>
          <w:rFonts w:eastAsia="Times New Roman"/>
        </w:rPr>
      </w:pPr>
    </w:p>
    <w:p w:rsidR="00000000" w:rsidRDefault="00795D39">
      <w:pPr>
        <w:jc w:val="both"/>
        <w:divId w:val="2012834227"/>
        <w:rPr>
          <w:rFonts w:eastAsia="Times New Roman"/>
        </w:rPr>
      </w:pPr>
      <w:r>
        <w:rPr>
          <w:rFonts w:eastAsia="Times New Roman"/>
          <w:color w:val="000000"/>
          <w:sz w:val="20"/>
          <w:szCs w:val="20"/>
        </w:rPr>
        <w:t>Determining the appropriateness of the allowance and the reserve for unfunded lending commitments is complex and requires judgment by manageme</w:t>
      </w:r>
      <w:r>
        <w:rPr>
          <w:rFonts w:eastAsia="Times New Roman"/>
          <w:color w:val="000000"/>
          <w:sz w:val="20"/>
          <w:szCs w:val="20"/>
        </w:rPr>
        <w:t>nt about the effect of matters that are inherently uncertain. Subsequent evaluations of the loan portfolio, in light of the factors then prevailing, may result in significant changes in the reserve for unfunded lending commitments in future periods. See “N</w:t>
      </w:r>
      <w:r>
        <w:rPr>
          <w:rFonts w:eastAsia="Times New Roman"/>
          <w:color w:val="000000"/>
          <w:sz w:val="20"/>
          <w:szCs w:val="20"/>
        </w:rPr>
        <w:t>ote 4—Allowance for Credit Losses and Reserve for Unfunded Lending Commitments” for additional information.</w:t>
      </w:r>
    </w:p>
    <w:p w:rsidR="00000000" w:rsidRDefault="00795D39">
      <w:pPr>
        <w:divId w:val="209726071"/>
        <w:rPr>
          <w:rFonts w:eastAsia="Times New Roman"/>
        </w:rPr>
      </w:pPr>
      <w:r>
        <w:rPr>
          <w:rFonts w:eastAsia="Times New Roman"/>
          <w:b/>
          <w:bCs/>
          <w:i/>
          <w:iCs/>
          <w:color w:val="000000"/>
          <w:sz w:val="20"/>
          <w:szCs w:val="20"/>
        </w:rPr>
        <w:t>Allowance for Credit Losses - Available for Sale Investment Securities</w:t>
      </w:r>
    </w:p>
    <w:p w:rsidR="00000000" w:rsidRDefault="00795D39">
      <w:pPr>
        <w:jc w:val="both"/>
        <w:divId w:val="822893167"/>
        <w:rPr>
          <w:rFonts w:eastAsia="Times New Roman"/>
        </w:rPr>
      </w:pPr>
      <w:r>
        <w:rPr>
          <w:rFonts w:eastAsia="Times New Roman"/>
          <w:color w:val="000000"/>
          <w:sz w:val="20"/>
          <w:szCs w:val="20"/>
        </w:rPr>
        <w:t>When an investment security available for sale is impaired due to credit factors, we recognize a provision for credit losses in our consolidated statements of income and an allowance for credit losses on our consolidated balance sheets. Credit losses recog</w:t>
      </w:r>
      <w:r>
        <w:rPr>
          <w:rFonts w:eastAsia="Times New Roman"/>
          <w:color w:val="000000"/>
          <w:sz w:val="20"/>
          <w:szCs w:val="20"/>
        </w:rPr>
        <w:t>nized in the allowance for credit losses are limited to the amount by which the investment security’s amortized cost basis exceeds its fair value. Investment securities in unrealized gain positions do not have an allowance for credit losses as the investme</w:t>
      </w:r>
      <w:r>
        <w:rPr>
          <w:rFonts w:eastAsia="Times New Roman"/>
          <w:color w:val="000000"/>
          <w:sz w:val="20"/>
          <w:szCs w:val="20"/>
        </w:rPr>
        <w:t>nt security could be sold at its fair value to prevent realization of credit losses. We exclude accrued interest from the fair value and amortized cost basis of an investment security for purposes of measuring impairment. Charge-offs of uncollectible amoun</w:t>
      </w:r>
      <w:r>
        <w:rPr>
          <w:rFonts w:eastAsia="Times New Roman"/>
          <w:color w:val="000000"/>
          <w:sz w:val="20"/>
          <w:szCs w:val="20"/>
        </w:rPr>
        <w:t>ts of investment securities are deducted from the allowance for credit losses.</w:t>
      </w:r>
    </w:p>
    <w:p w:rsidR="00000000" w:rsidRDefault="00795D39">
      <w:pPr>
        <w:jc w:val="both"/>
        <w:divId w:val="1911454257"/>
        <w:rPr>
          <w:rFonts w:eastAsia="Times New Roman"/>
        </w:rPr>
      </w:pPr>
      <w:r>
        <w:rPr>
          <w:rFonts w:eastAsia="Times New Roman"/>
          <w:color w:val="000000"/>
          <w:sz w:val="20"/>
          <w:szCs w:val="20"/>
        </w:rPr>
        <w:t xml:space="preserve">For certain of our securities available for sale, we have determined that there is no risk of impairment due to credit factors. These investment securities include high quality </w:t>
      </w:r>
      <w:r>
        <w:rPr>
          <w:rFonts w:eastAsia="Times New Roman"/>
          <w:color w:val="000000"/>
          <w:sz w:val="20"/>
          <w:szCs w:val="20"/>
        </w:rPr>
        <w:t>debt instruments that are issued and guaranteed by the United States government and its agencies or are issued through certain government-sponsored enterprises. Management performs periodic assessments to reevaluate this conclusion by considering any chang</w:t>
      </w:r>
      <w:r>
        <w:rPr>
          <w:rFonts w:eastAsia="Times New Roman"/>
          <w:color w:val="000000"/>
          <w:sz w:val="20"/>
          <w:szCs w:val="20"/>
        </w:rPr>
        <w:t>es in historical losses, current conditions, and reasonable and supportable forecasts.</w:t>
      </w:r>
    </w:p>
    <w:p w:rsidR="00000000" w:rsidRDefault="00795D39">
      <w:pPr>
        <w:jc w:val="both"/>
        <w:divId w:val="1494028192"/>
        <w:rPr>
          <w:rFonts w:eastAsia="Times New Roman"/>
        </w:rPr>
      </w:pPr>
      <w:r>
        <w:rPr>
          <w:rFonts w:eastAsia="Times New Roman"/>
          <w:color w:val="000000"/>
          <w:sz w:val="20"/>
          <w:szCs w:val="20"/>
        </w:rPr>
        <w:t>We evaluate impairment on a quarterly basis at the individual security level and determine whether any portion of the decline in fair value is due to a credit loss. We m</w:t>
      </w:r>
      <w:r>
        <w:rPr>
          <w:rFonts w:eastAsia="Times New Roman"/>
          <w:color w:val="000000"/>
          <w:sz w:val="20"/>
          <w:szCs w:val="20"/>
        </w:rPr>
        <w:t>ake this determination through the use of quantitative and qualitative analyses. Our qualitative analysis includes factors such as the extent to which fair value is less than amortized cost, any changes in the security’s credit rating, past defaults or del</w:t>
      </w:r>
      <w:r>
        <w:rPr>
          <w:rFonts w:eastAsia="Times New Roman"/>
          <w:color w:val="000000"/>
          <w:sz w:val="20"/>
          <w:szCs w:val="20"/>
        </w:rPr>
        <w:t xml:space="preserve">ayed payments, and adverse conditions impacting the security or issuer. A credit loss exists to the extent that management does not expect to recover the amortized cost basis. </w:t>
      </w:r>
    </w:p>
    <w:p w:rsidR="00000000" w:rsidRDefault="00795D39">
      <w:pPr>
        <w:jc w:val="both"/>
        <w:divId w:val="1945765051"/>
        <w:rPr>
          <w:rFonts w:eastAsia="Times New Roman"/>
        </w:rPr>
      </w:pPr>
      <w:r>
        <w:rPr>
          <w:rFonts w:eastAsia="Times New Roman"/>
          <w:color w:val="000000"/>
          <w:sz w:val="20"/>
          <w:szCs w:val="20"/>
        </w:rPr>
        <w:t>For investment securities which require further assessment, we perform a quanti</w:t>
      </w:r>
      <w:r>
        <w:rPr>
          <w:rFonts w:eastAsia="Times New Roman"/>
          <w:color w:val="000000"/>
          <w:sz w:val="20"/>
          <w:szCs w:val="20"/>
        </w:rPr>
        <w:t>tative analysis using a discounted cash flow methodology and compare the present value of expected future cash flows from the security available for sale to the security’s amortized cost basis. Projected future cash flows reflect management’s best estimate</w:t>
      </w:r>
      <w:r>
        <w:rPr>
          <w:rFonts w:eastAsia="Times New Roman"/>
          <w:color w:val="000000"/>
          <w:sz w:val="20"/>
          <w:szCs w:val="20"/>
        </w:rPr>
        <w:t xml:space="preserve"> and are based on our understanding of past events, current conditions, reasonable and supportable forecasts, and are discounted by the security’s effective interest rate adjusted for prepayments. The allowance for credit losses for investment securities r</w:t>
      </w:r>
      <w:r>
        <w:rPr>
          <w:rFonts w:eastAsia="Times New Roman"/>
          <w:color w:val="000000"/>
          <w:sz w:val="20"/>
          <w:szCs w:val="20"/>
        </w:rPr>
        <w:t>eflects the difference by which the amortized cost basis exceeds the present value of future cash flows and is limited to the amount by which the security’s amortized cost exceeds its fair value. See “Note 2—Investment Securities” for additional informatio</w:t>
      </w:r>
      <w:r>
        <w:rPr>
          <w:rFonts w:eastAsia="Times New Roman"/>
          <w:color w:val="000000"/>
          <w:sz w:val="20"/>
          <w:szCs w:val="20"/>
        </w:rPr>
        <w:t>n.</w:t>
      </w:r>
    </w:p>
    <w:p w:rsidR="00000000" w:rsidRDefault="00795D39">
      <w:pPr>
        <w:divId w:val="278952850"/>
        <w:rPr>
          <w:rFonts w:eastAsia="Times New Roman"/>
        </w:rPr>
      </w:pPr>
      <w:r>
        <w:rPr>
          <w:rFonts w:eastAsia="Times New Roman"/>
          <w:b/>
          <w:bCs/>
          <w:color w:val="000000"/>
          <w:sz w:val="20"/>
          <w:szCs w:val="20"/>
        </w:rPr>
        <w:t>Revenue Recognition</w:t>
      </w:r>
    </w:p>
    <w:p w:rsidR="00000000" w:rsidRDefault="00795D39">
      <w:pPr>
        <w:divId w:val="1087190343"/>
        <w:rPr>
          <w:rFonts w:eastAsia="Times New Roman"/>
        </w:rPr>
      </w:pPr>
      <w:r>
        <w:rPr>
          <w:rFonts w:eastAsia="Times New Roman"/>
          <w:b/>
          <w:bCs/>
          <w:i/>
          <w:iCs/>
          <w:color w:val="000000"/>
          <w:sz w:val="20"/>
          <w:szCs w:val="20"/>
        </w:rPr>
        <w:t>Interest Income and Fees</w:t>
      </w:r>
    </w:p>
    <w:p w:rsidR="00000000" w:rsidRDefault="00795D39">
      <w:pPr>
        <w:jc w:val="both"/>
        <w:divId w:val="1831168712"/>
        <w:rPr>
          <w:rFonts w:eastAsia="Times New Roman"/>
        </w:rPr>
      </w:pPr>
      <w:r>
        <w:rPr>
          <w:rFonts w:eastAsia="Times New Roman"/>
          <w:color w:val="000000"/>
          <w:sz w:val="20"/>
          <w:szCs w:val="20"/>
        </w:rPr>
        <w:t>Interest income and fees on loans and investment securities are recognized based on the contractual provisions of the underlying arrangements.</w:t>
      </w:r>
    </w:p>
    <w:p w:rsidR="00000000" w:rsidRDefault="00795D39">
      <w:pPr>
        <w:jc w:val="both"/>
        <w:divId w:val="769470689"/>
        <w:rPr>
          <w:rFonts w:eastAsia="Times New Roman"/>
        </w:rPr>
      </w:pPr>
      <w:r>
        <w:rPr>
          <w:rFonts w:eastAsia="Times New Roman"/>
          <w:color w:val="000000"/>
          <w:sz w:val="20"/>
          <w:szCs w:val="20"/>
        </w:rPr>
        <w:t>Loan origination fees and costs and premiums and discounts on loa</w:t>
      </w:r>
      <w:r>
        <w:rPr>
          <w:rFonts w:eastAsia="Times New Roman"/>
          <w:color w:val="000000"/>
          <w:sz w:val="20"/>
          <w:szCs w:val="20"/>
        </w:rPr>
        <w:t>ns held for investment are deferred and generally amortized into interest income as yield adjustments over the contractual life and/or commitment period using the effective interest method. Costs deferred include direct origination costs such as bounties p</w:t>
      </w:r>
      <w:r>
        <w:rPr>
          <w:rFonts w:eastAsia="Times New Roman"/>
          <w:color w:val="000000"/>
          <w:sz w:val="20"/>
          <w:szCs w:val="20"/>
        </w:rPr>
        <w:t>aid to third parties for new accounts and incentives paid to our network of auto dealers for loan referrals. In certain circumstances, we elect to factor prepayment estimates into the calculation of the constant effective yield necessary to apply the inter</w:t>
      </w:r>
      <w:r>
        <w:rPr>
          <w:rFonts w:eastAsia="Times New Roman"/>
          <w:color w:val="000000"/>
          <w:sz w:val="20"/>
          <w:szCs w:val="20"/>
        </w:rPr>
        <w:t xml:space="preserve">est method. Prepayment estimates are based on historical prepayment data, existing and forecasted interest rates, and economic data. For credit card loans, loan origination fees and direct loan origination costs are amortized on a straight-line basis over </w:t>
      </w:r>
      <w:r>
        <w:rPr>
          <w:rFonts w:eastAsia="Times New Roman"/>
          <w:color w:val="000000"/>
          <w:sz w:val="20"/>
          <w:szCs w:val="20"/>
        </w:rPr>
        <w:t>a 12-month period.</w:t>
      </w:r>
    </w:p>
    <w:p w:rsidR="00000000" w:rsidRDefault="00795D39">
      <w:pPr>
        <w:jc w:val="both"/>
        <w:divId w:val="1078017008"/>
        <w:rPr>
          <w:rFonts w:eastAsia="Times New Roman"/>
        </w:rPr>
      </w:pPr>
      <w:r>
        <w:rPr>
          <w:rFonts w:eastAsia="Times New Roman"/>
          <w:color w:val="000000"/>
          <w:sz w:val="20"/>
          <w:szCs w:val="20"/>
        </w:rPr>
        <w:t>Unamortized premiums, discounts and other basis adjustments on investment securities are generally recognized in interest income over the contractual lives of the securities using the effective interest method. However, premiums for cert</w:t>
      </w:r>
      <w:r>
        <w:rPr>
          <w:rFonts w:eastAsia="Times New Roman"/>
          <w:color w:val="000000"/>
          <w:sz w:val="20"/>
          <w:szCs w:val="20"/>
        </w:rPr>
        <w:t xml:space="preserve">ain callable investment securities are amortized to the earliest call date.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10272047"/>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1027204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1027204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3" style="width:0;height:1.5pt" o:hralign="center" o:hrstd="t" o:hr="t" fillcolor="#a0a0a0" stroked="f"/>
        </w:pict>
      </w:r>
    </w:p>
    <w:p w:rsidR="00000000" w:rsidRDefault="00795D39">
      <w:pPr>
        <w:jc w:val="both"/>
        <w:divId w:val="113463696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134636968"/>
        <w:rPr>
          <w:rFonts w:eastAsia="Times New Roman"/>
        </w:rPr>
      </w:pPr>
    </w:p>
    <w:p w:rsidR="00000000" w:rsidRDefault="00795D39">
      <w:pPr>
        <w:jc w:val="both"/>
        <w:divId w:val="1206025967"/>
        <w:rPr>
          <w:rFonts w:eastAsia="Times New Roman"/>
        </w:rPr>
      </w:pPr>
      <w:r>
        <w:rPr>
          <w:rFonts w:eastAsia="Times New Roman"/>
          <w:color w:val="000000"/>
          <w:sz w:val="20"/>
          <w:szCs w:val="20"/>
        </w:rPr>
        <w:t>Finance charges and fees on credit card loans are recorded in revenue when earned. Billed finance charges and fees on credit card loans are included in loan receivables. Unbilled finance charges and fees on credit card loans are included in interest receiv</w:t>
      </w:r>
      <w:r>
        <w:rPr>
          <w:rFonts w:eastAsia="Times New Roman"/>
          <w:color w:val="000000"/>
          <w:sz w:val="20"/>
          <w:szCs w:val="20"/>
        </w:rPr>
        <w:t>able on our consolidated balance sheets. Annual membership fees are classified as service charges and other customer-related fees in our consolidated statements of income and are deferred and amortized into income over 12 months on a straight-line basis. W</w:t>
      </w:r>
      <w:r>
        <w:rPr>
          <w:rFonts w:eastAsia="Times New Roman"/>
          <w:color w:val="000000"/>
          <w:sz w:val="20"/>
          <w:szCs w:val="20"/>
        </w:rPr>
        <w:t>e continue to accrue finance charges and fees on credit card loans until the account is charged off.</w:t>
      </w:r>
    </w:p>
    <w:p w:rsidR="00000000" w:rsidRDefault="00795D39">
      <w:pPr>
        <w:divId w:val="1470710625"/>
        <w:rPr>
          <w:rFonts w:eastAsia="Times New Roman"/>
        </w:rPr>
      </w:pPr>
      <w:r>
        <w:rPr>
          <w:rFonts w:eastAsia="Times New Roman"/>
          <w:b/>
          <w:bCs/>
          <w:color w:val="000000"/>
          <w:sz w:val="20"/>
          <w:szCs w:val="20"/>
        </w:rPr>
        <w:t>Newly Adopted Accounting Standards During the Nine Months Ended September 30, 2020</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0"/>
        <w:gridCol w:w="2592"/>
        <w:gridCol w:w="36"/>
        <w:gridCol w:w="36"/>
        <w:gridCol w:w="36"/>
        <w:gridCol w:w="36"/>
        <w:gridCol w:w="42"/>
        <w:gridCol w:w="2606"/>
        <w:gridCol w:w="38"/>
      </w:tblGrid>
      <w:tr w:rsidR="00000000">
        <w:trPr>
          <w:divId w:val="2048329492"/>
          <w:jc w:val="center"/>
        </w:trPr>
        <w:tc>
          <w:tcPr>
            <w:tcW w:w="50" w:type="pct"/>
            <w:vAlign w:val="center"/>
            <w:hideMark/>
          </w:tcPr>
          <w:p w:rsidR="00000000" w:rsidRDefault="00795D39">
            <w:pPr>
              <w:rPr>
                <w:rFonts w:eastAsia="Times New Roman"/>
              </w:rPr>
            </w:pPr>
          </w:p>
        </w:tc>
        <w:tc>
          <w:tcPr>
            <w:tcW w:w="15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5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5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48329492"/>
          <w:jc w:val="center"/>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Adoption Timing and Financial Statement Impacts</w:t>
            </w:r>
          </w:p>
        </w:tc>
      </w:tr>
      <w:tr w:rsidR="00000000">
        <w:trPr>
          <w:divId w:val="2048329492"/>
          <w:jc w:val="center"/>
        </w:trPr>
        <w:tc>
          <w:tcPr>
            <w:tcW w:w="0" w:type="auto"/>
            <w:gridSpan w:val="3"/>
            <w:tcBorders>
              <w:top w:val="single" w:sz="8" w:space="0" w:color="000000"/>
            </w:tcBorders>
            <w:tcMar>
              <w:top w:w="30" w:type="dxa"/>
              <w:left w:w="20" w:type="dxa"/>
              <w:bottom w:w="30" w:type="dxa"/>
              <w:right w:w="20" w:type="dxa"/>
            </w:tcMar>
            <w:hideMark/>
          </w:tcPr>
          <w:p w:rsidR="00000000" w:rsidRDefault="00795D39">
            <w:pPr>
              <w:divId w:val="2038773303"/>
              <w:rPr>
                <w:rFonts w:eastAsia="Times New Roman"/>
              </w:rPr>
            </w:pPr>
            <w:r>
              <w:rPr>
                <w:rFonts w:eastAsia="Times New Roman"/>
                <w:b/>
                <w:bCs/>
                <w:color w:val="000000"/>
                <w:sz w:val="18"/>
                <w:szCs w:val="18"/>
              </w:rPr>
              <w:t>Cloud Computing</w:t>
            </w:r>
          </w:p>
          <w:p w:rsidR="00000000" w:rsidRDefault="00795D39">
            <w:pPr>
              <w:divId w:val="1740250888"/>
              <w:rPr>
                <w:rFonts w:eastAsia="Times New Roman"/>
              </w:rPr>
            </w:pPr>
            <w:r>
              <w:rPr>
                <w:rFonts w:eastAsia="Times New Roman"/>
                <w:color w:val="000000"/>
                <w:sz w:val="18"/>
                <w:szCs w:val="18"/>
              </w:rPr>
              <w:t xml:space="preserve">ASU No. 2018-15, Intangibles—Goodwill and Other—Internal-Use Software (Subtopic 350-40): </w:t>
            </w:r>
            <w:r>
              <w:rPr>
                <w:rFonts w:eastAsia="Times New Roman"/>
                <w:i/>
                <w:iCs/>
                <w:color w:val="000000"/>
                <w:sz w:val="18"/>
                <w:szCs w:val="18"/>
              </w:rPr>
              <w:t>Customer’</w:t>
            </w:r>
            <w:r>
              <w:rPr>
                <w:rFonts w:eastAsia="Times New Roman"/>
                <w:i/>
                <w:iCs/>
                <w:color w:val="000000"/>
                <w:sz w:val="18"/>
                <w:szCs w:val="18"/>
              </w:rPr>
              <w:t>s Accounting for Implementation Costs Incurred in a Cloud Computing Arrangement That Is a Service Contract</w:t>
            </w:r>
          </w:p>
          <w:p w:rsidR="00000000" w:rsidRDefault="00795D39">
            <w:pPr>
              <w:divId w:val="110445464"/>
              <w:rPr>
                <w:rFonts w:eastAsia="Times New Roman"/>
              </w:rPr>
            </w:pPr>
            <w:r>
              <w:rPr>
                <w:rFonts w:eastAsia="Times New Roman"/>
                <w:i/>
                <w:iCs/>
                <w:color w:val="000000"/>
                <w:sz w:val="18"/>
                <w:szCs w:val="18"/>
              </w:rPr>
              <w:t>Issued August 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divId w:val="1043284564"/>
              <w:rPr>
                <w:rFonts w:eastAsia="Times New Roman"/>
              </w:rPr>
            </w:pPr>
            <w:r>
              <w:rPr>
                <w:rFonts w:eastAsia="Times New Roman"/>
                <w:color w:val="000000"/>
                <w:sz w:val="18"/>
                <w:szCs w:val="18"/>
              </w:rPr>
              <w:t>Aligns the requirements for capitalizing implementation costs incurred in a hosting arrangement that is a service contract wi</w:t>
            </w:r>
            <w:r>
              <w:rPr>
                <w:rFonts w:eastAsia="Times New Roman"/>
                <w:color w:val="000000"/>
                <w:sz w:val="18"/>
                <w:szCs w:val="18"/>
              </w:rPr>
              <w:t>th the requirements for capitalizing implementation costs incurred to develop or obtain internal-use software (and hosting arrangements that include an internal-use software license).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divId w:val="770668456"/>
              <w:rPr>
                <w:rFonts w:eastAsia="Times New Roman"/>
              </w:rPr>
            </w:pPr>
            <w:r>
              <w:rPr>
                <w:rFonts w:eastAsia="Times New Roman"/>
                <w:color w:val="000000"/>
                <w:sz w:val="18"/>
                <w:szCs w:val="18"/>
              </w:rPr>
              <w:t>We adopted this guidance in the first quarter of 2020 using the prospective method of adoption.</w:t>
            </w:r>
          </w:p>
          <w:p w:rsidR="00000000" w:rsidRDefault="00795D39">
            <w:pPr>
              <w:divId w:val="614822929"/>
              <w:rPr>
                <w:rFonts w:eastAsia="Times New Roman"/>
              </w:rPr>
            </w:pPr>
            <w:r>
              <w:rPr>
                <w:rFonts w:eastAsia="Times New Roman"/>
                <w:color w:val="000000"/>
                <w:sz w:val="18"/>
                <w:szCs w:val="18"/>
              </w:rPr>
              <w:t>Our adoption of this standard did not have a material impact on our consolidated financial statements.</w:t>
            </w:r>
          </w:p>
        </w:tc>
      </w:tr>
      <w:tr w:rsidR="00000000">
        <w:trPr>
          <w:divId w:val="2048329492"/>
          <w:jc w:val="center"/>
        </w:trPr>
        <w:tc>
          <w:tcPr>
            <w:tcW w:w="0" w:type="auto"/>
            <w:gridSpan w:val="3"/>
            <w:tcBorders>
              <w:top w:val="single" w:sz="8" w:space="0" w:color="000000"/>
            </w:tcBorders>
            <w:tcMar>
              <w:top w:w="30" w:type="dxa"/>
              <w:left w:w="20" w:type="dxa"/>
              <w:bottom w:w="30" w:type="dxa"/>
              <w:right w:w="20" w:type="dxa"/>
            </w:tcMar>
            <w:hideMark/>
          </w:tcPr>
          <w:p w:rsidR="00000000" w:rsidRDefault="00795D39">
            <w:pPr>
              <w:divId w:val="1656641684"/>
              <w:rPr>
                <w:rFonts w:eastAsia="Times New Roman"/>
              </w:rPr>
            </w:pPr>
            <w:r>
              <w:rPr>
                <w:rFonts w:eastAsia="Times New Roman"/>
                <w:b/>
                <w:bCs/>
                <w:color w:val="000000"/>
                <w:sz w:val="18"/>
                <w:szCs w:val="18"/>
              </w:rPr>
              <w:t>Goodwill Impairment Test Simplification</w:t>
            </w:r>
          </w:p>
          <w:p w:rsidR="00000000" w:rsidRDefault="00795D39">
            <w:pPr>
              <w:divId w:val="1463041131"/>
              <w:rPr>
                <w:rFonts w:eastAsia="Times New Roman"/>
              </w:rPr>
            </w:pPr>
            <w:r>
              <w:rPr>
                <w:rFonts w:eastAsia="Times New Roman"/>
                <w:color w:val="000000"/>
                <w:sz w:val="18"/>
                <w:szCs w:val="18"/>
              </w:rPr>
              <w:t>ASU No. 2017-0</w:t>
            </w:r>
            <w:r>
              <w:rPr>
                <w:rFonts w:eastAsia="Times New Roman"/>
                <w:color w:val="000000"/>
                <w:sz w:val="18"/>
                <w:szCs w:val="18"/>
              </w:rPr>
              <w:t xml:space="preserve">4, Intangibles—Goodwill and Other (Topic 350): </w:t>
            </w:r>
            <w:r>
              <w:rPr>
                <w:rFonts w:eastAsia="Times New Roman"/>
                <w:i/>
                <w:iCs/>
                <w:color w:val="000000"/>
                <w:sz w:val="18"/>
                <w:szCs w:val="18"/>
              </w:rPr>
              <w:t>Simplifying the Test for Goodwill Impairment</w:t>
            </w:r>
          </w:p>
          <w:p w:rsidR="00000000" w:rsidRDefault="00795D39">
            <w:pPr>
              <w:divId w:val="2124030704"/>
              <w:rPr>
                <w:rFonts w:eastAsia="Times New Roman"/>
              </w:rPr>
            </w:pPr>
            <w:r>
              <w:rPr>
                <w:rFonts w:eastAsia="Times New Roman"/>
                <w:i/>
                <w:iCs/>
                <w:color w:val="000000"/>
                <w:sz w:val="18"/>
                <w:szCs w:val="18"/>
              </w:rPr>
              <w:t>Issued January 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divId w:val="1899894602"/>
              <w:rPr>
                <w:rFonts w:eastAsia="Times New Roman"/>
              </w:rPr>
            </w:pPr>
            <w:r>
              <w:rPr>
                <w:rFonts w:eastAsia="Times New Roman"/>
                <w:color w:val="000000"/>
                <w:sz w:val="18"/>
                <w:szCs w:val="18"/>
              </w:rPr>
              <w:t>Historical guidance for goodwill impairment testing prescribed that the company must compare each reporting unit’s carrying value to its fa</w:t>
            </w:r>
            <w:r>
              <w:rPr>
                <w:rFonts w:eastAsia="Times New Roman"/>
                <w:color w:val="000000"/>
                <w:sz w:val="18"/>
                <w:szCs w:val="18"/>
              </w:rPr>
              <w:t>ir value. If the carrying value exceeds fair value, an entity performs the second step, which assigns the reporting unit’s fair value to its assets and liabilities, including unrecognized assets and liabilities, in the same manner as required in purchase a</w:t>
            </w:r>
            <w:r>
              <w:rPr>
                <w:rFonts w:eastAsia="Times New Roman"/>
                <w:color w:val="000000"/>
                <w:sz w:val="18"/>
                <w:szCs w:val="18"/>
              </w:rPr>
              <w:t>ccounting and then records an impairment. This ASU eliminates the second step.</w:t>
            </w:r>
          </w:p>
          <w:p w:rsidR="00000000" w:rsidRDefault="00795D39">
            <w:pPr>
              <w:divId w:val="2017607391"/>
              <w:rPr>
                <w:rFonts w:eastAsia="Times New Roman"/>
              </w:rPr>
            </w:pPr>
            <w:r>
              <w:rPr>
                <w:rFonts w:eastAsia="Times New Roman"/>
                <w:color w:val="000000"/>
                <w:sz w:val="18"/>
                <w:szCs w:val="18"/>
              </w:rPr>
              <w:t>Under the new guidance, an impairment of a reporting unit’s goodwill is determined based on the amount by which the reporting unit’s carrying value exceeds its fair value, limit</w:t>
            </w:r>
            <w:r>
              <w:rPr>
                <w:rFonts w:eastAsia="Times New Roman"/>
                <w:color w:val="000000"/>
                <w:sz w:val="18"/>
                <w:szCs w:val="18"/>
              </w:rPr>
              <w:t>ed to the amount of goodwill allocated to the reporting unit.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divId w:val="2036694175"/>
              <w:rPr>
                <w:rFonts w:eastAsia="Times New Roman"/>
              </w:rPr>
            </w:pPr>
            <w:r>
              <w:rPr>
                <w:rFonts w:eastAsia="Times New Roman"/>
                <w:color w:val="000000"/>
                <w:sz w:val="18"/>
                <w:szCs w:val="18"/>
              </w:rPr>
              <w:t xml:space="preserve">We adopted this guidance in the first quarter of 2020 using the prospective method of adoption. </w:t>
            </w:r>
          </w:p>
          <w:p w:rsidR="00000000" w:rsidRDefault="00795D39">
            <w:pPr>
              <w:divId w:val="119302384"/>
              <w:rPr>
                <w:rFonts w:eastAsia="Times New Roman"/>
              </w:rPr>
            </w:pPr>
            <w:r>
              <w:rPr>
                <w:rFonts w:eastAsia="Times New Roman"/>
                <w:color w:val="000000"/>
                <w:sz w:val="18"/>
                <w:szCs w:val="18"/>
              </w:rPr>
              <w:t>Our adoption of this standard did not have a material impact on our consolidated financial s</w:t>
            </w:r>
            <w:r>
              <w:rPr>
                <w:rFonts w:eastAsia="Times New Roman"/>
                <w:color w:val="000000"/>
                <w:sz w:val="18"/>
                <w:szCs w:val="18"/>
              </w:rPr>
              <w:t>tatements.</w:t>
            </w:r>
          </w:p>
        </w:tc>
      </w:tr>
      <w:tr w:rsidR="00000000">
        <w:trPr>
          <w:divId w:val="2048329492"/>
          <w:jc w:val="center"/>
        </w:trPr>
        <w:tc>
          <w:tcPr>
            <w:tcW w:w="0" w:type="auto"/>
            <w:gridSpan w:val="3"/>
            <w:tcBorders>
              <w:top w:val="single" w:sz="8" w:space="0" w:color="000000"/>
            </w:tcBorders>
            <w:tcMar>
              <w:top w:w="30" w:type="dxa"/>
              <w:left w:w="20" w:type="dxa"/>
              <w:bottom w:w="30" w:type="dxa"/>
              <w:right w:w="20" w:type="dxa"/>
            </w:tcMar>
            <w:hideMark/>
          </w:tcPr>
          <w:p w:rsidR="00000000" w:rsidRDefault="00795D39">
            <w:pPr>
              <w:divId w:val="1789271450"/>
              <w:rPr>
                <w:rFonts w:eastAsia="Times New Roman"/>
              </w:rPr>
            </w:pPr>
            <w:r>
              <w:rPr>
                <w:rFonts w:eastAsia="Times New Roman"/>
                <w:b/>
                <w:bCs/>
                <w:color w:val="000000"/>
                <w:sz w:val="18"/>
                <w:szCs w:val="18"/>
              </w:rPr>
              <w:t>Current Expected Credit Loss (“CECL”)</w:t>
            </w:r>
          </w:p>
          <w:p w:rsidR="00000000" w:rsidRDefault="00795D39">
            <w:pPr>
              <w:divId w:val="540943822"/>
              <w:rPr>
                <w:rFonts w:eastAsia="Times New Roman"/>
              </w:rPr>
            </w:pPr>
            <w:r>
              <w:rPr>
                <w:rFonts w:eastAsia="Times New Roman"/>
                <w:color w:val="000000"/>
                <w:sz w:val="18"/>
                <w:szCs w:val="18"/>
              </w:rPr>
              <w:t xml:space="preserve">ASU No. 2016-13, Financial Instruments—Credit Losses (Topic 326): </w:t>
            </w:r>
            <w:r>
              <w:rPr>
                <w:rFonts w:eastAsia="Times New Roman"/>
                <w:i/>
                <w:iCs/>
                <w:color w:val="000000"/>
                <w:sz w:val="18"/>
                <w:szCs w:val="18"/>
              </w:rPr>
              <w:t>Measurement of Credit Losses on Financial Instruments</w:t>
            </w:r>
          </w:p>
          <w:p w:rsidR="00000000" w:rsidRDefault="00795D39">
            <w:pPr>
              <w:divId w:val="1674340115"/>
              <w:rPr>
                <w:rFonts w:eastAsia="Times New Roman"/>
              </w:rPr>
            </w:pPr>
            <w:r>
              <w:rPr>
                <w:rFonts w:eastAsia="Times New Roman"/>
                <w:i/>
                <w:iCs/>
                <w:color w:val="000000"/>
                <w:sz w:val="18"/>
                <w:szCs w:val="18"/>
              </w:rPr>
              <w:t>Issued June 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divId w:val="1534343938"/>
              <w:rPr>
                <w:rFonts w:eastAsia="Times New Roman"/>
              </w:rPr>
            </w:pPr>
            <w:r>
              <w:rPr>
                <w:rFonts w:eastAsia="Times New Roman"/>
                <w:color w:val="000000"/>
                <w:sz w:val="18"/>
                <w:szCs w:val="18"/>
              </w:rPr>
              <w:t>Requires use of the current expected credit loss model that is based on expected losses (net of expected recoveries), rather than incurred losses, to determine our allowance for credit losses on financial assets measured at amortized cost, certain net inve</w:t>
            </w:r>
            <w:r>
              <w:rPr>
                <w:rFonts w:eastAsia="Times New Roman"/>
                <w:color w:val="000000"/>
                <w:sz w:val="18"/>
                <w:szCs w:val="18"/>
              </w:rPr>
              <w:t>stments in leases and certain off-balance sheet arrangements.</w:t>
            </w:r>
          </w:p>
          <w:p w:rsidR="00000000" w:rsidRDefault="00795D39">
            <w:pPr>
              <w:divId w:val="1696078603"/>
              <w:rPr>
                <w:rFonts w:eastAsia="Times New Roman"/>
              </w:rPr>
            </w:pPr>
          </w:p>
          <w:p w:rsidR="00000000" w:rsidRDefault="00795D39">
            <w:pPr>
              <w:divId w:val="2109813155"/>
              <w:rPr>
                <w:rFonts w:eastAsia="Times New Roman"/>
              </w:rPr>
            </w:pPr>
            <w:r>
              <w:rPr>
                <w:rFonts w:eastAsia="Times New Roman"/>
                <w:color w:val="000000"/>
                <w:sz w:val="18"/>
                <w:szCs w:val="18"/>
              </w:rPr>
              <w:t>Replaces current accounting for purchased credit-impaired (“PCI”) and impaired loans.</w:t>
            </w:r>
          </w:p>
          <w:p w:rsidR="00000000" w:rsidRDefault="00795D39">
            <w:pPr>
              <w:divId w:val="1673876273"/>
              <w:rPr>
                <w:rFonts w:eastAsia="Times New Roman"/>
              </w:rPr>
            </w:pPr>
          </w:p>
          <w:p w:rsidR="00000000" w:rsidRDefault="00795D39">
            <w:pPr>
              <w:divId w:val="312685847"/>
              <w:rPr>
                <w:rFonts w:eastAsia="Times New Roman"/>
              </w:rPr>
            </w:pPr>
            <w:r>
              <w:rPr>
                <w:rFonts w:eastAsia="Times New Roman"/>
                <w:color w:val="000000"/>
                <w:sz w:val="18"/>
                <w:szCs w:val="18"/>
              </w:rPr>
              <w:t>Amends the other-than-temporary impairment model for available for sale debt securities. The new guidanc</w:t>
            </w:r>
            <w:r>
              <w:rPr>
                <w:rFonts w:eastAsia="Times New Roman"/>
                <w:color w:val="000000"/>
                <w:sz w:val="18"/>
                <w:szCs w:val="18"/>
              </w:rPr>
              <w:t>e requires that credit losses be recorded through an allowance approach, rather than through permanent write-downs for credit losses and subsequent accretion of positive changes through interest income over time.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divId w:val="1450197869"/>
              <w:rPr>
                <w:rFonts w:eastAsia="Times New Roman"/>
              </w:rPr>
            </w:pPr>
            <w:r>
              <w:rPr>
                <w:rFonts w:eastAsia="Times New Roman"/>
                <w:color w:val="000000"/>
                <w:sz w:val="18"/>
                <w:szCs w:val="18"/>
              </w:rPr>
              <w:t xml:space="preserve">We adopted this guidance in the first </w:t>
            </w:r>
            <w:r>
              <w:rPr>
                <w:rFonts w:eastAsia="Times New Roman"/>
                <w:color w:val="000000"/>
                <w:sz w:val="18"/>
                <w:szCs w:val="18"/>
              </w:rPr>
              <w:t>quarter of 2020, using the modified retrospective method of adoption.</w:t>
            </w:r>
          </w:p>
          <w:p w:rsidR="00000000" w:rsidRDefault="00795D39">
            <w:pPr>
              <w:divId w:val="1492140767"/>
              <w:rPr>
                <w:rFonts w:eastAsia="Times New Roman"/>
              </w:rPr>
            </w:pPr>
          </w:p>
          <w:p w:rsidR="00000000" w:rsidRDefault="00795D39">
            <w:pPr>
              <w:divId w:val="1865093198"/>
              <w:rPr>
                <w:rFonts w:eastAsia="Times New Roman"/>
              </w:rPr>
            </w:pPr>
            <w:r>
              <w:rPr>
                <w:rFonts w:eastAsia="Times New Roman"/>
                <w:color w:val="000000"/>
                <w:sz w:val="18"/>
                <w:szCs w:val="18"/>
              </w:rPr>
              <w:t>Upon adoption, we recorded an increase to our reserves for credit losses of $2.9 billion, an increase to our deferred tax assets of $694 million, and a decrease to our retained earning</w:t>
            </w:r>
            <w:r>
              <w:rPr>
                <w:rFonts w:eastAsia="Times New Roman"/>
                <w:color w:val="000000"/>
                <w:sz w:val="18"/>
                <w:szCs w:val="18"/>
              </w:rPr>
              <w:t xml:space="preserve">s of $2.2 billion. </w:t>
            </w:r>
          </w:p>
          <w:p w:rsidR="00000000" w:rsidRDefault="00795D39">
            <w:pPr>
              <w:divId w:val="365907607"/>
              <w:rPr>
                <w:rFonts w:eastAsia="Times New Roman"/>
              </w:rPr>
            </w:pPr>
          </w:p>
          <w:p w:rsidR="00000000" w:rsidRDefault="00795D39">
            <w:pPr>
              <w:divId w:val="129249194"/>
              <w:rPr>
                <w:rFonts w:eastAsia="Times New Roman"/>
              </w:rPr>
            </w:pPr>
            <w:r>
              <w:rPr>
                <w:rFonts w:eastAsia="Times New Roman"/>
                <w:color w:val="000000"/>
                <w:sz w:val="18"/>
                <w:szCs w:val="18"/>
              </w:rPr>
              <w:t>Additionally, we made a prospective change to present our finance charge and fee reserve as a component of our allowance for credit losses instead of as an offset to our loans held for investment. This balance sheet reclassification i</w:t>
            </w:r>
            <w:r>
              <w:rPr>
                <w:rFonts w:eastAsia="Times New Roman"/>
                <w:color w:val="000000"/>
                <w:sz w:val="18"/>
                <w:szCs w:val="18"/>
              </w:rPr>
              <w:t xml:space="preserve">ncreased our allowance for credit losses, with a corresponding increase to our loans held for investment by $462 million as of January 1, 2020. </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jc w:val="cente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4" style="width:0;height:1.5pt" o:hralign="center" o:hrstd="t" o:hr="t" fillcolor="#a0a0a0" stroked="f"/>
        </w:pict>
      </w:r>
    </w:p>
    <w:p w:rsidR="00000000" w:rsidRDefault="00795D39">
      <w:pPr>
        <w:jc w:val="both"/>
        <w:divId w:val="188575177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88575177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68982574"/>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6898257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divId w:val="1860655944"/>
              <w:rPr>
                <w:rFonts w:eastAsia="Times New Roman"/>
              </w:rPr>
            </w:pPr>
            <w:r>
              <w:rPr>
                <w:rFonts w:eastAsia="Times New Roman"/>
                <w:b/>
                <w:bCs/>
                <w:color w:val="000000"/>
                <w:sz w:val="20"/>
                <w:szCs w:val="20"/>
              </w:rPr>
              <w:t>NOTE 2—INVESTMENT SECURITIES</w:t>
            </w:r>
          </w:p>
        </w:tc>
      </w:tr>
    </w:tbl>
    <w:p w:rsidR="00000000" w:rsidRDefault="00795D39">
      <w:pPr>
        <w:jc w:val="both"/>
        <w:divId w:val="961837783"/>
        <w:rPr>
          <w:rFonts w:eastAsia="Times New Roman"/>
        </w:rPr>
      </w:pPr>
      <w:r>
        <w:rPr>
          <w:rFonts w:eastAsia="Times New Roman"/>
          <w:color w:val="000000"/>
          <w:sz w:val="20"/>
          <w:szCs w:val="20"/>
        </w:rPr>
        <w:t xml:space="preserve">Our investment securities portfolio consists of the following: U.S. Treasury securities, U.S. government-sponsored enterprise or agency (“Agency”) and non-agency residential mortgage-backed securities (“RMBS”), Agency commercial mortgage-backed securities </w:t>
      </w:r>
      <w:r>
        <w:rPr>
          <w:rFonts w:eastAsia="Times New Roman"/>
          <w:color w:val="000000"/>
          <w:sz w:val="20"/>
          <w:szCs w:val="20"/>
        </w:rPr>
        <w:t>(“CMBS”) and other securities. Agency securities include Government National Mortgage Association (“Ginnie Mae”) guaranteed securities, Federal National Mortgage Association (“Fannie Mae”) and Federal Home Loan Mortgage Corporation (“Freddie Mac”) issued s</w:t>
      </w:r>
      <w:r>
        <w:rPr>
          <w:rFonts w:eastAsia="Times New Roman"/>
          <w:color w:val="000000"/>
          <w:sz w:val="20"/>
          <w:szCs w:val="20"/>
        </w:rPr>
        <w:t>ecurities. The carrying value of our investments in U.S. Treasury and Agency securities represented 96% of our total investment securities portfolio as of both September 30, 2020 and December 31, 2019.</w:t>
      </w:r>
    </w:p>
    <w:p w:rsidR="00000000" w:rsidRDefault="00795D39">
      <w:pPr>
        <w:jc w:val="both"/>
        <w:divId w:val="1160929069"/>
        <w:rPr>
          <w:rFonts w:eastAsia="Times New Roman"/>
        </w:rPr>
      </w:pPr>
      <w:r>
        <w:rPr>
          <w:rFonts w:eastAsia="Times New Roman"/>
          <w:color w:val="000000"/>
          <w:sz w:val="20"/>
          <w:szCs w:val="20"/>
        </w:rPr>
        <w:t>In the first quarter of 2020, we adopted the CECL stan</w:t>
      </w:r>
      <w:r>
        <w:rPr>
          <w:rFonts w:eastAsia="Times New Roman"/>
          <w:color w:val="000000"/>
          <w:sz w:val="20"/>
          <w:szCs w:val="20"/>
        </w:rPr>
        <w:t>dard. For our purchased credit-deteriorated (“PCD”) securities, which are classified as available for sale, this adoption resulted in an increase of their amortized cost basis and related allowance for credit losses. The allowance for credit losses for the</w:t>
      </w:r>
      <w:r>
        <w:rPr>
          <w:rFonts w:eastAsia="Times New Roman"/>
          <w:color w:val="000000"/>
          <w:sz w:val="20"/>
          <w:szCs w:val="20"/>
        </w:rPr>
        <w:t xml:space="preserve">se PCD securities is limited to the amount by which the amortized cost basis of the security exceeds its fair value. This limitation resulted in an increase of $11 million to our retained earnings with a corresponding decrease in AOCI at adoption. </w:t>
      </w:r>
    </w:p>
    <w:p w:rsidR="00000000" w:rsidRDefault="00795D39">
      <w:pPr>
        <w:jc w:val="both"/>
        <w:divId w:val="1464426998"/>
        <w:rPr>
          <w:rFonts w:eastAsia="Times New Roman"/>
        </w:rPr>
      </w:pPr>
      <w:r>
        <w:rPr>
          <w:rFonts w:eastAsia="Times New Roman"/>
          <w:color w:val="000000"/>
          <w:sz w:val="20"/>
          <w:szCs w:val="20"/>
        </w:rPr>
        <w:t>We excl</w:t>
      </w:r>
      <w:r>
        <w:rPr>
          <w:rFonts w:eastAsia="Times New Roman"/>
          <w:color w:val="000000"/>
          <w:sz w:val="20"/>
          <w:szCs w:val="20"/>
        </w:rPr>
        <w:t>ude accrued interest receivable from the amortized cost disclosed in this note. Our disclosures below reflect these adoption changes. Prior period presentation was not reclassified to conform to the current period presentation. See “Note 1—Summary of Signi</w:t>
      </w:r>
      <w:r>
        <w:rPr>
          <w:rFonts w:eastAsia="Times New Roman"/>
          <w:color w:val="000000"/>
          <w:sz w:val="20"/>
          <w:szCs w:val="20"/>
        </w:rPr>
        <w:t>ficant Accounting Policies” for additional information.</w:t>
      </w:r>
    </w:p>
    <w:p w:rsidR="00000000" w:rsidRDefault="00795D39">
      <w:pPr>
        <w:jc w:val="both"/>
        <w:divId w:val="1310401035"/>
        <w:rPr>
          <w:rFonts w:eastAsia="Times New Roman"/>
        </w:rPr>
      </w:pPr>
      <w:r>
        <w:rPr>
          <w:rFonts w:eastAsia="Times New Roman"/>
          <w:color w:val="000000"/>
          <w:sz w:val="20"/>
          <w:szCs w:val="20"/>
        </w:rPr>
        <w:t>The table below presents the amortized cost, gross unrealized gains and losses, and fair value of securities available for sale as of September 30, 2020 and December 31, 2019. Accrued interest receiva</w:t>
      </w:r>
      <w:r>
        <w:rPr>
          <w:rFonts w:eastAsia="Times New Roman"/>
          <w:color w:val="000000"/>
          <w:sz w:val="20"/>
          <w:szCs w:val="20"/>
        </w:rPr>
        <w:t xml:space="preserve">ble of $251 million as of September 30, 2020 is not included in the below table. </w:t>
      </w:r>
    </w:p>
    <w:p w:rsidR="00000000" w:rsidRDefault="00795D39">
      <w:pPr>
        <w:divId w:val="308674914"/>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667"/>
        <w:gridCol w:w="37"/>
        <w:gridCol w:w="36"/>
        <w:gridCol w:w="36"/>
        <w:gridCol w:w="36"/>
        <w:gridCol w:w="111"/>
        <w:gridCol w:w="674"/>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540"/>
        <w:gridCol w:w="36"/>
      </w:tblGrid>
      <w:tr w:rsidR="00000000">
        <w:trPr>
          <w:divId w:val="1116407617"/>
        </w:trPr>
        <w:tc>
          <w:tcPr>
            <w:tcW w:w="50" w:type="pct"/>
            <w:vAlign w:val="center"/>
            <w:hideMark/>
          </w:tcPr>
          <w:p w:rsidR="00000000" w:rsidRDefault="00795D39">
            <w:pPr>
              <w:rPr>
                <w:rFonts w:eastAsia="Times New Roman"/>
              </w:rPr>
            </w:pPr>
          </w:p>
        </w:tc>
        <w:tc>
          <w:tcPr>
            <w:tcW w:w="25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16407617"/>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111640761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11164076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1640761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640761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1640761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72,948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75,366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640761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640761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74,041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76,659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640761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11,435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6407617"/>
        </w:trPr>
        <w:tc>
          <w:tcPr>
            <w:tcW w:w="0" w:type="auto"/>
            <w:gridSpan w:val="3"/>
            <w:shd w:val="clear" w:color="auto" w:fill="FFFFFF"/>
            <w:tcMar>
              <w:top w:w="30" w:type="dxa"/>
              <w:left w:w="20" w:type="dxa"/>
              <w:bottom w:w="30" w:type="dxa"/>
              <w:right w:w="20" w:type="dxa"/>
            </w:tcMar>
            <w:vAlign w:val="center"/>
            <w:hideMark/>
          </w:tcPr>
          <w:p w:rsidR="00000000" w:rsidRDefault="00795D39">
            <w:pPr>
              <w:divId w:val="648633815"/>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1640761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96,735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3,218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99,853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4971"/>
        <w:gridCol w:w="144"/>
        <w:gridCol w:w="144"/>
        <w:gridCol w:w="144"/>
        <w:gridCol w:w="144"/>
        <w:gridCol w:w="144"/>
        <w:gridCol w:w="648"/>
        <w:gridCol w:w="144"/>
        <w:gridCol w:w="144"/>
        <w:gridCol w:w="144"/>
        <w:gridCol w:w="144"/>
        <w:gridCol w:w="144"/>
        <w:gridCol w:w="648"/>
        <w:gridCol w:w="144"/>
        <w:gridCol w:w="144"/>
        <w:gridCol w:w="144"/>
        <w:gridCol w:w="144"/>
        <w:gridCol w:w="144"/>
        <w:gridCol w:w="648"/>
        <w:gridCol w:w="144"/>
        <w:gridCol w:w="144"/>
        <w:gridCol w:w="144"/>
        <w:gridCol w:w="144"/>
        <w:gridCol w:w="144"/>
        <w:gridCol w:w="649"/>
        <w:gridCol w:w="144"/>
      </w:tblGrid>
      <w:tr w:rsidR="00000000">
        <w:tc>
          <w:tcPr>
            <w:tcW w:w="50" w:type="pct"/>
            <w:vAlign w:val="center"/>
            <w:hideMark/>
          </w:tcPr>
          <w:p w:rsidR="00000000" w:rsidRDefault="00795D39">
            <w:pPr>
              <w:rPr>
                <w:rFonts w:eastAsia="Times New Roman"/>
              </w:rPr>
            </w:pPr>
          </w:p>
        </w:tc>
        <w:tc>
          <w:tcPr>
            <w:tcW w:w="30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1"/>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62,003 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62,839 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63,238 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64,338 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9,426 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divId w:val="1524515868"/>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79,213 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644041932"/>
        <w:rPr>
          <w:rFonts w:eastAsia="Times New Roman"/>
        </w:rPr>
      </w:pPr>
      <w:r>
        <w:rPr>
          <w:rFonts w:eastAsia="Times New Roman"/>
          <w:b/>
          <w:bCs/>
          <w:color w:val="000000"/>
          <w:sz w:val="18"/>
          <w:szCs w:val="18"/>
        </w:rPr>
        <w:t>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21329144"/>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2132914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2132914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5" style="width:0;height:1.5pt" o:hralign="center" o:hrstd="t" o:hr="t" fillcolor="#a0a0a0" stroked="f"/>
        </w:pict>
      </w:r>
    </w:p>
    <w:p w:rsidR="00000000" w:rsidRDefault="00795D39">
      <w:pPr>
        <w:jc w:val="both"/>
        <w:divId w:val="44030061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440300614"/>
        <w:rPr>
          <w:rFonts w:eastAsia="Times New Roman"/>
        </w:rPr>
      </w:pPr>
    </w:p>
    <w:p w:rsidR="00000000" w:rsidRDefault="00795D39">
      <w:pPr>
        <w:ind w:hanging="360"/>
        <w:jc w:val="both"/>
        <w:divId w:val="99032927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$1.5 billion and $117 </w:t>
      </w:r>
      <w:r>
        <w:rPr>
          <w:rFonts w:eastAsia="Times New Roman"/>
          <w:color w:val="000000"/>
          <w:sz w:val="16"/>
          <w:szCs w:val="16"/>
        </w:rPr>
        <w:t xml:space="preserve">million of asset-backed securities as of September 30, 2020, and December 31, 2019, respectively. The remaining amount is primarily comprised of supranational bonds and foreign government bonds. </w:t>
      </w:r>
    </w:p>
    <w:p w:rsidR="00000000" w:rsidRDefault="00795D39">
      <w:pPr>
        <w:divId w:val="1242836816"/>
        <w:rPr>
          <w:rFonts w:eastAsia="Times New Roman"/>
        </w:rPr>
      </w:pPr>
      <w:r>
        <w:rPr>
          <w:rFonts w:eastAsia="Times New Roman"/>
          <w:b/>
          <w:bCs/>
          <w:color w:val="000000"/>
          <w:sz w:val="20"/>
          <w:szCs w:val="20"/>
        </w:rPr>
        <w:t>Investment Securities in a Gross Unrealized Loss Position</w:t>
      </w:r>
    </w:p>
    <w:p w:rsidR="00000000" w:rsidRDefault="00795D39">
      <w:pPr>
        <w:jc w:val="both"/>
        <w:divId w:val="685860865"/>
        <w:rPr>
          <w:rFonts w:eastAsia="Times New Roman"/>
        </w:rPr>
      </w:pPr>
      <w:r>
        <w:rPr>
          <w:rFonts w:eastAsia="Times New Roman"/>
          <w:color w:val="000000"/>
          <w:sz w:val="20"/>
          <w:szCs w:val="20"/>
        </w:rPr>
        <w:t>Th</w:t>
      </w:r>
      <w:r>
        <w:rPr>
          <w:rFonts w:eastAsia="Times New Roman"/>
          <w:color w:val="000000"/>
          <w:sz w:val="20"/>
          <w:szCs w:val="20"/>
        </w:rPr>
        <w:t>e table below provides the gross unrealized losses and fair value of our securities available for sale aggregated by major security type and the length of time that individual securities have been in a continuous unrealized loss position as of September 30</w:t>
      </w:r>
      <w:r>
        <w:rPr>
          <w:rFonts w:eastAsia="Times New Roman"/>
          <w:color w:val="000000"/>
          <w:sz w:val="20"/>
          <w:szCs w:val="20"/>
        </w:rPr>
        <w:t xml:space="preserve">, 2020 and December 31, 2019. The amounts as of September 30, 2020 only include securities available for sale without an allowance for credit losses. </w:t>
      </w:r>
    </w:p>
    <w:p w:rsidR="00000000" w:rsidRDefault="00795D39">
      <w:pPr>
        <w:divId w:val="423460541"/>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5"/>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214465898"/>
        </w:trPr>
        <w:tc>
          <w:tcPr>
            <w:tcW w:w="50" w:type="pct"/>
            <w:vAlign w:val="center"/>
            <w:hideMark/>
          </w:tcPr>
          <w:p w:rsidR="00000000" w:rsidRDefault="00795D39">
            <w:pPr>
              <w:rPr>
                <w:rFonts w:eastAsia="Times New Roman"/>
              </w:rPr>
            </w:pPr>
          </w:p>
        </w:tc>
        <w:tc>
          <w:tcPr>
            <w:tcW w:w="213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14465898"/>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214465898"/>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214465898"/>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21446589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4465898"/>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44658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446589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8,547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446589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446589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1,866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8,561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446589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4465898"/>
        </w:trPr>
        <w:tc>
          <w:tcPr>
            <w:tcW w:w="0" w:type="auto"/>
            <w:gridSpan w:val="3"/>
            <w:shd w:val="clear" w:color="auto" w:fill="FFFFFF"/>
            <w:tcMar>
              <w:top w:w="30" w:type="dxa"/>
              <w:left w:w="20" w:type="dxa"/>
              <w:bottom w:w="30" w:type="dxa"/>
              <w:right w:w="20" w:type="dxa"/>
            </w:tcMar>
            <w:vAlign w:val="center"/>
            <w:hideMark/>
          </w:tcPr>
          <w:p w:rsidR="00000000" w:rsidRDefault="00795D39">
            <w:pPr>
              <w:divId w:val="1232733207"/>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4465898"/>
        </w:trPr>
        <w:tc>
          <w:tcPr>
            <w:tcW w:w="0" w:type="auto"/>
            <w:gridSpan w:val="3"/>
            <w:shd w:val="clear" w:color="auto" w:fill="CCEEFF"/>
            <w:tcMar>
              <w:top w:w="30" w:type="dxa"/>
              <w:left w:w="20" w:type="dxa"/>
              <w:bottom w:w="30" w:type="dxa"/>
              <w:right w:w="20" w:type="dxa"/>
            </w:tcMar>
            <w:vAlign w:val="bottom"/>
            <w:hideMark/>
          </w:tcPr>
          <w:p w:rsidR="00000000" w:rsidRDefault="00795D39">
            <w:pPr>
              <w:divId w:val="2007174080"/>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8,053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2,126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10,179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7"/>
        <w:gridCol w:w="37"/>
        <w:gridCol w:w="36"/>
        <w:gridCol w:w="36"/>
        <w:gridCol w:w="36"/>
        <w:gridCol w:w="111"/>
        <w:gridCol w:w="676"/>
        <w:gridCol w:w="36"/>
        <w:gridCol w:w="36"/>
        <w:gridCol w:w="36"/>
        <w:gridCol w:w="36"/>
        <w:gridCol w:w="111"/>
        <w:gridCol w:w="686"/>
        <w:gridCol w:w="36"/>
        <w:gridCol w:w="36"/>
        <w:gridCol w:w="36"/>
        <w:gridCol w:w="36"/>
        <w:gridCol w:w="111"/>
        <w:gridCol w:w="673"/>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794250128"/>
        </w:trPr>
        <w:tc>
          <w:tcPr>
            <w:tcW w:w="50" w:type="pct"/>
            <w:vAlign w:val="center"/>
            <w:hideMark/>
          </w:tcPr>
          <w:p w:rsidR="00000000" w:rsidRDefault="00795D39">
            <w:pPr>
              <w:jc w:val="both"/>
              <w:rPr>
                <w:rFonts w:eastAsia="Times New Roman"/>
              </w:rPr>
            </w:pPr>
          </w:p>
        </w:tc>
        <w:tc>
          <w:tcPr>
            <w:tcW w:w="213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794250128"/>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794250128"/>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794250128"/>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79425012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9425012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9425012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9425012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10,494 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10,567 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21,061 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9425012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9425012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10,529 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10,583 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21,112 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9425012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2,580 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4,143 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94250128"/>
        </w:trPr>
        <w:tc>
          <w:tcPr>
            <w:tcW w:w="0" w:type="auto"/>
            <w:gridSpan w:val="3"/>
            <w:shd w:val="clear" w:color="auto" w:fill="FFFFFF"/>
            <w:tcMar>
              <w:top w:w="30" w:type="dxa"/>
              <w:left w:w="20" w:type="dxa"/>
              <w:bottom w:w="30" w:type="dxa"/>
              <w:right w:w="20" w:type="dxa"/>
            </w:tcMar>
            <w:vAlign w:val="center"/>
            <w:hideMark/>
          </w:tcPr>
          <w:p w:rsidR="00000000" w:rsidRDefault="00795D39">
            <w:pPr>
              <w:divId w:val="1762793541"/>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94250128"/>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Total investment securities available for sale in a gross unrealized loss position</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15,882 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12,252 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28,134 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bl>
    <w:p w:rsidR="00000000" w:rsidRDefault="00795D39">
      <w:pPr>
        <w:divId w:val="1694649602"/>
        <w:rPr>
          <w:rFonts w:eastAsia="Times New Roman"/>
        </w:rPr>
      </w:pPr>
      <w:r>
        <w:rPr>
          <w:rFonts w:eastAsia="Times New Roman"/>
          <w:color w:val="000000"/>
          <w:sz w:val="20"/>
          <w:szCs w:val="20"/>
        </w:rPr>
        <w:t>__________</w:t>
      </w:r>
    </w:p>
    <w:p w:rsidR="00000000" w:rsidRDefault="00795D39">
      <w:pPr>
        <w:ind w:hanging="360"/>
        <w:jc w:val="both"/>
        <w:divId w:val="139631348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w:t>
      </w:r>
      <w:r>
        <w:rPr>
          <w:rFonts w:eastAsia="Times New Roman"/>
          <w:color w:val="000000"/>
          <w:sz w:val="16"/>
          <w:szCs w:val="16"/>
        </w:rPr>
        <w:t>Includes primarily supranational bonds, foreign government bonds and other asset-backed securities</w:t>
      </w:r>
    </w:p>
    <w:p w:rsidR="00000000" w:rsidRDefault="00795D39">
      <w:pPr>
        <w:ind w:hanging="360"/>
        <w:jc w:val="both"/>
        <w:divId w:val="64146803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 xml:space="preserve">tely </w:t>
      </w:r>
      <w:r>
        <w:rPr>
          <w:rFonts w:eastAsia="Times New Roman"/>
          <w:color w:val="000000"/>
          <w:sz w:val="16"/>
          <w:szCs w:val="16"/>
        </w:rPr>
        <w:t>300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September 30,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81520826"/>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8152082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8152082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6" style="width:0;height:1.5pt" o:hralign="center" o:hrstd="t" o:hr="t" fillcolor="#a0a0a0" stroked="f"/>
        </w:pict>
      </w:r>
    </w:p>
    <w:p w:rsidR="00000000" w:rsidRDefault="00795D39">
      <w:pPr>
        <w:jc w:val="both"/>
        <w:divId w:val="18914704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89147048"/>
        <w:rPr>
          <w:rFonts w:eastAsia="Times New Roman"/>
        </w:rPr>
      </w:pPr>
    </w:p>
    <w:p w:rsidR="00000000" w:rsidRDefault="00795D39">
      <w:pPr>
        <w:divId w:val="2111656827"/>
        <w:rPr>
          <w:rFonts w:eastAsia="Times New Roman"/>
        </w:rPr>
      </w:pPr>
      <w:r>
        <w:rPr>
          <w:rFonts w:eastAsia="Times New Roman"/>
          <w:b/>
          <w:bCs/>
          <w:color w:val="000000"/>
          <w:sz w:val="20"/>
          <w:szCs w:val="20"/>
        </w:rPr>
        <w:t>Maturities and Yields of Investment Securities</w:t>
      </w:r>
    </w:p>
    <w:p w:rsidR="00000000" w:rsidRDefault="00795D39">
      <w:pPr>
        <w:jc w:val="both"/>
        <w:divId w:val="675882651"/>
        <w:rPr>
          <w:rFonts w:eastAsia="Times New Roman"/>
        </w:rPr>
      </w:pPr>
      <w:r>
        <w:rPr>
          <w:rFonts w:eastAsia="Times New Roman"/>
          <w:color w:val="000000"/>
          <w:sz w:val="20"/>
          <w:szCs w:val="20"/>
        </w:rPr>
        <w:t>The table below summarizes, by major security type, the contractual maturities and weighted-average yields of our investment securities as of September 30, 2020. Because borrowers may have the right to call or prepay certain obligations, the expected matur</w:t>
      </w:r>
      <w:r>
        <w:rPr>
          <w:rFonts w:eastAsia="Times New Roman"/>
          <w:color w:val="000000"/>
          <w:sz w:val="20"/>
          <w:szCs w:val="20"/>
        </w:rPr>
        <w:t>ities of our securities are likely to differ from the scheduled contractual maturities presented below. The weighted-average yield below represents the effective yield for the investment securities and is calculated based on the amortized cost of each secu</w:t>
      </w:r>
      <w:r>
        <w:rPr>
          <w:rFonts w:eastAsia="Times New Roman"/>
          <w:color w:val="000000"/>
          <w:sz w:val="20"/>
          <w:szCs w:val="20"/>
        </w:rPr>
        <w:t>rity.</w:t>
      </w:r>
    </w:p>
    <w:p w:rsidR="00000000" w:rsidRDefault="00795D39">
      <w:pPr>
        <w:divId w:val="486628746"/>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329"/>
        <w:gridCol w:w="38"/>
        <w:gridCol w:w="36"/>
        <w:gridCol w:w="36"/>
        <w:gridCol w:w="36"/>
        <w:gridCol w:w="110"/>
        <w:gridCol w:w="556"/>
        <w:gridCol w:w="200"/>
        <w:gridCol w:w="36"/>
        <w:gridCol w:w="36"/>
        <w:gridCol w:w="36"/>
        <w:gridCol w:w="110"/>
        <w:gridCol w:w="556"/>
        <w:gridCol w:w="200"/>
        <w:gridCol w:w="36"/>
        <w:gridCol w:w="36"/>
        <w:gridCol w:w="36"/>
        <w:gridCol w:w="110"/>
        <w:gridCol w:w="557"/>
        <w:gridCol w:w="200"/>
        <w:gridCol w:w="36"/>
        <w:gridCol w:w="36"/>
        <w:gridCol w:w="36"/>
        <w:gridCol w:w="110"/>
        <w:gridCol w:w="558"/>
        <w:gridCol w:w="200"/>
        <w:gridCol w:w="36"/>
        <w:gridCol w:w="36"/>
        <w:gridCol w:w="36"/>
        <w:gridCol w:w="110"/>
        <w:gridCol w:w="558"/>
        <w:gridCol w:w="200"/>
      </w:tblGrid>
      <w:tr w:rsidR="00000000">
        <w:trPr>
          <w:divId w:val="1772435985"/>
        </w:trPr>
        <w:tc>
          <w:tcPr>
            <w:tcW w:w="50" w:type="pct"/>
            <w:vAlign w:val="center"/>
            <w:hideMark/>
          </w:tcPr>
          <w:p w:rsidR="00000000" w:rsidRDefault="00795D39">
            <w:pPr>
              <w:rPr>
                <w:rFonts w:eastAsia="Times New Roman"/>
              </w:rPr>
            </w:pPr>
          </w:p>
        </w:tc>
        <w:tc>
          <w:tcPr>
            <w:tcW w:w="21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772435985"/>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1772435985"/>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t>1 Year or Less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r>
            <w:r>
              <w:rPr>
                <w:rFonts w:eastAsia="Times New Roman"/>
                <w:b/>
                <w:bCs/>
                <w:color w:val="000000"/>
                <w:sz w:val="16"/>
                <w:szCs w:val="16"/>
              </w:rP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Due &gt; 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17724359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7243598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9,244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9,345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72435985"/>
        </w:trPr>
        <w:tc>
          <w:tcPr>
            <w:tcW w:w="0" w:type="auto"/>
            <w:gridSpan w:val="3"/>
            <w:shd w:val="clear" w:color="auto" w:fill="CCEEFF"/>
            <w:tcMar>
              <w:top w:w="30" w:type="dxa"/>
              <w:left w:w="20" w:type="dxa"/>
              <w:bottom w:w="30" w:type="dxa"/>
              <w:right w:w="20" w:type="dxa"/>
            </w:tcMar>
            <w:vAlign w:val="center"/>
            <w:hideMark/>
          </w:tcPr>
          <w:p w:rsidR="00000000" w:rsidRDefault="00795D39">
            <w:pPr>
              <w:divId w:val="592588488"/>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7243598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74,220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75,366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7243598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1,293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1,293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7243598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75,513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76,659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72435985"/>
        </w:trPr>
        <w:tc>
          <w:tcPr>
            <w:tcW w:w="0" w:type="auto"/>
            <w:gridSpan w:val="3"/>
            <w:shd w:val="clear" w:color="auto" w:fill="CCEEFF"/>
            <w:tcMar>
              <w:top w:w="30" w:type="dxa"/>
              <w:left w:w="20" w:type="dxa"/>
              <w:bottom w:w="30" w:type="dxa"/>
              <w:right w:w="20" w:type="dxa"/>
            </w:tcMar>
            <w:vAlign w:val="center"/>
            <w:hideMark/>
          </w:tcPr>
          <w:p w:rsidR="00000000" w:rsidRDefault="00795D39">
            <w:pPr>
              <w:divId w:val="1281107838"/>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2,766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5,242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3,375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11,435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7243598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1,882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7243598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13,965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6,596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78,888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99,853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7243598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Amortized cost of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402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13,901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6,334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76,098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96,735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77243598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w:t>
            </w:r>
          </w:p>
        </w:tc>
      </w:tr>
      <w:tr w:rsidR="00000000">
        <w:trPr>
          <w:divId w:val="1772435985"/>
        </w:trPr>
        <w:tc>
          <w:tcPr>
            <w:tcW w:w="0" w:type="auto"/>
            <w:gridSpan w:val="3"/>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77243598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77243598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77243598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77243598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77243598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77243598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813719571"/>
        <w:rPr>
          <w:rFonts w:eastAsia="Times New Roman"/>
        </w:rPr>
      </w:pPr>
      <w:r>
        <w:rPr>
          <w:rFonts w:eastAsia="Times New Roman"/>
          <w:color w:val="000000"/>
          <w:sz w:val="20"/>
          <w:szCs w:val="20"/>
        </w:rPr>
        <w:t>__________</w:t>
      </w:r>
    </w:p>
    <w:p w:rsidR="00000000" w:rsidRDefault="00795D39">
      <w:pPr>
        <w:ind w:hanging="360"/>
        <w:jc w:val="both"/>
        <w:divId w:val="133006233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September 30, 2020, the weighted-average expected maturities of RMBS and Agency CMBS are 3.7 years and 5.3 years, respectively.</w:t>
      </w:r>
    </w:p>
    <w:p w:rsidR="00000000" w:rsidRDefault="00795D39">
      <w:pPr>
        <w:divId w:val="1809198251"/>
        <w:rPr>
          <w:rFonts w:eastAsia="Times New Roman"/>
        </w:rPr>
      </w:pPr>
      <w:r>
        <w:rPr>
          <w:rFonts w:eastAsia="Times New Roman"/>
          <w:b/>
          <w:bCs/>
          <w:color w:val="000000"/>
          <w:sz w:val="20"/>
          <w:szCs w:val="20"/>
        </w:rPr>
        <w:t>Net Securities Gains or Losses and Process from Sales</w:t>
      </w:r>
    </w:p>
    <w:p w:rsidR="00000000" w:rsidRDefault="00795D39">
      <w:pPr>
        <w:jc w:val="both"/>
        <w:divId w:val="900015989"/>
        <w:rPr>
          <w:rFonts w:eastAsia="Times New Roman"/>
        </w:rPr>
      </w:pPr>
      <w:r>
        <w:rPr>
          <w:rFonts w:eastAsia="Times New Roman"/>
          <w:color w:val="000000"/>
          <w:sz w:val="20"/>
          <w:szCs w:val="20"/>
        </w:rPr>
        <w:t>For the three and nine months ended September 30, 2020, total proceeds from the sale of our securities were $668 million and $812 million, respectively, with gains of $25 million in both periods. For the three and nine months ended September 30, 2019, tota</w:t>
      </w:r>
      <w:r>
        <w:rPr>
          <w:rFonts w:eastAsia="Times New Roman"/>
          <w:color w:val="000000"/>
          <w:sz w:val="20"/>
          <w:szCs w:val="20"/>
        </w:rPr>
        <w:t>l proceeds from sale of our securities were $243 million and $4.2 billion, with gains of $5 million and $44 million, respectively.</w:t>
      </w:r>
    </w:p>
    <w:p w:rsidR="00000000" w:rsidRDefault="00795D39">
      <w:pPr>
        <w:divId w:val="1280137856"/>
        <w:rPr>
          <w:rFonts w:eastAsia="Times New Roman"/>
        </w:rPr>
      </w:pPr>
      <w:r>
        <w:rPr>
          <w:rFonts w:eastAsia="Times New Roman"/>
          <w:b/>
          <w:bCs/>
          <w:color w:val="000000"/>
          <w:sz w:val="20"/>
          <w:szCs w:val="20"/>
        </w:rPr>
        <w:t>Securities Pledged and Received</w:t>
      </w:r>
    </w:p>
    <w:p w:rsidR="00000000" w:rsidRDefault="00795D39">
      <w:pPr>
        <w:jc w:val="both"/>
        <w:divId w:val="160855052"/>
        <w:rPr>
          <w:rFonts w:eastAsia="Times New Roman"/>
        </w:rPr>
      </w:pPr>
      <w:r>
        <w:rPr>
          <w:rFonts w:eastAsia="Times New Roman"/>
          <w:color w:val="000000"/>
          <w:sz w:val="20"/>
          <w:szCs w:val="20"/>
        </w:rPr>
        <w:t>We pledged investment securities totaling $11.5 billion and $14.0 billion as of September 30,</w:t>
      </w:r>
      <w:r>
        <w:rPr>
          <w:rFonts w:eastAsia="Times New Roman"/>
          <w:color w:val="000000"/>
          <w:sz w:val="20"/>
          <w:szCs w:val="20"/>
        </w:rPr>
        <w:t xml:space="preserve"> 2020 and December 31, 2019, respectively. These securities are primarily pledged to secure Federal Home Loan Banks (“FHLB”) advances and Public Funds deposits, as well as for other purposes as required or permitted by law. We accepted pledges of securitie</w:t>
      </w:r>
      <w:r>
        <w:rPr>
          <w:rFonts w:eastAsia="Times New Roman"/>
          <w:color w:val="000000"/>
          <w:sz w:val="20"/>
          <w:szCs w:val="20"/>
        </w:rPr>
        <w:t>s with a fair value of approximately $1 million as of both September 30, 2020 and December 31, 2019, related to our derivative transactions.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44993213"/>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4499321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4499321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7" style="width:0;height:1.5pt" o:hralign="center" o:hrstd="t" o:hr="t" fillcolor="#a0a0a0" stroked="f"/>
        </w:pict>
      </w:r>
    </w:p>
    <w:p w:rsidR="00000000" w:rsidRDefault="00795D39">
      <w:pPr>
        <w:jc w:val="both"/>
        <w:divId w:val="1342007967"/>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34200796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20148179"/>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2014817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3—LOANS</w:t>
            </w:r>
          </w:p>
        </w:tc>
      </w:tr>
    </w:tbl>
    <w:p w:rsidR="00000000" w:rsidRDefault="00795D39">
      <w:pPr>
        <w:jc w:val="both"/>
        <w:divId w:val="381829550"/>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rial loans. The information presented in this section excludes loans held for sale, which are carried at either fair value (if we elect the fair value option) or at the lower of cost or fair value.</w:t>
      </w:r>
    </w:p>
    <w:p w:rsidR="00000000" w:rsidRDefault="00795D39">
      <w:pPr>
        <w:jc w:val="both"/>
        <w:divId w:val="958990936"/>
        <w:rPr>
          <w:rFonts w:eastAsia="Times New Roman"/>
        </w:rPr>
      </w:pPr>
      <w:r>
        <w:rPr>
          <w:rFonts w:eastAsia="Times New Roman"/>
          <w:color w:val="000000"/>
          <w:sz w:val="20"/>
          <w:szCs w:val="20"/>
        </w:rPr>
        <w:t>In the first quarter of 2020, we adopted</w:t>
      </w:r>
      <w:r>
        <w:rPr>
          <w:rFonts w:eastAsia="Times New Roman"/>
          <w:i/>
          <w:iCs/>
          <w:color w:val="000000"/>
          <w:sz w:val="20"/>
          <w:szCs w:val="20"/>
        </w:rPr>
        <w:t xml:space="preserve"> </w:t>
      </w:r>
      <w:r>
        <w:rPr>
          <w:rFonts w:eastAsia="Times New Roman"/>
          <w:color w:val="000000"/>
          <w:sz w:val="20"/>
          <w:szCs w:val="20"/>
        </w:rPr>
        <w:t>the CECL standard</w:t>
      </w:r>
      <w:r>
        <w:rPr>
          <w:rFonts w:eastAsia="Times New Roman"/>
          <w:color w:val="000000"/>
          <w:sz w:val="20"/>
          <w:szCs w:val="20"/>
        </w:rPr>
        <w:t>. Accordingly, our disclosures below reflect these adoption changes. Prior period presentation was not modified to conform to the current period presentation. See “Note 1—Summary of Significant Accounting Policies” for additional information. Amounts as of</w:t>
      </w:r>
      <w:r>
        <w:rPr>
          <w:rFonts w:eastAsia="Times New Roman"/>
          <w:color w:val="000000"/>
          <w:sz w:val="20"/>
          <w:szCs w:val="20"/>
        </w:rPr>
        <w:t xml:space="preserve"> September 30, 2020 include the impacts of COVID-19 customer assistance programs where applicable.</w:t>
      </w:r>
    </w:p>
    <w:p w:rsidR="00000000" w:rsidRDefault="00795D39">
      <w:pPr>
        <w:jc w:val="both"/>
        <w:divId w:val="1692218069"/>
        <w:rPr>
          <w:rFonts w:eastAsia="Times New Roman"/>
        </w:rPr>
      </w:pPr>
      <w:r>
        <w:rPr>
          <w:rFonts w:eastAsia="Times New Roman"/>
          <w:color w:val="000000"/>
          <w:sz w:val="20"/>
          <w:szCs w:val="20"/>
        </w:rPr>
        <w:t>Accrued interest receivable of</w:t>
      </w:r>
      <w:r>
        <w:rPr>
          <w:rFonts w:eastAsia="Times New Roman"/>
          <w:color w:val="000000"/>
          <w:sz w:val="20"/>
          <w:szCs w:val="20"/>
          <w:shd w:val="clear" w:color="auto" w:fill="FFFFFF"/>
        </w:rPr>
        <w:t xml:space="preserve"> $1.3 billion</w:t>
      </w:r>
      <w:r>
        <w:rPr>
          <w:rFonts w:eastAsia="Times New Roman"/>
          <w:color w:val="000000"/>
          <w:sz w:val="20"/>
          <w:szCs w:val="20"/>
        </w:rPr>
        <w:t xml:space="preserve"> as of September 30, 2020 is not included in the tables in this note. The table below presents the composition and</w:t>
      </w:r>
      <w:r>
        <w:rPr>
          <w:rFonts w:eastAsia="Times New Roman"/>
          <w:color w:val="000000"/>
          <w:sz w:val="20"/>
          <w:szCs w:val="20"/>
        </w:rPr>
        <w:t xml:space="preserve"> aging analysis of our loans held for investment portfolio as of September 30, 2020 and December 31, 2019. The delinquency aging includes all past due loans, both performing and nonperforming. </w:t>
      </w:r>
    </w:p>
    <w:p w:rsidR="00000000" w:rsidRDefault="00795D39">
      <w:pPr>
        <w:divId w:val="445121119"/>
        <w:rPr>
          <w:rFonts w:eastAsia="Times New Roman"/>
        </w:rPr>
      </w:pPr>
      <w:r>
        <w:rPr>
          <w:rFonts w:eastAsia="Times New Roman"/>
          <w:b/>
          <w:bCs/>
          <w:color w:val="000000"/>
          <w:sz w:val="18"/>
          <w:szCs w:val="18"/>
        </w:rPr>
        <w:t>Table 3.1: Loan Portfolio Composition and Aging Analysis</w:t>
      </w:r>
    </w:p>
    <w:tbl>
      <w:tblPr>
        <w:tblW w:w="4985" w:type="pct"/>
        <w:tblCellMar>
          <w:top w:w="15" w:type="dxa"/>
          <w:left w:w="15" w:type="dxa"/>
          <w:bottom w:w="15" w:type="dxa"/>
          <w:right w:w="15" w:type="dxa"/>
        </w:tblCellMar>
        <w:tblLook w:val="04A0" w:firstRow="1" w:lastRow="0" w:firstColumn="1" w:lastColumn="0" w:noHBand="0" w:noVBand="1"/>
      </w:tblPr>
      <w:tblGrid>
        <w:gridCol w:w="40"/>
        <w:gridCol w:w="2370"/>
        <w:gridCol w:w="38"/>
        <w:gridCol w:w="36"/>
        <w:gridCol w:w="36"/>
        <w:gridCol w:w="36"/>
        <w:gridCol w:w="110"/>
        <w:gridCol w:w="630"/>
        <w:gridCol w:w="200"/>
        <w:gridCol w:w="36"/>
        <w:gridCol w:w="36"/>
        <w:gridCol w:w="36"/>
        <w:gridCol w:w="110"/>
        <w:gridCol w:w="450"/>
        <w:gridCol w:w="200"/>
        <w:gridCol w:w="36"/>
        <w:gridCol w:w="36"/>
        <w:gridCol w:w="36"/>
        <w:gridCol w:w="110"/>
        <w:gridCol w:w="450"/>
        <w:gridCol w:w="200"/>
        <w:gridCol w:w="36"/>
        <w:gridCol w:w="36"/>
        <w:gridCol w:w="36"/>
        <w:gridCol w:w="110"/>
        <w:gridCol w:w="450"/>
        <w:gridCol w:w="200"/>
        <w:gridCol w:w="36"/>
        <w:gridCol w:w="36"/>
        <w:gridCol w:w="36"/>
        <w:gridCol w:w="111"/>
        <w:gridCol w:w="714"/>
        <w:gridCol w:w="200"/>
        <w:gridCol w:w="36"/>
        <w:gridCol w:w="36"/>
        <w:gridCol w:w="36"/>
        <w:gridCol w:w="110"/>
        <w:gridCol w:w="630"/>
        <w:gridCol w:w="200"/>
      </w:tblGrid>
      <w:tr w:rsidR="00000000">
        <w:trPr>
          <w:divId w:val="43526040"/>
        </w:trPr>
        <w:tc>
          <w:tcPr>
            <w:tcW w:w="50" w:type="pct"/>
            <w:vAlign w:val="center"/>
            <w:hideMark/>
          </w:tcPr>
          <w:p w:rsidR="00000000" w:rsidRDefault="00795D39">
            <w:pPr>
              <w:rPr>
                <w:rFonts w:eastAsia="Times New Roman"/>
              </w:rPr>
            </w:pPr>
          </w:p>
        </w:tc>
        <w:tc>
          <w:tcPr>
            <w:tcW w:w="19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3526040"/>
        </w:trPr>
        <w:tc>
          <w:tcPr>
            <w:tcW w:w="0" w:type="auto"/>
            <w:gridSpan w:val="3"/>
            <w:tcMar>
              <w:top w:w="30" w:type="dxa"/>
              <w:left w:w="135"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4352604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35260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795D39">
            <w:pPr>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r>
            <w:r>
              <w:rPr>
                <w:rFonts w:eastAsia="Times New Roman"/>
                <w:b/>
                <w:bCs/>
                <w:color w:val="000000"/>
                <w:sz w:val="16"/>
                <w:szCs w:val="16"/>
              </w:rP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4352604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352604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93,433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95,541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7,915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101,348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352604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62,756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65,394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66,006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68,688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352604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31,018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31,197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44,338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44,697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75,356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75,894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CCEEFF"/>
            <w:tcMar>
              <w:top w:w="30" w:type="dxa"/>
              <w:left w:w="20" w:type="dxa"/>
              <w:bottom w:w="30" w:type="dxa"/>
              <w:right w:w="20" w:type="dxa"/>
            </w:tcMar>
            <w:vAlign w:val="center"/>
            <w:hideMark/>
          </w:tcPr>
          <w:p w:rsidR="00000000" w:rsidRDefault="00795D39">
            <w:pPr>
              <w:divId w:val="1812482635"/>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242,710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248,223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35260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97.8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8" style="width:0;height:1.5pt" o:hralign="center" o:hrstd="t" o:hr="t" fillcolor="#a0a0a0" stroked="f"/>
        </w:pict>
      </w:r>
    </w:p>
    <w:p w:rsidR="00000000" w:rsidRDefault="00795D39">
      <w:pPr>
        <w:jc w:val="both"/>
        <w:divId w:val="68868393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68868393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891"/>
        <w:gridCol w:w="38"/>
        <w:gridCol w:w="36"/>
        <w:gridCol w:w="36"/>
        <w:gridCol w:w="36"/>
        <w:gridCol w:w="110"/>
        <w:gridCol w:w="630"/>
        <w:gridCol w:w="170"/>
        <w:gridCol w:w="36"/>
        <w:gridCol w:w="36"/>
        <w:gridCol w:w="36"/>
        <w:gridCol w:w="110"/>
        <w:gridCol w:w="450"/>
        <w:gridCol w:w="170"/>
        <w:gridCol w:w="36"/>
        <w:gridCol w:w="36"/>
        <w:gridCol w:w="36"/>
        <w:gridCol w:w="110"/>
        <w:gridCol w:w="450"/>
        <w:gridCol w:w="170"/>
        <w:gridCol w:w="36"/>
        <w:gridCol w:w="36"/>
        <w:gridCol w:w="36"/>
        <w:gridCol w:w="110"/>
        <w:gridCol w:w="450"/>
        <w:gridCol w:w="170"/>
        <w:gridCol w:w="36"/>
        <w:gridCol w:w="36"/>
        <w:gridCol w:w="36"/>
        <w:gridCol w:w="111"/>
        <w:gridCol w:w="696"/>
        <w:gridCol w:w="170"/>
        <w:gridCol w:w="36"/>
        <w:gridCol w:w="36"/>
        <w:gridCol w:w="36"/>
        <w:gridCol w:w="110"/>
        <w:gridCol w:w="315"/>
        <w:gridCol w:w="170"/>
        <w:gridCol w:w="36"/>
        <w:gridCol w:w="36"/>
        <w:gridCol w:w="36"/>
        <w:gridCol w:w="110"/>
        <w:gridCol w:w="630"/>
        <w:gridCol w:w="170"/>
      </w:tblGrid>
      <w:tr w:rsidR="00000000">
        <w:trPr>
          <w:divId w:val="2058115605"/>
        </w:trPr>
        <w:tc>
          <w:tcPr>
            <w:tcW w:w="50" w:type="pct"/>
            <w:vAlign w:val="center"/>
            <w:hideMark/>
          </w:tcPr>
          <w:p w:rsidR="00000000" w:rsidRDefault="00795D39">
            <w:pPr>
              <w:jc w:val="center"/>
              <w:rPr>
                <w:rFonts w:eastAsia="Times New Roman"/>
              </w:rPr>
            </w:pPr>
          </w:p>
        </w:tc>
        <w:tc>
          <w:tcPr>
            <w:tcW w:w="157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58115605"/>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2058115605"/>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Borders>
              <w:top w:val="single" w:sz="8" w:space="0" w:color="000000"/>
            </w:tcBorders>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58115605"/>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795D39">
            <w:pPr>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PCI</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20581156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205811560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113,857 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2,277 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4,656 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118,606 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9,277 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9,630 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123,134 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128,236 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5811560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55,778 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2,828 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1,361 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60,362 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2,658 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58,436 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63,065 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5811560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30,157 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30,245 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44,009 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44,263 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74,166 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74,508 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58115605"/>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2058115605"/>
        </w:trPr>
        <w:tc>
          <w:tcPr>
            <w:tcW w:w="0" w:type="auto"/>
            <w:gridSpan w:val="3"/>
            <w:shd w:val="clear" w:color="auto" w:fill="CCEEFF"/>
            <w:tcMar>
              <w:top w:w="30" w:type="dxa"/>
              <w:left w:w="20" w:type="dxa"/>
              <w:bottom w:w="30" w:type="dxa"/>
              <w:right w:w="20" w:type="dxa"/>
            </w:tcMar>
            <w:vAlign w:val="center"/>
            <w:hideMark/>
          </w:tcPr>
          <w:p w:rsidR="00000000" w:rsidRDefault="00795D39">
            <w:pPr>
              <w:divId w:val="636493757"/>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255,736 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4,444 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9,947 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265,809 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5811560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96.2 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divId w:val="2083018758"/>
        <w:rPr>
          <w:rFonts w:eastAsia="Times New Roman"/>
        </w:rPr>
      </w:pPr>
      <w:r>
        <w:rPr>
          <w:rFonts w:eastAsia="Times New Roman"/>
          <w:color w:val="000000"/>
          <w:sz w:val="20"/>
          <w:szCs w:val="20"/>
        </w:rPr>
        <w:t>__________</w:t>
      </w:r>
    </w:p>
    <w:p w:rsidR="00000000" w:rsidRDefault="00795D39">
      <w:pPr>
        <w:ind w:hanging="360"/>
        <w:jc w:val="both"/>
        <w:divId w:val="192368287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and discounts, and unamortized defe</w:t>
      </w:r>
      <w:r>
        <w:rPr>
          <w:rFonts w:eastAsia="Times New Roman"/>
          <w:color w:val="000000"/>
          <w:sz w:val="16"/>
          <w:szCs w:val="16"/>
        </w:rPr>
        <w:t xml:space="preserve">rred fees and costs totaling $1.1 billion as of both September 30, 2020 and December 31, 2019. </w:t>
      </w:r>
    </w:p>
    <w:p w:rsidR="00000000" w:rsidRDefault="00795D39">
      <w:pPr>
        <w:jc w:val="both"/>
        <w:divId w:val="784891207"/>
        <w:rPr>
          <w:rFonts w:eastAsia="Times New Roman"/>
        </w:rPr>
      </w:pPr>
      <w:r>
        <w:rPr>
          <w:rFonts w:eastAsia="Times New Roman"/>
          <w:color w:val="000000"/>
          <w:sz w:val="20"/>
          <w:szCs w:val="20"/>
        </w:rPr>
        <w:t>The following table presents our loans held for investment that are 90 days or more past due that continue to accrue interest and loans that are classified as n</w:t>
      </w:r>
      <w:r>
        <w:rPr>
          <w:rFonts w:eastAsia="Times New Roman"/>
          <w:color w:val="000000"/>
          <w:sz w:val="20"/>
          <w:szCs w:val="20"/>
        </w:rPr>
        <w:t>onperforming as of September 30, 2020 and December 31, 2019. We also present nonperforming loans without an allowance as of September 30, 2020. Nonperforming loans generally include loans that have been placed on nonaccrual status.</w:t>
      </w:r>
    </w:p>
    <w:p w:rsidR="00000000" w:rsidRDefault="00795D39">
      <w:pPr>
        <w:divId w:val="801003685"/>
        <w:rPr>
          <w:rFonts w:eastAsia="Times New Roman"/>
        </w:rPr>
      </w:pPr>
      <w:r>
        <w:rPr>
          <w:rFonts w:eastAsia="Times New Roman"/>
          <w:b/>
          <w:bCs/>
          <w:color w:val="000000"/>
          <w:sz w:val="18"/>
          <w:szCs w:val="18"/>
        </w:rPr>
        <w:t>Table 3.2: 90+ Day Delin</w:t>
      </w:r>
      <w:r>
        <w:rPr>
          <w:rFonts w:eastAsia="Times New Roman"/>
          <w:b/>
          <w:bCs/>
          <w:color w:val="000000"/>
          <w:sz w:val="18"/>
          <w:szCs w:val="18"/>
        </w:rPr>
        <w:t>quent Loans Accruing Interest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39"/>
        <w:gridCol w:w="2207"/>
        <w:gridCol w:w="38"/>
        <w:gridCol w:w="36"/>
        <w:gridCol w:w="36"/>
        <w:gridCol w:w="36"/>
        <w:gridCol w:w="110"/>
        <w:gridCol w:w="506"/>
        <w:gridCol w:w="200"/>
        <w:gridCol w:w="36"/>
        <w:gridCol w:w="36"/>
        <w:gridCol w:w="36"/>
        <w:gridCol w:w="111"/>
        <w:gridCol w:w="1011"/>
        <w:gridCol w:w="200"/>
        <w:gridCol w:w="36"/>
        <w:gridCol w:w="36"/>
        <w:gridCol w:w="36"/>
        <w:gridCol w:w="111"/>
        <w:gridCol w:w="1011"/>
        <w:gridCol w:w="200"/>
        <w:gridCol w:w="36"/>
        <w:gridCol w:w="36"/>
        <w:gridCol w:w="36"/>
        <w:gridCol w:w="110"/>
        <w:gridCol w:w="450"/>
        <w:gridCol w:w="170"/>
        <w:gridCol w:w="36"/>
        <w:gridCol w:w="36"/>
        <w:gridCol w:w="36"/>
        <w:gridCol w:w="111"/>
        <w:gridCol w:w="1011"/>
        <w:gridCol w:w="170"/>
      </w:tblGrid>
      <w:tr w:rsidR="00000000">
        <w:trPr>
          <w:divId w:val="1730106154"/>
        </w:trPr>
        <w:tc>
          <w:tcPr>
            <w:tcW w:w="50" w:type="pct"/>
            <w:vAlign w:val="center"/>
            <w:hideMark/>
          </w:tcPr>
          <w:p w:rsidR="00000000" w:rsidRDefault="00795D39">
            <w:pPr>
              <w:rPr>
                <w:rFonts w:eastAsia="Times New Roman"/>
              </w:rPr>
            </w:pPr>
          </w:p>
        </w:tc>
        <w:tc>
          <w:tcPr>
            <w:tcW w:w="158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730106154"/>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73010615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xml:space="preserve">Nonperforming </w:t>
            </w:r>
          </w:p>
          <w:p w:rsidR="00000000" w:rsidRDefault="00795D39">
            <w:pPr>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Nonperforming Loans Without an Allowance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xml:space="preserve">Nonperforming </w:t>
            </w:r>
            <w:r>
              <w:rPr>
                <w:rFonts w:eastAsia="Times New Roman"/>
                <w:b/>
                <w:bCs/>
                <w:color w:val="000000"/>
                <w:sz w:val="16"/>
                <w:szCs w:val="16"/>
              </w:rPr>
              <w:br/>
              <w:t>Loans</w:t>
            </w:r>
          </w:p>
        </w:tc>
      </w:tr>
      <w:tr w:rsidR="00000000">
        <w:trPr>
          <w:divId w:val="173010615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30106154"/>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2,277 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40" w:type="dxa"/>
            </w:tcMar>
            <w:vAlign w:val="center"/>
            <w:hideMark/>
          </w:tcPr>
          <w:p w:rsidR="00000000" w:rsidRDefault="00795D39">
            <w:pPr>
              <w:jc w:val="right"/>
              <w:rPr>
                <w:rFonts w:eastAsia="Times New Roman"/>
              </w:rPr>
            </w:pPr>
            <w:r>
              <w:rPr>
                <w:rFonts w:eastAsia="Times New Roman"/>
                <w:color w:val="000000"/>
                <w:sz w:val="18"/>
                <w:szCs w:val="18"/>
              </w:rPr>
              <w:t>N/A</w:t>
            </w:r>
          </w:p>
        </w:tc>
      </w:tr>
      <w:tr w:rsidR="00000000">
        <w:trPr>
          <w:divId w:val="1730106154"/>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30106154"/>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30106154"/>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73010615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0.4 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divId w:val="304049533"/>
        <w:rPr>
          <w:rFonts w:eastAsia="Times New Roman"/>
        </w:rPr>
      </w:pPr>
      <w:r>
        <w:rPr>
          <w:rFonts w:eastAsia="Times New Roman"/>
          <w:color w:val="000000"/>
          <w:sz w:val="20"/>
          <w:szCs w:val="20"/>
        </w:rPr>
        <w:t>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22550939"/>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22550939"/>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22550939"/>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19" style="width:0;height:1.5pt" o:hralign="center" o:hrstd="t" o:hr="t" fillcolor="#a0a0a0" stroked="f"/>
        </w:pict>
      </w:r>
    </w:p>
    <w:p w:rsidR="00000000" w:rsidRDefault="00795D39">
      <w:pPr>
        <w:jc w:val="both"/>
        <w:divId w:val="92962867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929628673"/>
        <w:rPr>
          <w:rFonts w:eastAsia="Times New Roman"/>
        </w:rPr>
      </w:pPr>
    </w:p>
    <w:p w:rsidR="00000000" w:rsidRDefault="00795D39">
      <w:pPr>
        <w:ind w:hanging="360"/>
        <w:jc w:val="both"/>
        <w:divId w:val="203183702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$4 million and $22 million for the three and nine months ended September 30, 2020, respectively.</w:t>
      </w:r>
    </w:p>
    <w:p w:rsidR="00000000" w:rsidRDefault="00795D39">
      <w:pPr>
        <w:divId w:val="1367291371"/>
        <w:rPr>
          <w:rFonts w:eastAsia="Times New Roman"/>
        </w:rPr>
      </w:pPr>
      <w:r>
        <w:rPr>
          <w:rFonts w:eastAsia="Times New Roman"/>
          <w:b/>
          <w:bCs/>
          <w:color w:val="000000"/>
          <w:sz w:val="20"/>
          <w:szCs w:val="20"/>
        </w:rPr>
        <w:t>Credit Quality Indicators</w:t>
      </w:r>
    </w:p>
    <w:p w:rsidR="00000000" w:rsidRDefault="00795D39">
      <w:pPr>
        <w:jc w:val="both"/>
        <w:divId w:val="2119638126"/>
        <w:rPr>
          <w:rFonts w:eastAsia="Times New Roman"/>
        </w:rPr>
      </w:pPr>
      <w:r>
        <w:rPr>
          <w:rFonts w:eastAsia="Times New Roman"/>
          <w:color w:val="000000"/>
          <w:sz w:val="20"/>
          <w:szCs w:val="20"/>
        </w:rPr>
        <w:t>We closely monitor economic conditions and loan performance tr</w:t>
      </w:r>
      <w:r>
        <w:rPr>
          <w:rFonts w:eastAsia="Times New Roman"/>
          <w:color w:val="000000"/>
          <w:sz w:val="20"/>
          <w:szCs w:val="20"/>
        </w:rPr>
        <w:t>ends to assess and manage our exposure to credit risk. We discuss these risks and our credit quality indicator for each portfolio segment below.</w:t>
      </w:r>
    </w:p>
    <w:p w:rsidR="00000000" w:rsidRDefault="00795D39">
      <w:pPr>
        <w:jc w:val="both"/>
        <w:divId w:val="1008561230"/>
        <w:rPr>
          <w:rFonts w:eastAsia="Times New Roman"/>
        </w:rPr>
      </w:pPr>
      <w:r>
        <w:rPr>
          <w:rFonts w:eastAsia="Times New Roman"/>
          <w:b/>
          <w:bCs/>
          <w:i/>
          <w:iCs/>
          <w:color w:val="000000"/>
          <w:sz w:val="20"/>
          <w:szCs w:val="20"/>
        </w:rPr>
        <w:t>Credit Card</w:t>
      </w:r>
    </w:p>
    <w:p w:rsidR="00000000" w:rsidRDefault="00795D39">
      <w:pPr>
        <w:jc w:val="both"/>
        <w:divId w:val="579948340"/>
        <w:rPr>
          <w:rFonts w:eastAsia="Times New Roman"/>
        </w:rPr>
      </w:pPr>
      <w:r>
        <w:rPr>
          <w:rFonts w:eastAsia="Times New Roman"/>
          <w:color w:val="000000"/>
          <w:sz w:val="20"/>
          <w:szCs w:val="20"/>
        </w:rPr>
        <w:t>Our credit card loan portfolio is highly diversified across millions of accounts and numerous geogr</w:t>
      </w:r>
      <w:r>
        <w:rPr>
          <w:rFonts w:eastAsia="Times New Roman"/>
          <w:color w:val="000000"/>
          <w:sz w:val="20"/>
          <w:szCs w:val="20"/>
        </w:rPr>
        <w:t>aphies without significant individual exposure. We therefore generally manage credit risk based on portfolios with common risk characteristics. The risk in our credit card loan portfolio correlates to broad economic trends, such as unemployment rates and h</w:t>
      </w:r>
      <w:r>
        <w:rPr>
          <w:rFonts w:eastAsia="Times New Roman"/>
          <w:color w:val="000000"/>
          <w:sz w:val="20"/>
          <w:szCs w:val="20"/>
        </w:rPr>
        <w:t>ome values, as well as consumers’ financial condition, all of which can have a material effect on credit performance. The key indicator we assess in monitoring the credit quality and risk of our credit card loan portfolio is delinquency trends, including a</w:t>
      </w:r>
      <w:r>
        <w:rPr>
          <w:rFonts w:eastAsia="Times New Roman"/>
          <w:color w:val="000000"/>
          <w:sz w:val="20"/>
          <w:szCs w:val="20"/>
        </w:rPr>
        <w:t xml:space="preserve">n analysis of loan migration between delinquency categories over time. </w:t>
      </w:r>
    </w:p>
    <w:p w:rsidR="00000000" w:rsidRDefault="00795D39">
      <w:pPr>
        <w:jc w:val="both"/>
        <w:divId w:val="721906724"/>
        <w:rPr>
          <w:rFonts w:eastAsia="Times New Roman"/>
        </w:rPr>
      </w:pPr>
      <w:r>
        <w:rPr>
          <w:rFonts w:eastAsia="Times New Roman"/>
          <w:color w:val="000000"/>
          <w:sz w:val="20"/>
          <w:szCs w:val="20"/>
        </w:rPr>
        <w:t>The table below presents our credit card portfolio by delinquency status as of September 30, 2020.</w:t>
      </w:r>
    </w:p>
    <w:p w:rsidR="00000000" w:rsidRDefault="00795D39">
      <w:pPr>
        <w:divId w:val="1292059645"/>
        <w:rPr>
          <w:rFonts w:eastAsia="Times New Roman"/>
        </w:rPr>
      </w:pPr>
      <w:r>
        <w:rPr>
          <w:rFonts w:eastAsia="Times New Roman"/>
          <w:b/>
          <w:bCs/>
          <w:color w:val="000000"/>
          <w:sz w:val="18"/>
          <w:szCs w:val="18"/>
        </w:rPr>
        <w:t>Table 3.3: Credit Card Delinquency Status</w:t>
      </w:r>
    </w:p>
    <w:tbl>
      <w:tblPr>
        <w:tblW w:w="4985" w:type="pct"/>
        <w:tblCellMar>
          <w:top w:w="15" w:type="dxa"/>
          <w:left w:w="15" w:type="dxa"/>
          <w:bottom w:w="15" w:type="dxa"/>
          <w:right w:w="15" w:type="dxa"/>
        </w:tblCellMar>
        <w:tblLook w:val="04A0" w:firstRow="1" w:lastRow="0" w:firstColumn="1" w:lastColumn="0" w:noHBand="0" w:noVBand="1"/>
      </w:tblPr>
      <w:tblGrid>
        <w:gridCol w:w="41"/>
        <w:gridCol w:w="4425"/>
        <w:gridCol w:w="40"/>
        <w:gridCol w:w="36"/>
        <w:gridCol w:w="36"/>
        <w:gridCol w:w="36"/>
        <w:gridCol w:w="36"/>
        <w:gridCol w:w="36"/>
        <w:gridCol w:w="110"/>
        <w:gridCol w:w="980"/>
        <w:gridCol w:w="36"/>
        <w:gridCol w:w="36"/>
        <w:gridCol w:w="36"/>
        <w:gridCol w:w="36"/>
        <w:gridCol w:w="111"/>
        <w:gridCol w:w="980"/>
        <w:gridCol w:w="36"/>
        <w:gridCol w:w="36"/>
        <w:gridCol w:w="36"/>
        <w:gridCol w:w="36"/>
        <w:gridCol w:w="110"/>
        <w:gridCol w:w="980"/>
        <w:gridCol w:w="36"/>
      </w:tblGrid>
      <w:tr w:rsidR="00000000">
        <w:trPr>
          <w:divId w:val="230316688"/>
        </w:trPr>
        <w:tc>
          <w:tcPr>
            <w:tcW w:w="50" w:type="pct"/>
            <w:vAlign w:val="center"/>
            <w:hideMark/>
          </w:tcPr>
          <w:p w:rsidR="00000000" w:rsidRDefault="00795D39">
            <w:pPr>
              <w:rPr>
                <w:rFonts w:eastAsia="Times New Roman"/>
              </w:rPr>
            </w:pPr>
          </w:p>
        </w:tc>
        <w:tc>
          <w:tcPr>
            <w:tcW w:w="272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4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4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4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30316688"/>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230316688"/>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23031668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3031668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30316688"/>
        </w:trPr>
        <w:tc>
          <w:tcPr>
            <w:tcW w:w="0" w:type="auto"/>
            <w:gridSpan w:val="3"/>
            <w:shd w:val="clear" w:color="auto" w:fill="CCEEFF"/>
            <w:tcMar>
              <w:top w:w="30" w:type="dxa"/>
              <w:left w:w="20" w:type="dxa"/>
              <w:bottom w:w="30" w:type="dxa"/>
              <w:right w:w="20" w:type="dxa"/>
            </w:tcMar>
            <w:vAlign w:val="center"/>
            <w:hideMark/>
          </w:tcPr>
          <w:p w:rsidR="00000000" w:rsidRDefault="00795D39">
            <w:pPr>
              <w:divId w:val="1381393354"/>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92,904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93,433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FFFFFF"/>
            <w:tcMar>
              <w:top w:w="30" w:type="dxa"/>
              <w:left w:w="20" w:type="dxa"/>
              <w:bottom w:w="30" w:type="dxa"/>
              <w:right w:w="20" w:type="dxa"/>
            </w:tcMar>
            <w:vAlign w:val="center"/>
            <w:hideMark/>
          </w:tcPr>
          <w:p w:rsidR="00000000" w:rsidRDefault="00795D39">
            <w:pPr>
              <w:divId w:val="1694183816"/>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CCEEFF"/>
            <w:tcMar>
              <w:top w:w="30" w:type="dxa"/>
              <w:left w:w="20" w:type="dxa"/>
              <w:bottom w:w="30" w:type="dxa"/>
              <w:right w:w="20" w:type="dxa"/>
            </w:tcMar>
            <w:vAlign w:val="center"/>
            <w:hideMark/>
          </w:tcPr>
          <w:p w:rsidR="00000000" w:rsidRDefault="00795D39">
            <w:pPr>
              <w:divId w:val="1269771990"/>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FFFFFF"/>
            <w:tcMar>
              <w:top w:w="30" w:type="dxa"/>
              <w:left w:w="20" w:type="dxa"/>
              <w:bottom w:w="30" w:type="dxa"/>
              <w:right w:w="20" w:type="dxa"/>
            </w:tcMar>
            <w:vAlign w:val="center"/>
            <w:hideMark/>
          </w:tcPr>
          <w:p w:rsidR="00000000" w:rsidRDefault="00795D39">
            <w:pPr>
              <w:divId w:val="1783694146"/>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94,963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95,541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Height w:val="280"/>
        </w:trPr>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3031668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30316688"/>
        </w:trPr>
        <w:tc>
          <w:tcPr>
            <w:tcW w:w="0" w:type="auto"/>
            <w:gridSpan w:val="3"/>
            <w:shd w:val="clear" w:color="auto" w:fill="FFFFFF"/>
            <w:tcMar>
              <w:top w:w="30" w:type="dxa"/>
              <w:left w:w="20" w:type="dxa"/>
              <w:bottom w:w="30" w:type="dxa"/>
              <w:right w:w="20" w:type="dxa"/>
            </w:tcMar>
            <w:vAlign w:val="center"/>
            <w:hideMark/>
          </w:tcPr>
          <w:p w:rsidR="00000000" w:rsidRDefault="00795D39">
            <w:pPr>
              <w:divId w:val="186993494"/>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7,845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7,915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CCEEFF"/>
            <w:tcMar>
              <w:top w:w="30" w:type="dxa"/>
              <w:left w:w="20" w:type="dxa"/>
              <w:bottom w:w="30" w:type="dxa"/>
              <w:right w:w="20" w:type="dxa"/>
            </w:tcMar>
            <w:vAlign w:val="center"/>
            <w:hideMark/>
          </w:tcPr>
          <w:p w:rsidR="00000000" w:rsidRDefault="00795D39">
            <w:pPr>
              <w:divId w:val="808327669"/>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FFFFFF"/>
            <w:tcMar>
              <w:top w:w="30" w:type="dxa"/>
              <w:left w:w="20" w:type="dxa"/>
              <w:bottom w:w="30" w:type="dxa"/>
              <w:right w:w="20" w:type="dxa"/>
            </w:tcMar>
            <w:vAlign w:val="center"/>
            <w:hideMark/>
          </w:tcPr>
          <w:p w:rsidR="00000000" w:rsidRDefault="00795D39">
            <w:pPr>
              <w:divId w:val="1742631181"/>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CCEEFF"/>
            <w:tcMar>
              <w:top w:w="30" w:type="dxa"/>
              <w:left w:w="20" w:type="dxa"/>
              <w:bottom w:w="30" w:type="dxa"/>
              <w:right w:w="20" w:type="dxa"/>
            </w:tcMar>
            <w:vAlign w:val="center"/>
            <w:hideMark/>
          </w:tcPr>
          <w:p w:rsidR="00000000" w:rsidRDefault="00795D39">
            <w:pPr>
              <w:divId w:val="854808751"/>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3031668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102,967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52544039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38072369"/>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38072369"/>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38072369"/>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0" style="width:0;height:1.5pt" o:hralign="center" o:hrstd="t" o:hr="t" fillcolor="#a0a0a0" stroked="f"/>
        </w:pict>
      </w:r>
    </w:p>
    <w:p w:rsidR="00000000" w:rsidRDefault="00795D39">
      <w:pPr>
        <w:jc w:val="both"/>
        <w:divId w:val="151973628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519736289"/>
        <w:rPr>
          <w:rFonts w:eastAsia="Times New Roman"/>
        </w:rPr>
      </w:pPr>
    </w:p>
    <w:p w:rsidR="00000000" w:rsidRDefault="00795D39">
      <w:pPr>
        <w:divId w:val="662978156"/>
        <w:rPr>
          <w:rFonts w:eastAsia="Times New Roman"/>
        </w:rPr>
      </w:pPr>
      <w:r>
        <w:rPr>
          <w:rFonts w:eastAsia="Times New Roman"/>
          <w:b/>
          <w:bCs/>
          <w:i/>
          <w:iCs/>
          <w:color w:val="000000"/>
          <w:sz w:val="20"/>
          <w:szCs w:val="20"/>
        </w:rPr>
        <w:t>Consumer Banking</w:t>
      </w:r>
    </w:p>
    <w:p w:rsidR="00000000" w:rsidRDefault="00795D39">
      <w:pPr>
        <w:jc w:val="both"/>
        <w:divId w:val="1113206677"/>
        <w:rPr>
          <w:rFonts w:eastAsia="Times New Roman"/>
        </w:rPr>
      </w:pPr>
      <w:r>
        <w:rPr>
          <w:rFonts w:eastAsia="Times New Roman"/>
          <w:color w:val="000000"/>
          <w:sz w:val="20"/>
          <w:szCs w:val="20"/>
        </w:rPr>
        <w:t>Our consumer banking loan portfolio consists of auto and retail banking loans. Similar to our credit card loan portfolio, the</w:t>
      </w:r>
      <w:r>
        <w:rPr>
          <w:rFonts w:eastAsia="Times New Roman"/>
          <w:color w:val="000000"/>
          <w:sz w:val="20"/>
          <w:szCs w:val="20"/>
        </w:rPr>
        <w:t xml:space="preserve"> risk in our consumer banking loan portfolio correlates to broad economic trends, such as unemployment rates, gross domestic product and home values, as well as consumers’ financial condition, all of which can have a material effect on credit performance. </w:t>
      </w:r>
      <w:r>
        <w:rPr>
          <w:rFonts w:eastAsia="Times New Roman"/>
          <w:color w:val="000000"/>
          <w:sz w:val="20"/>
          <w:szCs w:val="20"/>
        </w:rPr>
        <w:t>The key indicator we monitor when assessing the credit quality and risk of our auto loan portfolio is borrower credit scores as they measure the creditworthiness of borrowers. Delinquency trends are the key indicator we assess in monitoring the credit qual</w:t>
      </w:r>
      <w:r>
        <w:rPr>
          <w:rFonts w:eastAsia="Times New Roman"/>
          <w:color w:val="000000"/>
          <w:sz w:val="20"/>
          <w:szCs w:val="20"/>
        </w:rPr>
        <w:t xml:space="preserve">ity and risk of our retail banking loan portfolio. </w:t>
      </w:r>
    </w:p>
    <w:p w:rsidR="00000000" w:rsidRDefault="00795D39">
      <w:pPr>
        <w:jc w:val="both"/>
        <w:divId w:val="2036467420"/>
        <w:rPr>
          <w:rFonts w:eastAsia="Times New Roman"/>
        </w:rPr>
      </w:pPr>
      <w:r>
        <w:rPr>
          <w:rFonts w:eastAsia="Times New Roman"/>
          <w:color w:val="000000"/>
          <w:sz w:val="20"/>
          <w:szCs w:val="20"/>
        </w:rPr>
        <w:t xml:space="preserve">The table below presents our consumer banking portfolio of loans held for investment by credit quality indicator as of September 30, 2020 and December 31, 2019. We present our auto loan portfolio by FICO </w:t>
      </w:r>
      <w:r>
        <w:rPr>
          <w:rFonts w:eastAsia="Times New Roman"/>
          <w:color w:val="000000"/>
          <w:sz w:val="20"/>
          <w:szCs w:val="20"/>
        </w:rPr>
        <w:t xml:space="preserve">scores at origination and our retail banking loan portfolio by delinquency status, which includes all past due loans, both performing and nonperforming. </w:t>
      </w:r>
    </w:p>
    <w:p w:rsidR="00000000" w:rsidRDefault="00795D39">
      <w:pPr>
        <w:divId w:val="1074357186"/>
        <w:rPr>
          <w:rFonts w:eastAsia="Times New Roman"/>
        </w:rPr>
      </w:pPr>
      <w:r>
        <w:rPr>
          <w:rFonts w:eastAsia="Times New Roman"/>
          <w:b/>
          <w:bCs/>
          <w:color w:val="000000"/>
          <w:sz w:val="18"/>
          <w:szCs w:val="18"/>
        </w:rPr>
        <w:t>Table 3.4: Consumer Banking Portfolio by Credit Quality Indicator</w:t>
      </w:r>
    </w:p>
    <w:tbl>
      <w:tblPr>
        <w:tblW w:w="4978" w:type="pct"/>
        <w:tblCellMar>
          <w:top w:w="15" w:type="dxa"/>
          <w:left w:w="15" w:type="dxa"/>
          <w:bottom w:w="15" w:type="dxa"/>
          <w:right w:w="15" w:type="dxa"/>
        </w:tblCellMar>
        <w:tblLook w:val="04A0" w:firstRow="1" w:lastRow="0" w:firstColumn="1" w:lastColumn="0" w:noHBand="0" w:noVBand="1"/>
      </w:tblPr>
      <w:tblGrid>
        <w:gridCol w:w="64"/>
        <w:gridCol w:w="932"/>
        <w:gridCol w:w="38"/>
        <w:gridCol w:w="36"/>
        <w:gridCol w:w="36"/>
        <w:gridCol w:w="36"/>
        <w:gridCol w:w="110"/>
        <w:gridCol w:w="540"/>
        <w:gridCol w:w="36"/>
        <w:gridCol w:w="36"/>
        <w:gridCol w:w="36"/>
        <w:gridCol w:w="36"/>
        <w:gridCol w:w="110"/>
        <w:gridCol w:w="510"/>
        <w:gridCol w:w="36"/>
        <w:gridCol w:w="36"/>
        <w:gridCol w:w="36"/>
        <w:gridCol w:w="36"/>
        <w:gridCol w:w="110"/>
        <w:gridCol w:w="51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1"/>
        <w:gridCol w:w="581"/>
        <w:gridCol w:w="36"/>
        <w:gridCol w:w="36"/>
        <w:gridCol w:w="36"/>
        <w:gridCol w:w="36"/>
        <w:gridCol w:w="111"/>
        <w:gridCol w:w="630"/>
        <w:gridCol w:w="36"/>
        <w:gridCol w:w="36"/>
        <w:gridCol w:w="36"/>
        <w:gridCol w:w="36"/>
        <w:gridCol w:w="110"/>
        <w:gridCol w:w="540"/>
        <w:gridCol w:w="690"/>
      </w:tblGrid>
      <w:tr w:rsidR="00000000">
        <w:trPr>
          <w:divId w:val="1580820943"/>
        </w:trPr>
        <w:tc>
          <w:tcPr>
            <w:tcW w:w="50" w:type="pct"/>
            <w:vAlign w:val="center"/>
            <w:hideMark/>
          </w:tcPr>
          <w:p w:rsidR="00000000" w:rsidRDefault="00795D39">
            <w:pPr>
              <w:rPr>
                <w:rFonts w:eastAsia="Times New Roman"/>
              </w:rPr>
            </w:pPr>
          </w:p>
        </w:tc>
        <w:tc>
          <w:tcPr>
            <w:tcW w:w="73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80820943"/>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September 30, 2020</w:t>
            </w:r>
          </w:p>
        </w:tc>
        <w:tc>
          <w:tcPr>
            <w:tcW w:w="0" w:type="auto"/>
            <w:tcMar>
              <w:top w:w="0" w:type="dxa"/>
              <w:left w:w="20" w:type="dxa"/>
              <w:bottom w:w="0" w:type="dxa"/>
              <w:right w:w="20" w:type="dxa"/>
            </w:tcMar>
            <w:vAlign w:val="center"/>
            <w:hideMark/>
          </w:tcPr>
          <w:p w:rsidR="00000000" w:rsidRDefault="00795D39">
            <w:pPr>
              <w:jc w:val="center"/>
              <w:rPr>
                <w:rFonts w:eastAsia="Times New Roman"/>
              </w:rPr>
            </w:pPr>
          </w:p>
        </w:tc>
      </w:tr>
      <w:tr w:rsidR="00000000">
        <w:trPr>
          <w:divId w:val="1580820943"/>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8082094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Total</w:t>
            </w:r>
          </w:p>
        </w:tc>
        <w:tc>
          <w:tcPr>
            <w:tcW w:w="0" w:type="auto"/>
            <w:tcMar>
              <w:top w:w="0" w:type="dxa"/>
              <w:left w:w="20" w:type="dxa"/>
              <w:bottom w:w="0" w:type="dxa"/>
              <w:right w:w="20" w:type="dxa"/>
            </w:tcMar>
            <w:vAlign w:val="center"/>
            <w:hideMark/>
          </w:tcPr>
          <w:p w:rsidR="00000000" w:rsidRDefault="00795D39">
            <w:pPr>
              <w:jc w:val="center"/>
              <w:rPr>
                <w:rFonts w:eastAsia="Times New Roman"/>
              </w:rPr>
            </w:pPr>
            <w:r>
              <w:rPr>
                <w:rFonts w:eastAsia="Times New Roman"/>
                <w:b/>
                <w:bCs/>
                <w:color w:val="000000"/>
                <w:sz w:val="15"/>
                <w:szCs w:val="15"/>
              </w:rPr>
              <w:t>December 31, 2019</w:t>
            </w:r>
          </w:p>
        </w:tc>
      </w:tr>
      <w:tr w:rsidR="00000000">
        <w:trPr>
          <w:divId w:val="1580820943"/>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58082094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591863395"/>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1580820943"/>
        </w:trPr>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10,562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9,021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30,103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30,103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$28,773 </w:t>
            </w:r>
          </w:p>
        </w:tc>
      </w:tr>
      <w:tr w:rsidR="00795D39">
        <w:trPr>
          <w:divId w:val="1580820943"/>
        </w:trPr>
        <w:tc>
          <w:tcPr>
            <w:tcW w:w="0" w:type="auto"/>
            <w:gridSpan w:val="3"/>
            <w:shd w:val="clear" w:color="auto" w:fill="CCEE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13,076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13,076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11,924 </w:t>
            </w:r>
          </w:p>
        </w:tc>
      </w:tr>
      <w:tr w:rsidR="00795D39">
        <w:trPr>
          <w:divId w:val="1580820943"/>
        </w:trPr>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7,875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19,665 </w:t>
            </w:r>
          </w:p>
        </w:tc>
      </w:tr>
      <w:tr w:rsidR="00795D39">
        <w:trPr>
          <w:divId w:val="158082094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23,103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19,972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11,339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65,394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65,394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60,362 </w:t>
            </w:r>
          </w:p>
        </w:tc>
      </w:tr>
      <w:tr w:rsidR="00000000">
        <w:trPr>
          <w:divId w:val="1580820943"/>
          <w:trHeight w:val="280"/>
        </w:trPr>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8082094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Retail banking—</w:t>
            </w:r>
            <w:r>
              <w:rPr>
                <w:rFonts w:eastAsia="Times New Roman"/>
                <w:b/>
                <w:bCs/>
                <w:color w:val="000000"/>
                <w:sz w:val="18"/>
                <w:szCs w:val="18"/>
              </w:rPr>
              <w:t>Delinquency status: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1580820943"/>
        </w:trPr>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2,658 </w:t>
            </w:r>
          </w:p>
        </w:tc>
      </w:tr>
      <w:tr w:rsidR="00795D39">
        <w:trPr>
          <w:divId w:val="1580820943"/>
        </w:trPr>
        <w:tc>
          <w:tcPr>
            <w:tcW w:w="0" w:type="auto"/>
            <w:gridSpan w:val="3"/>
            <w:shd w:val="clear" w:color="auto" w:fill="CCEE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24 </w:t>
            </w:r>
          </w:p>
        </w:tc>
      </w:tr>
      <w:tr w:rsidR="00795D39">
        <w:trPr>
          <w:divId w:val="1580820943"/>
        </w:trPr>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8 </w:t>
            </w:r>
          </w:p>
        </w:tc>
      </w:tr>
      <w:tr w:rsidR="00795D39">
        <w:trPr>
          <w:divId w:val="1580820943"/>
        </w:trPr>
        <w:tc>
          <w:tcPr>
            <w:tcW w:w="0" w:type="auto"/>
            <w:gridSpan w:val="3"/>
            <w:shd w:val="clear" w:color="auto" w:fill="CCEE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11 </w:t>
            </w:r>
          </w:p>
        </w:tc>
      </w:tr>
      <w:tr w:rsidR="00795D39">
        <w:trPr>
          <w:divId w:val="1580820943"/>
        </w:trPr>
        <w:tc>
          <w:tcPr>
            <w:tcW w:w="0" w:type="auto"/>
            <w:gridSpan w:val="3"/>
            <w:shd w:val="clear" w:color="auto" w:fill="FFFFFF"/>
            <w:tcMar>
              <w:top w:w="30" w:type="dxa"/>
              <w:left w:w="20" w:type="dxa"/>
              <w:bottom w:w="30" w:type="dxa"/>
              <w:right w:w="20" w:type="dxa"/>
            </w:tcMar>
            <w:vAlign w:val="center"/>
            <w:hideMark/>
          </w:tcPr>
          <w:p w:rsidR="00000000" w:rsidRDefault="00795D39">
            <w:pPr>
              <w:divId w:val="1528905825"/>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2,701 </w:t>
            </w:r>
          </w:p>
        </w:tc>
      </w:tr>
      <w:tr w:rsidR="00795D39">
        <w:trPr>
          <w:divId w:val="158082094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24,184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7"/>
                <w:szCs w:val="17"/>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7"/>
                <w:szCs w:val="17"/>
              </w:rPr>
              <w:t>20,209</w:t>
            </w:r>
            <w:r>
              <w:rPr>
                <w:rFonts w:eastAsia="Times New Roman"/>
                <w:color w:val="000000"/>
                <w:sz w:val="17"/>
                <w:szCs w:val="17"/>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7"/>
                <w:szCs w:val="17"/>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7"/>
                <w:szCs w:val="17"/>
              </w:rPr>
              <w:t>11,570</w:t>
            </w:r>
            <w:r>
              <w:rPr>
                <w:rFonts w:eastAsia="Times New Roman"/>
                <w:color w:val="000000"/>
                <w:sz w:val="17"/>
                <w:szCs w:val="17"/>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67,951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68,688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$63,063 </w:t>
            </w:r>
          </w:p>
        </w:tc>
      </w:tr>
    </w:tbl>
    <w:p w:rsidR="00000000" w:rsidRDefault="00795D39">
      <w:pPr>
        <w:divId w:val="1652170145"/>
        <w:rPr>
          <w:rFonts w:eastAsia="Times New Roman"/>
        </w:rPr>
      </w:pPr>
      <w:r>
        <w:rPr>
          <w:rFonts w:eastAsia="Times New Roman"/>
          <w:color w:val="000000"/>
          <w:sz w:val="20"/>
          <w:szCs w:val="20"/>
        </w:rPr>
        <w:t>__________</w:t>
      </w:r>
    </w:p>
    <w:p w:rsidR="00000000" w:rsidRDefault="00795D39">
      <w:pPr>
        <w:ind w:hanging="360"/>
        <w:jc w:val="both"/>
        <w:divId w:val="11592677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category. Auto credit scores generally represent av</w:t>
      </w:r>
      <w:r>
        <w:rPr>
          <w:rFonts w:eastAsia="Times New Roman"/>
          <w:color w:val="000000"/>
          <w:sz w:val="16"/>
          <w:szCs w:val="16"/>
        </w:rPr>
        <w:t>erage FICO scores obtained from three credit bureaus at the time of application and are not refreshed thereafter. Balances for which no credit score is available or the credit score is invalid are included in the 620 or below category.</w:t>
      </w:r>
    </w:p>
    <w:p w:rsidR="00000000" w:rsidRDefault="00795D39">
      <w:pPr>
        <w:ind w:hanging="360"/>
        <w:jc w:val="both"/>
        <w:divId w:val="197594125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Paycheck</w:t>
      </w:r>
      <w:r>
        <w:rPr>
          <w:rFonts w:eastAsia="Times New Roman"/>
          <w:color w:val="000000"/>
          <w:sz w:val="16"/>
          <w:szCs w:val="16"/>
        </w:rPr>
        <w:t xml:space="preserve"> Protection Program (“PPP”) loans of $966 million as of September 30, 2020.</w:t>
      </w:r>
    </w:p>
    <w:p w:rsidR="00000000" w:rsidRDefault="00795D39">
      <w:pPr>
        <w:jc w:val="both"/>
        <w:divId w:val="1718578873"/>
        <w:rPr>
          <w:rFonts w:eastAsia="Times New Roman"/>
        </w:rPr>
      </w:pPr>
      <w:r>
        <w:rPr>
          <w:rFonts w:eastAsia="Times New Roman"/>
          <w:b/>
          <w:bCs/>
          <w:i/>
          <w:iCs/>
          <w:color w:val="000000"/>
          <w:sz w:val="20"/>
          <w:szCs w:val="20"/>
        </w:rPr>
        <w:t>Commercial Banking</w:t>
      </w:r>
    </w:p>
    <w:p w:rsidR="00000000" w:rsidRDefault="00795D39">
      <w:pPr>
        <w:jc w:val="both"/>
        <w:divId w:val="1319267585"/>
        <w:rPr>
          <w:rFonts w:eastAsia="Times New Roman"/>
        </w:rPr>
      </w:pPr>
      <w:r>
        <w:rPr>
          <w:rFonts w:eastAsia="Times New Roman"/>
          <w:color w:val="000000"/>
          <w:sz w:val="20"/>
          <w:szCs w:val="20"/>
        </w:rPr>
        <w:t>The key credit quality indicator for our commercial loan portfolios is our internal risk ratings. We assign internal risk ratings to loans based on relevant info</w:t>
      </w:r>
      <w:r>
        <w:rPr>
          <w:rFonts w:eastAsia="Times New Roman"/>
          <w:color w:val="000000"/>
          <w:sz w:val="20"/>
          <w:szCs w:val="20"/>
        </w:rPr>
        <w:t>rmation about the ability of the borrowers to repay their debt. In determining the risk rating of a particular loan, some of the factors considered are the borrower’s current financial condition, historical and projected future credit performance, prospect</w:t>
      </w:r>
      <w:r>
        <w:rPr>
          <w:rFonts w:eastAsia="Times New Roman"/>
          <w:color w:val="000000"/>
          <w:sz w:val="20"/>
          <w:szCs w:val="20"/>
        </w:rPr>
        <w:t>s for support from financially responsible guarantors, the estimated realizable value of any collateral and current economic trends. The scale based on our internal risk rating system is as follows:</w:t>
      </w:r>
    </w:p>
    <w:p w:rsidR="00000000" w:rsidRDefault="00795D39">
      <w:pPr>
        <w:ind w:hanging="360"/>
        <w:jc w:val="both"/>
        <w:divId w:val="1667855774"/>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Loans that have not been designated as cr</w:t>
      </w:r>
      <w:r>
        <w:rPr>
          <w:rFonts w:eastAsia="Times New Roman"/>
          <w:color w:val="000000"/>
          <w:sz w:val="20"/>
          <w:szCs w:val="20"/>
        </w:rPr>
        <w:t>iticized, frequently referred to as “pass” loans.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52378218"/>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5237821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5237821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1" style="width:0;height:1.5pt" o:hralign="center" o:hrstd="t" o:hr="t" fillcolor="#a0a0a0" stroked="f"/>
        </w:pict>
      </w:r>
    </w:p>
    <w:p w:rsidR="00000000" w:rsidRDefault="00795D39">
      <w:pPr>
        <w:jc w:val="both"/>
        <w:divId w:val="8141476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81414765"/>
        <w:rPr>
          <w:rFonts w:eastAsia="Times New Roman"/>
        </w:rPr>
      </w:pPr>
    </w:p>
    <w:p w:rsidR="00000000" w:rsidRDefault="00795D39">
      <w:pPr>
        <w:ind w:hanging="360"/>
        <w:jc w:val="both"/>
        <w:divId w:val="1662155597"/>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w:t>
      </w:r>
      <w:r>
        <w:rPr>
          <w:rFonts w:eastAsia="Times New Roman"/>
          <w:color w:val="000000"/>
          <w:sz w:val="20"/>
          <w:szCs w:val="20"/>
        </w:rPr>
        <w:t>Loans in which the financial condition of the obligor is stressed, affecting earnings, cash flows or collateral values. The borrower currently has adequate capacity to meet near-term obligations; however, the stress, left unabated, may result in deteriorat</w:t>
      </w:r>
      <w:r>
        <w:rPr>
          <w:rFonts w:eastAsia="Times New Roman"/>
          <w:color w:val="000000"/>
          <w:sz w:val="20"/>
          <w:szCs w:val="20"/>
        </w:rPr>
        <w:t>ion of the repayment prospects at some future date.</w:t>
      </w:r>
    </w:p>
    <w:p w:rsidR="00000000" w:rsidRDefault="00795D39">
      <w:pPr>
        <w:ind w:hanging="360"/>
        <w:jc w:val="both"/>
        <w:divId w:val="1935432925"/>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Loans that are not adequately protected by the current net worth and paying capacity of the obligor or the collateral pledged, if any. Loans classified as criticized nonperformi</w:t>
      </w:r>
      <w:r>
        <w:rPr>
          <w:rFonts w:eastAsia="Times New Roman"/>
          <w:color w:val="000000"/>
          <w:sz w:val="20"/>
          <w:szCs w:val="20"/>
        </w:rPr>
        <w:t xml:space="preserve">ng have a well-defined weakness, or weaknesses, which jeopardize the full repayment of the debt. These loans are characterized by the distinct possibility that we will sustain a credit loss if the deficiencies are not corrected and are generally placed on </w:t>
      </w:r>
      <w:r>
        <w:rPr>
          <w:rFonts w:eastAsia="Times New Roman"/>
          <w:color w:val="000000"/>
          <w:sz w:val="20"/>
          <w:szCs w:val="20"/>
        </w:rPr>
        <w:t>nonaccrual status.</w:t>
      </w:r>
    </w:p>
    <w:p w:rsidR="00000000" w:rsidRDefault="00795D39">
      <w:pPr>
        <w:jc w:val="both"/>
        <w:divId w:val="598417493"/>
        <w:rPr>
          <w:rFonts w:eastAsia="Times New Roman"/>
        </w:rPr>
      </w:pPr>
      <w:r>
        <w:rPr>
          <w:rFonts w:eastAsia="Times New Roman"/>
          <w:color w:val="000000"/>
          <w:sz w:val="20"/>
          <w:szCs w:val="20"/>
        </w:rPr>
        <w:t>We use our internal risk rating system for regulatory reporting, determining the frequency of credit exposure reviews, and evaluating and determining the allowance for credit losses for commercial loans. Generally, loans that are designated as criticized p</w:t>
      </w:r>
      <w:r>
        <w:rPr>
          <w:rFonts w:eastAsia="Times New Roman"/>
          <w:color w:val="000000"/>
          <w:sz w:val="20"/>
          <w:szCs w:val="20"/>
        </w:rPr>
        <w:t>erforming and criticized nonperforming are reviewed quarterly by management to determine if they are appropriately classified/rated and whether any impairment exists. Noncriticized loans are also generally reviewed, at least annually, to determine the appr</w:t>
      </w:r>
      <w:r>
        <w:rPr>
          <w:rFonts w:eastAsia="Times New Roman"/>
          <w:color w:val="000000"/>
          <w:sz w:val="20"/>
          <w:szCs w:val="20"/>
        </w:rPr>
        <w:t>opriate risk rating. In addition, we evaluate the risk rating during the renewal process of any loan or if a loan becomes past due.</w:t>
      </w:r>
    </w:p>
    <w:p w:rsidR="00000000" w:rsidRDefault="00795D39">
      <w:pPr>
        <w:jc w:val="both"/>
        <w:divId w:val="2035229621"/>
        <w:rPr>
          <w:rFonts w:eastAsia="Times New Roman"/>
        </w:rPr>
      </w:pPr>
      <w:r>
        <w:rPr>
          <w:rFonts w:eastAsia="Times New Roman"/>
          <w:color w:val="000000"/>
          <w:sz w:val="20"/>
          <w:szCs w:val="20"/>
        </w:rPr>
        <w:t>The following table presents our commercial banking portfolio of loans held for investment by internal risk ratings as of Se</w:t>
      </w:r>
      <w:r>
        <w:rPr>
          <w:rFonts w:eastAsia="Times New Roman"/>
          <w:color w:val="000000"/>
          <w:sz w:val="20"/>
          <w:szCs w:val="20"/>
        </w:rPr>
        <w:t>ptember 30, 2020 and December 31, 2019. The internal risk rating status includes all past due loans, both performing and nonperforming.</w:t>
      </w:r>
    </w:p>
    <w:p w:rsidR="00000000" w:rsidRDefault="00795D39">
      <w:pPr>
        <w:divId w:val="1808861533"/>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57"/>
        <w:gridCol w:w="1398"/>
        <w:gridCol w:w="40"/>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1"/>
        <w:gridCol w:w="618"/>
        <w:gridCol w:w="36"/>
        <w:gridCol w:w="36"/>
        <w:gridCol w:w="36"/>
        <w:gridCol w:w="36"/>
        <w:gridCol w:w="110"/>
        <w:gridCol w:w="540"/>
        <w:gridCol w:w="36"/>
      </w:tblGrid>
      <w:tr w:rsidR="00000000">
        <w:trPr>
          <w:divId w:val="1272129162"/>
        </w:trPr>
        <w:tc>
          <w:tcPr>
            <w:tcW w:w="50" w:type="pct"/>
            <w:vAlign w:val="center"/>
            <w:hideMark/>
          </w:tcPr>
          <w:p w:rsidR="00000000" w:rsidRDefault="00795D39">
            <w:pPr>
              <w:rPr>
                <w:rFonts w:eastAsia="Times New Roman"/>
              </w:rPr>
            </w:pPr>
          </w:p>
        </w:tc>
        <w:tc>
          <w:tcPr>
            <w:tcW w:w="123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72129162"/>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September 30, 2020</w:t>
            </w:r>
          </w:p>
        </w:tc>
        <w:tc>
          <w:tcPr>
            <w:tcW w:w="0" w:type="auto"/>
            <w:vAlign w:val="center"/>
            <w:hideMark/>
          </w:tcPr>
          <w:p w:rsidR="00000000" w:rsidRDefault="00795D39">
            <w:pPr>
              <w:rPr>
                <w:rFonts w:eastAsia="Times New Roman"/>
                <w:sz w:val="20"/>
                <w:szCs w:val="20"/>
              </w:rPr>
            </w:pPr>
          </w:p>
        </w:tc>
      </w:tr>
      <w:tr w:rsidR="00000000">
        <w:trPr>
          <w:divId w:val="1272129162"/>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72129162"/>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5"/>
                <w:szCs w:val="15"/>
              </w:rPr>
              <w:t>Total</w:t>
            </w:r>
          </w:p>
        </w:tc>
        <w:tc>
          <w:tcPr>
            <w:tcW w:w="0" w:type="auto"/>
            <w:vAlign w:val="center"/>
            <w:hideMark/>
          </w:tcPr>
          <w:p w:rsidR="00000000" w:rsidRDefault="00795D39">
            <w:pPr>
              <w:rPr>
                <w:rFonts w:eastAsia="Times New Roman"/>
                <w:sz w:val="20"/>
                <w:szCs w:val="20"/>
              </w:rPr>
            </w:pPr>
          </w:p>
        </w:tc>
      </w:tr>
      <w:tr w:rsidR="00000000">
        <w:trPr>
          <w:divId w:val="12721291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211848316"/>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272129162"/>
        </w:trPr>
        <w:tc>
          <w:tcPr>
            <w:tcW w:w="0" w:type="auto"/>
            <w:gridSpan w:val="3"/>
            <w:shd w:val="clear" w:color="auto" w:fill="FFFFFF"/>
            <w:tcMar>
              <w:top w:w="30" w:type="dxa"/>
              <w:left w:w="13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1272129162"/>
        </w:trPr>
        <w:tc>
          <w:tcPr>
            <w:tcW w:w="0" w:type="auto"/>
            <w:gridSpan w:val="3"/>
            <w:shd w:val="clear" w:color="auto" w:fill="CCEE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7,152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28,386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272129162"/>
        </w:trPr>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272129162"/>
        </w:trPr>
        <w:tc>
          <w:tcPr>
            <w:tcW w:w="0" w:type="auto"/>
            <w:gridSpan w:val="3"/>
            <w:shd w:val="clear" w:color="auto" w:fill="CCEE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27212916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3,234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5,648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3,894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2,122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2,263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6,828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23,989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7,208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31,197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1272129162"/>
        </w:trPr>
        <w:tc>
          <w:tcPr>
            <w:tcW w:w="0" w:type="auto"/>
            <w:gridSpan w:val="3"/>
            <w:shd w:val="clear" w:color="auto" w:fill="CCEEFF"/>
            <w:tcMar>
              <w:top w:w="30" w:type="dxa"/>
              <w:left w:w="13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1272129162"/>
        </w:trPr>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28,751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40,147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272129162"/>
        </w:trPr>
        <w:tc>
          <w:tcPr>
            <w:tcW w:w="0" w:type="auto"/>
            <w:gridSpan w:val="3"/>
            <w:shd w:val="clear" w:color="auto" w:fill="CCEE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272129162"/>
        </w:trPr>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272129162"/>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31,110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13,362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44,697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795D39">
        <w:trPr>
          <w:divId w:val="1272129162"/>
        </w:trPr>
        <w:tc>
          <w:tcPr>
            <w:tcW w:w="0" w:type="auto"/>
            <w:gridSpan w:val="3"/>
            <w:shd w:val="clear" w:color="auto" w:fill="FFFFFF"/>
            <w:tcMar>
              <w:top w:w="30" w:type="dxa"/>
              <w:left w:w="20" w:type="dxa"/>
              <w:bottom w:w="30" w:type="dxa"/>
              <w:right w:w="20" w:type="dxa"/>
            </w:tcMar>
            <w:vAlign w:val="center"/>
            <w:hideMark/>
          </w:tcPr>
          <w:p w:rsidR="00000000" w:rsidRDefault="00795D39">
            <w:pPr>
              <w:divId w:val="1799644992"/>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5,474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55,099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20,570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75,894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49"/>
        <w:gridCol w:w="2038"/>
        <w:gridCol w:w="39"/>
        <w:gridCol w:w="36"/>
        <w:gridCol w:w="36"/>
        <w:gridCol w:w="36"/>
        <w:gridCol w:w="111"/>
        <w:gridCol w:w="806"/>
        <w:gridCol w:w="36"/>
        <w:gridCol w:w="36"/>
        <w:gridCol w:w="36"/>
        <w:gridCol w:w="36"/>
        <w:gridCol w:w="45"/>
        <w:gridCol w:w="619"/>
        <w:gridCol w:w="170"/>
        <w:gridCol w:w="36"/>
        <w:gridCol w:w="36"/>
        <w:gridCol w:w="36"/>
        <w:gridCol w:w="111"/>
        <w:gridCol w:w="801"/>
        <w:gridCol w:w="36"/>
        <w:gridCol w:w="36"/>
        <w:gridCol w:w="36"/>
        <w:gridCol w:w="36"/>
        <w:gridCol w:w="45"/>
        <w:gridCol w:w="564"/>
        <w:gridCol w:w="170"/>
        <w:gridCol w:w="36"/>
        <w:gridCol w:w="36"/>
        <w:gridCol w:w="36"/>
        <w:gridCol w:w="36"/>
        <w:gridCol w:w="36"/>
        <w:gridCol w:w="36"/>
        <w:gridCol w:w="36"/>
        <w:gridCol w:w="36"/>
        <w:gridCol w:w="36"/>
        <w:gridCol w:w="111"/>
        <w:gridCol w:w="801"/>
        <w:gridCol w:w="36"/>
        <w:gridCol w:w="36"/>
        <w:gridCol w:w="36"/>
        <w:gridCol w:w="36"/>
        <w:gridCol w:w="44"/>
        <w:gridCol w:w="590"/>
        <w:gridCol w:w="170"/>
      </w:tblGrid>
      <w:tr w:rsidR="00000000">
        <w:trPr>
          <w:divId w:val="1134718166"/>
        </w:trPr>
        <w:tc>
          <w:tcPr>
            <w:tcW w:w="50" w:type="pct"/>
            <w:vAlign w:val="center"/>
            <w:hideMark/>
          </w:tcPr>
          <w:p w:rsidR="00000000" w:rsidRDefault="00795D39">
            <w:pPr>
              <w:jc w:val="both"/>
              <w:rPr>
                <w:rFonts w:eastAsia="Times New Roman"/>
              </w:rPr>
            </w:pPr>
          </w:p>
        </w:tc>
        <w:tc>
          <w:tcPr>
            <w:tcW w:w="132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6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3471816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13471816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and Multifamily Real Estate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and Industrial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r>
              <w:rPr>
                <w:rFonts w:eastAsia="Times New Roman"/>
                <w:b/>
                <w:bCs/>
                <w:color w:val="000000"/>
                <w:sz w:val="10"/>
                <w:szCs w:val="10"/>
              </w:rPr>
              <w:t> </w:t>
            </w:r>
          </w:p>
        </w:tc>
      </w:tr>
      <w:tr w:rsidR="00000000">
        <w:trPr>
          <w:divId w:val="1134718166"/>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3471816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3471816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3471816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3471816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3471816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1347181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2117215132"/>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3471816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29,625 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97.9 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42,223 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95.4 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71,848 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96.5 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r w:rsidR="00000000">
        <w:trPr>
          <w:divId w:val="113471816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561 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1,620 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2,181 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3471816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3471816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PCI loans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13471816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44,263 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r>
    </w:tbl>
    <w:p w:rsidR="00000000" w:rsidRDefault="00795D39">
      <w:pPr>
        <w:divId w:val="2099596406"/>
        <w:rPr>
          <w:rFonts w:eastAsia="Times New Roman"/>
        </w:rPr>
      </w:pPr>
      <w:r>
        <w:rPr>
          <w:rFonts w:eastAsia="Times New Roman"/>
          <w:color w:val="000000"/>
          <w:sz w:val="20"/>
          <w:szCs w:val="20"/>
        </w:rPr>
        <w:t>__________</w:t>
      </w:r>
    </w:p>
    <w:p w:rsidR="00000000" w:rsidRDefault="00795D39">
      <w:pPr>
        <w:ind w:hanging="360"/>
        <w:jc w:val="both"/>
        <w:divId w:val="174830913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“Doubtful” asset categories de</w:t>
      </w:r>
      <w:r>
        <w:rPr>
          <w:rFonts w:eastAsia="Times New Roman"/>
          <w:color w:val="000000"/>
          <w:sz w:val="16"/>
          <w:szCs w:val="16"/>
        </w:rPr>
        <w:t>fined by bank regulatory authorities.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79145690"/>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7914569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7914569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2" style="width:0;height:1.5pt" o:hralign="center" o:hrstd="t" o:hr="t" fillcolor="#a0a0a0" stroked="f"/>
        </w:pict>
      </w:r>
    </w:p>
    <w:p w:rsidR="00000000" w:rsidRDefault="00795D39">
      <w:pPr>
        <w:jc w:val="both"/>
        <w:divId w:val="125023925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250239258"/>
        <w:rPr>
          <w:rFonts w:eastAsia="Times New Roman"/>
        </w:rPr>
      </w:pPr>
    </w:p>
    <w:p w:rsidR="00000000" w:rsidRDefault="00795D39">
      <w:pPr>
        <w:ind w:hanging="360"/>
        <w:jc w:val="both"/>
        <w:divId w:val="59798266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$242 million as of September 30, 2020.</w:t>
      </w:r>
    </w:p>
    <w:p w:rsidR="00000000" w:rsidRDefault="00795D39">
      <w:pPr>
        <w:divId w:val="56318203"/>
        <w:rPr>
          <w:rFonts w:eastAsia="Times New Roman"/>
        </w:rPr>
      </w:pPr>
      <w:r>
        <w:rPr>
          <w:rFonts w:eastAsia="Times New Roman"/>
          <w:b/>
          <w:bCs/>
          <w:color w:val="000000"/>
          <w:sz w:val="20"/>
          <w:szCs w:val="20"/>
        </w:rPr>
        <w:t>Revolving Loans Converted to Term Loans</w:t>
      </w:r>
    </w:p>
    <w:p w:rsidR="00000000" w:rsidRDefault="00795D39">
      <w:pPr>
        <w:jc w:val="both"/>
        <w:divId w:val="732309525"/>
        <w:rPr>
          <w:rFonts w:eastAsia="Times New Roman"/>
        </w:rPr>
      </w:pPr>
      <w:r>
        <w:rPr>
          <w:rFonts w:eastAsia="Times New Roman"/>
          <w:color w:val="000000"/>
          <w:sz w:val="20"/>
          <w:szCs w:val="20"/>
        </w:rPr>
        <w:t>For the three and nine months ended September 30, 2020, we converted $250 million and $499 million of revolving loans to term loans, respectively, primarily in our domestic credit card and commercial banking loan portfolios.</w:t>
      </w:r>
    </w:p>
    <w:p w:rsidR="00000000" w:rsidRDefault="00795D39">
      <w:pPr>
        <w:divId w:val="1179931198"/>
        <w:rPr>
          <w:rFonts w:eastAsia="Times New Roman"/>
        </w:rPr>
      </w:pPr>
      <w:r>
        <w:rPr>
          <w:rFonts w:eastAsia="Times New Roman"/>
          <w:b/>
          <w:bCs/>
          <w:color w:val="000000"/>
          <w:sz w:val="20"/>
          <w:szCs w:val="20"/>
        </w:rPr>
        <w:t>Troubled Debt Restructurings</w:t>
      </w:r>
    </w:p>
    <w:p w:rsidR="00000000" w:rsidRDefault="00795D39">
      <w:pPr>
        <w:jc w:val="both"/>
        <w:divId w:val="641815680"/>
        <w:rPr>
          <w:rFonts w:eastAsia="Times New Roman"/>
        </w:rPr>
      </w:pPr>
      <w:r>
        <w:rPr>
          <w:rFonts w:eastAsia="Times New Roman"/>
          <w:color w:val="000000"/>
          <w:sz w:val="20"/>
          <w:szCs w:val="20"/>
        </w:rPr>
        <w:t>In</w:t>
      </w:r>
      <w:r>
        <w:rPr>
          <w:rFonts w:eastAsia="Times New Roman"/>
          <w:color w:val="000000"/>
          <w:sz w:val="20"/>
          <w:szCs w:val="20"/>
        </w:rPr>
        <w:t xml:space="preserve"> response to the COVID-19 pandemic, the Federal Banking Agencies issued an interagency statement that provides banking organizations with additional guidance and relief on accounting for certain customer concessions related to the COVID-19 pandemic. Specif</w:t>
      </w:r>
      <w:r>
        <w:rPr>
          <w:rFonts w:eastAsia="Times New Roman"/>
          <w:color w:val="000000"/>
          <w:sz w:val="20"/>
          <w:szCs w:val="20"/>
        </w:rPr>
        <w:t>ically, TDR accounting relief is available for short-term modifications of loans that were not more than 30 days past due where concessions do not extend beyond six months. We assessed all loan modifications introduced to borrowers as of September 30, 2020</w:t>
      </w:r>
      <w:r>
        <w:rPr>
          <w:rFonts w:eastAsia="Times New Roman"/>
          <w:color w:val="000000"/>
          <w:sz w:val="20"/>
          <w:szCs w:val="20"/>
        </w:rPr>
        <w:t xml:space="preserve"> in response to the COVID-19 pandemic and followed guidance that such eligible loan modifications made on a temporary and good faith basis in response to the COVID-19 pandemic are not considered TDRs.</w:t>
      </w:r>
    </w:p>
    <w:p w:rsidR="00000000" w:rsidRDefault="00795D39">
      <w:pPr>
        <w:jc w:val="both"/>
        <w:divId w:val="1237013563"/>
        <w:rPr>
          <w:rFonts w:eastAsia="Times New Roman"/>
        </w:rPr>
      </w:pPr>
      <w:r>
        <w:rPr>
          <w:rFonts w:eastAsia="Times New Roman"/>
          <w:color w:val="000000"/>
          <w:sz w:val="20"/>
          <w:szCs w:val="20"/>
        </w:rPr>
        <w:t xml:space="preserve">Total recorded TDRs were $2.1 billion and $1.7 billion </w:t>
      </w:r>
      <w:r>
        <w:rPr>
          <w:rFonts w:eastAsia="Times New Roman"/>
          <w:color w:val="000000"/>
          <w:sz w:val="20"/>
          <w:szCs w:val="20"/>
        </w:rPr>
        <w:t>as of September 30, 2020 and December 31, 2019, respectively. TDRs classified as performing in our credit card and consumer banking loan portfolios totaled $1.2 billion and $1.1 billion as of September 30, 2020 and December 31, 2019, respectively. TDRs cla</w:t>
      </w:r>
      <w:r>
        <w:rPr>
          <w:rFonts w:eastAsia="Times New Roman"/>
          <w:color w:val="000000"/>
          <w:sz w:val="20"/>
          <w:szCs w:val="20"/>
        </w:rPr>
        <w:t xml:space="preserve">ssified as performing in our commercial banking loan portfolio totaled $438 million and $224 million as of September 30, 2020 and December 31, 2019, respectively. Commitments to lend additional funds on loans modified in TDRs totaled $168 million and $178 </w:t>
      </w:r>
      <w:r>
        <w:rPr>
          <w:rFonts w:eastAsia="Times New Roman"/>
          <w:color w:val="000000"/>
          <w:sz w:val="20"/>
          <w:szCs w:val="20"/>
        </w:rPr>
        <w:t>million as of September 30, 2020 and December 31, 2019, respectively.</w:t>
      </w:r>
    </w:p>
    <w:p w:rsidR="00000000" w:rsidRDefault="00795D39">
      <w:pPr>
        <w:divId w:val="117458219"/>
        <w:rPr>
          <w:rFonts w:eastAsia="Times New Roman"/>
        </w:rPr>
      </w:pPr>
      <w:r>
        <w:rPr>
          <w:rFonts w:eastAsia="Times New Roman"/>
          <w:b/>
          <w:bCs/>
          <w:i/>
          <w:iCs/>
          <w:color w:val="000000"/>
          <w:sz w:val="20"/>
          <w:szCs w:val="20"/>
        </w:rPr>
        <w:t xml:space="preserve">Loans Modified in TDRs </w:t>
      </w:r>
    </w:p>
    <w:p w:rsidR="00000000" w:rsidRDefault="00795D39">
      <w:pPr>
        <w:jc w:val="both"/>
        <w:divId w:val="709956670"/>
        <w:rPr>
          <w:rFonts w:eastAsia="Times New Roman"/>
        </w:rPr>
      </w:pPr>
      <w:r>
        <w:rPr>
          <w:rFonts w:eastAsia="Times New Roman"/>
          <w:color w:val="000000"/>
          <w:sz w:val="20"/>
          <w:szCs w:val="20"/>
        </w:rPr>
        <w:t>As part of our loan modification programs to borrowers experiencing financial difficulty, we may provide multiple concessions to minimize our economic loss and im</w:t>
      </w:r>
      <w:r>
        <w:rPr>
          <w:rFonts w:eastAsia="Times New Roman"/>
          <w:color w:val="000000"/>
          <w:sz w:val="20"/>
          <w:szCs w:val="20"/>
        </w:rPr>
        <w:t>prove long-term loan performance and collectability. The following tables present the major modification types, recorded investment amounts and financial effects of loans modified in TDRs during the three and nine months ended September 30, 2020 and 2019.</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23418460"/>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2341846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92341846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3" style="width:0;height:1.5pt" o:hralign="center" o:hrstd="t" o:hr="t" fillcolor="#a0a0a0" stroked="f"/>
        </w:pict>
      </w:r>
    </w:p>
    <w:p w:rsidR="00000000" w:rsidRDefault="00795D39">
      <w:pPr>
        <w:jc w:val="both"/>
        <w:divId w:val="8893354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88933546"/>
        <w:rPr>
          <w:rFonts w:eastAsia="Times New Roman"/>
        </w:rPr>
      </w:pPr>
    </w:p>
    <w:p w:rsidR="00000000" w:rsidRDefault="00795D39">
      <w:pPr>
        <w:divId w:val="107166089"/>
        <w:rPr>
          <w:rFonts w:eastAsia="Times New Roman"/>
        </w:rPr>
      </w:pPr>
      <w:r>
        <w:rPr>
          <w:rFonts w:eastAsia="Times New Roman"/>
          <w:b/>
          <w:bCs/>
          <w:color w:val="000000"/>
          <w:sz w:val="18"/>
          <w:szCs w:val="18"/>
        </w:rPr>
        <w:t>Table 3.6: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1415"/>
        <w:gridCol w:w="38"/>
        <w:gridCol w:w="36"/>
        <w:gridCol w:w="36"/>
        <w:gridCol w:w="36"/>
        <w:gridCol w:w="111"/>
        <w:gridCol w:w="679"/>
        <w:gridCol w:w="36"/>
        <w:gridCol w:w="36"/>
        <w:gridCol w:w="36"/>
        <w:gridCol w:w="36"/>
        <w:gridCol w:w="88"/>
        <w:gridCol w:w="657"/>
        <w:gridCol w:w="201"/>
        <w:gridCol w:w="37"/>
        <w:gridCol w:w="46"/>
        <w:gridCol w:w="37"/>
        <w:gridCol w:w="87"/>
        <w:gridCol w:w="656"/>
        <w:gridCol w:w="200"/>
        <w:gridCol w:w="36"/>
        <w:gridCol w:w="36"/>
        <w:gridCol w:w="36"/>
        <w:gridCol w:w="82"/>
        <w:gridCol w:w="609"/>
        <w:gridCol w:w="201"/>
        <w:gridCol w:w="37"/>
        <w:gridCol w:w="37"/>
        <w:gridCol w:w="37"/>
        <w:gridCol w:w="84"/>
        <w:gridCol w:w="624"/>
        <w:gridCol w:w="36"/>
        <w:gridCol w:w="36"/>
        <w:gridCol w:w="36"/>
        <w:gridCol w:w="36"/>
        <w:gridCol w:w="82"/>
        <w:gridCol w:w="609"/>
        <w:gridCol w:w="201"/>
        <w:gridCol w:w="37"/>
        <w:gridCol w:w="37"/>
        <w:gridCol w:w="37"/>
        <w:gridCol w:w="112"/>
        <w:gridCol w:w="648"/>
        <w:gridCol w:w="37"/>
      </w:tblGrid>
      <w:tr w:rsidR="00000000">
        <w:trPr>
          <w:divId w:val="2086295493"/>
        </w:trPr>
        <w:tc>
          <w:tcPr>
            <w:tcW w:w="50" w:type="pct"/>
            <w:vAlign w:val="center"/>
            <w:hideMark/>
          </w:tcPr>
          <w:p w:rsidR="00000000" w:rsidRDefault="00795D39">
            <w:pPr>
              <w:rPr>
                <w:rFonts w:eastAsia="Times New Roman"/>
              </w:rPr>
            </w:pPr>
          </w:p>
        </w:tc>
        <w:tc>
          <w:tcPr>
            <w:tcW w:w="167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86295493"/>
          <w:trHeight w:val="28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2020</w:t>
            </w:r>
          </w:p>
        </w:tc>
      </w:tr>
      <w:tr w:rsidR="00000000">
        <w:trPr>
          <w:divId w:val="2086295493"/>
          <w:trHeight w:val="28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Balance Reduction</w:t>
            </w:r>
          </w:p>
        </w:tc>
      </w:tr>
      <w:tr w:rsidR="00000000">
        <w:trPr>
          <w:divId w:val="2086295493"/>
          <w:trHeight w:val="72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 Balance Reduction</w:t>
            </w:r>
          </w:p>
        </w:tc>
      </w:tr>
      <w:tr w:rsidR="00000000">
        <w:trPr>
          <w:divId w:val="208629549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8629549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8629549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61</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8629549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86295493"/>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08629549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23</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8629549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14</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415"/>
        <w:gridCol w:w="38"/>
        <w:gridCol w:w="36"/>
        <w:gridCol w:w="36"/>
        <w:gridCol w:w="36"/>
        <w:gridCol w:w="111"/>
        <w:gridCol w:w="679"/>
        <w:gridCol w:w="36"/>
        <w:gridCol w:w="36"/>
        <w:gridCol w:w="36"/>
        <w:gridCol w:w="36"/>
        <w:gridCol w:w="88"/>
        <w:gridCol w:w="657"/>
        <w:gridCol w:w="201"/>
        <w:gridCol w:w="37"/>
        <w:gridCol w:w="46"/>
        <w:gridCol w:w="37"/>
        <w:gridCol w:w="87"/>
        <w:gridCol w:w="656"/>
        <w:gridCol w:w="200"/>
        <w:gridCol w:w="36"/>
        <w:gridCol w:w="36"/>
        <w:gridCol w:w="36"/>
        <w:gridCol w:w="82"/>
        <w:gridCol w:w="609"/>
        <w:gridCol w:w="201"/>
        <w:gridCol w:w="37"/>
        <w:gridCol w:w="37"/>
        <w:gridCol w:w="37"/>
        <w:gridCol w:w="84"/>
        <w:gridCol w:w="624"/>
        <w:gridCol w:w="36"/>
        <w:gridCol w:w="36"/>
        <w:gridCol w:w="36"/>
        <w:gridCol w:w="36"/>
        <w:gridCol w:w="82"/>
        <w:gridCol w:w="609"/>
        <w:gridCol w:w="201"/>
        <w:gridCol w:w="37"/>
        <w:gridCol w:w="37"/>
        <w:gridCol w:w="37"/>
        <w:gridCol w:w="112"/>
        <w:gridCol w:w="648"/>
        <w:gridCol w:w="37"/>
      </w:tblGrid>
      <w:tr w:rsidR="00000000">
        <w:trPr>
          <w:divId w:val="821001643"/>
        </w:trPr>
        <w:tc>
          <w:tcPr>
            <w:tcW w:w="50" w:type="pct"/>
            <w:vAlign w:val="center"/>
            <w:hideMark/>
          </w:tcPr>
          <w:p w:rsidR="00000000" w:rsidRDefault="00795D39">
            <w:pPr>
              <w:jc w:val="both"/>
              <w:rPr>
                <w:rFonts w:eastAsia="Times New Roman"/>
              </w:rPr>
            </w:pPr>
          </w:p>
        </w:tc>
        <w:tc>
          <w:tcPr>
            <w:tcW w:w="167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21001643"/>
          <w:trHeight w:val="2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2020</w:t>
            </w:r>
          </w:p>
        </w:tc>
      </w:tr>
      <w:tr w:rsidR="00000000">
        <w:trPr>
          <w:divId w:val="821001643"/>
          <w:trHeight w:val="2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Balance Reduction</w:t>
            </w:r>
          </w:p>
        </w:tc>
      </w:tr>
      <w:tr w:rsidR="00000000">
        <w:trPr>
          <w:divId w:val="821001643"/>
          <w:trHeight w:val="66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w:t>
            </w:r>
            <w:r>
              <w:rPr>
                <w:rFonts w:eastAsia="Times New Roman"/>
                <w:b/>
                <w:bCs/>
                <w:color w:val="000000"/>
                <w:sz w:val="16"/>
                <w:szCs w:val="16"/>
              </w:rPr>
              <w:t>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 Balance Reduction</w:t>
            </w:r>
          </w:p>
        </w:tc>
      </w:tr>
      <w:tr w:rsidR="00000000">
        <w:trPr>
          <w:divId w:val="82100164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2100164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2100164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2100164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21001643"/>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2100164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16</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2100164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9</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divId w:val="62851238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79125010"/>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7912501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17912501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4" style="width:0;height:1.5pt" o:hralign="center" o:hrstd="t" o:hr="t" fillcolor="#a0a0a0" stroked="f"/>
        </w:pict>
      </w:r>
    </w:p>
    <w:p w:rsidR="00000000" w:rsidRDefault="00795D39">
      <w:pPr>
        <w:jc w:val="both"/>
        <w:divId w:val="27586870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27586870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605"/>
        <w:gridCol w:w="38"/>
        <w:gridCol w:w="36"/>
        <w:gridCol w:w="36"/>
        <w:gridCol w:w="36"/>
        <w:gridCol w:w="111"/>
        <w:gridCol w:w="679"/>
        <w:gridCol w:w="36"/>
        <w:gridCol w:w="36"/>
        <w:gridCol w:w="36"/>
        <w:gridCol w:w="36"/>
        <w:gridCol w:w="82"/>
        <w:gridCol w:w="609"/>
        <w:gridCol w:w="171"/>
        <w:gridCol w:w="37"/>
        <w:gridCol w:w="37"/>
        <w:gridCol w:w="37"/>
        <w:gridCol w:w="87"/>
        <w:gridCol w:w="648"/>
        <w:gridCol w:w="171"/>
        <w:gridCol w:w="36"/>
        <w:gridCol w:w="36"/>
        <w:gridCol w:w="36"/>
        <w:gridCol w:w="82"/>
        <w:gridCol w:w="609"/>
        <w:gridCol w:w="171"/>
        <w:gridCol w:w="37"/>
        <w:gridCol w:w="37"/>
        <w:gridCol w:w="37"/>
        <w:gridCol w:w="84"/>
        <w:gridCol w:w="624"/>
        <w:gridCol w:w="36"/>
        <w:gridCol w:w="36"/>
        <w:gridCol w:w="36"/>
        <w:gridCol w:w="36"/>
        <w:gridCol w:w="82"/>
        <w:gridCol w:w="609"/>
        <w:gridCol w:w="171"/>
        <w:gridCol w:w="37"/>
        <w:gridCol w:w="37"/>
        <w:gridCol w:w="37"/>
        <w:gridCol w:w="112"/>
        <w:gridCol w:w="648"/>
        <w:gridCol w:w="37"/>
      </w:tblGrid>
      <w:tr w:rsidR="00000000">
        <w:trPr>
          <w:divId w:val="839661376"/>
        </w:trPr>
        <w:tc>
          <w:tcPr>
            <w:tcW w:w="50" w:type="pct"/>
            <w:vAlign w:val="center"/>
            <w:hideMark/>
          </w:tcPr>
          <w:p w:rsidR="00000000" w:rsidRDefault="00795D39">
            <w:pPr>
              <w:jc w:val="center"/>
              <w:rPr>
                <w:rFonts w:eastAsia="Times New Roman"/>
              </w:rPr>
            </w:pPr>
          </w:p>
        </w:tc>
        <w:tc>
          <w:tcPr>
            <w:tcW w:w="167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39661376"/>
          <w:trHeight w:val="28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2019</w:t>
            </w:r>
          </w:p>
        </w:tc>
      </w:tr>
      <w:tr w:rsidR="00000000">
        <w:trPr>
          <w:divId w:val="839661376"/>
          <w:trHeight w:val="28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Balance Reduction</w:t>
            </w:r>
          </w:p>
        </w:tc>
      </w:tr>
      <w:tr w:rsidR="00000000">
        <w:trPr>
          <w:divId w:val="839661376"/>
          <w:trHeight w:val="72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vMerge/>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TDR</w:t>
            </w:r>
            <w:r>
              <w:rPr>
                <w:rFonts w:eastAsia="Times New Roman"/>
                <w:b/>
                <w:bCs/>
                <w:color w:val="000000"/>
                <w:sz w:val="16"/>
                <w:szCs w:val="16"/>
              </w:rPr>
              <w:br/>
              <w:t>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Balance</w:t>
            </w:r>
            <w:r>
              <w:rPr>
                <w:rFonts w:eastAsia="Times New Roman"/>
                <w:b/>
                <w:bCs/>
                <w:color w:val="000000"/>
                <w:sz w:val="16"/>
                <w:szCs w:val="16"/>
              </w:rPr>
              <w:br/>
              <w:t>Reduction</w:t>
            </w:r>
          </w:p>
        </w:tc>
      </w:tr>
      <w:tr w:rsidR="00000000">
        <w:trPr>
          <w:divId w:val="83966137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966137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16.76 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966137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27.08 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966137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966137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966137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9661376"/>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3966137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966137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966137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966137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3966137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14</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9661376"/>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3966137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3966137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14</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966137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16.70 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7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tblGrid>
      <w:tr w:rsidR="00000000">
        <w:tc>
          <w:tcPr>
            <w:tcW w:w="50" w:type="pct"/>
            <w:vAlign w:val="center"/>
            <w:hideMark/>
          </w:tcPr>
          <w:p w:rsidR="00000000" w:rsidRDefault="00795D39">
            <w:pPr>
              <w:rPr>
                <w:rFonts w:eastAsia="Times New Roman"/>
              </w:rPr>
            </w:pPr>
          </w:p>
        </w:tc>
        <w:tc>
          <w:tcPr>
            <w:tcW w:w="167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24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2019</w:t>
            </w:r>
          </w:p>
        </w:tc>
      </w:tr>
      <w:tr w:rsidR="00000000">
        <w:trPr>
          <w:trHeight w:val="24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Balance Reduction</w:t>
            </w:r>
          </w:p>
        </w:tc>
      </w:tr>
      <w:tr w:rsidR="00000000">
        <w:trPr>
          <w:trHeight w:val="72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vMerge/>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of</w:t>
            </w:r>
            <w:r>
              <w:rPr>
                <w:rFonts w:eastAsia="Times New Roman"/>
                <w:b/>
                <w:bCs/>
                <w:color w:val="000000"/>
                <w:sz w:val="16"/>
                <w:szCs w:val="16"/>
              </w:rPr>
              <w:br/>
              <w:t>TDR</w:t>
            </w:r>
            <w:r>
              <w:rPr>
                <w:rFonts w:eastAsia="Times New Roman"/>
                <w:b/>
                <w:bCs/>
                <w:color w:val="000000"/>
                <w:sz w:val="16"/>
                <w:szCs w:val="16"/>
              </w:rPr>
              <w:br/>
              <w:t>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Balance</w:t>
            </w:r>
            <w:r>
              <w:rPr>
                <w:rFonts w:eastAsia="Times New Roman"/>
                <w:b/>
                <w:bCs/>
                <w:color w:val="000000"/>
                <w:sz w:val="16"/>
                <w:szCs w:val="16"/>
              </w:rPr>
              <w:br/>
              <w:t>Reduction</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10.73 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0.60 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9</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36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lending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Small-ticket commercial real estate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16.08 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291794096"/>
        <w:rPr>
          <w:rFonts w:eastAsia="Times New Roman"/>
        </w:rPr>
      </w:pPr>
      <w:r>
        <w:rPr>
          <w:rFonts w:eastAsia="Times New Roman"/>
          <w:color w:val="000000"/>
          <w:sz w:val="20"/>
          <w:szCs w:val="20"/>
        </w:rPr>
        <w:t>__________</w:t>
      </w:r>
    </w:p>
    <w:p w:rsidR="00000000" w:rsidRDefault="00795D39">
      <w:pPr>
        <w:ind w:hanging="360"/>
        <w:jc w:val="both"/>
        <w:divId w:val="96673633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recorded investment of total loans modified in TDRs at the end of the quarter in which they were modified. As not every modification type is included in the ta</w:t>
      </w:r>
      <w:r>
        <w:rPr>
          <w:rFonts w:eastAsia="Times New Roman"/>
          <w:color w:val="000000"/>
          <w:sz w:val="16"/>
          <w:szCs w:val="16"/>
        </w:rPr>
        <w:t>ble above, the total percentage of TDR activity may not add up to 100%. Some loans may receive more than one type of concession as part of the modification.</w:t>
      </w:r>
    </w:p>
    <w:p w:rsidR="00000000" w:rsidRDefault="00795D39">
      <w:pPr>
        <w:ind w:hanging="360"/>
        <w:jc w:val="both"/>
        <w:divId w:val="124715684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multiple concessions granted to some troubled borrowers, percentages may total more than </w:t>
      </w:r>
      <w:r>
        <w:rPr>
          <w:rFonts w:eastAsia="Times New Roman"/>
          <w:color w:val="000000"/>
          <w:sz w:val="16"/>
          <w:szCs w:val="16"/>
        </w:rPr>
        <w:t>100% for certain loan types.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18373910"/>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1837391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61837391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5" style="width:0;height:1.5pt" o:hralign="center" o:hrstd="t" o:hr="t" fillcolor="#a0a0a0" stroked="f"/>
        </w:pict>
      </w:r>
    </w:p>
    <w:p w:rsidR="00000000" w:rsidRDefault="00795D39">
      <w:pPr>
        <w:jc w:val="both"/>
        <w:divId w:val="101511511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015115111"/>
        <w:rPr>
          <w:rFonts w:eastAsia="Times New Roman"/>
        </w:rPr>
      </w:pPr>
    </w:p>
    <w:p w:rsidR="00000000" w:rsidRDefault="00795D39">
      <w:pPr>
        <w:divId w:val="551693098"/>
        <w:rPr>
          <w:rFonts w:eastAsia="Times New Roman"/>
        </w:rPr>
      </w:pPr>
      <w:r>
        <w:rPr>
          <w:rFonts w:eastAsia="Times New Roman"/>
          <w:b/>
          <w:bCs/>
          <w:i/>
          <w:iCs/>
          <w:color w:val="000000"/>
          <w:sz w:val="20"/>
          <w:szCs w:val="20"/>
        </w:rPr>
        <w:t>Subsequent Defaults of Completed TDR Modifications</w:t>
      </w:r>
    </w:p>
    <w:p w:rsidR="00000000" w:rsidRDefault="00795D39">
      <w:pPr>
        <w:jc w:val="both"/>
        <w:divId w:val="32267645"/>
        <w:rPr>
          <w:rFonts w:eastAsia="Times New Roman"/>
        </w:rPr>
      </w:pPr>
      <w:r>
        <w:rPr>
          <w:rFonts w:eastAsia="Times New Roman"/>
          <w:color w:val="000000"/>
          <w:sz w:val="20"/>
          <w:szCs w:val="20"/>
        </w:rPr>
        <w:t>The following table presents the type, number and recorded investment of loans modified in TDRs that experienced a default during the period and had completed a modification event in the twelve months prior to the default. A default occurs if the loan is e</w:t>
      </w:r>
      <w:r>
        <w:rPr>
          <w:rFonts w:eastAsia="Times New Roman"/>
          <w:color w:val="000000"/>
          <w:sz w:val="20"/>
          <w:szCs w:val="20"/>
        </w:rPr>
        <w:t>ither 90 days or more delinquent, has been charged off as of the end of the period presented or has been reclassified from accrual to nonaccrual status.</w:t>
      </w:r>
    </w:p>
    <w:p w:rsidR="00000000" w:rsidRDefault="00795D39">
      <w:pPr>
        <w:divId w:val="739643000"/>
        <w:rPr>
          <w:rFonts w:eastAsia="Times New Roman"/>
        </w:rPr>
      </w:pPr>
      <w:r>
        <w:rPr>
          <w:rFonts w:eastAsia="Times New Roman"/>
          <w:b/>
          <w:bCs/>
          <w:color w:val="000000"/>
          <w:sz w:val="18"/>
          <w:szCs w:val="18"/>
        </w:rPr>
        <w:t>Table 3.7: TDRs—Subsequent Defaults</w:t>
      </w:r>
    </w:p>
    <w:tbl>
      <w:tblPr>
        <w:tblW w:w="4963" w:type="pct"/>
        <w:tblCellMar>
          <w:top w:w="15" w:type="dxa"/>
          <w:left w:w="15" w:type="dxa"/>
          <w:bottom w:w="15" w:type="dxa"/>
          <w:right w:w="15" w:type="dxa"/>
        </w:tblCellMar>
        <w:tblLook w:val="04A0" w:firstRow="1" w:lastRow="0" w:firstColumn="1" w:lastColumn="0" w:noHBand="0" w:noVBand="1"/>
      </w:tblPr>
      <w:tblGrid>
        <w:gridCol w:w="53"/>
        <w:gridCol w:w="1108"/>
        <w:gridCol w:w="38"/>
        <w:gridCol w:w="36"/>
        <w:gridCol w:w="36"/>
        <w:gridCol w:w="36"/>
        <w:gridCol w:w="88"/>
        <w:gridCol w:w="687"/>
        <w:gridCol w:w="36"/>
        <w:gridCol w:w="36"/>
        <w:gridCol w:w="36"/>
        <w:gridCol w:w="36"/>
        <w:gridCol w:w="111"/>
        <w:gridCol w:w="527"/>
        <w:gridCol w:w="37"/>
        <w:gridCol w:w="36"/>
        <w:gridCol w:w="36"/>
        <w:gridCol w:w="36"/>
        <w:gridCol w:w="88"/>
        <w:gridCol w:w="687"/>
        <w:gridCol w:w="36"/>
        <w:gridCol w:w="36"/>
        <w:gridCol w:w="36"/>
        <w:gridCol w:w="36"/>
        <w:gridCol w:w="111"/>
        <w:gridCol w:w="527"/>
        <w:gridCol w:w="37"/>
        <w:gridCol w:w="36"/>
        <w:gridCol w:w="36"/>
        <w:gridCol w:w="36"/>
        <w:gridCol w:w="88"/>
        <w:gridCol w:w="687"/>
        <w:gridCol w:w="36"/>
        <w:gridCol w:w="36"/>
        <w:gridCol w:w="36"/>
        <w:gridCol w:w="36"/>
        <w:gridCol w:w="111"/>
        <w:gridCol w:w="527"/>
        <w:gridCol w:w="37"/>
        <w:gridCol w:w="36"/>
        <w:gridCol w:w="36"/>
        <w:gridCol w:w="36"/>
        <w:gridCol w:w="88"/>
        <w:gridCol w:w="687"/>
        <w:gridCol w:w="36"/>
        <w:gridCol w:w="36"/>
        <w:gridCol w:w="36"/>
        <w:gridCol w:w="36"/>
        <w:gridCol w:w="111"/>
        <w:gridCol w:w="527"/>
        <w:gridCol w:w="37"/>
        <w:gridCol w:w="36"/>
        <w:gridCol w:w="36"/>
        <w:gridCol w:w="36"/>
        <w:gridCol w:w="36"/>
        <w:gridCol w:w="36"/>
        <w:gridCol w:w="36"/>
        <w:gridCol w:w="36"/>
      </w:tblGrid>
      <w:tr w:rsidR="00000000">
        <w:trPr>
          <w:divId w:val="1986471190"/>
        </w:trPr>
        <w:tc>
          <w:tcPr>
            <w:tcW w:w="50" w:type="pct"/>
            <w:vAlign w:val="center"/>
            <w:hideMark/>
          </w:tcPr>
          <w:p w:rsidR="00000000" w:rsidRDefault="00795D39">
            <w:pPr>
              <w:rPr>
                <w:rFonts w:eastAsia="Times New Roman"/>
              </w:rPr>
            </w:pPr>
          </w:p>
        </w:tc>
        <w:tc>
          <w:tcPr>
            <w:tcW w:w="105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8647119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Number </w:t>
            </w:r>
            <w:r>
              <w:rPr>
                <w:rFonts w:eastAsia="Times New Roman"/>
                <w:b/>
                <w:bCs/>
                <w:color w:val="000000"/>
                <w:sz w:val="16"/>
                <w:szCs w:val="16"/>
              </w:rPr>
              <w:t>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Amount</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10,619 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27,022</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2C2C2C"/>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57</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36,227 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17,104 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46,038</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68</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51,995 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17,227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27,723 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73,060</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125</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88,222 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3,442</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42</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3,863 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7</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1</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3,449</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43</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65</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2C2C2C"/>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000000">
        <w:trPr>
          <w:divId w:val="198647119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11</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65</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r w:rsidR="00795D39">
        <w:trPr>
          <w:divId w:val="198647119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18,541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29,175 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76,520</w:t>
            </w:r>
            <w:r>
              <w:rPr>
                <w:rFonts w:eastAsia="Times New Roman"/>
                <w:color w:val="2C2C2C"/>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2C2C2C"/>
                <w:sz w:val="18"/>
                <w:szCs w:val="18"/>
              </w:rPr>
              <w:t>233</w:t>
            </w:r>
            <w:r>
              <w:rPr>
                <w:rFonts w:eastAsia="Times New Roman"/>
                <w:color w:val="2C2C2C"/>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92,103 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r>
    </w:tbl>
    <w:p w:rsidR="00000000" w:rsidRDefault="00795D39">
      <w:pPr>
        <w:jc w:val="both"/>
        <w:divId w:val="1540627368"/>
        <w:rPr>
          <w:rFonts w:eastAsia="Times New Roman"/>
        </w:rPr>
      </w:pPr>
      <w:r>
        <w:rPr>
          <w:rFonts w:eastAsia="Times New Roman"/>
          <w:b/>
          <w:bCs/>
          <w:color w:val="000000"/>
          <w:sz w:val="20"/>
          <w:szCs w:val="20"/>
        </w:rPr>
        <w:t>Loans Pledged</w:t>
      </w:r>
    </w:p>
    <w:p w:rsidR="00000000" w:rsidRDefault="00795D39">
      <w:pPr>
        <w:jc w:val="both"/>
        <w:divId w:val="2127501768"/>
        <w:rPr>
          <w:rFonts w:eastAsia="Times New Roman"/>
        </w:rPr>
      </w:pPr>
      <w:r>
        <w:rPr>
          <w:rFonts w:eastAsia="Times New Roman"/>
          <w:color w:val="000000"/>
          <w:sz w:val="20"/>
          <w:szCs w:val="20"/>
        </w:rPr>
        <w:t>We pledged loan collatera</w:t>
      </w:r>
      <w:r>
        <w:rPr>
          <w:rFonts w:eastAsia="Times New Roman"/>
          <w:color w:val="000000"/>
          <w:sz w:val="20"/>
          <w:szCs w:val="20"/>
        </w:rPr>
        <w:t>l of $15.0 billion and $14.6 billion to secure the majority of our FHLB borrowing capacity of $16.2 billion and $18.7 billion as of September 30, 2020 and December 31, 2019, respectively. We also pledged loan collateral of $26.6 billion and $6.7 billion to</w:t>
      </w:r>
      <w:r>
        <w:rPr>
          <w:rFonts w:eastAsia="Times New Roman"/>
          <w:color w:val="000000"/>
          <w:sz w:val="20"/>
          <w:szCs w:val="20"/>
        </w:rPr>
        <w:t xml:space="preserve"> secure our Federal Reserve Discount Window borrowing capacity of $21.0 billion and $5.3 billion as of September 30, 2020 and December 31, 2019, respectively. In addition to loans pledged, we securitized a portion of our credit card and auto loans. See “No</w:t>
      </w:r>
      <w:r>
        <w:rPr>
          <w:rFonts w:eastAsia="Times New Roman"/>
          <w:color w:val="000000"/>
          <w:sz w:val="20"/>
          <w:szCs w:val="20"/>
        </w:rPr>
        <w:t>te 5—Variable Interest Entities and Securitizations” for additional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8095291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8095291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8095291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6" style="width:0;height:1.5pt" o:hralign="center" o:hrstd="t" o:hr="t" fillcolor="#a0a0a0" stroked="f"/>
        </w:pict>
      </w:r>
    </w:p>
    <w:p w:rsidR="00000000" w:rsidRDefault="00795D39">
      <w:pPr>
        <w:jc w:val="both"/>
        <w:divId w:val="134350870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3435087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32134796"/>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13213479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4—ALLOWANCE FOR CREDIT LOSSES AND RESERVE FOR UNFUNDED LENDING COMMITMENTS</w:t>
            </w:r>
          </w:p>
        </w:tc>
      </w:tr>
    </w:tbl>
    <w:p w:rsidR="00000000" w:rsidRDefault="00795D39">
      <w:pPr>
        <w:jc w:val="both"/>
        <w:divId w:val="1848792516"/>
        <w:rPr>
          <w:rFonts w:eastAsia="Times New Roman"/>
        </w:rPr>
      </w:pPr>
      <w:r>
        <w:rPr>
          <w:rFonts w:eastAsia="Times New Roman"/>
          <w:color w:val="000000"/>
          <w:sz w:val="20"/>
          <w:szCs w:val="20"/>
        </w:rPr>
        <w:t>In the first quarter of 2020, we adopted</w:t>
      </w:r>
      <w:r>
        <w:rPr>
          <w:rFonts w:eastAsia="Times New Roman"/>
          <w:i/>
          <w:iCs/>
          <w:color w:val="000000"/>
          <w:sz w:val="20"/>
          <w:szCs w:val="20"/>
        </w:rPr>
        <w:t xml:space="preserve"> </w:t>
      </w:r>
      <w:r>
        <w:rPr>
          <w:rFonts w:eastAsia="Times New Roman"/>
          <w:color w:val="000000"/>
          <w:sz w:val="20"/>
          <w:szCs w:val="20"/>
        </w:rPr>
        <w:t>the CECL standard. Accordingly, our disclosures below reflect these adoption changes. Prior period presentation was not modified to conform to the current period presentation. See “Note 1—Summary of Significant Acco</w:t>
      </w:r>
      <w:r>
        <w:rPr>
          <w:rFonts w:eastAsia="Times New Roman"/>
          <w:color w:val="000000"/>
          <w:sz w:val="20"/>
          <w:szCs w:val="20"/>
        </w:rPr>
        <w:t>unting Policies” for additional information. Concurrent with this adoption, we reclassified our finance charge and fee reserve to our allowance for credit losses, with a corresponding increase to credit card loans held for investment.</w:t>
      </w:r>
    </w:p>
    <w:p w:rsidR="00000000" w:rsidRDefault="00795D39">
      <w:pPr>
        <w:jc w:val="both"/>
        <w:divId w:val="1669361404"/>
        <w:rPr>
          <w:rFonts w:eastAsia="Times New Roman"/>
        </w:rPr>
      </w:pPr>
      <w:r>
        <w:rPr>
          <w:rFonts w:eastAsia="Times New Roman"/>
          <w:color w:val="000000"/>
          <w:sz w:val="20"/>
          <w:szCs w:val="20"/>
        </w:rPr>
        <w:t>Our allowance for cre</w:t>
      </w:r>
      <w:r>
        <w:rPr>
          <w:rFonts w:eastAsia="Times New Roman"/>
          <w:color w:val="000000"/>
          <w:sz w:val="20"/>
          <w:szCs w:val="20"/>
        </w:rPr>
        <w:t>dit losses represents management’s current estimate of expected credit losses over the contractual terms of our loans held for investment as of each balance sheet date. Expected recoveries of amounts previously charged off or expected to be charged off are</w:t>
      </w:r>
      <w:r>
        <w:rPr>
          <w:rFonts w:eastAsia="Times New Roman"/>
          <w:color w:val="000000"/>
          <w:sz w:val="20"/>
          <w:szCs w:val="20"/>
        </w:rPr>
        <w:t xml:space="preserve"> recognized within the allowance. When developing an estimate of expected credit losses, we use both quantitative and qualitative methods in considering all available information relevant to assessing collectability. This may include internal information, </w:t>
      </w:r>
      <w:r>
        <w:rPr>
          <w:rFonts w:eastAsia="Times New Roman"/>
          <w:color w:val="000000"/>
          <w:sz w:val="20"/>
          <w:szCs w:val="20"/>
        </w:rPr>
        <w:t xml:space="preserve">external information, or a combination of both relating to past events, current conditions, and reasonable and supportable forecasts. Management will consider and may qualitatively adjust for conditions, changes, and trends in loan portfolios that may not </w:t>
      </w:r>
      <w:r>
        <w:rPr>
          <w:rFonts w:eastAsia="Times New Roman"/>
          <w:color w:val="000000"/>
          <w:sz w:val="20"/>
          <w:szCs w:val="20"/>
        </w:rPr>
        <w:t>be captured in modeled results. These adjustments are referred to as qualitative factors and represent management’s judgment of the imprecision and risks inherent in the processes and assumptions used in establishing the allowance for credit losses. Signif</w:t>
      </w:r>
      <w:r>
        <w:rPr>
          <w:rFonts w:eastAsia="Times New Roman"/>
          <w:color w:val="000000"/>
          <w:sz w:val="20"/>
          <w:szCs w:val="20"/>
        </w:rPr>
        <w:t>icant judgment is applied in our estimation of lifetime credit losses.</w:t>
      </w:r>
    </w:p>
    <w:p w:rsidR="00000000" w:rsidRDefault="00795D39">
      <w:pPr>
        <w:jc w:val="both"/>
        <w:divId w:val="1385567767"/>
        <w:rPr>
          <w:rFonts w:eastAsia="Times New Roman"/>
        </w:rPr>
      </w:pPr>
      <w:r>
        <w:rPr>
          <w:rFonts w:eastAsia="Times New Roman"/>
          <w:color w:val="000000"/>
          <w:sz w:val="20"/>
          <w:szCs w:val="20"/>
        </w:rPr>
        <w:t>We have unfunded lending commitments in our Commercial Banking business that are not unconditionally cancellable by us and for which we estimate expected credit losses in establishing a</w:t>
      </w:r>
      <w:r>
        <w:rPr>
          <w:rFonts w:eastAsia="Times New Roman"/>
          <w:color w:val="000000"/>
          <w:sz w:val="20"/>
          <w:szCs w:val="20"/>
        </w:rPr>
        <w:t xml:space="preserve"> reserve. This reserve is measured using the same measurement objectives as the allowance for loans held for investment. We build or release the reserve for unfunded lending commitments through the provision for credit losses in our consolidated statements</w:t>
      </w:r>
      <w:r>
        <w:rPr>
          <w:rFonts w:eastAsia="Times New Roman"/>
          <w:color w:val="000000"/>
          <w:sz w:val="20"/>
          <w:szCs w:val="20"/>
        </w:rPr>
        <w:t xml:space="preserve"> of income and the related reserve for unfunded lending commitments is included in other liabilities on our consolidated balance sheets. </w:t>
      </w:r>
    </w:p>
    <w:p w:rsidR="00000000" w:rsidRDefault="00795D39">
      <w:pPr>
        <w:divId w:val="60521545"/>
        <w:rPr>
          <w:rFonts w:eastAsia="Times New Roman"/>
        </w:rPr>
      </w:pPr>
      <w:r>
        <w:rPr>
          <w:rFonts w:eastAsia="Times New Roman"/>
          <w:b/>
          <w:bCs/>
          <w:color w:val="000000"/>
          <w:sz w:val="20"/>
          <w:szCs w:val="20"/>
        </w:rPr>
        <w:t>Allowance for Credit Losses and Reserve for Unfunded Lending Commitments Activity</w:t>
      </w:r>
    </w:p>
    <w:p w:rsidR="00000000" w:rsidRDefault="00795D39">
      <w:pPr>
        <w:jc w:val="both"/>
        <w:divId w:val="771242457"/>
        <w:rPr>
          <w:rFonts w:eastAsia="Times New Roman"/>
        </w:rPr>
      </w:pPr>
      <w:r>
        <w:rPr>
          <w:rFonts w:eastAsia="Times New Roman"/>
          <w:color w:val="000000"/>
          <w:sz w:val="20"/>
          <w:szCs w:val="20"/>
        </w:rPr>
        <w:t>The table below summarizes changes i</w:t>
      </w:r>
      <w:r>
        <w:rPr>
          <w:rFonts w:eastAsia="Times New Roman"/>
          <w:color w:val="000000"/>
          <w:sz w:val="20"/>
          <w:szCs w:val="20"/>
        </w:rPr>
        <w:t>n the allowance for credit losses and reserve for unfunded lending commitments by portfolio segment for the three and nine months ended September 30, 2020 and 2019.</w:t>
      </w:r>
      <w:r>
        <w:rPr>
          <w:rFonts w:eastAsia="Times New Roman"/>
          <w:b/>
          <w:bCs/>
          <w:color w:val="000000"/>
          <w:sz w:val="18"/>
          <w:szCs w:val="18"/>
        </w:rPr>
        <w:t xml:space="preserve"> </w:t>
      </w:r>
      <w:r>
        <w:rPr>
          <w:rFonts w:eastAsia="Times New Roman"/>
          <w:color w:val="000000"/>
          <w:sz w:val="20"/>
          <w:szCs w:val="20"/>
        </w:rPr>
        <w:t>The allowance balance as of September 30, 2020 reflects the cumulative effects from adoptio</w:t>
      </w:r>
      <w:r>
        <w:rPr>
          <w:rFonts w:eastAsia="Times New Roman"/>
          <w:color w:val="000000"/>
          <w:sz w:val="20"/>
          <w:szCs w:val="20"/>
        </w:rPr>
        <w:t>n of the CECL standard and the change to include finance charge and fee reserve in the allowance for credit losses. The reserve for unfunded lending commitments balance as of September 30, 2020 also reflects the cumulative effects from adoption of the CECL</w:t>
      </w:r>
      <w:r>
        <w:rPr>
          <w:rFonts w:eastAsia="Times New Roman"/>
          <w:color w:val="000000"/>
          <w:sz w:val="20"/>
          <w:szCs w:val="20"/>
        </w:rPr>
        <w:t xml:space="preserve"> standard, including the component of loss sharing agreements with the government-sponsored enterprises (“GSEs”) on multifamily commercial real estate loans that are within the scope of the CECL standard.</w:t>
      </w:r>
    </w:p>
    <w:p w:rsidR="00000000" w:rsidRDefault="00795D39">
      <w:pPr>
        <w:jc w:val="both"/>
        <w:divId w:val="1510871335"/>
        <w:rPr>
          <w:rFonts w:eastAsia="Times New Roman"/>
        </w:rPr>
      </w:pPr>
      <w:r>
        <w:rPr>
          <w:rFonts w:eastAsia="Times New Roman"/>
          <w:color w:val="000000"/>
          <w:sz w:val="20"/>
          <w:szCs w:val="20"/>
        </w:rPr>
        <w:t>When developing an estimate of expected credit loss</w:t>
      </w:r>
      <w:r>
        <w:rPr>
          <w:rFonts w:eastAsia="Times New Roman"/>
          <w:color w:val="000000"/>
          <w:sz w:val="20"/>
          <w:szCs w:val="20"/>
        </w:rPr>
        <w:t>es, we use both quantitative and qualitative methods in considering all available information relevant to assessing collectability. Management will consider and may make adjustments for qualitative factors, which represent management’s judgment of the impr</w:t>
      </w:r>
      <w:r>
        <w:rPr>
          <w:rFonts w:eastAsia="Times New Roman"/>
          <w:color w:val="000000"/>
          <w:sz w:val="20"/>
          <w:szCs w:val="20"/>
        </w:rPr>
        <w:t>ecision and risks inherent in the processes and assumptions used in establishing the allowance for credit losses. Our allowance for credit losses increased by $8.9 billion to $16.1 billion as of September 30, 2020 from December 31, 2019, primarily driven b</w:t>
      </w:r>
      <w:r>
        <w:rPr>
          <w:rFonts w:eastAsia="Times New Roman"/>
          <w:color w:val="000000"/>
          <w:sz w:val="20"/>
          <w:szCs w:val="20"/>
        </w:rPr>
        <w:t>y the allowance builds in the first and second quarters of 2020 from expectations of economic worsening and uncertainty as a result of the COVID-19 pandemic as well as the adoption of the CECL standard.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9280726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9280726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9280726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7" style="width:0;height:1.5pt" o:hralign="center" o:hrstd="t" o:hr="t" fillcolor="#a0a0a0" stroked="f"/>
        </w:pict>
      </w:r>
    </w:p>
    <w:p w:rsidR="00000000" w:rsidRDefault="00795D39">
      <w:pPr>
        <w:jc w:val="both"/>
        <w:divId w:val="21142532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211425324"/>
        <w:rPr>
          <w:rFonts w:eastAsia="Times New Roman"/>
        </w:rPr>
      </w:pPr>
    </w:p>
    <w:p w:rsidR="00000000" w:rsidRDefault="00795D39">
      <w:pPr>
        <w:divId w:val="1433743791"/>
        <w:rPr>
          <w:rFonts w:eastAsia="Times New Roman"/>
        </w:rPr>
      </w:pPr>
      <w:r>
        <w:rPr>
          <w:rFonts w:eastAsia="Times New Roman"/>
          <w:b/>
          <w:bCs/>
          <w:color w:val="000000"/>
          <w:sz w:val="18"/>
          <w:szCs w:val="18"/>
        </w:rPr>
        <w:t>Table 4.1: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540"/>
        <w:gridCol w:w="36"/>
      </w:tblGrid>
      <w:tr w:rsidR="00000000">
        <w:trPr>
          <w:divId w:val="1856266855"/>
        </w:trPr>
        <w:tc>
          <w:tcPr>
            <w:tcW w:w="50" w:type="pct"/>
            <w:vAlign w:val="center"/>
            <w:hideMark/>
          </w:tcPr>
          <w:p w:rsidR="00000000" w:rsidRDefault="00795D39">
            <w:pPr>
              <w:rPr>
                <w:rFonts w:eastAsia="Times New Roman"/>
              </w:rPr>
            </w:pPr>
          </w:p>
        </w:tc>
        <w:tc>
          <w:tcPr>
            <w:tcW w:w="28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56266855"/>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2020</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5626685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18562668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5626685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June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12,091 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16,832 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CCEEFF"/>
            <w:tcMar>
              <w:top w:w="30" w:type="dxa"/>
              <w:left w:w="20" w:type="dxa"/>
              <w:bottom w:w="30" w:type="dxa"/>
              <w:right w:w="20" w:type="dxa"/>
            </w:tcMar>
            <w:vAlign w:val="center"/>
            <w:hideMark/>
          </w:tcPr>
          <w:p w:rsidR="00000000" w:rsidRDefault="00795D39">
            <w:pPr>
              <w:divId w:val="229922178"/>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(1,296)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(1,679)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FFFFFF"/>
            <w:tcMar>
              <w:top w:w="30" w:type="dxa"/>
              <w:left w:w="20" w:type="dxa"/>
              <w:bottom w:w="30" w:type="dxa"/>
              <w:right w:w="20" w:type="dxa"/>
            </w:tcMar>
            <w:vAlign w:val="center"/>
            <w:hideMark/>
          </w:tcPr>
          <w:p w:rsidR="00000000" w:rsidRDefault="00795D39">
            <w:pPr>
              <w:divId w:val="2050060794"/>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CCEEFF"/>
            <w:tcMar>
              <w:top w:w="30" w:type="dxa"/>
              <w:left w:w="20" w:type="dxa"/>
              <w:bottom w:w="30" w:type="dxa"/>
              <w:right w:w="20" w:type="dxa"/>
            </w:tcMar>
            <w:vAlign w:val="center"/>
            <w:hideMark/>
          </w:tcPr>
          <w:p w:rsidR="00000000" w:rsidRDefault="00795D39">
            <w:pPr>
              <w:divId w:val="511604790"/>
              <w:rPr>
                <w:rFonts w:eastAsia="Times New Roman"/>
              </w:rPr>
            </w:pPr>
            <w:r>
              <w:rPr>
                <w:rFonts w:eastAsia="Times New Roman"/>
                <w:color w:val="000000"/>
                <w:sz w:val="18"/>
                <w:szCs w:val="18"/>
              </w:rPr>
              <w:t>Allowance release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(493)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FFFFFF"/>
            <w:tcMar>
              <w:top w:w="30" w:type="dxa"/>
              <w:left w:w="20" w:type="dxa"/>
              <w:bottom w:w="30" w:type="dxa"/>
              <w:right w:w="20" w:type="dxa"/>
            </w:tcMar>
            <w:vAlign w:val="center"/>
            <w:hideMark/>
          </w:tcPr>
          <w:p w:rsidR="00000000" w:rsidRDefault="00795D39">
            <w:pPr>
              <w:divId w:val="1621103587"/>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11,612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5626685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June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5626685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Combined allowance and reserve as of 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11,612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16,324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519"/>
        <w:gridCol w:w="38"/>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trPr>
          <w:divId w:val="835729647"/>
        </w:trPr>
        <w:tc>
          <w:tcPr>
            <w:tcW w:w="50" w:type="pct"/>
            <w:vAlign w:val="center"/>
            <w:hideMark/>
          </w:tcPr>
          <w:p w:rsidR="00000000" w:rsidRDefault="00795D39">
            <w:pPr>
              <w:jc w:val="both"/>
              <w:rPr>
                <w:rFonts w:eastAsia="Times New Roman"/>
              </w:rPr>
            </w:pPr>
          </w:p>
        </w:tc>
        <w:tc>
          <w:tcPr>
            <w:tcW w:w="28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35729647"/>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2020</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3572964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83572964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5,395 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7,208 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2,241 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2,845 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divId w:val="712509133"/>
              <w:rPr>
                <w:rFonts w:eastAsia="Times New Roman"/>
              </w:rPr>
            </w:pPr>
            <w:r>
              <w:rPr>
                <w:rFonts w:eastAsia="Times New Roman"/>
                <w:color w:val="000000"/>
                <w:sz w:val="18"/>
                <w:szCs w:val="18"/>
              </w:rPr>
              <w:t>Finance charge and fee reserve reclassificatio</w:t>
            </w:r>
            <w:r>
              <w:rPr>
                <w:rFonts w:eastAsia="Times New Roman"/>
                <w:color w:val="000000"/>
                <w:sz w:val="18"/>
                <w:szCs w:val="18"/>
              </w:rPr>
              <w:t>n</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divId w:val="1952516662"/>
              <w:rPr>
                <w:rFonts w:eastAsia="Times New Roman"/>
              </w:rPr>
            </w:pPr>
            <w:r>
              <w:rPr>
                <w:rFonts w:eastAsia="Times New Roman"/>
                <w:color w:val="000000"/>
                <w:sz w:val="18"/>
                <w:szCs w:val="18"/>
              </w:rPr>
              <w:t>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(4,757)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(1,207)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(6,267)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divId w:val="1176727025"/>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(3,590)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(4,369)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9,975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divId w:val="1431973657"/>
              <w:rPr>
                <w:rFonts w:eastAsia="Times New Roman"/>
              </w:rPr>
            </w:pPr>
            <w:r>
              <w:rPr>
                <w:rFonts w:eastAsia="Times New Roman"/>
                <w:color w:val="000000"/>
                <w:sz w:val="18"/>
                <w:szCs w:val="18"/>
              </w:rPr>
              <w:t>Allowance build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divId w:val="1484926120"/>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11,612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72964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Combined allowance and reserve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11,612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16,324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8" style="width:0;height:1.5pt" o:hralign="center" o:hrstd="t" o:hr="t" fillcolor="#a0a0a0" stroked="f"/>
        </w:pict>
      </w:r>
    </w:p>
    <w:p w:rsidR="00000000" w:rsidRDefault="00795D39">
      <w:pPr>
        <w:jc w:val="both"/>
        <w:divId w:val="189072246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89072246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55"/>
        <w:gridCol w:w="39"/>
        <w:gridCol w:w="36"/>
        <w:gridCol w:w="36"/>
        <w:gridCol w:w="36"/>
        <w:gridCol w:w="110"/>
        <w:gridCol w:w="592"/>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465"/>
        <w:gridCol w:w="36"/>
      </w:tblGrid>
      <w:tr w:rsidR="00000000">
        <w:trPr>
          <w:divId w:val="669874126"/>
        </w:trPr>
        <w:tc>
          <w:tcPr>
            <w:tcW w:w="50" w:type="pct"/>
            <w:vAlign w:val="center"/>
            <w:hideMark/>
          </w:tcPr>
          <w:p w:rsidR="00000000" w:rsidRDefault="00795D39">
            <w:pPr>
              <w:jc w:val="center"/>
              <w:rPr>
                <w:rFonts w:eastAsia="Times New Roman"/>
              </w:rPr>
            </w:pPr>
          </w:p>
        </w:tc>
        <w:tc>
          <w:tcPr>
            <w:tcW w:w="28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69874126"/>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2019</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66987412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66987412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Allowance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6987412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June 30,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5,342 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1,055 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7,133 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CCEEFF"/>
            <w:tcMar>
              <w:top w:w="30" w:type="dxa"/>
              <w:left w:w="20" w:type="dxa"/>
              <w:bottom w:w="30" w:type="dxa"/>
              <w:right w:w="20" w:type="dxa"/>
            </w:tcMar>
            <w:vAlign w:val="center"/>
            <w:hideMark/>
          </w:tcPr>
          <w:p w:rsidR="00000000" w:rsidRDefault="00795D39">
            <w:pPr>
              <w:divId w:val="318537230"/>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(1,531)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(2,086)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FFFFFF"/>
            <w:tcMar>
              <w:top w:w="30" w:type="dxa"/>
              <w:left w:w="20" w:type="dxa"/>
              <w:bottom w:w="30" w:type="dxa"/>
              <w:right w:w="20" w:type="dxa"/>
            </w:tcMar>
            <w:vAlign w:val="center"/>
            <w:hideMark/>
          </w:tcPr>
          <w:p w:rsidR="00000000" w:rsidRDefault="00795D39">
            <w:pPr>
              <w:divId w:val="245193610"/>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(1,462)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loan and lease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1,374 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build (release)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FFFFFF"/>
            <w:tcMar>
              <w:top w:w="30" w:type="dxa"/>
              <w:left w:w="20" w:type="dxa"/>
              <w:bottom w:w="30" w:type="dxa"/>
              <w:right w:w="20" w:type="dxa"/>
            </w:tcMar>
            <w:vAlign w:val="center"/>
            <w:hideMark/>
          </w:tcPr>
          <w:p w:rsidR="00000000" w:rsidRDefault="00795D39">
            <w:pPr>
              <w:divId w:val="1865941032"/>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6987412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June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66987412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6987412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Combined allowance and reserve as of September 30,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55"/>
        <w:gridCol w:w="39"/>
        <w:gridCol w:w="36"/>
        <w:gridCol w:w="36"/>
        <w:gridCol w:w="36"/>
        <w:gridCol w:w="110"/>
        <w:gridCol w:w="592"/>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465"/>
        <w:gridCol w:w="36"/>
      </w:tblGrid>
      <w:tr w:rsidR="00000000">
        <w:trPr>
          <w:divId w:val="273905288"/>
        </w:trPr>
        <w:tc>
          <w:tcPr>
            <w:tcW w:w="50" w:type="pct"/>
            <w:vAlign w:val="center"/>
            <w:hideMark/>
          </w:tcPr>
          <w:p w:rsidR="00000000" w:rsidRDefault="00795D39">
            <w:pPr>
              <w:jc w:val="both"/>
              <w:rPr>
                <w:rFonts w:eastAsia="Times New Roman"/>
              </w:rPr>
            </w:pPr>
          </w:p>
        </w:tc>
        <w:tc>
          <w:tcPr>
            <w:tcW w:w="28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73905288"/>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9"/>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2019</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7390528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27390528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Allowance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7390528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December 31, 2018</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5,535 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7,220 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CCEEFF"/>
            <w:tcMar>
              <w:top w:w="30" w:type="dxa"/>
              <w:left w:w="20" w:type="dxa"/>
              <w:bottom w:w="30" w:type="dxa"/>
              <w:right w:w="20" w:type="dxa"/>
            </w:tcMar>
            <w:vAlign w:val="center"/>
            <w:hideMark/>
          </w:tcPr>
          <w:p w:rsidR="00000000" w:rsidRDefault="00795D39">
            <w:pPr>
              <w:divId w:val="1329135780"/>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(5,024)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(1,383)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(6,516)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FFFFFF"/>
            <w:tcMar>
              <w:top w:w="30" w:type="dxa"/>
              <w:left w:w="20" w:type="dxa"/>
              <w:bottom w:w="30" w:type="dxa"/>
              <w:right w:w="20" w:type="dxa"/>
            </w:tcMar>
            <w:vAlign w:val="center"/>
            <w:hideMark/>
          </w:tcPr>
          <w:p w:rsidR="00000000" w:rsidRDefault="00795D39">
            <w:pPr>
              <w:divId w:val="200367716"/>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(3,835)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(4,569)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loan and lease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3,571 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Allowance build (release)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FFFFFF"/>
            <w:tcMar>
              <w:top w:w="30" w:type="dxa"/>
              <w:left w:w="20" w:type="dxa"/>
              <w:bottom w:w="30" w:type="dxa"/>
              <w:right w:w="20" w:type="dxa"/>
            </w:tcMar>
            <w:vAlign w:val="center"/>
            <w:hideMark/>
          </w:tcPr>
          <w:p w:rsidR="00000000" w:rsidRDefault="00795D39">
            <w:pPr>
              <w:divId w:val="1403680301"/>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7390528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73905288"/>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Combined allowance and reserve as of September 30,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726566814"/>
        <w:rPr>
          <w:rFonts w:eastAsia="Times New Roman"/>
        </w:rPr>
      </w:pPr>
      <w:r>
        <w:rPr>
          <w:rFonts w:eastAsia="Times New Roman"/>
          <w:color w:val="000000"/>
          <w:sz w:val="20"/>
          <w:szCs w:val="20"/>
        </w:rPr>
        <w:t>__________</w:t>
      </w:r>
    </w:p>
    <w:p w:rsidR="00000000" w:rsidRDefault="00795D39">
      <w:pPr>
        <w:ind w:hanging="360"/>
        <w:jc w:val="both"/>
        <w:divId w:val="96373487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is impacted by our collection strategies, which are based on customer behavior and risk profile and include direct customer communications, repossession of collateral, the periodic sale of charged off loans as well as ad</w:t>
      </w:r>
      <w:r>
        <w:rPr>
          <w:rFonts w:eastAsia="Times New Roman"/>
          <w:color w:val="000000"/>
          <w:sz w:val="16"/>
          <w:szCs w:val="16"/>
        </w:rPr>
        <w:t xml:space="preserve">ditional strategies, such as litigation. </w:t>
      </w:r>
    </w:p>
    <w:p w:rsidR="00000000" w:rsidRDefault="00795D39">
      <w:pPr>
        <w:ind w:hanging="360"/>
        <w:jc w:val="both"/>
        <w:divId w:val="131776239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an allowance release of $327 million for a partnership credit card loan portfolio transferred to held for sale in the third quarter of 2020.</w:t>
      </w:r>
    </w:p>
    <w:p w:rsidR="00000000" w:rsidRDefault="00795D39">
      <w:pPr>
        <w:ind w:hanging="360"/>
        <w:jc w:val="both"/>
        <w:divId w:val="209462577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foreign currency translation adjustments.</w:t>
      </w:r>
    </w:p>
    <w:p w:rsidR="00000000" w:rsidRDefault="00795D39">
      <w:pPr>
        <w:ind w:hanging="360"/>
        <w:jc w:val="both"/>
        <w:divId w:val="1587618113"/>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Co</w:t>
      </w:r>
      <w:r>
        <w:rPr>
          <w:rFonts w:eastAsia="Times New Roman"/>
          <w:color w:val="000000"/>
          <w:sz w:val="16"/>
          <w:szCs w:val="16"/>
        </w:rPr>
        <w:t>ncurrent with our adoption of the CECL standard in the first quarter of 2020, we reclassified our finance charge and fee reserve to our allowance for credit losses, with a corresponding increase to credit card loans held for investment.</w:t>
      </w:r>
    </w:p>
    <w:p w:rsidR="00000000" w:rsidRDefault="00795D39">
      <w:pPr>
        <w:jc w:val="both"/>
        <w:divId w:val="103372822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0332282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0332282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0332282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29" style="width:0;height:1.5pt" o:hralign="center" o:hrstd="t" o:hr="t" fillcolor="#a0a0a0" stroked="f"/>
        </w:pict>
      </w:r>
    </w:p>
    <w:p w:rsidR="00000000" w:rsidRDefault="00795D39">
      <w:pPr>
        <w:jc w:val="both"/>
        <w:divId w:val="2942668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29426680"/>
        <w:rPr>
          <w:rFonts w:eastAsia="Times New Roman"/>
        </w:rPr>
      </w:pPr>
    </w:p>
    <w:p w:rsidR="00000000" w:rsidRDefault="00795D39">
      <w:pPr>
        <w:divId w:val="1355232395"/>
        <w:rPr>
          <w:rFonts w:eastAsia="Times New Roman"/>
        </w:rPr>
      </w:pPr>
      <w:r>
        <w:rPr>
          <w:rFonts w:eastAsia="Times New Roman"/>
          <w:b/>
          <w:bCs/>
          <w:color w:val="000000"/>
          <w:sz w:val="20"/>
          <w:szCs w:val="20"/>
        </w:rPr>
        <w:t xml:space="preserve">Credit Card Partnership Loss Sharing Arrangements </w:t>
      </w:r>
    </w:p>
    <w:p w:rsidR="00000000" w:rsidRDefault="00795D39">
      <w:pPr>
        <w:jc w:val="both"/>
        <w:divId w:val="1410693964"/>
        <w:rPr>
          <w:rFonts w:eastAsia="Times New Roman"/>
        </w:rPr>
      </w:pPr>
      <w:r>
        <w:rPr>
          <w:rFonts w:eastAsia="Times New Roman"/>
          <w:color w:val="000000"/>
          <w:sz w:val="20"/>
          <w:szCs w:val="20"/>
        </w:rPr>
        <w:t>We have certain credit card partnership agreements that are presented within our consolidated financial statements on a net basis, in which our partner agrees to share a portion of the credit losses on the underlying loan portfolio. The expected reimbursem</w:t>
      </w:r>
      <w:r>
        <w:rPr>
          <w:rFonts w:eastAsia="Times New Roman"/>
          <w:color w:val="000000"/>
          <w:sz w:val="20"/>
          <w:szCs w:val="20"/>
        </w:rPr>
        <w:t>ents from these partners are netted against our allowance for credit losses. Our methodology for estimating reimbursements is consistent with the methodology we use to estimate the allowance for credit losses on our credit card loan receivables. These expe</w:t>
      </w:r>
      <w:r>
        <w:rPr>
          <w:rFonts w:eastAsia="Times New Roman"/>
          <w:color w:val="000000"/>
          <w:sz w:val="20"/>
          <w:szCs w:val="20"/>
        </w:rPr>
        <w:t>cted reimbursements result in reductions to net charge-offs and provision for credit losses. See “Note 1—Summary of Significant Accounting Policies” in our 2019 Form 10-K for further discussion of our credit card partnership agreements.</w:t>
      </w:r>
    </w:p>
    <w:p w:rsidR="00000000" w:rsidRDefault="00795D39">
      <w:pPr>
        <w:jc w:val="both"/>
        <w:divId w:val="1212768405"/>
        <w:rPr>
          <w:rFonts w:eastAsia="Times New Roman"/>
        </w:rPr>
      </w:pPr>
      <w:r>
        <w:rPr>
          <w:rFonts w:eastAsia="Times New Roman"/>
          <w:color w:val="000000"/>
          <w:sz w:val="20"/>
          <w:szCs w:val="20"/>
        </w:rPr>
        <w:t>The table below sum</w:t>
      </w:r>
      <w:r>
        <w:rPr>
          <w:rFonts w:eastAsia="Times New Roman"/>
          <w:color w:val="000000"/>
          <w:sz w:val="20"/>
          <w:szCs w:val="20"/>
        </w:rPr>
        <w:t xml:space="preserve">marizes the changes in the estimated reimbursements from these partners for the three and nine months ended September 30, 2020 and 2019. </w:t>
      </w:r>
    </w:p>
    <w:p w:rsidR="00000000" w:rsidRDefault="00795D39">
      <w:pPr>
        <w:divId w:val="1298727425"/>
        <w:rPr>
          <w:rFonts w:eastAsia="Times New Roman"/>
        </w:rPr>
      </w:pPr>
      <w:r>
        <w:rPr>
          <w:rFonts w:eastAsia="Times New Roman"/>
          <w:b/>
          <w:bCs/>
          <w:color w:val="000000"/>
          <w:sz w:val="18"/>
          <w:szCs w:val="18"/>
        </w:rPr>
        <w:t>Table 4.2: Summary of Credit Card Partnership Loss Sharing Arrangements Impacts</w:t>
      </w:r>
    </w:p>
    <w:tbl>
      <w:tblPr>
        <w:tblW w:w="5000" w:type="pct"/>
        <w:tblCellMar>
          <w:top w:w="15" w:type="dxa"/>
          <w:left w:w="15" w:type="dxa"/>
          <w:bottom w:w="15" w:type="dxa"/>
          <w:right w:w="15" w:type="dxa"/>
        </w:tblCellMar>
        <w:tblLook w:val="04A0" w:firstRow="1" w:lastRow="0" w:firstColumn="1" w:lastColumn="0" w:noHBand="0" w:noVBand="1"/>
      </w:tblPr>
      <w:tblGrid>
        <w:gridCol w:w="41"/>
        <w:gridCol w:w="5973"/>
        <w:gridCol w:w="37"/>
        <w:gridCol w:w="36"/>
        <w:gridCol w:w="36"/>
        <w:gridCol w:w="36"/>
        <w:gridCol w:w="110"/>
        <w:gridCol w:w="830"/>
        <w:gridCol w:w="36"/>
        <w:gridCol w:w="36"/>
        <w:gridCol w:w="36"/>
        <w:gridCol w:w="36"/>
        <w:gridCol w:w="110"/>
        <w:gridCol w:w="845"/>
        <w:gridCol w:w="36"/>
        <w:gridCol w:w="36"/>
        <w:gridCol w:w="36"/>
      </w:tblGrid>
      <w:tr w:rsidR="00000000">
        <w:trPr>
          <w:divId w:val="1670517209"/>
        </w:trPr>
        <w:tc>
          <w:tcPr>
            <w:tcW w:w="50" w:type="pct"/>
            <w:vAlign w:val="center"/>
            <w:hideMark/>
          </w:tcPr>
          <w:p w:rsidR="00000000" w:rsidRDefault="00795D39">
            <w:pPr>
              <w:rPr>
                <w:rFonts w:eastAsia="Times New Roman"/>
              </w:rPr>
            </w:pPr>
          </w:p>
        </w:tc>
        <w:tc>
          <w:tcPr>
            <w:tcW w:w="365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051720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67051720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6705172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051720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051720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Amounts estimated to be charged to partners which reduced 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7051720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973"/>
        <w:gridCol w:w="37"/>
        <w:gridCol w:w="36"/>
        <w:gridCol w:w="36"/>
        <w:gridCol w:w="36"/>
        <w:gridCol w:w="110"/>
        <w:gridCol w:w="831"/>
        <w:gridCol w:w="36"/>
        <w:gridCol w:w="36"/>
        <w:gridCol w:w="36"/>
        <w:gridCol w:w="36"/>
        <w:gridCol w:w="110"/>
        <w:gridCol w:w="832"/>
        <w:gridCol w:w="36"/>
        <w:gridCol w:w="36"/>
        <w:gridCol w:w="36"/>
      </w:tblGrid>
      <w:tr w:rsidR="00000000">
        <w:trPr>
          <w:divId w:val="1927109146"/>
        </w:trPr>
        <w:tc>
          <w:tcPr>
            <w:tcW w:w="50" w:type="pct"/>
            <w:vAlign w:val="center"/>
            <w:hideMark/>
          </w:tcPr>
          <w:p w:rsidR="00000000" w:rsidRDefault="00795D39">
            <w:pPr>
              <w:jc w:val="both"/>
              <w:rPr>
                <w:rFonts w:eastAsia="Times New Roman"/>
              </w:rPr>
            </w:pPr>
          </w:p>
        </w:tc>
        <w:tc>
          <w:tcPr>
            <w:tcW w:w="365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27109146"/>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92710914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92710914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026754680"/>
              <w:rPr>
                <w:rFonts w:eastAsia="Times New Roman"/>
              </w:rPr>
            </w:pPr>
            <w:r>
              <w:rPr>
                <w:rFonts w:eastAsia="Times New Roman"/>
                <w:color w:val="000000"/>
                <w:sz w:val="18"/>
                <w:szCs w:val="18"/>
              </w:rPr>
              <w:t>Estimated reimbursements from partners, beginning of perio</w:t>
            </w:r>
            <w:r>
              <w:rPr>
                <w:rFonts w:eastAsia="Times New Roman"/>
                <w:color w:val="000000"/>
                <w:sz w:val="18"/>
                <w:szCs w:val="18"/>
              </w:rPr>
              <w:t>d</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2710914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2710914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Amounts estimated to be charged to partners which reduced 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2710914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693768863"/>
        <w:rPr>
          <w:rFonts w:eastAsia="Times New Roman"/>
        </w:rPr>
      </w:pPr>
      <w:r>
        <w:rPr>
          <w:rFonts w:eastAsia="Times New Roman"/>
          <w:color w:val="000000"/>
          <w:sz w:val="20"/>
          <w:szCs w:val="20"/>
        </w:rPr>
        <w:t>_________</w:t>
      </w:r>
      <w:r>
        <w:rPr>
          <w:rFonts w:eastAsia="Times New Roman"/>
          <w:color w:val="000000"/>
          <w:sz w:val="20"/>
          <w:szCs w:val="20"/>
        </w:rPr>
        <w:t>_</w:t>
      </w:r>
    </w:p>
    <w:p w:rsidR="00000000" w:rsidRDefault="00795D39">
      <w:pPr>
        <w:ind w:hanging="360"/>
        <w:jc w:val="both"/>
        <w:divId w:val="182327846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effects from adoption of the CECL standard in the first quarter of 2020.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72253111"/>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72253111"/>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72253111"/>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0" style="width:0;height:1.5pt" o:hralign="center" o:hrstd="t" o:hr="t" fillcolor="#a0a0a0" stroked="f"/>
        </w:pict>
      </w:r>
    </w:p>
    <w:p w:rsidR="00000000" w:rsidRDefault="00795D39">
      <w:pPr>
        <w:jc w:val="both"/>
        <w:divId w:val="8515595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8515595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17169859"/>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71716985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5—VARIABLE INTEREST ENTITIES AND SECURITIZATIONS</w:t>
            </w:r>
          </w:p>
        </w:tc>
      </w:tr>
    </w:tbl>
    <w:p w:rsidR="00000000" w:rsidRDefault="00795D39">
      <w:pPr>
        <w:jc w:val="both"/>
        <w:divId w:val="1333609324"/>
        <w:rPr>
          <w:rFonts w:eastAsia="Times New Roman"/>
        </w:rPr>
      </w:pPr>
      <w:r>
        <w:rPr>
          <w:rFonts w:eastAsia="Times New Roman"/>
          <w:color w:val="000000"/>
          <w:sz w:val="20"/>
          <w:szCs w:val="20"/>
        </w:rPr>
        <w:t>In the normal course of business, we enter into various types of transactions with entities that are considered to be VIEs. Our primary involvement with VIEs has been related to our securitization transactions in which we transferred assets to securitizati</w:t>
      </w:r>
      <w:r>
        <w:rPr>
          <w:rFonts w:eastAsia="Times New Roman"/>
          <w:color w:val="000000"/>
          <w:sz w:val="20"/>
          <w:szCs w:val="20"/>
        </w:rPr>
        <w:t>on trusts. We have primarily securitized credit card and auto loans, which have provided a source of funding for us and enabled us to transfer a certain portion of the economic risk of the loans or related debt securities to third parties.</w:t>
      </w:r>
    </w:p>
    <w:p w:rsidR="00000000" w:rsidRDefault="00795D39">
      <w:pPr>
        <w:jc w:val="both"/>
        <w:divId w:val="669678916"/>
        <w:rPr>
          <w:rFonts w:eastAsia="Times New Roman"/>
        </w:rPr>
      </w:pPr>
      <w:r>
        <w:rPr>
          <w:rFonts w:eastAsia="Times New Roman"/>
          <w:color w:val="000000"/>
          <w:sz w:val="20"/>
          <w:szCs w:val="20"/>
        </w:rPr>
        <w:t>The entity that has a controlling financial interest in a VIE is referred to as the primary beneficiary and is required to consolidate the VIE. The majority of the VIEs in which we are involved have been consolidated in our financial statements.</w:t>
      </w:r>
    </w:p>
    <w:p w:rsidR="00000000" w:rsidRDefault="00795D39">
      <w:pPr>
        <w:jc w:val="both"/>
        <w:divId w:val="1209882198"/>
        <w:rPr>
          <w:rFonts w:eastAsia="Times New Roman"/>
        </w:rPr>
      </w:pPr>
      <w:r>
        <w:rPr>
          <w:rFonts w:eastAsia="Times New Roman"/>
          <w:b/>
          <w:bCs/>
          <w:color w:val="000000"/>
          <w:sz w:val="20"/>
          <w:szCs w:val="20"/>
        </w:rPr>
        <w:t>Summary of</w:t>
      </w:r>
      <w:r>
        <w:rPr>
          <w:rFonts w:eastAsia="Times New Roman"/>
          <w:b/>
          <w:bCs/>
          <w:color w:val="000000"/>
          <w:sz w:val="20"/>
          <w:szCs w:val="20"/>
        </w:rPr>
        <w:t xml:space="preserve"> Consolidated and Unconsolidated VIEs</w:t>
      </w:r>
    </w:p>
    <w:p w:rsidR="00000000" w:rsidRDefault="00795D39">
      <w:pPr>
        <w:jc w:val="both"/>
        <w:divId w:val="1212225505"/>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securitization i</w:t>
      </w:r>
      <w:r>
        <w:rPr>
          <w:rFonts w:eastAsia="Times New Roman"/>
          <w:color w:val="000000"/>
          <w:sz w:val="20"/>
          <w:szCs w:val="20"/>
        </w:rPr>
        <w:t>nvestors, loans held in consolidated trusts and allowance for credit losses, respectively. The assets of a particular VIE are the primary source of funds to settle its obligations. Creditors of these VIEs typically do not have recourse to our general credi</w:t>
      </w:r>
      <w:r>
        <w:rPr>
          <w:rFonts w:eastAsia="Times New Roman"/>
          <w:color w:val="000000"/>
          <w:sz w:val="20"/>
          <w:szCs w:val="20"/>
        </w:rPr>
        <w:t>t. Liabilities primarily consist of debt securities issued by the VIEs, which we report under securitized debt obligations on our consolidated balance sheets. For unconsolidated VIEs, we present the carrying amount of assets and liabilities reflected on ou</w:t>
      </w:r>
      <w:r>
        <w:rPr>
          <w:rFonts w:eastAsia="Times New Roman"/>
          <w:color w:val="000000"/>
          <w:sz w:val="20"/>
          <w:szCs w:val="20"/>
        </w:rPr>
        <w:t>r consolidated balance sheets and our maximum exposure to loss. Our maximum exposure to loss is estimated based on the unlikely event that all of the assets in the VIEs become worthless and we are required to meet our maximum remaining funding obligations.</w:t>
      </w:r>
    </w:p>
    <w:p w:rsidR="00000000" w:rsidRDefault="00795D39">
      <w:pPr>
        <w:jc w:val="both"/>
        <w:divId w:val="572396174"/>
        <w:rPr>
          <w:rFonts w:eastAsia="Times New Roman"/>
        </w:rPr>
      </w:pPr>
      <w:r>
        <w:rPr>
          <w:rFonts w:eastAsia="Times New Roman"/>
          <w:color w:val="000000"/>
          <w:sz w:val="20"/>
          <w:szCs w:val="20"/>
        </w:rPr>
        <w:t>The tables below present a summary of VIEs in which we had continuing involvement or held a variable interest, aggregated based on VIEs with similar characteristics as of September 30, 2020 and December 31, 2019. We separately present information for cons</w:t>
      </w:r>
      <w:r>
        <w:rPr>
          <w:rFonts w:eastAsia="Times New Roman"/>
          <w:color w:val="000000"/>
          <w:sz w:val="20"/>
          <w:szCs w:val="20"/>
        </w:rPr>
        <w:t>olidated and unconsolidated VIEs.</w:t>
      </w:r>
    </w:p>
    <w:p w:rsidR="00000000" w:rsidRDefault="00795D39">
      <w:pPr>
        <w:divId w:val="1426732356"/>
        <w:rPr>
          <w:rFonts w:eastAsia="Times New Roman"/>
        </w:rPr>
      </w:pPr>
      <w:r>
        <w:rPr>
          <w:rFonts w:eastAsia="Times New Roman"/>
          <w:b/>
          <w:bCs/>
          <w:color w:val="000000"/>
          <w:sz w:val="18"/>
          <w:szCs w:val="18"/>
        </w:rPr>
        <w:t>Table 5.1: 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421876713"/>
        </w:trPr>
        <w:tc>
          <w:tcPr>
            <w:tcW w:w="50" w:type="pct"/>
            <w:vAlign w:val="center"/>
            <w:hideMark/>
          </w:tcPr>
          <w:p w:rsidR="00000000" w:rsidRDefault="00795D39">
            <w:pPr>
              <w:rPr>
                <w:rFonts w:eastAsia="Times New Roman"/>
              </w:rPr>
            </w:pPr>
          </w:p>
        </w:tc>
        <w:tc>
          <w:tcPr>
            <w:tcW w:w="24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2187671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42187671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Unconsolidated</w:t>
            </w:r>
          </w:p>
        </w:tc>
      </w:tr>
      <w:tr w:rsidR="00000000">
        <w:trPr>
          <w:divId w:val="42187671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Maximum Exposure to Loss</w:t>
            </w:r>
          </w:p>
        </w:tc>
      </w:tr>
      <w:tr w:rsidR="00000000">
        <w:trPr>
          <w:divId w:val="42187671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Securitization-Related VIEs: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21876713"/>
        </w:trPr>
        <w:tc>
          <w:tcPr>
            <w:tcW w:w="0" w:type="auto"/>
            <w:gridSpan w:val="3"/>
            <w:shd w:val="clear" w:color="auto" w:fill="FFFFFF"/>
            <w:tcMar>
              <w:top w:w="30" w:type="dxa"/>
              <w:left w:w="20" w:type="dxa"/>
              <w:bottom w:w="30" w:type="dxa"/>
              <w:right w:w="20" w:type="dxa"/>
            </w:tcMar>
            <w:vAlign w:val="center"/>
            <w:hideMark/>
          </w:tcPr>
          <w:p w:rsidR="00000000" w:rsidRDefault="00795D39">
            <w:pPr>
              <w:divId w:val="461656258"/>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26,586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2187671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2187671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Home loan securitizations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2187671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securitization-related VIEs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29,257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13,562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21876713"/>
        </w:trPr>
        <w:tc>
          <w:tcPr>
            <w:tcW w:w="0" w:type="auto"/>
            <w:gridSpan w:val="3"/>
            <w:shd w:val="clear" w:color="auto" w:fill="FFFFFF"/>
            <w:tcMar>
              <w:top w:w="30" w:type="dxa"/>
              <w:left w:w="20" w:type="dxa"/>
              <w:bottom w:w="30" w:type="dxa"/>
              <w:right w:w="20" w:type="dxa"/>
            </w:tcMar>
            <w:vAlign w:val="center"/>
            <w:hideMark/>
          </w:tcPr>
          <w:p w:rsidR="00000000" w:rsidRDefault="00795D39">
            <w:pPr>
              <w:divId w:val="1075936358"/>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2187671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Affordable housing entities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2187671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2187671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2187671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other VIEs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2187671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VIEs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31,514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13,649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5,104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1" style="width:0;height:1.5pt" o:hralign="center" o:hrstd="t" o:hr="t" fillcolor="#a0a0a0" stroked="f"/>
        </w:pict>
      </w:r>
    </w:p>
    <w:p w:rsidR="00000000" w:rsidRDefault="00795D39">
      <w:pPr>
        <w:jc w:val="both"/>
        <w:divId w:val="62156901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6215690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1030570782"/>
        </w:trPr>
        <w:tc>
          <w:tcPr>
            <w:tcW w:w="50" w:type="pct"/>
            <w:vAlign w:val="center"/>
            <w:hideMark/>
          </w:tcPr>
          <w:p w:rsidR="00000000" w:rsidRDefault="00795D39">
            <w:pPr>
              <w:jc w:val="center"/>
              <w:rPr>
                <w:rFonts w:eastAsia="Times New Roman"/>
              </w:rPr>
            </w:pPr>
          </w:p>
        </w:tc>
        <w:tc>
          <w:tcPr>
            <w:tcW w:w="24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30570782"/>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030570782"/>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Unconsolidated</w:t>
            </w:r>
          </w:p>
        </w:tc>
      </w:tr>
      <w:tr w:rsidR="00000000">
        <w:trPr>
          <w:divId w:val="1030570782"/>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Maximum Exposure to Loss</w:t>
            </w:r>
          </w:p>
        </w:tc>
      </w:tr>
      <w:tr w:rsidR="00000000">
        <w:trPr>
          <w:divId w:val="103057078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Securitization-Related VIEs: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30570782"/>
        </w:trPr>
        <w:tc>
          <w:tcPr>
            <w:tcW w:w="0" w:type="auto"/>
            <w:gridSpan w:val="3"/>
            <w:shd w:val="clear" w:color="auto" w:fill="FFFFFF"/>
            <w:tcMar>
              <w:top w:w="30" w:type="dxa"/>
              <w:left w:w="20" w:type="dxa"/>
              <w:bottom w:w="30" w:type="dxa"/>
              <w:right w:w="20" w:type="dxa"/>
            </w:tcMar>
            <w:vAlign w:val="center"/>
            <w:hideMark/>
          </w:tcPr>
          <w:p w:rsidR="00000000" w:rsidRDefault="00795D39">
            <w:pPr>
              <w:divId w:val="1435200849"/>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31,112 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16,113 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30570782"/>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2,282 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3057078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Home loan securitizations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30570782"/>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securitization-related VIEs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33,394 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18,125 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30570782"/>
        </w:trPr>
        <w:tc>
          <w:tcPr>
            <w:tcW w:w="0" w:type="auto"/>
            <w:gridSpan w:val="3"/>
            <w:shd w:val="clear" w:color="auto" w:fill="FFFFFF"/>
            <w:tcMar>
              <w:top w:w="30" w:type="dxa"/>
              <w:left w:w="20" w:type="dxa"/>
              <w:bottom w:w="30" w:type="dxa"/>
              <w:right w:w="20" w:type="dxa"/>
            </w:tcMar>
            <w:vAlign w:val="center"/>
            <w:hideMark/>
          </w:tcPr>
          <w:p w:rsidR="00000000" w:rsidRDefault="00795D39">
            <w:pPr>
              <w:divId w:val="1481725909"/>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030570782"/>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Affordable housing entities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4,559 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1,289 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4,559 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3057078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1,889 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30570782"/>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30570782"/>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other VIEs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030570782"/>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VIEs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35,519 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18,201 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5,413 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812476405"/>
        <w:rPr>
          <w:rFonts w:eastAsia="Times New Roman"/>
        </w:rPr>
      </w:pPr>
      <w:r>
        <w:rPr>
          <w:rFonts w:eastAsia="Times New Roman"/>
          <w:color w:val="000000"/>
          <w:sz w:val="20"/>
          <w:szCs w:val="20"/>
        </w:rPr>
        <w:t>__________</w:t>
      </w:r>
    </w:p>
    <w:p w:rsidR="00000000" w:rsidRDefault="00795D39">
      <w:pPr>
        <w:ind w:hanging="360"/>
        <w:jc w:val="both"/>
        <w:divId w:val="74064056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carrying amount of assets and liabilities owned by the VIE, which includes the seller’s interest and repurchased notes held by other related parties.</w:t>
      </w:r>
    </w:p>
    <w:p w:rsidR="00000000" w:rsidRDefault="00795D39">
      <w:pPr>
        <w:ind w:hanging="360"/>
        <w:jc w:val="both"/>
        <w:divId w:val="134474550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 certain investment structures, we consolidate a VIE which in turn holds as its primar</w:t>
      </w:r>
      <w:r>
        <w:rPr>
          <w:rFonts w:eastAsia="Times New Roman"/>
          <w:color w:val="000000"/>
          <w:sz w:val="16"/>
          <w:szCs w:val="16"/>
        </w:rPr>
        <w:t>y asset an investment in an unconsolidated VIE. In these instances, we disclose the carrying amount of assets and liabilities on our consolidated balance sheets as unconsolidated VIEs to avoid duplicating our exposure, as the unconsolidated VIEs are genera</w:t>
      </w:r>
      <w:r>
        <w:rPr>
          <w:rFonts w:eastAsia="Times New Roman"/>
          <w:color w:val="000000"/>
          <w:sz w:val="16"/>
          <w:szCs w:val="16"/>
        </w:rPr>
        <w:t>lly the operating entities generating the exposure. The carrying amount of assets and liabilities included in the unconsolidated VIE columns above related to these investment structures were $2.3 billion of assets and $631 million of liabilities as of Sept</w:t>
      </w:r>
      <w:r>
        <w:rPr>
          <w:rFonts w:eastAsia="Times New Roman"/>
          <w:color w:val="000000"/>
          <w:sz w:val="16"/>
          <w:szCs w:val="16"/>
        </w:rPr>
        <w:t xml:space="preserve">ember 30, 2020, and $2.3 billion of assets and $741 million of liabilities as of December 31, 2019. </w:t>
      </w:r>
    </w:p>
    <w:p w:rsidR="00000000" w:rsidRDefault="00795D39">
      <w:pPr>
        <w:jc w:val="both"/>
        <w:divId w:val="95254727"/>
        <w:rPr>
          <w:rFonts w:eastAsia="Times New Roman"/>
        </w:rPr>
      </w:pPr>
      <w:r>
        <w:rPr>
          <w:rFonts w:eastAsia="Times New Roman"/>
          <w:b/>
          <w:bCs/>
          <w:color w:val="000000"/>
          <w:sz w:val="20"/>
          <w:szCs w:val="20"/>
        </w:rPr>
        <w:t>Securitization-Related VIEs</w:t>
      </w:r>
    </w:p>
    <w:p w:rsidR="00000000" w:rsidRDefault="00795D39">
      <w:pPr>
        <w:jc w:val="both"/>
        <w:divId w:val="413286685"/>
        <w:rPr>
          <w:rFonts w:eastAsia="Times New Roman"/>
        </w:rPr>
      </w:pPr>
      <w:r>
        <w:rPr>
          <w:rFonts w:eastAsia="Times New Roman"/>
          <w:color w:val="000000"/>
          <w:sz w:val="20"/>
          <w:szCs w:val="20"/>
        </w:rPr>
        <w:t>In a securitization transaction, assets are transferred to a trust, which generally meets the definition of a VIE. We engage in</w:t>
      </w:r>
      <w:r>
        <w:rPr>
          <w:rFonts w:eastAsia="Times New Roman"/>
          <w:color w:val="000000"/>
          <w:sz w:val="20"/>
          <w:szCs w:val="20"/>
        </w:rPr>
        <w:t xml:space="preserve"> securitization activities as an issuer and an investor. Our primary securitization issuance activity includes credit card and auto securitizations, conducted through securitization trusts which we consolidate. Our continuing involvement in these securitiz</w:t>
      </w:r>
      <w:r>
        <w:rPr>
          <w:rFonts w:eastAsia="Times New Roman"/>
          <w:color w:val="000000"/>
          <w:sz w:val="20"/>
          <w:szCs w:val="20"/>
        </w:rPr>
        <w:t>ation transactions mainly consists of acting as the primary servicer and holding certain retained interests.</w:t>
      </w:r>
    </w:p>
    <w:p w:rsidR="00000000" w:rsidRDefault="00795D39">
      <w:pPr>
        <w:jc w:val="both"/>
        <w:divId w:val="364599458"/>
        <w:rPr>
          <w:rFonts w:eastAsia="Times New Roman"/>
        </w:rPr>
      </w:pPr>
      <w:r>
        <w:rPr>
          <w:rFonts w:eastAsia="Times New Roman"/>
          <w:color w:val="000000"/>
          <w:sz w:val="20"/>
          <w:szCs w:val="20"/>
        </w:rPr>
        <w:t>In our multifamily agency business, we originate multifamily commercial real estate loans and transfer them to securitization trusts of GSEs. We re</w:t>
      </w:r>
      <w:r>
        <w:rPr>
          <w:rFonts w:eastAsia="Times New Roman"/>
          <w:color w:val="000000"/>
          <w:sz w:val="20"/>
          <w:szCs w:val="20"/>
        </w:rPr>
        <w:t>tain the related Mortgage servicing rights (“MSRs”) and service the transferred loans pursuant to the guidelines set forth by the GSEs. As an investor, we hold primarily RMBS, CMBS, and ABS in our investment securities portfolio, which represent variable i</w:t>
      </w:r>
      <w:r>
        <w:rPr>
          <w:rFonts w:eastAsia="Times New Roman"/>
          <w:color w:val="000000"/>
          <w:sz w:val="20"/>
          <w:szCs w:val="20"/>
        </w:rPr>
        <w:t xml:space="preserve">nterests in the respective securitization trusts from which those securities were issued. We exclude these VIEs from the tables within this note because we do not consider our continuing involvement with these VIEs to be significant as we either invest in </w:t>
      </w:r>
      <w:r>
        <w:rPr>
          <w:rFonts w:eastAsia="Times New Roman"/>
          <w:color w:val="000000"/>
          <w:sz w:val="20"/>
          <w:szCs w:val="20"/>
        </w:rPr>
        <w:t>securities issued by the VIE and were not involved in the design of the VIE or no transfers have occurred between the VIE and us. Our maximum exposure to loss as a result of our involvement with these VIEs is the carrying value of MSRs and contractual obli</w:t>
      </w:r>
      <w:r>
        <w:rPr>
          <w:rFonts w:eastAsia="Times New Roman"/>
          <w:color w:val="000000"/>
          <w:sz w:val="20"/>
          <w:szCs w:val="20"/>
        </w:rPr>
        <w:t>gations under loss sharing arrangements as well as investment securities on our consolidated balance sheets. See “Note 6—Goodwill and Intangible Assets” for information related to our MSRs associated with these securitizations and “Note 2—Investment Securi</w:t>
      </w:r>
      <w:r>
        <w:rPr>
          <w:rFonts w:eastAsia="Times New Roman"/>
          <w:color w:val="000000"/>
          <w:sz w:val="20"/>
          <w:szCs w:val="20"/>
        </w:rPr>
        <w:t>ties” for more information on the securities held in our investment securities portfolio. In addition, where we have certain lending arrangements in the normal course of business with entities that could be VIEs, we have also excluded these VIEs from the t</w:t>
      </w:r>
      <w:r>
        <w:rPr>
          <w:rFonts w:eastAsia="Times New Roman"/>
          <w:color w:val="000000"/>
          <w:sz w:val="20"/>
          <w:szCs w:val="20"/>
        </w:rPr>
        <w:t>ables presented in this note. See “Note 3—Loans” for additional information regarding our lending arrangements in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6953232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6953232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6953232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2" style="width:0;height:1.5pt" o:hralign="center" o:hrstd="t" o:hr="t" fillcolor="#a0a0a0" stroked="f"/>
        </w:pict>
      </w:r>
    </w:p>
    <w:p w:rsidR="00000000" w:rsidRDefault="00795D39">
      <w:pPr>
        <w:jc w:val="both"/>
        <w:divId w:val="99826902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998269029"/>
        <w:rPr>
          <w:rFonts w:eastAsia="Times New Roman"/>
        </w:rPr>
      </w:pPr>
    </w:p>
    <w:p w:rsidR="00000000" w:rsidRDefault="00795D39">
      <w:pPr>
        <w:jc w:val="both"/>
        <w:divId w:val="439103100"/>
        <w:rPr>
          <w:rFonts w:eastAsia="Times New Roman"/>
        </w:rPr>
      </w:pPr>
      <w:r>
        <w:rPr>
          <w:rFonts w:eastAsia="Times New Roman"/>
          <w:color w:val="000000"/>
          <w:sz w:val="20"/>
          <w:szCs w:val="20"/>
        </w:rPr>
        <w:t xml:space="preserve">The table below presents our continuing involvement in certain securitization-related VIEs as of September 30, 2020 and December 31, 2019. </w:t>
      </w:r>
    </w:p>
    <w:p w:rsidR="00000000" w:rsidRDefault="00795D39">
      <w:pPr>
        <w:divId w:val="1389524770"/>
        <w:rPr>
          <w:rFonts w:eastAsia="Times New Roman"/>
        </w:rPr>
      </w:pPr>
      <w:r>
        <w:rPr>
          <w:rFonts w:eastAsia="Times New Roman"/>
          <w:b/>
          <w:bCs/>
          <w:color w:val="000000"/>
          <w:sz w:val="18"/>
          <w:szCs w:val="18"/>
        </w:rPr>
        <w:t>Table 5.2: Continuing Involvement in Securitization-Related VIEs</w:t>
      </w:r>
    </w:p>
    <w:tbl>
      <w:tblPr>
        <w:tblW w:w="4985" w:type="pct"/>
        <w:tblCellMar>
          <w:top w:w="15" w:type="dxa"/>
          <w:left w:w="15" w:type="dxa"/>
          <w:bottom w:w="15" w:type="dxa"/>
          <w:right w:w="15" w:type="dxa"/>
        </w:tblCellMar>
        <w:tblLook w:val="04A0" w:firstRow="1" w:lastRow="0" w:firstColumn="1" w:lastColumn="0" w:noHBand="0" w:noVBand="1"/>
      </w:tblPr>
      <w:tblGrid>
        <w:gridCol w:w="39"/>
        <w:gridCol w:w="5305"/>
        <w:gridCol w:w="38"/>
        <w:gridCol w:w="36"/>
        <w:gridCol w:w="36"/>
        <w:gridCol w:w="36"/>
        <w:gridCol w:w="110"/>
        <w:gridCol w:w="712"/>
        <w:gridCol w:w="36"/>
        <w:gridCol w:w="36"/>
        <w:gridCol w:w="36"/>
        <w:gridCol w:w="36"/>
        <w:gridCol w:w="110"/>
        <w:gridCol w:w="712"/>
        <w:gridCol w:w="36"/>
        <w:gridCol w:w="36"/>
        <w:gridCol w:w="36"/>
        <w:gridCol w:w="36"/>
        <w:gridCol w:w="111"/>
        <w:gridCol w:w="712"/>
        <w:gridCol w:w="36"/>
      </w:tblGrid>
      <w:tr w:rsidR="00000000">
        <w:trPr>
          <w:divId w:val="1811046534"/>
        </w:trPr>
        <w:tc>
          <w:tcPr>
            <w:tcW w:w="50" w:type="pct"/>
            <w:vAlign w:val="center"/>
            <w:hideMark/>
          </w:tcPr>
          <w:p w:rsidR="00000000" w:rsidRDefault="00795D39">
            <w:pPr>
              <w:rPr>
                <w:rFonts w:eastAsia="Times New Roman"/>
              </w:rPr>
            </w:pPr>
          </w:p>
        </w:tc>
        <w:tc>
          <w:tcPr>
            <w:tcW w:w="322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1104653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Auto</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Mortgages</w:t>
            </w:r>
          </w:p>
        </w:tc>
      </w:tr>
      <w:tr w:rsidR="00000000">
        <w:trPr>
          <w:divId w:val="18110465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1104653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11,224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1104653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27,797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1104653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1104653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Yes</w:t>
            </w:r>
          </w:p>
        </w:tc>
      </w:tr>
      <w:tr w:rsidR="00000000">
        <w:trPr>
          <w:divId w:val="181104653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Yes</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No</w:t>
            </w:r>
          </w:p>
        </w:tc>
      </w:tr>
      <w:tr w:rsidR="00000000">
        <w:trPr>
          <w:divId w:val="181104653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1104653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15,798 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1104653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31,625 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2,192 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978 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1104653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1104653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Yes</w:t>
            </w:r>
          </w:p>
        </w:tc>
      </w:tr>
      <w:tr w:rsidR="00000000">
        <w:trPr>
          <w:divId w:val="181104653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Yes</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No</w:t>
            </w:r>
          </w:p>
        </w:tc>
      </w:tr>
    </w:tbl>
    <w:p w:rsidR="00000000" w:rsidRDefault="00795D39">
      <w:pPr>
        <w:divId w:val="303702658"/>
        <w:rPr>
          <w:rFonts w:eastAsia="Times New Roman"/>
        </w:rPr>
      </w:pPr>
      <w:r>
        <w:rPr>
          <w:rFonts w:eastAsia="Times New Roman"/>
          <w:b/>
          <w:bCs/>
          <w:color w:val="000000"/>
          <w:sz w:val="20"/>
          <w:szCs w:val="20"/>
        </w:rPr>
        <w:t>Credit Card Securitizations</w:t>
      </w:r>
    </w:p>
    <w:p w:rsidR="00000000" w:rsidRDefault="00795D39">
      <w:pPr>
        <w:jc w:val="both"/>
        <w:divId w:val="1467548807"/>
        <w:rPr>
          <w:rFonts w:eastAsia="Times New Roman"/>
        </w:rPr>
      </w:pPr>
      <w:r>
        <w:rPr>
          <w:rFonts w:eastAsia="Times New Roman"/>
          <w:color w:val="000000"/>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eastAsia="Times New Roman"/>
          <w:color w:val="000000"/>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eastAsia="Times New Roman"/>
          <w:color w:val="000000"/>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 </w:t>
      </w:r>
    </w:p>
    <w:p w:rsidR="00000000" w:rsidRDefault="00795D39">
      <w:pPr>
        <w:divId w:val="1198086510"/>
        <w:rPr>
          <w:rFonts w:eastAsia="Times New Roman"/>
        </w:rPr>
      </w:pPr>
      <w:r>
        <w:rPr>
          <w:rFonts w:eastAsia="Times New Roman"/>
          <w:b/>
          <w:bCs/>
          <w:i/>
          <w:iCs/>
          <w:color w:val="000000"/>
          <w:sz w:val="20"/>
          <w:szCs w:val="20"/>
        </w:rPr>
        <w:t>Auto Securitiza</w:t>
      </w:r>
      <w:r>
        <w:rPr>
          <w:rFonts w:eastAsia="Times New Roman"/>
          <w:b/>
          <w:bCs/>
          <w:i/>
          <w:iCs/>
          <w:color w:val="000000"/>
          <w:sz w:val="20"/>
          <w:szCs w:val="20"/>
        </w:rPr>
        <w:t>tions</w:t>
      </w:r>
    </w:p>
    <w:p w:rsidR="00000000" w:rsidRDefault="00795D39">
      <w:pPr>
        <w:jc w:val="both"/>
        <w:divId w:val="1739160173"/>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eastAsia="Times New Roman"/>
          <w:color w:val="000000"/>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eastAsia="Times New Roman"/>
          <w:color w:val="000000"/>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795D39">
      <w:pPr>
        <w:divId w:val="1528565358"/>
        <w:rPr>
          <w:rFonts w:eastAsia="Times New Roman"/>
        </w:rPr>
      </w:pPr>
      <w:r>
        <w:rPr>
          <w:rFonts w:eastAsia="Times New Roman"/>
          <w:b/>
          <w:bCs/>
          <w:i/>
          <w:iCs/>
          <w:color w:val="000000"/>
          <w:sz w:val="20"/>
          <w:szCs w:val="20"/>
        </w:rPr>
        <w:t>Mortgage Securitizations</w:t>
      </w:r>
    </w:p>
    <w:p w:rsidR="00000000" w:rsidRDefault="00795D39">
      <w:pPr>
        <w:jc w:val="both"/>
        <w:divId w:val="543834740"/>
        <w:rPr>
          <w:rFonts w:eastAsia="Times New Roman"/>
        </w:rPr>
      </w:pPr>
      <w:r>
        <w:rPr>
          <w:rFonts w:eastAsia="Times New Roman"/>
          <w:color w:val="000000"/>
          <w:sz w:val="20"/>
          <w:szCs w:val="20"/>
        </w:rPr>
        <w:t>We had previous</w:t>
      </w:r>
      <w:r>
        <w:rPr>
          <w:rFonts w:eastAsia="Times New Roman"/>
          <w:color w:val="000000"/>
          <w:sz w:val="20"/>
          <w:szCs w:val="20"/>
        </w:rPr>
        <w:t xml:space="preserve">ly securitized mortgage loans by transferring these loans to securitization trusts that had issued mortgage-backed securities to investors. These mortgage trusts consist of option-adjustable rate mortgage (“option-ARM”) securitizations and securitizations </w:t>
      </w:r>
      <w:r>
        <w:rPr>
          <w:rFonts w:eastAsia="Times New Roman"/>
          <w:color w:val="000000"/>
          <w:sz w:val="20"/>
          <w:szCs w:val="20"/>
        </w:rPr>
        <w:t>from our discontinued operations which include the mortgage origination operations of our wholesale mortgage banking unit, GreenPoint Mortgage Funding, Inc. (“GreenPoint”) and the manufactured housing operations of GreenPoint Credit, LLC, a subsidiary of G</w:t>
      </w:r>
      <w:r>
        <w:rPr>
          <w:rFonts w:eastAsia="Times New Roman"/>
          <w:color w:val="000000"/>
          <w:sz w:val="20"/>
          <w:szCs w:val="20"/>
        </w:rPr>
        <w:t xml:space="preserve">reenPoint (collectively “GreenPoint securitizations”). We retain rights to certain future cash flows arising from these securitizations. We do not consolidate the mortgage securitizations because we do not have the power to direct the activities that most </w:t>
      </w:r>
      <w:r>
        <w:rPr>
          <w:rFonts w:eastAsia="Times New Roman"/>
          <w:color w:val="000000"/>
          <w:sz w:val="20"/>
          <w:szCs w:val="20"/>
        </w:rPr>
        <w:t>significantly impact the economic performance of the trusts, and the right to receive the benefits or the obligation to absorb losses that could potentially be significant to the trusts.</w:t>
      </w:r>
    </w:p>
    <w:p w:rsidR="00000000" w:rsidRDefault="00795D39">
      <w:pPr>
        <w:jc w:val="both"/>
        <w:divId w:val="1943566741"/>
        <w:rPr>
          <w:rFonts w:eastAsia="Times New Roman"/>
        </w:rPr>
      </w:pPr>
      <w:r>
        <w:rPr>
          <w:rFonts w:eastAsia="Times New Roman"/>
          <w:b/>
          <w:bCs/>
          <w:color w:val="000000"/>
          <w:sz w:val="20"/>
          <w:szCs w:val="20"/>
        </w:rPr>
        <w:t>Other VIEs</w:t>
      </w:r>
    </w:p>
    <w:p w:rsidR="00000000" w:rsidRDefault="00795D39">
      <w:pPr>
        <w:jc w:val="both"/>
        <w:divId w:val="2065835310"/>
        <w:rPr>
          <w:rFonts w:eastAsia="Times New Roman"/>
        </w:rPr>
      </w:pPr>
      <w:r>
        <w:rPr>
          <w:rFonts w:eastAsia="Times New Roman"/>
          <w:b/>
          <w:bCs/>
          <w:i/>
          <w:iCs/>
          <w:color w:val="000000"/>
          <w:sz w:val="20"/>
          <w:szCs w:val="20"/>
        </w:rPr>
        <w:t>Affordable Housing Entities</w:t>
      </w:r>
    </w:p>
    <w:p w:rsidR="00000000" w:rsidRDefault="00795D39">
      <w:pPr>
        <w:jc w:val="both"/>
        <w:divId w:val="1673213705"/>
        <w:rPr>
          <w:rFonts w:eastAsia="Times New Roman"/>
        </w:rPr>
      </w:pPr>
      <w:r>
        <w:rPr>
          <w:rFonts w:eastAsia="Times New Roman"/>
          <w:color w:val="000000"/>
          <w:sz w:val="20"/>
          <w:szCs w:val="20"/>
        </w:rPr>
        <w:t>As part of our community reinv</w:t>
      </w:r>
      <w:r>
        <w:rPr>
          <w:rFonts w:eastAsia="Times New Roman"/>
          <w:color w:val="000000"/>
          <w:sz w:val="20"/>
          <w:szCs w:val="20"/>
        </w:rPr>
        <w:t>estment initiatives, we invest in private investment funds that make equity investments in multifamily affordable housing properties. We receive affordable housing tax credits for these investments. The activities of these entities are financed with a comb</w:t>
      </w:r>
      <w:r>
        <w:rPr>
          <w:rFonts w:eastAsia="Times New Roman"/>
          <w:color w:val="000000"/>
          <w:sz w:val="20"/>
          <w:szCs w:val="20"/>
        </w:rPr>
        <w:t xml:space="preserve">ination of invested equity capital and debt. We account for certain of our investments in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25148713"/>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2514871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2514871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3" style="width:0;height:1.5pt" o:hralign="center" o:hrstd="t" o:hr="t" fillcolor="#a0a0a0" stroked="f"/>
        </w:pict>
      </w:r>
    </w:p>
    <w:p w:rsidR="00000000" w:rsidRDefault="00795D39">
      <w:pPr>
        <w:jc w:val="both"/>
        <w:divId w:val="170729382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707293825"/>
        <w:rPr>
          <w:rFonts w:eastAsia="Times New Roman"/>
        </w:rPr>
      </w:pPr>
    </w:p>
    <w:p w:rsidR="00000000" w:rsidRDefault="00795D39">
      <w:pPr>
        <w:jc w:val="both"/>
        <w:divId w:val="689111749"/>
        <w:rPr>
          <w:rFonts w:eastAsia="Times New Roman"/>
        </w:rPr>
      </w:pPr>
      <w:r>
        <w:rPr>
          <w:rFonts w:eastAsia="Times New Roman"/>
          <w:color w:val="000000"/>
          <w:sz w:val="20"/>
          <w:szCs w:val="20"/>
        </w:rPr>
        <w:t xml:space="preserve">qualified affordable housing projects using the proportional amortization method if certain criteria are met. The proportional </w:t>
      </w:r>
      <w:r>
        <w:rPr>
          <w:rFonts w:eastAsia="Times New Roman"/>
          <w:color w:val="000000"/>
          <w:sz w:val="20"/>
          <w:szCs w:val="20"/>
          <w:shd w:val="clear" w:color="auto" w:fill="FFFFFF"/>
        </w:rPr>
        <w:t>amortization method amortizes the cost of the investment over the period in which the investor expects to receive tax credits and</w:t>
      </w:r>
      <w:r>
        <w:rPr>
          <w:rFonts w:eastAsia="Times New Roman"/>
          <w:color w:val="000000"/>
          <w:sz w:val="20"/>
          <w:szCs w:val="20"/>
          <w:shd w:val="clear" w:color="auto" w:fill="FFFFFF"/>
        </w:rPr>
        <w:t xml:space="preserve"> other tax benefits, and the resulting amortization is recognized as a component of income tax expense attributable to continuing operations. For the nine months ended September 30, 2020 and 2019, we recognized amortization of </w:t>
      </w:r>
      <w:r>
        <w:rPr>
          <w:rFonts w:eastAsia="Times New Roman"/>
          <w:color w:val="000000"/>
          <w:sz w:val="20"/>
          <w:szCs w:val="20"/>
        </w:rPr>
        <w:t>$428 million</w:t>
      </w:r>
      <w:r>
        <w:rPr>
          <w:rFonts w:eastAsia="Times New Roman"/>
          <w:color w:val="000000"/>
          <w:sz w:val="20"/>
          <w:szCs w:val="20"/>
          <w:shd w:val="clear" w:color="auto" w:fill="FFFFFF"/>
        </w:rPr>
        <w:t xml:space="preserve"> and </w:t>
      </w:r>
      <w:r>
        <w:rPr>
          <w:rFonts w:eastAsia="Times New Roman"/>
          <w:color w:val="000000"/>
          <w:sz w:val="20"/>
          <w:szCs w:val="20"/>
        </w:rPr>
        <w:t>$417 million</w:t>
      </w:r>
      <w:r>
        <w:rPr>
          <w:rFonts w:eastAsia="Times New Roman"/>
          <w:color w:val="000000"/>
          <w:sz w:val="20"/>
          <w:szCs w:val="20"/>
          <w:shd w:val="clear" w:color="auto" w:fill="FFFFFF"/>
        </w:rPr>
        <w:t xml:space="preserve">, respectively, and tax credits of </w:t>
      </w:r>
      <w:r>
        <w:rPr>
          <w:rFonts w:eastAsia="Times New Roman"/>
          <w:color w:val="000000"/>
          <w:sz w:val="20"/>
          <w:szCs w:val="20"/>
        </w:rPr>
        <w:t>$47 million</w:t>
      </w:r>
      <w:r>
        <w:rPr>
          <w:rFonts w:eastAsia="Times New Roman"/>
          <w:color w:val="000000"/>
          <w:sz w:val="20"/>
          <w:szCs w:val="20"/>
          <w:shd w:val="clear" w:color="auto" w:fill="FFFFFF"/>
        </w:rPr>
        <w:t xml:space="preserve"> and $516 million, respectively, associated with these investments within income tax provision or benefit. The carrying value of our equity investments in these qualified affordable housing projects was </w:t>
      </w:r>
      <w:r>
        <w:rPr>
          <w:rFonts w:eastAsia="Times New Roman"/>
          <w:color w:val="000000"/>
          <w:sz w:val="20"/>
          <w:szCs w:val="20"/>
        </w:rPr>
        <w:t>$4.5 bi</w:t>
      </w:r>
      <w:r>
        <w:rPr>
          <w:rFonts w:eastAsia="Times New Roman"/>
          <w:color w:val="000000"/>
          <w:sz w:val="20"/>
          <w:szCs w:val="20"/>
        </w:rPr>
        <w:t>llion</w:t>
      </w:r>
      <w:r>
        <w:rPr>
          <w:rFonts w:eastAsia="Times New Roman"/>
          <w:color w:val="000000"/>
          <w:sz w:val="20"/>
          <w:szCs w:val="20"/>
          <w:shd w:val="clear" w:color="auto" w:fill="FFFFFF"/>
        </w:rPr>
        <w:t xml:space="preserve"> and $4.4 billion as of September 30, 2020 and December 31, 2019, respectively. We are periodically required to provide additional financial or other support during the period of the investments. Our liability for these unfunded commitments was</w:t>
      </w:r>
      <w:r>
        <w:rPr>
          <w:rFonts w:eastAsia="Times New Roman"/>
          <w:color w:val="000000"/>
          <w:sz w:val="20"/>
          <w:szCs w:val="20"/>
        </w:rPr>
        <w:t xml:space="preserve"> $1.5 b</w:t>
      </w:r>
      <w:r>
        <w:rPr>
          <w:rFonts w:eastAsia="Times New Roman"/>
          <w:color w:val="000000"/>
          <w:sz w:val="20"/>
          <w:szCs w:val="20"/>
        </w:rPr>
        <w:t>illion as of both September 30, 2020 and December 31, 2019, and is largely expected to be paid from 2020 to 2022</w:t>
      </w:r>
      <w:r>
        <w:rPr>
          <w:rFonts w:eastAsia="Times New Roman"/>
          <w:color w:val="000000"/>
          <w:sz w:val="20"/>
          <w:szCs w:val="20"/>
          <w:shd w:val="clear" w:color="auto" w:fill="FFFFFF"/>
        </w:rPr>
        <w:t>.</w:t>
      </w:r>
    </w:p>
    <w:p w:rsidR="00000000" w:rsidRDefault="00795D39">
      <w:pPr>
        <w:jc w:val="both"/>
        <w:divId w:val="1492525469"/>
        <w:rPr>
          <w:rFonts w:eastAsia="Times New Roman"/>
        </w:rPr>
      </w:pPr>
      <w:r>
        <w:rPr>
          <w:rFonts w:eastAsia="Times New Roman"/>
          <w:color w:val="000000"/>
          <w:sz w:val="20"/>
          <w:szCs w:val="20"/>
          <w:shd w:val="clear" w:color="auto" w:fill="FFFFFF"/>
        </w:rPr>
        <w:t>For those investment funds considered to be VIEs, we are not required to consolidate them if we do not have the power to direct the activities</w:t>
      </w:r>
      <w:r>
        <w:rPr>
          <w:rFonts w:eastAsia="Times New Roman"/>
          <w:color w:val="000000"/>
          <w:sz w:val="20"/>
          <w:szCs w:val="20"/>
          <w:shd w:val="clear" w:color="auto" w:fill="FFFFFF"/>
        </w:rPr>
        <w:t xml:space="preserve"> that most significantly impact the economic performance of those entities. We record our interests in these unconsolidated VIEs in loans held for investment, other assets and other liabilities on our consolidated balance sheets. Our maximum exposure to th</w:t>
      </w:r>
      <w:r>
        <w:rPr>
          <w:rFonts w:eastAsia="Times New Roman"/>
          <w:color w:val="000000"/>
          <w:sz w:val="20"/>
          <w:szCs w:val="20"/>
          <w:shd w:val="clear" w:color="auto" w:fill="FFFFFF"/>
        </w:rPr>
        <w:t>ese entities is limited to our variable interests</w:t>
      </w:r>
      <w:r>
        <w:rPr>
          <w:rFonts w:eastAsia="Times New Roman"/>
          <w:color w:val="000000"/>
          <w:sz w:val="20"/>
          <w:szCs w:val="20"/>
        </w:rPr>
        <w:t xml:space="preserve"> in the entities which consisted of assets of approximately $4.6 billion as of both September 30, 2020 and December 31, 2019. The creditors of the VIEs have no recourse to our general credit and we do not pr</w:t>
      </w:r>
      <w:r>
        <w:rPr>
          <w:rFonts w:eastAsia="Times New Roman"/>
          <w:color w:val="000000"/>
          <w:sz w:val="20"/>
          <w:szCs w:val="20"/>
        </w:rPr>
        <w:t>ovide additional financial or other support other than during the period that we are contractually required to provide it. The total assets of the unconsolidated VIE investment funds were approximately $10.8 billion and $10.9 billion as of September 30, 20</w:t>
      </w:r>
      <w:r>
        <w:rPr>
          <w:rFonts w:eastAsia="Times New Roman"/>
          <w:color w:val="000000"/>
          <w:sz w:val="20"/>
          <w:szCs w:val="20"/>
        </w:rPr>
        <w:t>20 and December 31, 2019, respectively.</w:t>
      </w:r>
    </w:p>
    <w:p w:rsidR="00000000" w:rsidRDefault="00795D39">
      <w:pPr>
        <w:jc w:val="both"/>
        <w:divId w:val="342325647"/>
        <w:rPr>
          <w:rFonts w:eastAsia="Times New Roman"/>
        </w:rPr>
      </w:pPr>
      <w:r>
        <w:rPr>
          <w:rFonts w:eastAsia="Times New Roman"/>
          <w:b/>
          <w:bCs/>
          <w:i/>
          <w:iCs/>
          <w:color w:val="000000"/>
          <w:sz w:val="20"/>
          <w:szCs w:val="20"/>
        </w:rPr>
        <w:t xml:space="preserve">Entities that Provide Capital to Low-Income and Rural Communities </w:t>
      </w:r>
    </w:p>
    <w:p w:rsidR="00000000" w:rsidRDefault="00795D39">
      <w:pPr>
        <w:jc w:val="both"/>
        <w:divId w:val="60644310"/>
        <w:rPr>
          <w:rFonts w:eastAsia="Times New Roman"/>
        </w:rPr>
      </w:pPr>
      <w:r>
        <w:rPr>
          <w:rFonts w:eastAsia="Times New Roman"/>
          <w:color w:val="000000"/>
          <w:sz w:val="20"/>
          <w:szCs w:val="20"/>
        </w:rPr>
        <w:t>We hold variable interests in entities (“Investor Entities”) that invest in community development entities (“CDEs”) that provide debt financing to bu</w:t>
      </w:r>
      <w:r>
        <w:rPr>
          <w:rFonts w:eastAsia="Times New Roman"/>
          <w:color w:val="000000"/>
          <w:sz w:val="20"/>
          <w:szCs w:val="20"/>
        </w:rPr>
        <w:t>sinesses and non-profit entities in low-income and rural communities. Variable interests in the CDEs held by the consolidated Investor Entities are also our variable interests. The activities of the Investor Entities are financed with a combination of inve</w:t>
      </w:r>
      <w:r>
        <w:rPr>
          <w:rFonts w:eastAsia="Times New Roman"/>
          <w:color w:val="000000"/>
          <w:sz w:val="20"/>
          <w:szCs w:val="20"/>
        </w:rPr>
        <w:t>sted equity capital and debt. The activities of the CDEs are financed solely with invested equity capital. We receive federal and state tax credits for these investments. We consolidate the VIEs in which we have the power to direct the activities that most</w:t>
      </w:r>
      <w:r>
        <w:rPr>
          <w:rFonts w:eastAsia="Times New Roman"/>
          <w:color w:val="000000"/>
          <w:sz w:val="20"/>
          <w:szCs w:val="20"/>
        </w:rPr>
        <w:t xml:space="preserve"> significantly impact the VIE’s economic performance and where we have the obligation to absorb losses or right to receive benefits that could be potentially significant to the VIE. We consolidate other investments and CDEs that are not considered to be VI</w:t>
      </w:r>
      <w:r>
        <w:rPr>
          <w:rFonts w:eastAsia="Times New Roman"/>
          <w:color w:val="000000"/>
          <w:sz w:val="20"/>
          <w:szCs w:val="20"/>
        </w:rPr>
        <w:t>Es, but where we hold a controlling financial interest. The assets of the VIEs that we consolidated, which totaled approximately $2.0 billion and $1.9 billion as of September 30, 2020 and December 31, 2019, respectively, are reflected on our consolidated b</w:t>
      </w:r>
      <w:r>
        <w:rPr>
          <w:rFonts w:eastAsia="Times New Roman"/>
          <w:color w:val="000000"/>
          <w:sz w:val="20"/>
          <w:szCs w:val="20"/>
        </w:rPr>
        <w:t xml:space="preserve">alance sheets in cash, loans held for investment, and other assets. The liabilities are reflected in other liabilities. The creditors of the VIEs have no recourse to our general credit. We have not provided additional financial or other support other than </w:t>
      </w:r>
      <w:r>
        <w:rPr>
          <w:rFonts w:eastAsia="Times New Roman"/>
          <w:color w:val="000000"/>
          <w:sz w:val="20"/>
          <w:szCs w:val="20"/>
        </w:rPr>
        <w:t>during the period that we are contractually required to provide it.</w:t>
      </w:r>
    </w:p>
    <w:p w:rsidR="00000000" w:rsidRDefault="00795D39">
      <w:pPr>
        <w:jc w:val="both"/>
        <w:divId w:val="1273243831"/>
        <w:rPr>
          <w:rFonts w:eastAsia="Times New Roman"/>
        </w:rPr>
      </w:pPr>
      <w:r>
        <w:rPr>
          <w:rFonts w:eastAsia="Times New Roman"/>
          <w:b/>
          <w:bCs/>
          <w:i/>
          <w:iCs/>
          <w:color w:val="000000"/>
          <w:sz w:val="20"/>
          <w:szCs w:val="20"/>
        </w:rPr>
        <w:t>Other</w:t>
      </w:r>
    </w:p>
    <w:p w:rsidR="00000000" w:rsidRDefault="00795D39">
      <w:pPr>
        <w:jc w:val="both"/>
        <w:divId w:val="452871737"/>
        <w:rPr>
          <w:rFonts w:eastAsia="Times New Roman"/>
        </w:rPr>
      </w:pPr>
      <w:r>
        <w:rPr>
          <w:rFonts w:eastAsia="Times New Roman"/>
          <w:color w:val="000000"/>
          <w:sz w:val="20"/>
          <w:szCs w:val="20"/>
        </w:rPr>
        <w:t>We hold variable interests in other VIEs, including companies that promote renewable energy sources and other equity method investments. We were not required to consolidate these VIE</w:t>
      </w:r>
      <w:r>
        <w:rPr>
          <w:rFonts w:eastAsia="Times New Roman"/>
          <w:color w:val="000000"/>
          <w:sz w:val="20"/>
          <w:szCs w:val="20"/>
        </w:rPr>
        <w:t>s because we do not have the power to direct the activities that most significantly impact their economic performance. Our maximum exposure to these VIEs is limited to the investments on our consolidated balance sheets of $466 million and $502 million as o</w:t>
      </w:r>
      <w:r>
        <w:rPr>
          <w:rFonts w:eastAsia="Times New Roman"/>
          <w:color w:val="000000"/>
          <w:sz w:val="20"/>
          <w:szCs w:val="20"/>
        </w:rPr>
        <w:t xml:space="preserve">f September 30, 2020 and December 31, 2019, respectively. The creditors of the other VIEs have no recourse to our general credit. We have not provided additional financial or other support other than during the period that we are contractually required to </w:t>
      </w:r>
      <w:r>
        <w:rPr>
          <w:rFonts w:eastAsia="Times New Roman"/>
          <w:color w:val="000000"/>
          <w:sz w:val="20"/>
          <w:szCs w:val="20"/>
        </w:rPr>
        <w:t>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0197037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0197037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0197037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4" style="width:0;height:1.5pt" o:hralign="center" o:hrstd="t" o:hr="t" fillcolor="#a0a0a0" stroked="f"/>
        </w:pict>
      </w:r>
    </w:p>
    <w:p w:rsidR="00000000" w:rsidRDefault="00795D39">
      <w:pPr>
        <w:jc w:val="both"/>
        <w:divId w:val="193509273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9350927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20883454"/>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2088345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6—GOODWILL AND INTANGIBLE ASSETS</w:t>
            </w:r>
          </w:p>
        </w:tc>
      </w:tr>
    </w:tbl>
    <w:p w:rsidR="00000000" w:rsidRDefault="00795D39">
      <w:pPr>
        <w:jc w:val="both"/>
        <w:divId w:val="1952517358"/>
        <w:rPr>
          <w:rFonts w:eastAsia="Times New Roman"/>
        </w:rPr>
      </w:pPr>
      <w:r>
        <w:rPr>
          <w:rFonts w:eastAsia="Times New Roman"/>
          <w:color w:val="000000"/>
          <w:sz w:val="20"/>
          <w:szCs w:val="20"/>
        </w:rPr>
        <w:t>The table below presents our goodwill, intangible assets and MSRs as of September 30, 2020 and December 31, 2019. Goodwill is presented separately, while intangible assets and MSRs are included in other assets on our consolidated balance sheets.</w:t>
      </w:r>
    </w:p>
    <w:p w:rsidR="00000000" w:rsidRDefault="00795D39">
      <w:pPr>
        <w:divId w:val="55007011"/>
        <w:rPr>
          <w:rFonts w:eastAsia="Times New Roman"/>
        </w:rPr>
      </w:pPr>
      <w:r>
        <w:rPr>
          <w:rFonts w:eastAsia="Times New Roman"/>
          <w:b/>
          <w:bCs/>
          <w:color w:val="000000"/>
          <w:sz w:val="18"/>
          <w:szCs w:val="18"/>
        </w:rPr>
        <w:t>Table 6.1:</w:t>
      </w:r>
      <w:r>
        <w:rPr>
          <w:rFonts w:eastAsia="Times New Roman"/>
          <w:b/>
          <w:bCs/>
          <w:color w:val="000000"/>
          <w:sz w:val="18"/>
          <w:szCs w:val="18"/>
        </w:rPr>
        <w:t xml:space="preserve"> Components of Goodwill, Intangible Assets and MSRs</w:t>
      </w:r>
    </w:p>
    <w:tbl>
      <w:tblPr>
        <w:tblW w:w="4985" w:type="pct"/>
        <w:tblCellMar>
          <w:top w:w="15" w:type="dxa"/>
          <w:left w:w="15" w:type="dxa"/>
          <w:bottom w:w="15" w:type="dxa"/>
          <w:right w:w="15" w:type="dxa"/>
        </w:tblCellMar>
        <w:tblLook w:val="04A0" w:firstRow="1" w:lastRow="0" w:firstColumn="1" w:lastColumn="0" w:noHBand="0" w:noVBand="1"/>
      </w:tblPr>
      <w:tblGrid>
        <w:gridCol w:w="39"/>
        <w:gridCol w:w="5286"/>
        <w:gridCol w:w="38"/>
        <w:gridCol w:w="36"/>
        <w:gridCol w:w="36"/>
        <w:gridCol w:w="36"/>
        <w:gridCol w:w="111"/>
        <w:gridCol w:w="690"/>
        <w:gridCol w:w="36"/>
        <w:gridCol w:w="36"/>
        <w:gridCol w:w="36"/>
        <w:gridCol w:w="36"/>
        <w:gridCol w:w="111"/>
        <w:gridCol w:w="852"/>
        <w:gridCol w:w="36"/>
        <w:gridCol w:w="36"/>
        <w:gridCol w:w="36"/>
        <w:gridCol w:w="36"/>
        <w:gridCol w:w="110"/>
        <w:gridCol w:w="540"/>
        <w:gridCol w:w="36"/>
        <w:gridCol w:w="36"/>
        <w:gridCol w:w="36"/>
      </w:tblGrid>
      <w:tr w:rsidR="00000000">
        <w:trPr>
          <w:divId w:val="161898257"/>
        </w:trPr>
        <w:tc>
          <w:tcPr>
            <w:tcW w:w="50" w:type="pct"/>
            <w:vAlign w:val="center"/>
            <w:hideMark/>
          </w:tcPr>
          <w:p w:rsidR="00000000" w:rsidRDefault="00795D39">
            <w:pPr>
              <w:rPr>
                <w:rFonts w:eastAsia="Times New Roman"/>
              </w:rPr>
            </w:pPr>
          </w:p>
        </w:tc>
        <w:tc>
          <w:tcPr>
            <w:tcW w:w="33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Carrying Amount</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14,648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14,648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FFFFFF"/>
            <w:tcMar>
              <w:top w:w="30" w:type="dxa"/>
              <w:left w:w="20" w:type="dxa"/>
              <w:bottom w:w="30" w:type="dxa"/>
              <w:right w:w="20" w:type="dxa"/>
            </w:tcMar>
            <w:vAlign w:val="center"/>
            <w:hideMark/>
          </w:tcPr>
          <w:p w:rsidR="00000000" w:rsidRDefault="00795D39">
            <w:pPr>
              <w:divId w:val="138695340"/>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15,054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14,747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CCEEFF"/>
            <w:tcMar>
              <w:top w:w="30" w:type="dxa"/>
              <w:left w:w="20" w:type="dxa"/>
              <w:bottom w:w="30" w:type="dxa"/>
              <w:right w:w="20" w:type="dxa"/>
            </w:tcMar>
            <w:vAlign w:val="center"/>
            <w:hideMark/>
          </w:tcPr>
          <w:p w:rsidR="00000000" w:rsidRDefault="00795D39">
            <w:pPr>
              <w:divId w:val="1144199667"/>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(177)</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Height w:val="28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Carrying Amount</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PCCR intangibles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1,932 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(1,864)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FFFFFF"/>
            <w:tcMar>
              <w:top w:w="30" w:type="dxa"/>
              <w:left w:w="20" w:type="dxa"/>
              <w:bottom w:w="30" w:type="dxa"/>
              <w:right w:w="20" w:type="dxa"/>
            </w:tcMar>
            <w:vAlign w:val="center"/>
            <w:hideMark/>
          </w:tcPr>
          <w:p w:rsidR="00000000" w:rsidRDefault="00795D39">
            <w:pPr>
              <w:divId w:val="865140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(2,004)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16,831 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(2,004)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14,827 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61898257"/>
        </w:trPr>
        <w:tc>
          <w:tcPr>
            <w:tcW w:w="0" w:type="auto"/>
            <w:gridSpan w:val="3"/>
            <w:shd w:val="clear" w:color="auto" w:fill="CCEEFF"/>
            <w:tcMar>
              <w:top w:w="30" w:type="dxa"/>
              <w:left w:w="20" w:type="dxa"/>
              <w:bottom w:w="30" w:type="dxa"/>
              <w:right w:w="20" w:type="dxa"/>
            </w:tcMar>
            <w:vAlign w:val="center"/>
            <w:hideMark/>
          </w:tcPr>
          <w:p w:rsidR="00000000" w:rsidRDefault="00795D39">
            <w:pPr>
              <w:divId w:val="501357839"/>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(255)</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719477287"/>
        <w:rPr>
          <w:rFonts w:eastAsia="Times New Roman"/>
        </w:rPr>
      </w:pPr>
      <w:r>
        <w:rPr>
          <w:rFonts w:eastAsia="Times New Roman"/>
          <w:color w:val="000000"/>
          <w:sz w:val="20"/>
          <w:szCs w:val="20"/>
        </w:rPr>
        <w:t>__________</w:t>
      </w:r>
    </w:p>
    <w:p w:rsidR="00000000" w:rsidRDefault="00795D39">
      <w:pPr>
        <w:ind w:hanging="360"/>
        <w:jc w:val="both"/>
        <w:divId w:val="54456650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Primarily consists of intangibles for sponsorship, customer and merchant relationships, partnership, trade name and other contract intangibles.</w:t>
      </w:r>
    </w:p>
    <w:p w:rsidR="00000000" w:rsidRDefault="00795D39">
      <w:pPr>
        <w:ind w:hanging="360"/>
        <w:jc w:val="both"/>
        <w:divId w:val="182002866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Commercial MSRs are accounted for </w:t>
      </w:r>
      <w:r>
        <w:rPr>
          <w:rFonts w:eastAsia="Times New Roman"/>
          <w:color w:val="000000"/>
          <w:sz w:val="16"/>
          <w:szCs w:val="16"/>
        </w:rPr>
        <w:t xml:space="preserve">under the amortization method on our consolidated balance sheets. </w:t>
      </w:r>
    </w:p>
    <w:p w:rsidR="00000000" w:rsidRDefault="00795D39">
      <w:pPr>
        <w:jc w:val="both"/>
        <w:divId w:val="2098744804"/>
        <w:rPr>
          <w:rFonts w:eastAsia="Times New Roman"/>
        </w:rPr>
      </w:pPr>
      <w:r>
        <w:rPr>
          <w:rFonts w:eastAsia="Times New Roman"/>
          <w:color w:val="000000"/>
          <w:sz w:val="20"/>
          <w:szCs w:val="20"/>
        </w:rPr>
        <w:t>Amortization expense for amortizable intangible assets, which is presented separately in our consolidated statements of income, totaled $14 million and $52 million for the three and nine mo</w:t>
      </w:r>
      <w:r>
        <w:rPr>
          <w:rFonts w:eastAsia="Times New Roman"/>
          <w:color w:val="000000"/>
          <w:sz w:val="20"/>
          <w:szCs w:val="20"/>
        </w:rPr>
        <w:t>nths ended September 30, 2020, respectively, and $25 million and $84 million for the three and nine months ended September 30, 2019, respectively.</w:t>
      </w:r>
    </w:p>
    <w:p w:rsidR="00000000" w:rsidRDefault="00795D39">
      <w:pPr>
        <w:divId w:val="1382903334"/>
        <w:rPr>
          <w:rFonts w:eastAsia="Times New Roman"/>
        </w:rPr>
      </w:pPr>
      <w:r>
        <w:rPr>
          <w:rFonts w:eastAsia="Times New Roman"/>
          <w:b/>
          <w:bCs/>
          <w:color w:val="000000"/>
          <w:sz w:val="20"/>
          <w:szCs w:val="20"/>
        </w:rPr>
        <w:t>Goodwill</w:t>
      </w:r>
    </w:p>
    <w:p w:rsidR="00000000" w:rsidRDefault="00795D39">
      <w:pPr>
        <w:jc w:val="both"/>
        <w:divId w:val="1067075133"/>
        <w:rPr>
          <w:rFonts w:eastAsia="Times New Roman"/>
        </w:rPr>
      </w:pPr>
      <w:r>
        <w:rPr>
          <w:rFonts w:eastAsia="Times New Roman"/>
          <w:color w:val="000000"/>
          <w:sz w:val="20"/>
          <w:szCs w:val="20"/>
        </w:rPr>
        <w:t>The following table presents changes in the carrying amount of goodwill by each of our business segm</w:t>
      </w:r>
      <w:r>
        <w:rPr>
          <w:rFonts w:eastAsia="Times New Roman"/>
          <w:color w:val="000000"/>
          <w:sz w:val="20"/>
          <w:szCs w:val="20"/>
        </w:rPr>
        <w:t>ents as of September 30, 2020 and December 31, 2019.</w:t>
      </w:r>
    </w:p>
    <w:p w:rsidR="00000000" w:rsidRDefault="00795D39">
      <w:pPr>
        <w:divId w:val="930233442"/>
        <w:rPr>
          <w:rFonts w:eastAsia="Times New Roman"/>
        </w:rPr>
      </w:pPr>
      <w:r>
        <w:rPr>
          <w:rFonts w:eastAsia="Times New Roman"/>
          <w:b/>
          <w:bCs/>
          <w:color w:val="000000"/>
          <w:sz w:val="18"/>
          <w:szCs w:val="18"/>
        </w:rPr>
        <w:t>Table 6.2: Goodwill by Business Segments</w:t>
      </w:r>
    </w:p>
    <w:tbl>
      <w:tblPr>
        <w:tblW w:w="4978" w:type="pct"/>
        <w:tblCellMar>
          <w:top w:w="15" w:type="dxa"/>
          <w:left w:w="15" w:type="dxa"/>
          <w:bottom w:w="15" w:type="dxa"/>
          <w:right w:w="15" w:type="dxa"/>
        </w:tblCellMar>
        <w:tblLook w:val="04A0" w:firstRow="1" w:lastRow="0" w:firstColumn="1" w:lastColumn="0" w:noHBand="0" w:noVBand="1"/>
      </w:tblPr>
      <w:tblGrid>
        <w:gridCol w:w="39"/>
        <w:gridCol w:w="4652"/>
        <w:gridCol w:w="38"/>
        <w:gridCol w:w="36"/>
        <w:gridCol w:w="36"/>
        <w:gridCol w:w="36"/>
        <w:gridCol w:w="110"/>
        <w:gridCol w:w="533"/>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trPr>
          <w:divId w:val="1576360081"/>
        </w:trPr>
        <w:tc>
          <w:tcPr>
            <w:tcW w:w="50" w:type="pct"/>
            <w:vAlign w:val="center"/>
            <w:hideMark/>
          </w:tcPr>
          <w:p w:rsidR="00000000" w:rsidRDefault="00795D39">
            <w:pPr>
              <w:rPr>
                <w:rFonts w:eastAsia="Times New Roman"/>
              </w:rPr>
            </w:pPr>
          </w:p>
        </w:tc>
        <w:tc>
          <w:tcPr>
            <w:tcW w:w="28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76360081"/>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w:t>
            </w:r>
            <w:r>
              <w:rPr>
                <w:rFonts w:eastAsia="Times New Roman"/>
                <w:b/>
                <w:bCs/>
                <w:color w:val="000000"/>
                <w:sz w:val="16"/>
                <w:szCs w:val="16"/>
              </w:rPr>
              <w:br/>
              <w:t>Card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xml:space="preserve">Consumer </w:t>
            </w:r>
            <w:r>
              <w:rPr>
                <w:rFonts w:eastAsia="Times New Roman"/>
                <w:b/>
                <w:bCs/>
                <w:color w:val="000000"/>
                <w:sz w:val="16"/>
                <w:szCs w:val="16"/>
              </w:rPr>
              <w:br/>
              <w:t>Banking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1576360081"/>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76360081"/>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76360081"/>
        </w:trPr>
        <w:tc>
          <w:tcPr>
            <w:tcW w:w="0" w:type="auto"/>
            <w:gridSpan w:val="3"/>
            <w:shd w:val="clear" w:color="auto" w:fill="FFFFFF"/>
            <w:tcMar>
              <w:top w:w="30" w:type="dxa"/>
              <w:left w:w="20" w:type="dxa"/>
              <w:bottom w:w="30" w:type="dxa"/>
              <w:right w:w="20" w:type="dxa"/>
            </w:tcMar>
            <w:vAlign w:val="center"/>
            <w:hideMark/>
          </w:tcPr>
          <w:p w:rsidR="00000000" w:rsidRDefault="00795D39">
            <w:pPr>
              <w:divId w:val="456605667"/>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7636008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Balance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4,920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14,648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580167795"/>
        <w:rPr>
          <w:rFonts w:eastAsia="Times New Roman"/>
        </w:rPr>
      </w:pPr>
      <w:r>
        <w:rPr>
          <w:rFonts w:eastAsia="Times New Roman"/>
          <w:color w:val="000000"/>
          <w:sz w:val="20"/>
          <w:szCs w:val="20"/>
        </w:rPr>
        <w:t>__________</w:t>
      </w:r>
    </w:p>
    <w:p w:rsidR="00000000" w:rsidRDefault="00795D39">
      <w:pPr>
        <w:ind w:hanging="360"/>
        <w:jc w:val="both"/>
        <w:divId w:val="158329998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foreign currency translation adjustments and measurement period adjustments on prior period acquisitions.</w:t>
      </w:r>
    </w:p>
    <w:tbl>
      <w:tblPr>
        <w:tblW w:w="4992" w:type="pct"/>
        <w:tblCellMar>
          <w:top w:w="15" w:type="dxa"/>
          <w:left w:w="15" w:type="dxa"/>
          <w:bottom w:w="15" w:type="dxa"/>
          <w:right w:w="15" w:type="dxa"/>
        </w:tblCellMar>
        <w:tblLook w:val="04A0" w:firstRow="1" w:lastRow="0" w:firstColumn="1" w:lastColumn="0" w:noHBand="0" w:noVBand="1"/>
      </w:tblPr>
      <w:tblGrid>
        <w:gridCol w:w="61"/>
        <w:gridCol w:w="7282"/>
        <w:gridCol w:w="36"/>
        <w:gridCol w:w="36"/>
        <w:gridCol w:w="36"/>
        <w:gridCol w:w="36"/>
        <w:gridCol w:w="46"/>
        <w:gridCol w:w="724"/>
        <w:gridCol w:w="36"/>
      </w:tblGrid>
      <w:tr w:rsidR="00000000">
        <w:trPr>
          <w:divId w:val="1352102117"/>
        </w:trPr>
        <w:tc>
          <w:tcPr>
            <w:tcW w:w="50" w:type="pct"/>
            <w:vAlign w:val="center"/>
            <w:hideMark/>
          </w:tcPr>
          <w:p w:rsidR="00000000" w:rsidRDefault="00795D39">
            <w:pPr>
              <w:ind w:hanging="360"/>
              <w:jc w:val="both"/>
              <w:rPr>
                <w:rFonts w:eastAsia="Times New Roman"/>
              </w:rPr>
            </w:pPr>
          </w:p>
        </w:tc>
        <w:tc>
          <w:tcPr>
            <w:tcW w:w="440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52102117"/>
          <w:trHeight w:val="60"/>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352102117"/>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5" style="width:0;height:1.5pt" o:hralign="center" o:hrstd="t" o:hr="t" fillcolor="#a0a0a0" stroked="f"/>
        </w:pict>
      </w:r>
    </w:p>
    <w:p w:rsidR="00000000" w:rsidRDefault="00795D39">
      <w:pPr>
        <w:jc w:val="both"/>
        <w:divId w:val="164403908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6440390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14800838"/>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1480083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7—DEPOSITS AND BORROWINGS</w:t>
            </w:r>
          </w:p>
        </w:tc>
      </w:tr>
    </w:tbl>
    <w:p w:rsidR="00000000" w:rsidRDefault="00795D39">
      <w:pPr>
        <w:jc w:val="both"/>
        <w:divId w:val="775441984"/>
        <w:rPr>
          <w:rFonts w:eastAsia="Times New Roman"/>
        </w:rPr>
      </w:pPr>
      <w:r>
        <w:rPr>
          <w:rFonts w:eastAsia="Times New Roman"/>
          <w:color w:val="000000"/>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eastAsia="Times New Roman"/>
          <w:color w:val="000000"/>
          <w:sz w:val="20"/>
          <w:szCs w:val="20"/>
        </w:rPr>
        <w:t>including short-term borrowings, senior and subordinated notes, securitized debt obligations and other borrowings. In addition, we utilize FHLB advances, which are secured by certain portions of our loan and investment securities portfolios. Securitized de</w:t>
      </w:r>
      <w:r>
        <w:rPr>
          <w:rFonts w:eastAsia="Times New Roman"/>
          <w:color w:val="000000"/>
          <w:sz w:val="20"/>
          <w:szCs w:val="20"/>
        </w:rPr>
        <w:t>bt obligations are presented separately on our consolidated balance sheets, as they represent obligations of consolidated securitization trusts, while federal funds purchased and securities loaned or sold under agreements to repurchase, senior and subordin</w:t>
      </w:r>
      <w:r>
        <w:rPr>
          <w:rFonts w:eastAsia="Times New Roman"/>
          <w:color w:val="000000"/>
          <w:sz w:val="20"/>
          <w:szCs w:val="20"/>
        </w:rPr>
        <w:t>ated notes and other borrowings, including FHLB advances, are included in other debt on our consolidated balance sheets.</w:t>
      </w:r>
    </w:p>
    <w:p w:rsidR="00000000" w:rsidRDefault="00795D39">
      <w:pPr>
        <w:jc w:val="both"/>
        <w:divId w:val="64381617"/>
        <w:rPr>
          <w:rFonts w:eastAsia="Times New Roman"/>
        </w:rPr>
      </w:pPr>
      <w:r>
        <w:rPr>
          <w:rFonts w:eastAsia="Times New Roman"/>
          <w:color w:val="000000"/>
          <w:sz w:val="20"/>
          <w:szCs w:val="20"/>
        </w:rPr>
        <w:t>Our total short-term borrowings generally consist of federal funds purchased and securities loaned or sold under agreements to repurcha</w:t>
      </w:r>
      <w:r>
        <w:rPr>
          <w:rFonts w:eastAsia="Times New Roman"/>
          <w:color w:val="000000"/>
          <w:sz w:val="20"/>
          <w:szCs w:val="20"/>
        </w:rPr>
        <w:t>se and short-term FHLB advances. Our long-term debt consists of borrowings with an original contractual maturity of greater than one year. The following tables summarize the components of our deposits, short-term borrowings and long-term debt as of Septemb</w:t>
      </w:r>
      <w:r>
        <w:rPr>
          <w:rFonts w:eastAsia="Times New Roman"/>
          <w:color w:val="000000"/>
          <w:sz w:val="20"/>
          <w:szCs w:val="20"/>
        </w:rPr>
        <w:t>er 30, 2020 and December 31, 2019. The carrying value presented below for these borrowings includes unamortized debt premiums and discounts, net of debt issuance costs and fair value hedge accounting adjustments.</w:t>
      </w:r>
    </w:p>
    <w:p w:rsidR="00000000" w:rsidRDefault="00795D39">
      <w:pPr>
        <w:divId w:val="1098910593"/>
        <w:rPr>
          <w:rFonts w:eastAsia="Times New Roman"/>
        </w:rPr>
      </w:pPr>
      <w:r>
        <w:rPr>
          <w:rFonts w:eastAsia="Times New Roman"/>
          <w:b/>
          <w:bCs/>
          <w:color w:val="000000"/>
          <w:sz w:val="18"/>
          <w:szCs w:val="18"/>
        </w:rPr>
        <w:t>Table 7.1: Components of Deposits, Short-Te</w:t>
      </w:r>
      <w:r>
        <w:rPr>
          <w:rFonts w:eastAsia="Times New Roman"/>
          <w:b/>
          <w:bCs/>
          <w:color w:val="000000"/>
          <w:sz w:val="18"/>
          <w:szCs w:val="18"/>
        </w:rPr>
        <w:t>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69"/>
        <w:gridCol w:w="40"/>
        <w:gridCol w:w="36"/>
        <w:gridCol w:w="36"/>
        <w:gridCol w:w="36"/>
        <w:gridCol w:w="110"/>
        <w:gridCol w:w="742"/>
        <w:gridCol w:w="36"/>
        <w:gridCol w:w="36"/>
        <w:gridCol w:w="36"/>
        <w:gridCol w:w="36"/>
        <w:gridCol w:w="110"/>
        <w:gridCol w:w="706"/>
        <w:gridCol w:w="36"/>
      </w:tblGrid>
      <w:tr w:rsidR="00000000">
        <w:trPr>
          <w:divId w:val="1247228922"/>
        </w:trPr>
        <w:tc>
          <w:tcPr>
            <w:tcW w:w="50" w:type="pct"/>
            <w:vAlign w:val="center"/>
            <w:hideMark/>
          </w:tcPr>
          <w:p w:rsidR="00000000" w:rsidRDefault="00795D39">
            <w:pPr>
              <w:rPr>
                <w:rFonts w:eastAsia="Times New Roman"/>
              </w:rPr>
            </w:pPr>
          </w:p>
        </w:tc>
        <w:tc>
          <w:tcPr>
            <w:tcW w:w="37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47228922"/>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24722892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4722892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29,633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23,488 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47228922"/>
        </w:trPr>
        <w:tc>
          <w:tcPr>
            <w:tcW w:w="0" w:type="auto"/>
            <w:gridSpan w:val="3"/>
            <w:shd w:val="clear" w:color="auto" w:fill="CCEEFF"/>
            <w:tcMar>
              <w:top w:w="30" w:type="dxa"/>
              <w:left w:w="20" w:type="dxa"/>
              <w:bottom w:w="30" w:type="dxa"/>
              <w:right w:w="20" w:type="dxa"/>
            </w:tcMar>
            <w:vAlign w:val="center"/>
            <w:hideMark/>
          </w:tcPr>
          <w:p w:rsidR="00000000" w:rsidRDefault="00795D39">
            <w:pPr>
              <w:divId w:val="1287200678"/>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276,092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239,209 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47228922"/>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305,725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262,697 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47228922"/>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4722892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47228922"/>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FHLB advances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47228922"/>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short-term borrowings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149"/>
        <w:gridCol w:w="144"/>
        <w:gridCol w:w="144"/>
        <w:gridCol w:w="144"/>
        <w:gridCol w:w="144"/>
        <w:gridCol w:w="144"/>
        <w:gridCol w:w="818"/>
        <w:gridCol w:w="144"/>
        <w:gridCol w:w="144"/>
        <w:gridCol w:w="144"/>
        <w:gridCol w:w="144"/>
        <w:gridCol w:w="144"/>
        <w:gridCol w:w="1024"/>
        <w:gridCol w:w="144"/>
        <w:gridCol w:w="144"/>
        <w:gridCol w:w="144"/>
        <w:gridCol w:w="144"/>
        <w:gridCol w:w="144"/>
        <w:gridCol w:w="818"/>
        <w:gridCol w:w="144"/>
        <w:gridCol w:w="144"/>
        <w:gridCol w:w="144"/>
        <w:gridCol w:w="144"/>
        <w:gridCol w:w="144"/>
        <w:gridCol w:w="818"/>
        <w:gridCol w:w="144"/>
        <w:gridCol w:w="144"/>
        <w:gridCol w:w="144"/>
        <w:gridCol w:w="144"/>
        <w:gridCol w:w="144"/>
        <w:gridCol w:w="818"/>
        <w:gridCol w:w="144"/>
      </w:tblGrid>
      <w:tr w:rsidR="00000000">
        <w:tc>
          <w:tcPr>
            <w:tcW w:w="50" w:type="pct"/>
            <w:vAlign w:val="center"/>
            <w:hideMark/>
          </w:tcPr>
          <w:p w:rsidR="00000000" w:rsidRDefault="00795D39">
            <w:pPr>
              <w:rPr>
                <w:rFonts w:eastAsia="Times New Roman"/>
              </w:rPr>
            </w:pPr>
          </w:p>
        </w:tc>
        <w:tc>
          <w:tcPr>
            <w:tcW w:w="18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1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c>
          <w:tcPr>
            <w:tcW w:w="0" w:type="auto"/>
            <w:gridSpan w:val="3"/>
            <w:tcMar>
              <w:top w:w="30" w:type="dxa"/>
              <w:left w:w="495"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1"/>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2020-2026</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0.50% - 3.01%</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13,566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17,808 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divId w:val="519591165"/>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2020-2029</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0.80 - 4.75</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21,685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23,302 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49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2020-2023</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0.70 - 1.42</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15"/>
            <w:shd w:val="clear" w:color="auto" w:fill="FFFFFF"/>
            <w:tcMar>
              <w:top w:w="30" w:type="dxa"/>
              <w:left w:w="58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23,693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25,997 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49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2023-2026</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3.38 - 4.20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4,475 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21"/>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28,448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30,472 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49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2020-2031</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1.63 - 9.91</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21"/>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21"/>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42,093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48,383 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21"/>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short-term borrowings and long-term debt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42,795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55,697 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389421893"/>
        <w:rPr>
          <w:rFonts w:eastAsia="Times New Roman"/>
        </w:rPr>
      </w:pPr>
      <w:r>
        <w:rPr>
          <w:rFonts w:eastAsia="Times New Roman"/>
          <w:color w:val="000000"/>
          <w:sz w:val="20"/>
          <w:szCs w:val="20"/>
        </w:rPr>
        <w:t>__________</w:t>
      </w:r>
    </w:p>
    <w:p w:rsidR="00000000" w:rsidRDefault="00795D39">
      <w:pPr>
        <w:ind w:hanging="360"/>
        <w:jc w:val="both"/>
        <w:divId w:val="11278943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$5.2 billion and $6.5 </w:t>
      </w:r>
      <w:r>
        <w:rPr>
          <w:rFonts w:eastAsia="Times New Roman"/>
          <w:color w:val="000000"/>
          <w:sz w:val="16"/>
          <w:szCs w:val="16"/>
        </w:rPr>
        <w:t>billion of time deposits in denominations in excess of the $250,000 federal insurance limit as of September 30, 2020 and December 31, 2019, respectively.</w:t>
      </w:r>
    </w:p>
    <w:p w:rsidR="00000000" w:rsidRDefault="00795D39">
      <w:pPr>
        <w:ind w:hanging="360"/>
        <w:jc w:val="both"/>
        <w:divId w:val="207573275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$1.5 billion and $1.4 billion of EUR-denominated unsecured notes as of September 30, 2020</w:t>
      </w:r>
      <w:r>
        <w:rPr>
          <w:rFonts w:eastAsia="Times New Roman"/>
          <w:color w:val="000000"/>
          <w:sz w:val="20"/>
          <w:szCs w:val="20"/>
        </w:rPr>
        <w:t xml:space="preserve"> </w:t>
      </w:r>
      <w:r>
        <w:rPr>
          <w:rFonts w:eastAsia="Times New Roman"/>
          <w:color w:val="000000"/>
          <w:sz w:val="16"/>
          <w:szCs w:val="16"/>
        </w:rPr>
        <w:t>and</w:t>
      </w:r>
      <w:r>
        <w:rPr>
          <w:rFonts w:eastAsia="Times New Roman"/>
          <w:color w:val="000000"/>
          <w:sz w:val="20"/>
          <w:szCs w:val="20"/>
        </w:rPr>
        <w:t xml:space="preserve"> </w:t>
      </w:r>
      <w:r>
        <w:rPr>
          <w:rFonts w:eastAsia="Times New Roman"/>
          <w:color w:val="000000"/>
          <w:sz w:val="16"/>
          <w:szCs w:val="16"/>
        </w:rPr>
        <w:t>December 31, 2019,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22872314"/>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2287231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2287231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6" style="width:0;height:1.5pt" o:hralign="center" o:hrstd="t" o:hr="t" fillcolor="#a0a0a0" stroked="f"/>
        </w:pict>
      </w:r>
    </w:p>
    <w:p w:rsidR="00000000" w:rsidRDefault="00795D39">
      <w:pPr>
        <w:jc w:val="both"/>
        <w:divId w:val="26457586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26457586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75774884"/>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7577488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8—DERIVATIVE INSTRUMENTS AND HEDGING ACTIVITIES</w:t>
            </w:r>
          </w:p>
        </w:tc>
      </w:tr>
    </w:tbl>
    <w:p w:rsidR="00000000" w:rsidRDefault="00795D39">
      <w:pPr>
        <w:divId w:val="34476487"/>
        <w:rPr>
          <w:rFonts w:eastAsia="Times New Roman"/>
        </w:rPr>
      </w:pPr>
      <w:r>
        <w:rPr>
          <w:rFonts w:eastAsia="Times New Roman"/>
          <w:b/>
          <w:bCs/>
          <w:color w:val="000000"/>
          <w:sz w:val="20"/>
          <w:szCs w:val="20"/>
        </w:rPr>
        <w:t>Use of Derivatives and Accounting for Derivatives</w:t>
      </w:r>
    </w:p>
    <w:p w:rsidR="00000000" w:rsidRDefault="00795D39">
      <w:pPr>
        <w:jc w:val="both"/>
        <w:divId w:val="149249902"/>
        <w:rPr>
          <w:rFonts w:eastAsia="Times New Roman"/>
        </w:rPr>
      </w:pPr>
      <w:r>
        <w:rPr>
          <w:rFonts w:eastAsia="Times New Roman"/>
          <w:color w:val="000000"/>
          <w:sz w:val="20"/>
          <w:szCs w:val="20"/>
        </w:rPr>
        <w:t>We regularly enter into derivative transactions to support our overall risk management activities. Our primary market risks stem from the impact on our earnings and economic value of equity due to changes i</w:t>
      </w:r>
      <w:r>
        <w:rPr>
          <w:rFonts w:eastAsia="Times New Roman"/>
          <w:color w:val="000000"/>
          <w:sz w:val="20"/>
          <w:szCs w:val="20"/>
        </w:rPr>
        <w:t>n interest rates and, to a lesser extent, changes in foreign exchange rates. We manage our interest rate sensitivity by employing several techniques, which include changing the duration and re-pricing characteristics of various assets and liabilities by us</w:t>
      </w:r>
      <w:r>
        <w:rPr>
          <w:rFonts w:eastAsia="Times New Roman"/>
          <w:color w:val="000000"/>
          <w:sz w:val="20"/>
          <w:szCs w:val="20"/>
        </w:rPr>
        <w:t>ing interest rate derivatives. We also use foreign currency derivatives to limit our earnings and capital exposures to foreign exchange risk by hedging exposures denominated in foreign currencies. We primarily use interest rate and foreign currency derivat</w:t>
      </w:r>
      <w:r>
        <w:rPr>
          <w:rFonts w:eastAsia="Times New Roman"/>
          <w:color w:val="000000"/>
          <w:sz w:val="20"/>
          <w:szCs w:val="20"/>
        </w:rPr>
        <w:t>ives to hedge, but we may also use a variety of other derivative instruments, including caps, floors, options, futures and forward contracts, to manage our interest rate and foreign exchange risks. We designate these risk management derivatives as either q</w:t>
      </w:r>
      <w:r>
        <w:rPr>
          <w:rFonts w:eastAsia="Times New Roman"/>
          <w:color w:val="000000"/>
          <w:sz w:val="20"/>
          <w:szCs w:val="20"/>
        </w:rPr>
        <w:t>ualifying accounting hedges or free-standing derivatives. Qualifying accounting hedges are further designated as fair value hedges, cash flow hedges or net investment hedges. Free-standing derivatives are economic hedges that do not qualify for hedge accou</w:t>
      </w:r>
      <w:r>
        <w:rPr>
          <w:rFonts w:eastAsia="Times New Roman"/>
          <w:color w:val="000000"/>
          <w:sz w:val="20"/>
          <w:szCs w:val="20"/>
        </w:rPr>
        <w:t xml:space="preserve">nting. </w:t>
      </w:r>
    </w:p>
    <w:p w:rsidR="00000000" w:rsidRDefault="00795D39">
      <w:pPr>
        <w:jc w:val="both"/>
        <w:divId w:val="578255241"/>
        <w:rPr>
          <w:rFonts w:eastAsia="Times New Roman"/>
        </w:rPr>
      </w:pPr>
      <w:r>
        <w:rPr>
          <w:rFonts w:eastAsia="Times New Roman"/>
          <w:color w:val="000000"/>
          <w:sz w:val="20"/>
          <w:szCs w:val="20"/>
        </w:rPr>
        <w:t>We also offer interest rate, commodity, foreign currency derivatives and other contracts as an accommodation to our customers within our Commercial Banking business. We enter into these derivatives with our customers primarily to help them manage t</w:t>
      </w:r>
      <w:r>
        <w:rPr>
          <w:rFonts w:eastAsia="Times New Roman"/>
          <w:color w:val="000000"/>
          <w:sz w:val="20"/>
          <w:szCs w:val="20"/>
        </w:rPr>
        <w:t xml:space="preserve">heir interest rate risks, hedge their energy and other commodities exposures, and manage foreign currency fluctuations. We then enter into derivative contracts with counterparties to economically hedge substantially all of our subsequent exposures. </w:t>
      </w:r>
    </w:p>
    <w:p w:rsidR="00000000" w:rsidRDefault="00795D39">
      <w:pPr>
        <w:jc w:val="both"/>
        <w:divId w:val="597832799"/>
        <w:rPr>
          <w:rFonts w:eastAsia="Times New Roman"/>
        </w:rPr>
      </w:pPr>
      <w:r>
        <w:rPr>
          <w:rFonts w:eastAsia="Times New Roman"/>
          <w:color w:val="000000"/>
          <w:sz w:val="20"/>
          <w:szCs w:val="20"/>
        </w:rPr>
        <w:t>See be</w:t>
      </w:r>
      <w:r>
        <w:rPr>
          <w:rFonts w:eastAsia="Times New Roman"/>
          <w:color w:val="000000"/>
          <w:sz w:val="20"/>
          <w:szCs w:val="20"/>
        </w:rPr>
        <w:t>low for additional information on our use of derivatives and how we account for them:</w:t>
      </w:r>
    </w:p>
    <w:p w:rsidR="00000000" w:rsidRDefault="00795D39">
      <w:pPr>
        <w:ind w:hanging="360"/>
        <w:jc w:val="both"/>
        <w:divId w:val="737242945"/>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exposure to changes in the fair value of certain financial assets and l</w:t>
      </w:r>
      <w:r>
        <w:rPr>
          <w:rFonts w:eastAsia="Times New Roman"/>
          <w:color w:val="000000"/>
          <w:sz w:val="20"/>
          <w:szCs w:val="20"/>
        </w:rPr>
        <w:t>iabilities, which fluctuate in value as a result of movements in interest rates. Changes in the fair value of derivatives designated as fair value hedges are presented in the same line item in our consolidated statements of income as the earnings effect of</w:t>
      </w:r>
      <w:r>
        <w:rPr>
          <w:rFonts w:eastAsia="Times New Roman"/>
          <w:color w:val="000000"/>
          <w:sz w:val="20"/>
          <w:szCs w:val="20"/>
        </w:rPr>
        <w:t xml:space="preserve"> the hedged items. Our fair value hedges primarily consist of interest rate swaps that are intended to modify our exposure to interest rate risk on various fixed-rate financial assets and liabilities.</w:t>
      </w:r>
    </w:p>
    <w:p w:rsidR="00000000" w:rsidRDefault="00795D39">
      <w:pPr>
        <w:ind w:hanging="360"/>
        <w:jc w:val="both"/>
        <w:divId w:val="686834640"/>
        <w:rPr>
          <w:rFonts w:eastAsia="Times New Roman"/>
        </w:rPr>
      </w:pPr>
      <w:r>
        <w:rPr>
          <w:rFonts w:eastAsia="Times New Roman"/>
          <w:i/>
          <w:iCs/>
          <w:color w:val="000000"/>
          <w:sz w:val="20"/>
          <w:szCs w:val="20"/>
        </w:rPr>
        <w:t>•Cash Flow Hedges:</w:t>
      </w:r>
      <w:r>
        <w:rPr>
          <w:rFonts w:eastAsia="Times New Roman"/>
          <w:color w:val="000000"/>
          <w:sz w:val="20"/>
          <w:szCs w:val="20"/>
        </w:rPr>
        <w:t xml:space="preserve"> We designate derivatives as cash flo</w:t>
      </w:r>
      <w:r>
        <w:rPr>
          <w:rFonts w:eastAsia="Times New Roman"/>
          <w:color w:val="000000"/>
          <w:sz w:val="20"/>
          <w:szCs w:val="20"/>
        </w:rPr>
        <w:t xml:space="preserve">w hedges when they are used to manage our exposure to variability in cash flows related to forecasted transactions. Changes in the fair value of derivatives designated as cash flow hedges are recorded as a component of AOCI. Those amounts are reclassified </w:t>
      </w:r>
      <w:r>
        <w:rPr>
          <w:rFonts w:eastAsia="Times New Roman"/>
          <w:color w:val="000000"/>
          <w:sz w:val="20"/>
          <w:szCs w:val="20"/>
        </w:rPr>
        <w:t xml:space="preserve">into earnings in the same period during which the forecasted transactions impact earnings and presented in the same line item in our consolidated statements of income as the earnings effect of the hedged items. Our cash flow hedges use interest rate swaps </w:t>
      </w:r>
      <w:r>
        <w:rPr>
          <w:rFonts w:eastAsia="Times New Roman"/>
          <w:color w:val="000000"/>
          <w:sz w:val="20"/>
          <w:szCs w:val="20"/>
        </w:rPr>
        <w:t>and floors that are intended to hedge the variability in interest receipts or interest payments on some of our variable-rate financial assets or liabilities. We also enter into foreign currency forward contracts to hedge our exposure to variability in cash</w:t>
      </w:r>
      <w:r>
        <w:rPr>
          <w:rFonts w:eastAsia="Times New Roman"/>
          <w:color w:val="000000"/>
          <w:sz w:val="20"/>
          <w:szCs w:val="20"/>
        </w:rPr>
        <w:t xml:space="preserve"> flows related to intercompany borrowings denominated in foreign currencies.</w:t>
      </w:r>
    </w:p>
    <w:p w:rsidR="00000000" w:rsidRDefault="00795D39">
      <w:pPr>
        <w:ind w:hanging="360"/>
        <w:jc w:val="both"/>
        <w:divId w:val="729814873"/>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operations that have functional currencies o</w:t>
      </w:r>
      <w:r>
        <w:rPr>
          <w:rFonts w:eastAsia="Times New Roman"/>
          <w:color w:val="000000"/>
          <w:sz w:val="20"/>
          <w:szCs w:val="20"/>
        </w:rPr>
        <w:t>ther than the U.S. dollar. Changes in the fair value of net investment hedges are recorded in the translation adjustment component of AOCI, offsetting the translation gain or loss from those foreign operations. We execute net investment hedges using foreig</w:t>
      </w:r>
      <w:r>
        <w:rPr>
          <w:rFonts w:eastAsia="Times New Roman"/>
          <w:color w:val="000000"/>
          <w:sz w:val="20"/>
          <w:szCs w:val="20"/>
        </w:rPr>
        <w:t>n currency forward contracts to hedge the translation exposure of the net investment in our foreign operations under the forward method.</w:t>
      </w:r>
    </w:p>
    <w:p w:rsidR="00000000" w:rsidRDefault="00795D39">
      <w:pPr>
        <w:ind w:hanging="360"/>
        <w:jc w:val="both"/>
        <w:divId w:val="778917889"/>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Our free-standing derivatives primarily consist of our customer accommodation derivatives a</w:t>
      </w:r>
      <w:r>
        <w:rPr>
          <w:rFonts w:eastAsia="Times New Roman"/>
          <w:color w:val="000000"/>
          <w:sz w:val="20"/>
          <w:szCs w:val="20"/>
        </w:rPr>
        <w:t xml:space="preserve">nd other economic hedges. The customer accommodation derivatives and the related offsetting contracts are mainly interest rate, commodity and foreign currency contracts. The other free-standing derivatives are primarily used to economically hedge the risk </w:t>
      </w:r>
      <w:r>
        <w:rPr>
          <w:rFonts w:eastAsia="Times New Roman"/>
          <w:color w:val="000000"/>
          <w:sz w:val="20"/>
          <w:szCs w:val="20"/>
        </w:rPr>
        <w:t>of changes in the fair value of our commercial mortgage loan origination and purchase commitments as well as other interests held. Changes in the fair value of free-standing derivatives are recorded in earnings as a component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73428236"/>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77342823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7342823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7" style="width:0;height:1.5pt" o:hralign="center" o:hrstd="t" o:hr="t" fillcolor="#a0a0a0" stroked="f"/>
        </w:pict>
      </w:r>
    </w:p>
    <w:p w:rsidR="00000000" w:rsidRDefault="00795D39">
      <w:pPr>
        <w:jc w:val="both"/>
        <w:divId w:val="101739000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017390000"/>
        <w:rPr>
          <w:rFonts w:eastAsia="Times New Roman"/>
        </w:rPr>
      </w:pPr>
    </w:p>
    <w:p w:rsidR="00000000" w:rsidRDefault="00795D39">
      <w:pPr>
        <w:divId w:val="594557595"/>
        <w:rPr>
          <w:rFonts w:eastAsia="Times New Roman"/>
        </w:rPr>
      </w:pPr>
      <w:r>
        <w:rPr>
          <w:rFonts w:eastAsia="Times New Roman"/>
          <w:b/>
          <w:bCs/>
          <w:color w:val="000000"/>
          <w:sz w:val="20"/>
          <w:szCs w:val="20"/>
        </w:rPr>
        <w:t>Derivatives Counterparty Credit Risk</w:t>
      </w:r>
    </w:p>
    <w:p w:rsidR="00000000" w:rsidRDefault="00795D39">
      <w:pPr>
        <w:divId w:val="1500266174"/>
        <w:rPr>
          <w:rFonts w:eastAsia="Times New Roman"/>
        </w:rPr>
      </w:pPr>
      <w:r>
        <w:rPr>
          <w:rFonts w:eastAsia="Times New Roman"/>
          <w:b/>
          <w:bCs/>
          <w:i/>
          <w:iCs/>
          <w:color w:val="000000"/>
          <w:sz w:val="20"/>
          <w:szCs w:val="20"/>
        </w:rPr>
        <w:t>Counterparty Types</w:t>
      </w:r>
    </w:p>
    <w:p w:rsidR="00000000" w:rsidRDefault="00795D39">
      <w:pPr>
        <w:jc w:val="both"/>
        <w:divId w:val="710224602"/>
        <w:rPr>
          <w:rFonts w:eastAsia="Times New Roman"/>
        </w:rPr>
      </w:pPr>
      <w:r>
        <w:rPr>
          <w:rFonts w:eastAsia="Times New Roman"/>
          <w:color w:val="000000"/>
          <w:sz w:val="20"/>
          <w:szCs w:val="20"/>
        </w:rPr>
        <w:t>Derivative instruments contain an element of credit risk that arises from the potential failure of a counterparty to perform according to the terms of the contract, including making payments due upon maturity of certain derivative instruments. We execute o</w:t>
      </w:r>
      <w:r>
        <w:rPr>
          <w:rFonts w:eastAsia="Times New Roman"/>
          <w:color w:val="000000"/>
          <w:sz w:val="20"/>
          <w:szCs w:val="20"/>
        </w:rPr>
        <w:t>ur derivative contracts primarily in over-the-counter (“OTC”) markets. We also execute interest rate and commodity futures in the exchange-traded derivative markets. Our OTC derivatives consist of both trades cleared through central counterparty clearingho</w:t>
      </w:r>
      <w:r>
        <w:rPr>
          <w:rFonts w:eastAsia="Times New Roman"/>
          <w:color w:val="000000"/>
          <w:sz w:val="20"/>
          <w:szCs w:val="20"/>
        </w:rPr>
        <w:t xml:space="preserve">uses (“CCPs”) and uncleared bilateral contracts. The Chicago Mercantile Exchange (“CME”) and the LCH Group (“LCH”) are our CCPs in our centrally cleared contracts. In our uncleared bilateral contracts, we enter into agreements directly with our derivative </w:t>
      </w:r>
      <w:r>
        <w:rPr>
          <w:rFonts w:eastAsia="Times New Roman"/>
          <w:color w:val="000000"/>
          <w:sz w:val="20"/>
          <w:szCs w:val="20"/>
        </w:rPr>
        <w:t xml:space="preserve">counterparties. </w:t>
      </w:r>
    </w:p>
    <w:p w:rsidR="00000000" w:rsidRDefault="00795D39">
      <w:pPr>
        <w:divId w:val="63723855"/>
        <w:rPr>
          <w:rFonts w:eastAsia="Times New Roman"/>
        </w:rPr>
      </w:pPr>
      <w:r>
        <w:rPr>
          <w:rFonts w:eastAsia="Times New Roman"/>
          <w:b/>
          <w:bCs/>
          <w:i/>
          <w:iCs/>
          <w:color w:val="000000"/>
          <w:sz w:val="20"/>
          <w:szCs w:val="20"/>
        </w:rPr>
        <w:t>Counterparty Credit Risk Management</w:t>
      </w:r>
    </w:p>
    <w:p w:rsidR="00000000" w:rsidRDefault="00795D39">
      <w:pPr>
        <w:jc w:val="both"/>
        <w:divId w:val="1151630411"/>
        <w:rPr>
          <w:rFonts w:eastAsia="Times New Roman"/>
        </w:rPr>
      </w:pPr>
      <w:r>
        <w:rPr>
          <w:rFonts w:eastAsia="Times New Roman"/>
          <w:color w:val="000000"/>
          <w:sz w:val="20"/>
          <w:szCs w:val="20"/>
        </w:rPr>
        <w:t>We manage the counterparty credit risk associated with derivative instruments by entering into legally enforceable master netting arrangements, where possible, and exchanging collateral with our counterparties, typically in the form of cash or high-quality</w:t>
      </w:r>
      <w:r>
        <w:rPr>
          <w:rFonts w:eastAsia="Times New Roman"/>
          <w:color w:val="000000"/>
          <w:sz w:val="20"/>
          <w:szCs w:val="20"/>
        </w:rPr>
        <w:t xml:space="preserve"> liquid securities. The amount of collateral exchanged is dependent upon the fair value of the derivative instruments as well as the fair value of the pledged collateral and will vary over time as market variables change. When valuing collateral, an estima</w:t>
      </w:r>
      <w:r>
        <w:rPr>
          <w:rFonts w:eastAsia="Times New Roman"/>
          <w:color w:val="000000"/>
          <w:sz w:val="20"/>
          <w:szCs w:val="20"/>
        </w:rPr>
        <w:t>te of the variation in price and liquidity over time is subtracted in the form of a “haircut” to discount the value of the collateral pledged. Our exposure to derivative counterparty credit risk, at any point in time, is equal to the amount reported as a d</w:t>
      </w:r>
      <w:r>
        <w:rPr>
          <w:rFonts w:eastAsia="Times New Roman"/>
          <w:color w:val="000000"/>
          <w:sz w:val="20"/>
          <w:szCs w:val="20"/>
        </w:rPr>
        <w:t>erivative asset on our balance sheet. The fair value of our derivatives is adjusted on an aggregate basis to take into consideration the effects of legally enforceable master netting agreements and any associated cash collateral received or pledged. See Ta</w:t>
      </w:r>
      <w:r>
        <w:rPr>
          <w:rFonts w:eastAsia="Times New Roman"/>
          <w:color w:val="000000"/>
          <w:sz w:val="20"/>
          <w:szCs w:val="20"/>
        </w:rPr>
        <w:t xml:space="preserve">ble 8.3 for our net exposure associated with derivatives. </w:t>
      </w:r>
    </w:p>
    <w:p w:rsidR="00000000" w:rsidRDefault="00795D39">
      <w:pPr>
        <w:jc w:val="both"/>
        <w:divId w:val="2082091765"/>
        <w:rPr>
          <w:rFonts w:eastAsia="Times New Roman"/>
        </w:rPr>
      </w:pPr>
      <w:r>
        <w:rPr>
          <w:rFonts w:eastAsia="Times New Roman"/>
          <w:color w:val="000000"/>
          <w:sz w:val="20"/>
          <w:szCs w:val="20"/>
        </w:rPr>
        <w:t>The terms under which we collateralize our exposures differ between cleared exposures and uncleared bilateral exposures.</w:t>
      </w:r>
    </w:p>
    <w:p w:rsidR="00000000" w:rsidRDefault="00795D39">
      <w:pPr>
        <w:ind w:hanging="360"/>
        <w:jc w:val="both"/>
        <w:divId w:val="1786536496"/>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regulatory</w:t>
      </w:r>
      <w:r>
        <w:rPr>
          <w:rFonts w:eastAsia="Times New Roman"/>
          <w:color w:val="000000"/>
          <w:sz w:val="20"/>
          <w:szCs w:val="20"/>
        </w:rPr>
        <w:t xml:space="preserve"> requirements. Futures commission merchants (“FCMs”) serve as the intermediary between CCPs and us. CCPs require that we post initial and variation margin through our FCMs to mitigate the risk of non-payment or default. Initial margin is required upfront b</w:t>
      </w:r>
      <w:r>
        <w:rPr>
          <w:rFonts w:eastAsia="Times New Roman"/>
          <w:color w:val="000000"/>
          <w:sz w:val="20"/>
          <w:szCs w:val="20"/>
        </w:rPr>
        <w:t>y CCPs as collateral against potential losses on our cleared derivative contracts and variation margin is exchanged on a daily basis to account for mark-to-market changes in those derivative contracts. For CME and LCH-cleared OTC derivatives, we characteri</w:t>
      </w:r>
      <w:r>
        <w:rPr>
          <w:rFonts w:eastAsia="Times New Roman"/>
          <w:color w:val="000000"/>
          <w:sz w:val="20"/>
          <w:szCs w:val="20"/>
        </w:rPr>
        <w:t xml:space="preserve">ze variation margin cash payments as settlements. Our FCM agreements governing these derivative transactions include provisions that may require us to post additional collateral under certain circumstances. </w:t>
      </w:r>
    </w:p>
    <w:p w:rsidR="00000000" w:rsidRDefault="00795D39">
      <w:pPr>
        <w:ind w:hanging="360"/>
        <w:jc w:val="both"/>
        <w:divId w:val="2025858654"/>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 into legally</w:t>
      </w:r>
      <w:r>
        <w:rPr>
          <w:rFonts w:eastAsia="Times New Roman"/>
          <w:color w:val="000000"/>
          <w:sz w:val="20"/>
          <w:szCs w:val="20"/>
        </w:rPr>
        <w:t xml:space="preserve"> enforceable master netting agreements and collateral agreements, where possible, with bilateral derivative counterparties to mitigate the risk of default. We review our collateral positions on a daily basis and exchange collateral with our counterparties </w:t>
      </w:r>
      <w:r>
        <w:rPr>
          <w:rFonts w:eastAsia="Times New Roman"/>
          <w:color w:val="000000"/>
          <w:sz w:val="20"/>
          <w:szCs w:val="20"/>
        </w:rPr>
        <w:t>in accordance with these agreements. These bilateral agreements typically provide the right to offset exposure with the same counterparty and require the party in a net liability position to post collateral. Agreements with certain bilateral counterparties</w:t>
      </w:r>
      <w:r>
        <w:rPr>
          <w:rFonts w:eastAsia="Times New Roman"/>
          <w:color w:val="000000"/>
          <w:sz w:val="20"/>
          <w:szCs w:val="20"/>
        </w:rPr>
        <w:t xml:space="preserve"> require both parties to maintain collateral in the event the fair values of derivative instruments exceed established exposure thresholds. Certain of these bilateral agreements include provisions requiring that our debt maintain a credit rating of investm</w:t>
      </w:r>
      <w:r>
        <w:rPr>
          <w:rFonts w:eastAsia="Times New Roman"/>
          <w:color w:val="000000"/>
          <w:sz w:val="20"/>
          <w:szCs w:val="20"/>
        </w:rPr>
        <w:t>ent grade or above by each of the major credit rating agencies. In the event of a downgrade of our debt credit rating below investment grade, some of our counterparties would have the right to terminate their derivative contract and close out existing posi</w:t>
      </w:r>
      <w:r>
        <w:rPr>
          <w:rFonts w:eastAsia="Times New Roman"/>
          <w:color w:val="000000"/>
          <w:sz w:val="20"/>
          <w:szCs w:val="20"/>
        </w:rPr>
        <w:t xml:space="preserve">tions. </w:t>
      </w:r>
    </w:p>
    <w:p w:rsidR="00000000" w:rsidRDefault="00795D39">
      <w:pPr>
        <w:divId w:val="1995447132"/>
        <w:rPr>
          <w:rFonts w:eastAsia="Times New Roman"/>
        </w:rPr>
      </w:pPr>
      <w:r>
        <w:rPr>
          <w:rFonts w:eastAsia="Times New Roman"/>
          <w:b/>
          <w:bCs/>
          <w:color w:val="000000"/>
          <w:sz w:val="20"/>
          <w:szCs w:val="20"/>
        </w:rPr>
        <w:t>Credit Risk Valuation Adjustments</w:t>
      </w:r>
    </w:p>
    <w:p w:rsidR="00000000" w:rsidRDefault="00795D39">
      <w:pPr>
        <w:jc w:val="both"/>
        <w:divId w:val="961957534"/>
        <w:rPr>
          <w:rFonts w:eastAsia="Times New Roman"/>
        </w:rPr>
      </w:pPr>
      <w:r>
        <w:rPr>
          <w:rFonts w:eastAsia="Times New Roman"/>
          <w:color w:val="000000"/>
          <w:sz w:val="20"/>
          <w:szCs w:val="20"/>
        </w:rPr>
        <w:t>We record counterparty credit valuation adjustments (“CVAs”) on our derivative assets to reflect the credit quality of our counterparties. We consider collateral and legally enforceable master netting agreements th</w:t>
      </w:r>
      <w:r>
        <w:rPr>
          <w:rFonts w:eastAsia="Times New Roman"/>
          <w:color w:val="000000"/>
          <w:sz w:val="20"/>
          <w:szCs w:val="20"/>
        </w:rPr>
        <w:t xml:space="preserve">at mitigate our credit exposure to each counterparty in determining CVAs, which may be adjusted due to changes in the fair values of the derivative contracts, collateral, and creditworthiness of the counterparty. We also record debit valuation adjustments </w:t>
      </w:r>
      <w:r>
        <w:rPr>
          <w:rFonts w:eastAsia="Times New Roman"/>
          <w:color w:val="000000"/>
          <w:sz w:val="20"/>
          <w:szCs w:val="20"/>
        </w:rPr>
        <w:t xml:space="preserve">(“DVAs”) to adjust the fair values of our derivative liabilities to reflect the impact of our own credit quality.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74766053"/>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7476605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7476605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8" style="width:0;height:1.5pt" o:hralign="center" o:hrstd="t" o:hr="t" fillcolor="#a0a0a0" stroked="f"/>
        </w:pict>
      </w:r>
    </w:p>
    <w:p w:rsidR="00000000" w:rsidRDefault="00795D39">
      <w:pPr>
        <w:jc w:val="both"/>
        <w:divId w:val="174171395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741713959"/>
        <w:rPr>
          <w:rFonts w:eastAsia="Times New Roman"/>
        </w:rPr>
      </w:pPr>
    </w:p>
    <w:p w:rsidR="00000000" w:rsidRDefault="00795D39">
      <w:pPr>
        <w:divId w:val="1772356837"/>
        <w:rPr>
          <w:rFonts w:eastAsia="Times New Roman"/>
        </w:rPr>
      </w:pPr>
      <w:r>
        <w:rPr>
          <w:rFonts w:eastAsia="Times New Roman"/>
          <w:b/>
          <w:bCs/>
          <w:color w:val="000000"/>
          <w:sz w:val="20"/>
          <w:szCs w:val="20"/>
        </w:rPr>
        <w:t>Balance Sheet Presentation</w:t>
      </w:r>
    </w:p>
    <w:p w:rsidR="00000000" w:rsidRDefault="00795D39">
      <w:pPr>
        <w:jc w:val="both"/>
        <w:divId w:val="1602759490"/>
        <w:rPr>
          <w:rFonts w:eastAsia="Times New Roman"/>
        </w:rPr>
      </w:pPr>
      <w:r>
        <w:rPr>
          <w:rFonts w:eastAsia="Times New Roman"/>
          <w:color w:val="000000"/>
          <w:sz w:val="20"/>
          <w:szCs w:val="20"/>
        </w:rPr>
        <w:t>The following table summarizes the notional amounts and fair values of our derivative instruments as of September 3</w:t>
      </w:r>
      <w:r>
        <w:rPr>
          <w:rFonts w:eastAsia="Times New Roman"/>
          <w:color w:val="000000"/>
          <w:sz w:val="20"/>
          <w:szCs w:val="20"/>
        </w:rPr>
        <w:t xml:space="preserve">0, 2020 and December 31, 2019, which are segregated by derivatives that are designated as accounting hedges and those that are not, and are further segregated by type of contract within those two categories. The total derivative assets and liabilities are </w:t>
      </w:r>
      <w:r>
        <w:rPr>
          <w:rFonts w:eastAsia="Times New Roman"/>
          <w:color w:val="000000"/>
          <w:sz w:val="20"/>
          <w:szCs w:val="20"/>
        </w:rPr>
        <w:t>adjusted on an aggregate basis to take into consideration the effects of legally enforceable master netting agreements and any associated cash collateral received or pledged. Derivative assets and liabilities are included in other assets and other liabilit</w:t>
      </w:r>
      <w:r>
        <w:rPr>
          <w:rFonts w:eastAsia="Times New Roman"/>
          <w:color w:val="000000"/>
          <w:sz w:val="20"/>
          <w:szCs w:val="20"/>
        </w:rPr>
        <w:t xml:space="preserve">ies, respectively, on our consolidated balance sheets, and their related gains or losses are included in operating activities as changes in other assets and other liabilities in the consolidated statements of cash flows. </w:t>
      </w:r>
    </w:p>
    <w:p w:rsidR="00000000" w:rsidRDefault="00795D39">
      <w:pPr>
        <w:divId w:val="599224141"/>
        <w:rPr>
          <w:rFonts w:eastAsia="Times New Roman"/>
        </w:rPr>
      </w:pPr>
      <w:r>
        <w:rPr>
          <w:rFonts w:eastAsia="Times New Roman"/>
          <w:b/>
          <w:bCs/>
          <w:color w:val="000000"/>
          <w:sz w:val="18"/>
          <w:szCs w:val="18"/>
        </w:rPr>
        <w:t>Table 8.1: Derivative Assets and L</w:t>
      </w:r>
      <w:r>
        <w:rPr>
          <w:rFonts w:eastAsia="Times New Roman"/>
          <w:b/>
          <w:bCs/>
          <w:color w:val="000000"/>
          <w:sz w:val="18"/>
          <w:szCs w:val="18"/>
        </w:rPr>
        <w:t>iabilities at Fair Value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trPr>
          <w:divId w:val="789129477"/>
        </w:trPr>
        <w:tc>
          <w:tcPr>
            <w:tcW w:w="50" w:type="pct"/>
            <w:vAlign w:val="center"/>
            <w:hideMark/>
          </w:tcPr>
          <w:p w:rsidR="00000000" w:rsidRDefault="00795D39">
            <w:pPr>
              <w:rPr>
                <w:rFonts w:eastAsia="Times New Roman"/>
              </w:rPr>
            </w:pPr>
          </w:p>
        </w:tc>
        <w:tc>
          <w:tcPr>
            <w:tcW w:w="190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789129477"/>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789129477"/>
          <w:trHeight w:val="28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789129477"/>
          <w:trHeight w:val="2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Liabilities</w:t>
            </w:r>
          </w:p>
        </w:tc>
      </w:tr>
      <w:tr w:rsidR="00000000">
        <w:trPr>
          <w:divId w:val="7891294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891294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8912947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49,703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57,587 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82,650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96,900 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132,353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154,487 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8912947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6,103 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2,829 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8,777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141,130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164,821 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891294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78912947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68,343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62,268 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17,388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15,492 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758 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694 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4,674 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89,408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82,434 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FFFFFF"/>
            <w:tcMar>
              <w:top w:w="30" w:type="dxa"/>
              <w:left w:w="20" w:type="dxa"/>
              <w:bottom w:w="30" w:type="dxa"/>
              <w:right w:w="20" w:type="dxa"/>
            </w:tcMar>
            <w:vAlign w:val="center"/>
            <w:hideMark/>
          </w:tcPr>
          <w:p w:rsidR="00000000" w:rsidRDefault="00795D39">
            <w:pPr>
              <w:divId w:val="184372150"/>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7,300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6,729 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99,375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3,144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90,725 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240,505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255,546 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9"/>
            <w:shd w:val="clear" w:color="auto" w:fill="FFFFFF"/>
            <w:tcMar>
              <w:top w:w="30" w:type="dxa"/>
              <w:left w:w="20" w:type="dxa"/>
              <w:bottom w:w="30" w:type="dxa"/>
              <w:right w:w="20" w:type="dxa"/>
            </w:tcMar>
            <w:vAlign w:val="center"/>
            <w:hideMark/>
          </w:tcPr>
          <w:p w:rsidR="00000000" w:rsidRDefault="00795D39">
            <w:pPr>
              <w:divId w:val="621502774"/>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(1,622)</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(708)</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(633)</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(523)</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789129477"/>
        </w:trPr>
        <w:tc>
          <w:tcPr>
            <w:tcW w:w="0" w:type="auto"/>
            <w:gridSpan w:val="9"/>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derivative assets/liabilities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173422177"/>
        <w:rPr>
          <w:rFonts w:eastAsia="Times New Roman"/>
        </w:rPr>
      </w:pPr>
      <w:r>
        <w:rPr>
          <w:rFonts w:eastAsia="Times New Roman"/>
          <w:color w:val="000000"/>
          <w:sz w:val="20"/>
          <w:szCs w:val="20"/>
        </w:rPr>
        <w:t>__________</w:t>
      </w:r>
    </w:p>
    <w:p w:rsidR="00000000" w:rsidRDefault="00795D39">
      <w:pPr>
        <w:ind w:hanging="360"/>
        <w:jc w:val="both"/>
        <w:divId w:val="3011180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$40 million and $12 million</w:t>
      </w:r>
      <w:r>
        <w:rPr>
          <w:rFonts w:eastAsia="Times New Roman"/>
          <w:color w:val="000000"/>
          <w:sz w:val="16"/>
          <w:szCs w:val="16"/>
          <w:shd w:val="clear" w:color="auto" w:fill="FFFFFF"/>
        </w:rPr>
        <w:t xml:space="preserve"> </w:t>
      </w:r>
      <w:r>
        <w:rPr>
          <w:rFonts w:eastAsia="Times New Roman"/>
          <w:color w:val="000000"/>
          <w:sz w:val="16"/>
          <w:szCs w:val="16"/>
          <w:shd w:val="clear" w:color="auto" w:fill="FFFFFF"/>
        </w:rPr>
        <w:t>recognized as a net valuation allowance on derivative assets and liabilities for non-performance risk as of September 30, 2020 and December 31, 2019, respectively. Non-performance risk is included in derivative assets and liabilities, which are part of oth</w:t>
      </w:r>
      <w:r>
        <w:rPr>
          <w:rFonts w:eastAsia="Times New Roman"/>
          <w:color w:val="000000"/>
          <w:sz w:val="16"/>
          <w:szCs w:val="16"/>
          <w:shd w:val="clear" w:color="auto" w:fill="FFFFFF"/>
        </w:rPr>
        <w:t>er assets and other liabilities on the consolidated balance sheets, and is offset through non-interest income in the consolidated statements of income.</w:t>
      </w:r>
    </w:p>
    <w:p w:rsidR="00000000" w:rsidRDefault="00795D39">
      <w:pPr>
        <w:ind w:hanging="360"/>
        <w:jc w:val="both"/>
        <w:divId w:val="141158275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interest rate exposures include commercial mortgage-related derivatives and interest rate swaps</w:t>
      </w:r>
      <w:r>
        <w:rPr>
          <w:rFonts w:eastAsia="Times New Roman"/>
          <w:color w:val="000000"/>
          <w:sz w:val="16"/>
          <w:szCs w:val="16"/>
        </w:rPr>
        <w:t>.</w:t>
      </w:r>
    </w:p>
    <w:p w:rsidR="00000000" w:rsidRDefault="00795D39">
      <w:pPr>
        <w:ind w:hanging="360"/>
        <w:jc w:val="both"/>
        <w:divId w:val="37619919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liabilities, and related payables and receivables for cash collateral held or placed with the same counterparty.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46855252"/>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4685525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44685525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39" style="width:0;height:1.5pt" o:hralign="center" o:hrstd="t" o:hr="t" fillcolor="#a0a0a0" stroked="f"/>
        </w:pict>
      </w:r>
    </w:p>
    <w:p w:rsidR="00000000" w:rsidRDefault="00795D39">
      <w:pPr>
        <w:jc w:val="both"/>
        <w:divId w:val="145918138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459181381"/>
        <w:rPr>
          <w:rFonts w:eastAsia="Times New Roman"/>
        </w:rPr>
      </w:pPr>
    </w:p>
    <w:p w:rsidR="00000000" w:rsidRDefault="00795D39">
      <w:pPr>
        <w:jc w:val="both"/>
        <w:divId w:val="638152858"/>
        <w:rPr>
          <w:rFonts w:eastAsia="Times New Roman"/>
        </w:rPr>
      </w:pPr>
      <w:r>
        <w:rPr>
          <w:rFonts w:eastAsia="Times New Roman"/>
          <w:color w:val="000000"/>
          <w:sz w:val="20"/>
          <w:szCs w:val="20"/>
        </w:rPr>
        <w:t>The following table summarizes the carrying value of our hedged assets and liabilities in fair value hedges and the associated cumulative basi</w:t>
      </w:r>
      <w:r>
        <w:rPr>
          <w:rFonts w:eastAsia="Times New Roman"/>
          <w:color w:val="000000"/>
          <w:sz w:val="20"/>
          <w:szCs w:val="20"/>
        </w:rPr>
        <w:t>s adjustments included in those carrying values, excluding basis adjustments related to foreign currency risk, as of September 30, 2020 and December 31, 2019.</w:t>
      </w:r>
    </w:p>
    <w:p w:rsidR="00000000" w:rsidRDefault="00795D39">
      <w:pPr>
        <w:divId w:val="2096659992"/>
        <w:rPr>
          <w:rFonts w:eastAsia="Times New Roman"/>
        </w:rPr>
      </w:pPr>
      <w:r>
        <w:rPr>
          <w:rFonts w:eastAsia="Times New Roman"/>
          <w:b/>
          <w:bCs/>
          <w:color w:val="000000"/>
          <w:sz w:val="18"/>
          <w:szCs w:val="18"/>
        </w:rPr>
        <w:t>Table 8.2: Hedged Items in Fair Value Hedging Relationships</w:t>
      </w:r>
    </w:p>
    <w:tbl>
      <w:tblPr>
        <w:tblW w:w="4985" w:type="pct"/>
        <w:tblCellMar>
          <w:top w:w="15" w:type="dxa"/>
          <w:left w:w="15" w:type="dxa"/>
          <w:bottom w:w="15" w:type="dxa"/>
          <w:right w:w="15" w:type="dxa"/>
        </w:tblCellMar>
        <w:tblLook w:val="04A0" w:firstRow="1" w:lastRow="0" w:firstColumn="1" w:lastColumn="0" w:noHBand="0" w:noVBand="1"/>
      </w:tblPr>
      <w:tblGrid>
        <w:gridCol w:w="38"/>
        <w:gridCol w:w="967"/>
        <w:gridCol w:w="37"/>
        <w:gridCol w:w="36"/>
        <w:gridCol w:w="36"/>
        <w:gridCol w:w="36"/>
        <w:gridCol w:w="124"/>
        <w:gridCol w:w="1167"/>
        <w:gridCol w:w="36"/>
        <w:gridCol w:w="36"/>
        <w:gridCol w:w="36"/>
        <w:gridCol w:w="36"/>
        <w:gridCol w:w="124"/>
        <w:gridCol w:w="1168"/>
        <w:gridCol w:w="37"/>
        <w:gridCol w:w="36"/>
        <w:gridCol w:w="36"/>
        <w:gridCol w:w="36"/>
        <w:gridCol w:w="111"/>
        <w:gridCol w:w="889"/>
        <w:gridCol w:w="37"/>
        <w:gridCol w:w="36"/>
        <w:gridCol w:w="36"/>
        <w:gridCol w:w="36"/>
        <w:gridCol w:w="124"/>
        <w:gridCol w:w="1167"/>
        <w:gridCol w:w="36"/>
        <w:gridCol w:w="36"/>
        <w:gridCol w:w="36"/>
        <w:gridCol w:w="36"/>
        <w:gridCol w:w="124"/>
        <w:gridCol w:w="1168"/>
        <w:gridCol w:w="37"/>
        <w:gridCol w:w="36"/>
        <w:gridCol w:w="36"/>
        <w:gridCol w:w="36"/>
        <w:gridCol w:w="111"/>
        <w:gridCol w:w="889"/>
        <w:gridCol w:w="37"/>
      </w:tblGrid>
      <w:tr w:rsidR="00000000">
        <w:trPr>
          <w:divId w:val="1921138609"/>
        </w:trPr>
        <w:tc>
          <w:tcPr>
            <w:tcW w:w="50" w:type="pct"/>
            <w:vAlign w:val="center"/>
            <w:hideMark/>
          </w:tcPr>
          <w:p w:rsidR="00000000" w:rsidRDefault="00795D39">
            <w:pPr>
              <w:rPr>
                <w:rFonts w:eastAsia="Times New Roman"/>
              </w:rPr>
            </w:pPr>
          </w:p>
        </w:tc>
        <w:tc>
          <w:tcPr>
            <w:tcW w:w="155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2113860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921138609"/>
          <w:trHeight w:val="58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Cumulative Amount of Basis Adjustments Included in the Carrying Amount</w:t>
            </w:r>
          </w:p>
        </w:tc>
      </w:tr>
      <w:tr w:rsidR="00000000">
        <w:trPr>
          <w:divId w:val="1921138609"/>
          <w:trHeight w:val="60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r>
            <w:r>
              <w:rPr>
                <w:rFonts w:eastAsia="Times New Roman"/>
                <w:b/>
                <w:bCs/>
                <w:color w:val="000000"/>
                <w:sz w:val="16"/>
                <w:szCs w:val="16"/>
              </w:rPr>
              <w:t>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Discontinued-Hedging Relationships</w:t>
            </w:r>
          </w:p>
        </w:tc>
      </w:tr>
      <w:tr w:rsidR="00000000">
        <w:trPr>
          <w:divId w:val="19211386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21138609"/>
        </w:trPr>
        <w:tc>
          <w:tcPr>
            <w:tcW w:w="0" w:type="auto"/>
            <w:gridSpan w:val="3"/>
            <w:shd w:val="clear" w:color="auto" w:fill="FFFFFF"/>
            <w:tcMar>
              <w:top w:w="30" w:type="dxa"/>
              <w:left w:w="20" w:type="dxa"/>
              <w:bottom w:w="30" w:type="dxa"/>
              <w:right w:w="20" w:type="dxa"/>
            </w:tcMar>
            <w:vAlign w:val="center"/>
            <w:hideMark/>
          </w:tcPr>
          <w:p w:rsidR="00000000" w:rsidRDefault="00795D39">
            <w:pPr>
              <w:divId w:val="2142068097"/>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9,831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2113860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(12,865)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(14,310)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2113860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(8,473)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(9,403)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2113860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(21,989)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(1,425)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w:t>
            </w:r>
            <w:r>
              <w:rPr>
                <w:rFonts w:eastAsia="Times New Roman"/>
                <w:b/>
                <w:bCs/>
                <w:color w:val="000000"/>
                <w:sz w:val="18"/>
                <w:szCs w:val="18"/>
              </w:rPr>
              <w:t>700)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(27,777)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968117867"/>
        <w:rPr>
          <w:rFonts w:eastAsia="Times New Roman"/>
        </w:rPr>
      </w:pPr>
      <w:r>
        <w:rPr>
          <w:rFonts w:eastAsia="Times New Roman"/>
          <w:color w:val="000000"/>
          <w:sz w:val="20"/>
          <w:szCs w:val="20"/>
        </w:rPr>
        <w:t>__________</w:t>
      </w:r>
    </w:p>
    <w:p w:rsidR="00000000" w:rsidRDefault="00795D39">
      <w:pPr>
        <w:ind w:hanging="360"/>
        <w:jc w:val="both"/>
        <w:divId w:val="136590503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ignated in hedging relationships for which the hedged item is the last layer expected to be remaining at the end of the hedging relationship. In the second quarter of 2020, we terminated all last of layer hedging relationships with cumulative basis adjustm</w:t>
      </w:r>
      <w:r>
        <w:rPr>
          <w:rFonts w:eastAsia="Times New Roman"/>
          <w:color w:val="000000"/>
          <w:sz w:val="16"/>
          <w:szCs w:val="16"/>
        </w:rPr>
        <w:t>ents related to these discontinued hedging relationships totaling $206 million as of September 30, 2020. As of December 31, 2019, the amortized cost basis of this portfolio was $5.9 billion, the amount of the designated hedged items was $3.1 billion, and t</w:t>
      </w:r>
      <w:r>
        <w:rPr>
          <w:rFonts w:eastAsia="Times New Roman"/>
          <w:color w:val="000000"/>
          <w:sz w:val="16"/>
          <w:szCs w:val="16"/>
        </w:rPr>
        <w:t>he cumulative basis adjustment associated with these hedges was $75 million.</w:t>
      </w:r>
    </w:p>
    <w:p w:rsidR="00000000" w:rsidRDefault="00795D39">
      <w:pPr>
        <w:ind w:hanging="360"/>
        <w:jc w:val="both"/>
        <w:divId w:val="165113661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Carrying value represents amortized cost.</w:t>
      </w:r>
    </w:p>
    <w:p w:rsidR="00000000" w:rsidRDefault="00795D39">
      <w:pPr>
        <w:divId w:val="2057390428"/>
        <w:rPr>
          <w:rFonts w:eastAsia="Times New Roman"/>
        </w:rPr>
      </w:pPr>
      <w:r>
        <w:rPr>
          <w:rFonts w:eastAsia="Times New Roman"/>
          <w:b/>
          <w:bCs/>
          <w:color w:val="000000"/>
          <w:sz w:val="20"/>
          <w:szCs w:val="20"/>
        </w:rPr>
        <w:t>Balance Sheet Offsetting of Financial Assets and Liabilities</w:t>
      </w:r>
    </w:p>
    <w:p w:rsidR="00000000" w:rsidRDefault="00795D39">
      <w:pPr>
        <w:jc w:val="both"/>
        <w:divId w:val="1498958114"/>
        <w:rPr>
          <w:rFonts w:eastAsia="Times New Roman"/>
        </w:rPr>
      </w:pPr>
      <w:r>
        <w:rPr>
          <w:rFonts w:eastAsia="Times New Roman"/>
          <w:color w:val="000000"/>
          <w:sz w:val="20"/>
          <w:szCs w:val="20"/>
        </w:rPr>
        <w:t>Derivative contracts and repurchase agreements that we execute bilaterall</w:t>
      </w:r>
      <w:r>
        <w:rPr>
          <w:rFonts w:eastAsia="Times New Roman"/>
          <w:color w:val="000000"/>
          <w:sz w:val="20"/>
          <w:szCs w:val="20"/>
        </w:rPr>
        <w:t>y in the OTC market are generally governed by enforceable master netting arrangements where we generally have the right to offset exposure with the same counterparty. Either counterparty can generally request to net settle all contracts through a single pa</w:t>
      </w:r>
      <w:r>
        <w:rPr>
          <w:rFonts w:eastAsia="Times New Roman"/>
          <w:color w:val="000000"/>
          <w:sz w:val="20"/>
          <w:szCs w:val="20"/>
        </w:rPr>
        <w:t>yment upon default on, or termination of, any one contract. We elect to offset the derivative assets and liabilities under master netting arrangements for balance sheet presentation where a right of setoff exists. For derivative contracts entered into unde</w:t>
      </w:r>
      <w:r>
        <w:rPr>
          <w:rFonts w:eastAsia="Times New Roman"/>
          <w:color w:val="000000"/>
          <w:sz w:val="20"/>
          <w:szCs w:val="20"/>
        </w:rPr>
        <w:t>r master netting arrangements for which we have not been able to confirm the enforceability of the setoff rights, or those not subject to master netting arrangements, we do not offset our derivative positions for balance sheet presentation.</w:t>
      </w:r>
    </w:p>
    <w:p w:rsidR="00000000" w:rsidRDefault="00795D39">
      <w:pPr>
        <w:jc w:val="both"/>
        <w:divId w:val="880479474"/>
        <w:rPr>
          <w:rFonts w:eastAsia="Times New Roman"/>
        </w:rPr>
      </w:pPr>
      <w:r>
        <w:rPr>
          <w:rFonts w:eastAsia="Times New Roman"/>
          <w:color w:val="000000"/>
          <w:sz w:val="20"/>
          <w:szCs w:val="20"/>
        </w:rPr>
        <w:t>The following t</w:t>
      </w:r>
      <w:r>
        <w:rPr>
          <w:rFonts w:eastAsia="Times New Roman"/>
          <w:color w:val="000000"/>
          <w:sz w:val="20"/>
          <w:szCs w:val="20"/>
        </w:rPr>
        <w:t>able presents the gross and net fair values of our derivative assets, derivative liabilities, resale and repurchase agreements and the related offsetting amounts permitted under U.S. GAAP as of September 30, 2020 and December 31, 2019. The table also inclu</w:t>
      </w:r>
      <w:r>
        <w:rPr>
          <w:rFonts w:eastAsia="Times New Roman"/>
          <w:color w:val="000000"/>
          <w:sz w:val="20"/>
          <w:szCs w:val="20"/>
        </w:rPr>
        <w:t>des cash and non-cash collateral received or pledged in accordance with such arrangements. The amount of collateral presented, however, is limited to the amount of the related net derivative fair values or outstanding balances; therefore, instances of over</w:t>
      </w:r>
      <w:r>
        <w:rPr>
          <w:rFonts w:eastAsia="Times New Roman"/>
          <w:color w:val="000000"/>
          <w:sz w:val="20"/>
          <w:szCs w:val="20"/>
        </w:rPr>
        <w:t>-collateralization are excluded.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8435408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8435408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8435408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0" style="width:0;height:1.5pt" o:hralign="center" o:hrstd="t" o:hr="t" fillcolor="#a0a0a0" stroked="f"/>
        </w:pict>
      </w:r>
    </w:p>
    <w:p w:rsidR="00000000" w:rsidRDefault="00795D39">
      <w:pPr>
        <w:jc w:val="both"/>
        <w:divId w:val="63799522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637995224"/>
        <w:rPr>
          <w:rFonts w:eastAsia="Times New Roman"/>
        </w:rPr>
      </w:pPr>
    </w:p>
    <w:p w:rsidR="00000000" w:rsidRDefault="00795D39">
      <w:pPr>
        <w:divId w:val="1221090835"/>
        <w:rPr>
          <w:rFonts w:eastAsia="Times New Roman"/>
        </w:rPr>
      </w:pPr>
      <w:r>
        <w:rPr>
          <w:rFonts w:eastAsia="Times New Roman"/>
          <w:b/>
          <w:bCs/>
          <w:color w:val="000000"/>
          <w:sz w:val="18"/>
          <w:szCs w:val="18"/>
        </w:rPr>
        <w:t>Table 8.3: Offsetting of Financial Assets and Financial Liabilities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trPr>
          <w:divId w:val="676348771"/>
        </w:trPr>
        <w:tc>
          <w:tcPr>
            <w:tcW w:w="50" w:type="pct"/>
            <w:vAlign w:val="center"/>
            <w:hideMark/>
          </w:tcPr>
          <w:p w:rsidR="00000000" w:rsidRDefault="00795D39">
            <w:pPr>
              <w:rPr>
                <w:rFonts w:eastAsia="Times New Roman"/>
              </w:rPr>
            </w:pPr>
          </w:p>
        </w:tc>
        <w:tc>
          <w:tcPr>
            <w:tcW w:w="15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5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76348771"/>
          <w:trHeight w:val="42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76348771"/>
          <w:trHeight w:val="42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Exposure</w:t>
            </w:r>
          </w:p>
        </w:tc>
      </w:tr>
      <w:tr w:rsidR="00000000">
        <w:trPr>
          <w:divId w:val="67634877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76348771"/>
        </w:trPr>
        <w:tc>
          <w:tcPr>
            <w:tcW w:w="0" w:type="auto"/>
            <w:gridSpan w:val="3"/>
            <w:shd w:val="clear" w:color="auto" w:fill="FFFFFF"/>
            <w:tcMar>
              <w:top w:w="30" w:type="dxa"/>
              <w:left w:w="20" w:type="dxa"/>
              <w:bottom w:w="30" w:type="dxa"/>
              <w:right w:w="20" w:type="dxa"/>
            </w:tcMar>
            <w:vAlign w:val="center"/>
            <w:hideMark/>
          </w:tcPr>
          <w:p w:rsidR="00000000" w:rsidRDefault="00795D39">
            <w:pPr>
              <w:divId w:val="303506006"/>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(1,087)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7634877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76348771"/>
        </w:trPr>
        <w:tc>
          <w:tcPr>
            <w:tcW w:w="0" w:type="auto"/>
            <w:gridSpan w:val="3"/>
            <w:shd w:val="clear" w:color="auto" w:fill="FFFFFF"/>
            <w:tcMar>
              <w:top w:w="30" w:type="dxa"/>
              <w:left w:w="20" w:type="dxa"/>
              <w:bottom w:w="30" w:type="dxa"/>
              <w:right w:w="20" w:type="dxa"/>
            </w:tcMar>
            <w:vAlign w:val="center"/>
            <w:hideMark/>
          </w:tcPr>
          <w:p w:rsidR="00000000" w:rsidRDefault="00795D39">
            <w:pPr>
              <w:divId w:val="1030643983"/>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1,729 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1,096 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1,096 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2542"/>
        <w:gridCol w:w="144"/>
        <w:gridCol w:w="144"/>
        <w:gridCol w:w="144"/>
        <w:gridCol w:w="144"/>
        <w:gridCol w:w="144"/>
        <w:gridCol w:w="601"/>
        <w:gridCol w:w="144"/>
        <w:gridCol w:w="144"/>
        <w:gridCol w:w="144"/>
        <w:gridCol w:w="144"/>
        <w:gridCol w:w="144"/>
        <w:gridCol w:w="696"/>
        <w:gridCol w:w="144"/>
        <w:gridCol w:w="144"/>
        <w:gridCol w:w="144"/>
        <w:gridCol w:w="144"/>
        <w:gridCol w:w="144"/>
        <w:gridCol w:w="880"/>
        <w:gridCol w:w="144"/>
        <w:gridCol w:w="144"/>
        <w:gridCol w:w="144"/>
        <w:gridCol w:w="144"/>
        <w:gridCol w:w="144"/>
        <w:gridCol w:w="794"/>
        <w:gridCol w:w="144"/>
        <w:gridCol w:w="144"/>
        <w:gridCol w:w="144"/>
        <w:gridCol w:w="144"/>
        <w:gridCol w:w="144"/>
        <w:gridCol w:w="1086"/>
        <w:gridCol w:w="144"/>
        <w:gridCol w:w="144"/>
        <w:gridCol w:w="144"/>
        <w:gridCol w:w="144"/>
        <w:gridCol w:w="144"/>
        <w:gridCol w:w="648"/>
        <w:gridCol w:w="144"/>
      </w:tblGrid>
      <w:tr w:rsidR="00000000">
        <w:tc>
          <w:tcPr>
            <w:tcW w:w="50" w:type="pct"/>
            <w:vAlign w:val="center"/>
            <w:hideMark/>
          </w:tcPr>
          <w:p w:rsidR="00000000" w:rsidRDefault="00795D39">
            <w:pPr>
              <w:rPr>
                <w:rFonts w:eastAsia="Times New Roman"/>
              </w:rPr>
            </w:pPr>
          </w:p>
        </w:tc>
        <w:tc>
          <w:tcPr>
            <w:tcW w:w="154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8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5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42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trHeight w:val="42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Exposure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divId w:val="914781571"/>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divId w:val="1246568260"/>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divId w:val="132791442"/>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1,197 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divId w:val="1182235960"/>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719593936"/>
        <w:rPr>
          <w:rFonts w:eastAsia="Times New Roman"/>
        </w:rPr>
      </w:pPr>
      <w:r>
        <w:rPr>
          <w:rFonts w:eastAsia="Times New Roman"/>
          <w:color w:val="000000"/>
          <w:sz w:val="20"/>
          <w:szCs w:val="20"/>
        </w:rPr>
        <w:t>__________</w:t>
      </w:r>
    </w:p>
    <w:p w:rsidR="00000000" w:rsidRDefault="00795D39">
      <w:pPr>
        <w:ind w:hanging="360"/>
        <w:jc w:val="both"/>
        <w:divId w:val="84196778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received cash collateral from derivative counterparties totaling $1.2 billion and $347 million as of September 30, 2020 and December 31, 2019, respectively. We also rec</w:t>
      </w:r>
      <w:r>
        <w:rPr>
          <w:rFonts w:eastAsia="Times New Roman"/>
          <w:color w:val="000000"/>
          <w:sz w:val="16"/>
          <w:szCs w:val="16"/>
        </w:rPr>
        <w:t>eived securities from derivative counterparties with a fair value of approximately $1 million</w:t>
      </w:r>
      <w:r>
        <w:rPr>
          <w:rFonts w:eastAsia="Times New Roman"/>
          <w:color w:val="000000"/>
          <w:sz w:val="16"/>
          <w:szCs w:val="16"/>
          <w:shd w:val="clear" w:color="auto" w:fill="FFFFFF"/>
        </w:rPr>
        <w:t xml:space="preserve"> </w:t>
      </w:r>
      <w:r>
        <w:rPr>
          <w:rFonts w:eastAsia="Times New Roman"/>
          <w:color w:val="000000"/>
          <w:sz w:val="16"/>
          <w:szCs w:val="16"/>
        </w:rPr>
        <w:t>as of both September 30, 2020 and December 31, 2019, which we have the ability to re-pledge. We posted $1.4 billion and $954 million of cash collateral as of Sept</w:t>
      </w:r>
      <w:r>
        <w:rPr>
          <w:rFonts w:eastAsia="Times New Roman"/>
          <w:color w:val="000000"/>
          <w:sz w:val="16"/>
          <w:szCs w:val="16"/>
        </w:rPr>
        <w:t>ember 30, 2020 and December 31, 2019, respectively.</w:t>
      </w:r>
    </w:p>
    <w:p w:rsidR="00000000" w:rsidRDefault="00795D39">
      <w:pPr>
        <w:ind w:hanging="360"/>
        <w:jc w:val="both"/>
        <w:divId w:val="208734251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Under our customer repurchase agreements, which mature the next business day, we pledged collateral with a fair value of </w:t>
      </w:r>
      <w:r>
        <w:rPr>
          <w:rFonts w:eastAsia="Times New Roman"/>
          <w:color w:val="000000"/>
          <w:sz w:val="16"/>
          <w:szCs w:val="16"/>
          <w:shd w:val="clear" w:color="auto" w:fill="FFFFFF"/>
        </w:rPr>
        <w:t>$716 million</w:t>
      </w:r>
      <w:r>
        <w:rPr>
          <w:rFonts w:eastAsia="Times New Roman"/>
          <w:color w:val="000000"/>
          <w:sz w:val="16"/>
          <w:szCs w:val="16"/>
        </w:rPr>
        <w:t xml:space="preserve"> and $320 million as of September 30, 2020 and December 31, 2019, respectively, primarily consisting of agency RMBS securit</w:t>
      </w:r>
      <w:r>
        <w:rPr>
          <w:rFonts w:eastAsia="Times New Roman"/>
          <w:color w:val="000000"/>
          <w:sz w:val="16"/>
          <w:szCs w:val="16"/>
        </w:rPr>
        <w:t>ies.</w:t>
      </w:r>
    </w:p>
    <w:p w:rsidR="00000000" w:rsidRDefault="00795D39">
      <w:pPr>
        <w:divId w:val="77575487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3500481"/>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3500481"/>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3500481"/>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1" style="width:0;height:1.5pt" o:hralign="center" o:hrstd="t" o:hr="t" fillcolor="#a0a0a0" stroked="f"/>
        </w:pict>
      </w:r>
    </w:p>
    <w:p w:rsidR="00000000" w:rsidRDefault="00795D39">
      <w:pPr>
        <w:jc w:val="both"/>
        <w:divId w:val="175046879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750468793"/>
        <w:rPr>
          <w:rFonts w:eastAsia="Times New Roman"/>
        </w:rPr>
      </w:pPr>
    </w:p>
    <w:p w:rsidR="00000000" w:rsidRDefault="00795D39">
      <w:pPr>
        <w:divId w:val="461844723"/>
        <w:rPr>
          <w:rFonts w:eastAsia="Times New Roman"/>
        </w:rPr>
      </w:pPr>
      <w:r>
        <w:rPr>
          <w:rFonts w:eastAsia="Times New Roman"/>
          <w:b/>
          <w:bCs/>
          <w:color w:val="000000"/>
          <w:sz w:val="20"/>
          <w:szCs w:val="20"/>
        </w:rPr>
        <w:t>Income Statement and AOCI Presentation</w:t>
      </w:r>
    </w:p>
    <w:p w:rsidR="00000000" w:rsidRDefault="00795D39">
      <w:pPr>
        <w:divId w:val="26377276"/>
        <w:rPr>
          <w:rFonts w:eastAsia="Times New Roman"/>
        </w:rPr>
      </w:pPr>
      <w:r>
        <w:rPr>
          <w:rFonts w:eastAsia="Times New Roman"/>
          <w:b/>
          <w:bCs/>
          <w:i/>
          <w:iCs/>
          <w:color w:val="000000"/>
          <w:sz w:val="20"/>
          <w:szCs w:val="20"/>
        </w:rPr>
        <w:t>Fair Value and Cash Flow Hedges</w:t>
      </w:r>
    </w:p>
    <w:p w:rsidR="00000000" w:rsidRDefault="00795D39">
      <w:pPr>
        <w:jc w:val="both"/>
        <w:divId w:val="1028332908"/>
        <w:rPr>
          <w:rFonts w:eastAsia="Times New Roman"/>
        </w:rPr>
      </w:pPr>
      <w:r>
        <w:rPr>
          <w:rFonts w:eastAsia="Times New Roman"/>
          <w:color w:val="000000"/>
          <w:sz w:val="20"/>
          <w:szCs w:val="20"/>
        </w:rPr>
        <w:t>The net gains (losses) recognized in our consolidated statements of inc</w:t>
      </w:r>
      <w:r>
        <w:rPr>
          <w:rFonts w:eastAsia="Times New Roman"/>
          <w:color w:val="000000"/>
          <w:sz w:val="20"/>
          <w:szCs w:val="20"/>
        </w:rPr>
        <w:t xml:space="preserve">ome related to derivatives in fair value and cash flow hedging relationships are presented below for the three and nine months ended September 30, 2020 and 2019. </w:t>
      </w:r>
    </w:p>
    <w:p w:rsidR="00000000" w:rsidRDefault="00795D39">
      <w:pPr>
        <w:divId w:val="1229194843"/>
        <w:rPr>
          <w:rFonts w:eastAsia="Times New Roman"/>
        </w:rPr>
      </w:pPr>
      <w:r>
        <w:rPr>
          <w:rFonts w:eastAsia="Times New Roman"/>
          <w:b/>
          <w:bCs/>
          <w:color w:val="000000"/>
          <w:sz w:val="18"/>
          <w:szCs w:val="18"/>
        </w:rPr>
        <w:t>Table 8.4: Effects of Fair Value and Cash Flow Hedge Accounting</w:t>
      </w:r>
    </w:p>
    <w:tbl>
      <w:tblPr>
        <w:tblW w:w="4956" w:type="pct"/>
        <w:tblCellMar>
          <w:top w:w="15" w:type="dxa"/>
          <w:left w:w="15" w:type="dxa"/>
          <w:bottom w:w="15" w:type="dxa"/>
          <w:right w:w="15" w:type="dxa"/>
        </w:tblCellMar>
        <w:tblLook w:val="04A0" w:firstRow="1" w:lastRow="0" w:firstColumn="1" w:lastColumn="0" w:noHBand="0" w:noVBand="1"/>
      </w:tblPr>
      <w:tblGrid>
        <w:gridCol w:w="54"/>
        <w:gridCol w:w="90"/>
        <w:gridCol w:w="1609"/>
        <w:gridCol w:w="39"/>
        <w:gridCol w:w="36"/>
        <w:gridCol w:w="36"/>
        <w:gridCol w:w="36"/>
        <w:gridCol w:w="111"/>
        <w:gridCol w:w="718"/>
        <w:gridCol w:w="36"/>
        <w:gridCol w:w="36"/>
        <w:gridCol w:w="6"/>
        <w:gridCol w:w="30"/>
        <w:gridCol w:w="36"/>
        <w:gridCol w:w="78"/>
        <w:gridCol w:w="33"/>
        <w:gridCol w:w="111"/>
        <w:gridCol w:w="515"/>
        <w:gridCol w:w="36"/>
        <w:gridCol w:w="36"/>
        <w:gridCol w:w="36"/>
        <w:gridCol w:w="36"/>
        <w:gridCol w:w="111"/>
        <w:gridCol w:w="566"/>
        <w:gridCol w:w="36"/>
        <w:gridCol w:w="36"/>
        <w:gridCol w:w="36"/>
        <w:gridCol w:w="36"/>
        <w:gridCol w:w="111"/>
        <w:gridCol w:w="620"/>
        <w:gridCol w:w="36"/>
        <w:gridCol w:w="36"/>
        <w:gridCol w:w="36"/>
        <w:gridCol w:w="36"/>
        <w:gridCol w:w="111"/>
        <w:gridCol w:w="210"/>
        <w:gridCol w:w="144"/>
        <w:gridCol w:w="144"/>
        <w:gridCol w:w="247"/>
        <w:gridCol w:w="36"/>
        <w:gridCol w:w="36"/>
        <w:gridCol w:w="36"/>
        <w:gridCol w:w="36"/>
        <w:gridCol w:w="111"/>
        <w:gridCol w:w="871"/>
        <w:gridCol w:w="36"/>
        <w:gridCol w:w="36"/>
        <w:gridCol w:w="36"/>
        <w:gridCol w:w="36"/>
        <w:gridCol w:w="111"/>
        <w:gridCol w:w="510"/>
        <w:gridCol w:w="36"/>
        <w:gridCol w:w="502"/>
        <w:gridCol w:w="144"/>
      </w:tblGrid>
      <w:tr w:rsidR="00000000">
        <w:trPr>
          <w:gridAfter w:val="2"/>
          <w:divId w:val="1102530106"/>
        </w:trPr>
        <w:tc>
          <w:tcPr>
            <w:tcW w:w="50" w:type="pct"/>
            <w:vAlign w:val="center"/>
            <w:hideMark/>
          </w:tcPr>
          <w:p w:rsidR="00000000" w:rsidRDefault="00795D39">
            <w:pPr>
              <w:rPr>
                <w:rFonts w:eastAsia="Times New Roman"/>
              </w:rPr>
            </w:pPr>
          </w:p>
        </w:tc>
        <w:tc>
          <w:tcPr>
            <w:tcW w:w="1095"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468"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8" w:type="pct"/>
            <w:gridSpan w:val="4"/>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gridAfter w:val="2"/>
          <w:divId w:val="1102530106"/>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6"/>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gridAfter w:val="2"/>
          <w:divId w:val="1102530106"/>
        </w:trPr>
        <w:tc>
          <w:tcPr>
            <w:tcW w:w="0" w:type="auto"/>
            <w:gridSpan w:val="4"/>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2020</w:t>
            </w:r>
          </w:p>
        </w:tc>
      </w:tr>
      <w:tr w:rsidR="00000000">
        <w:trPr>
          <w:gridAfter w:val="2"/>
          <w:divId w:val="1102530106"/>
        </w:trPr>
        <w:tc>
          <w:tcPr>
            <w:tcW w:w="0" w:type="auto"/>
            <w:gridSpan w:val="4"/>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Non-Interest Income</w:t>
            </w:r>
          </w:p>
        </w:tc>
      </w:tr>
      <w:tr w:rsidR="00000000">
        <w:trPr>
          <w:gridAfter w:val="2"/>
          <w:divId w:val="1102530106"/>
        </w:trPr>
        <w:tc>
          <w:tcPr>
            <w:tcW w:w="0" w:type="auto"/>
            <w:gridSpan w:val="4"/>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Investment Securities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r>
      <w:tr w:rsidR="00795D39">
        <w:trPr>
          <w:gridAfter w:val="2"/>
          <w:divId w:val="1102530106"/>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5,758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10253010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102530106"/>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gridAfter w:val="2"/>
          <w:divId w:val="1102530106"/>
        </w:trPr>
        <w:tc>
          <w:tcPr>
            <w:tcW w:w="0" w:type="auto"/>
            <w:gridSpan w:val="4"/>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102530106"/>
        </w:trPr>
        <w:tc>
          <w:tcPr>
            <w:tcW w:w="0" w:type="auto"/>
            <w:gridSpan w:val="4"/>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(47)</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(48)</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(72)</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102530106"/>
        </w:trPr>
        <w:tc>
          <w:tcPr>
            <w:tcW w:w="0" w:type="auto"/>
            <w:gridSpan w:val="4"/>
            <w:shd w:val="clear" w:color="auto" w:fill="FFFFFF"/>
            <w:tcMar>
              <w:top w:w="30" w:type="dxa"/>
              <w:left w:w="20" w:type="dxa"/>
              <w:bottom w:w="30" w:type="dxa"/>
              <w:right w:w="20" w:type="dxa"/>
            </w:tcMar>
            <w:vAlign w:val="center"/>
            <w:hideMark/>
          </w:tcPr>
          <w:p w:rsidR="00000000" w:rsidRDefault="00795D39">
            <w:pPr>
              <w:divId w:val="1494687794"/>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(31)</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(61)</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102530106"/>
        </w:trPr>
        <w:tc>
          <w:tcPr>
            <w:tcW w:w="0" w:type="auto"/>
            <w:gridSpan w:val="4"/>
            <w:shd w:val="clear" w:color="auto" w:fill="CCEEFF"/>
            <w:tcMar>
              <w:top w:w="30" w:type="dxa"/>
              <w:left w:w="20" w:type="dxa"/>
              <w:bottom w:w="30" w:type="dxa"/>
              <w:right w:w="20" w:type="dxa"/>
            </w:tcMar>
            <w:vAlign w:val="center"/>
            <w:hideMark/>
          </w:tcPr>
          <w:p w:rsidR="00000000" w:rsidRDefault="00795D39">
            <w:pPr>
              <w:divId w:val="689063810"/>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gridAfter w:val="2"/>
          <w:divId w:val="110253010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102530106"/>
        </w:trPr>
        <w:tc>
          <w:tcPr>
            <w:tcW w:w="0" w:type="auto"/>
            <w:gridSpan w:val="4"/>
            <w:shd w:val="clear" w:color="auto" w:fill="CCEEFF"/>
            <w:tcMar>
              <w:top w:w="30" w:type="dxa"/>
              <w:left w:w="20" w:type="dxa"/>
              <w:bottom w:w="30" w:type="dxa"/>
              <w:right w:w="20" w:type="dxa"/>
            </w:tcMar>
            <w:vAlign w:val="center"/>
            <w:hideMark/>
          </w:tcPr>
          <w:p w:rsidR="00000000" w:rsidRDefault="00795D39">
            <w:pPr>
              <w:divId w:val="1526091406"/>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10253010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gridAfter w:val="2"/>
          <w:divId w:val="1102530106"/>
        </w:trPr>
        <w:tc>
          <w:tcPr>
            <w:tcW w:w="0" w:type="auto"/>
            <w:gridSpan w:val="4"/>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Realized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10253010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102530106"/>
        </w:trPr>
        <w:tc>
          <w:tcPr>
            <w:tcW w:w="0" w:type="auto"/>
            <w:gridSpan w:val="4"/>
            <w:shd w:val="clear" w:color="auto" w:fill="CCEEFF"/>
            <w:tcMar>
              <w:top w:w="30" w:type="dxa"/>
              <w:left w:w="20" w:type="dxa"/>
              <w:bottom w:w="30" w:type="dxa"/>
              <w:right w:w="20" w:type="dxa"/>
            </w:tcMar>
            <w:vAlign w:val="center"/>
            <w:hideMark/>
          </w:tcPr>
          <w:p w:rsidR="00000000" w:rsidRDefault="00795D39">
            <w:pPr>
              <w:divId w:val="1140927446"/>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gridAfter w:val="2"/>
          <w:divId w:val="1102530106"/>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795D39">
            <w:pPr>
              <w:rPr>
                <w:rFonts w:eastAsia="Times New Roman"/>
              </w:rPr>
            </w:pPr>
          </w:p>
        </w:tc>
        <w:tc>
          <w:tcPr>
            <w:tcW w:w="1606" w:type="pct"/>
            <w:gridSpan w:val="10"/>
            <w:vAlign w:val="center"/>
            <w:hideMark/>
          </w:tcPr>
          <w:p w:rsidR="00000000" w:rsidRDefault="00795D39">
            <w:pPr>
              <w:rPr>
                <w:rFonts w:eastAsia="Times New Roman"/>
                <w:sz w:val="20"/>
                <w:szCs w:val="20"/>
              </w:rPr>
            </w:pPr>
          </w:p>
        </w:tc>
        <w:tc>
          <w:tcPr>
            <w:tcW w:w="5" w:type="pct"/>
            <w:gridSpan w:val="3"/>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1614" w:type="pct"/>
            <w:gridSpan w:val="19"/>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gridSpan w:val="15"/>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blPrEx>
          <w:tblW w:w="4992" w:type="pct"/>
          <w:jc w:val="center"/>
        </w:tblPrEx>
        <w:trPr>
          <w:trHeight w:val="300"/>
          <w:jc w:val="center"/>
        </w:trPr>
        <w:tc>
          <w:tcPr>
            <w:tcW w:w="0" w:type="auto"/>
            <w:gridSpan w:val="54"/>
            <w:tcMar>
              <w:top w:w="0" w:type="dxa"/>
              <w:left w:w="20" w:type="dxa"/>
              <w:bottom w:w="0" w:type="dxa"/>
              <w:right w:w="20" w:type="dxa"/>
            </w:tcMar>
            <w:vAlign w:val="center"/>
            <w:hideMark/>
          </w:tcPr>
          <w:p w:rsidR="00000000" w:rsidRDefault="00795D39">
            <w:pPr>
              <w:rPr>
                <w:rFonts w:eastAsia="Times New Roman"/>
                <w:sz w:val="20"/>
                <w:szCs w:val="20"/>
              </w:rPr>
            </w:pPr>
          </w:p>
        </w:tc>
      </w:tr>
      <w:tr w:rsidR="00000000">
        <w:tblPrEx>
          <w:tblW w:w="4992" w:type="pct"/>
          <w:jc w:val="center"/>
        </w:tblPrEx>
        <w:trPr>
          <w:jc w:val="center"/>
        </w:trPr>
        <w:tc>
          <w:tcPr>
            <w:tcW w:w="0" w:type="auto"/>
            <w:gridSpan w:val="15"/>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117</w:t>
            </w:r>
          </w:p>
        </w:tc>
        <w:tc>
          <w:tcPr>
            <w:tcW w:w="0" w:type="auto"/>
            <w:gridSpan w:val="17"/>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2" style="width:0;height:1.5pt" o:hralign="center" o:hrstd="t" o:hr="t" fillcolor="#a0a0a0" stroked="f"/>
        </w:pict>
      </w:r>
    </w:p>
    <w:p w:rsidR="00000000" w:rsidRDefault="00795D39">
      <w:pPr>
        <w:jc w:val="both"/>
        <w:divId w:val="107246024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0724602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4"/>
        <w:gridCol w:w="90"/>
        <w:gridCol w:w="1622"/>
        <w:gridCol w:w="39"/>
        <w:gridCol w:w="36"/>
        <w:gridCol w:w="36"/>
        <w:gridCol w:w="36"/>
        <w:gridCol w:w="111"/>
        <w:gridCol w:w="720"/>
        <w:gridCol w:w="36"/>
        <w:gridCol w:w="27"/>
        <w:gridCol w:w="9"/>
        <w:gridCol w:w="36"/>
        <w:gridCol w:w="36"/>
        <w:gridCol w:w="63"/>
        <w:gridCol w:w="48"/>
        <w:gridCol w:w="96"/>
        <w:gridCol w:w="529"/>
        <w:gridCol w:w="36"/>
        <w:gridCol w:w="36"/>
        <w:gridCol w:w="36"/>
        <w:gridCol w:w="36"/>
        <w:gridCol w:w="111"/>
        <w:gridCol w:w="629"/>
        <w:gridCol w:w="36"/>
        <w:gridCol w:w="36"/>
        <w:gridCol w:w="36"/>
        <w:gridCol w:w="36"/>
        <w:gridCol w:w="110"/>
        <w:gridCol w:w="658"/>
        <w:gridCol w:w="36"/>
        <w:gridCol w:w="36"/>
        <w:gridCol w:w="36"/>
        <w:gridCol w:w="36"/>
        <w:gridCol w:w="111"/>
        <w:gridCol w:w="96"/>
        <w:gridCol w:w="144"/>
        <w:gridCol w:w="144"/>
        <w:gridCol w:w="359"/>
        <w:gridCol w:w="36"/>
        <w:gridCol w:w="36"/>
        <w:gridCol w:w="36"/>
        <w:gridCol w:w="36"/>
        <w:gridCol w:w="111"/>
        <w:gridCol w:w="871"/>
        <w:gridCol w:w="36"/>
        <w:gridCol w:w="36"/>
        <w:gridCol w:w="36"/>
        <w:gridCol w:w="36"/>
        <w:gridCol w:w="110"/>
        <w:gridCol w:w="472"/>
        <w:gridCol w:w="36"/>
        <w:gridCol w:w="429"/>
        <w:gridCol w:w="144"/>
      </w:tblGrid>
      <w:tr w:rsidR="00000000">
        <w:trPr>
          <w:gridAfter w:val="2"/>
          <w:divId w:val="1992558162"/>
        </w:trPr>
        <w:tc>
          <w:tcPr>
            <w:tcW w:w="50" w:type="pct"/>
            <w:vAlign w:val="center"/>
            <w:hideMark/>
          </w:tcPr>
          <w:p w:rsidR="00000000" w:rsidRDefault="00795D39">
            <w:pPr>
              <w:jc w:val="center"/>
              <w:rPr>
                <w:rFonts w:eastAsia="Times New Roman"/>
              </w:rPr>
            </w:pPr>
          </w:p>
        </w:tc>
        <w:tc>
          <w:tcPr>
            <w:tcW w:w="1085"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gridSpan w:val="2"/>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464"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gridSpan w:val="4"/>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gridAfter w:val="2"/>
          <w:divId w:val="1992558162"/>
        </w:trPr>
        <w:tc>
          <w:tcPr>
            <w:tcW w:w="0" w:type="auto"/>
            <w:gridSpan w:val="4"/>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2020</w:t>
            </w:r>
          </w:p>
        </w:tc>
      </w:tr>
      <w:tr w:rsidR="00000000">
        <w:trPr>
          <w:gridAfter w:val="2"/>
          <w:divId w:val="1992558162"/>
        </w:trPr>
        <w:tc>
          <w:tcPr>
            <w:tcW w:w="0" w:type="auto"/>
            <w:gridSpan w:val="4"/>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Non-Interest Income</w:t>
            </w:r>
          </w:p>
        </w:tc>
      </w:tr>
      <w:tr w:rsidR="00000000">
        <w:trPr>
          <w:gridAfter w:val="2"/>
          <w:divId w:val="1992558162"/>
        </w:trPr>
        <w:tc>
          <w:tcPr>
            <w:tcW w:w="0" w:type="auto"/>
            <w:gridSpan w:val="4"/>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Investment Securities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r>
      <w:tr w:rsidR="00795D39">
        <w:trPr>
          <w:gridAfter w:val="2"/>
          <w:divId w:val="1992558162"/>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603272016"/>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1,455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18,120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(1,818)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992558162"/>
        </w:trPr>
        <w:tc>
          <w:tcPr>
            <w:tcW w:w="0" w:type="auto"/>
            <w:gridSpan w:val="4"/>
            <w:shd w:val="clear" w:color="auto" w:fill="FFFFFF"/>
            <w:tcMar>
              <w:top w:w="30" w:type="dxa"/>
              <w:left w:w="20" w:type="dxa"/>
              <w:bottom w:w="30" w:type="dxa"/>
              <w:right w:w="20" w:type="dxa"/>
            </w:tcMar>
            <w:vAlign w:val="center"/>
            <w:hideMark/>
          </w:tcPr>
          <w:p w:rsidR="00000000" w:rsidRDefault="00795D39">
            <w:pPr>
              <w:divId w:val="779684403"/>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992558162"/>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gridAfter w:val="2"/>
          <w:divId w:val="1992558162"/>
        </w:trPr>
        <w:tc>
          <w:tcPr>
            <w:tcW w:w="0" w:type="auto"/>
            <w:gridSpan w:val="4"/>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(51)</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992558162"/>
        </w:trPr>
        <w:tc>
          <w:tcPr>
            <w:tcW w:w="0" w:type="auto"/>
            <w:gridSpan w:val="4"/>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(340)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992558162"/>
        </w:trPr>
        <w:tc>
          <w:tcPr>
            <w:tcW w:w="0" w:type="auto"/>
            <w:gridSpan w:val="4"/>
            <w:shd w:val="clear" w:color="auto" w:fill="FFFFFF"/>
            <w:tcMar>
              <w:top w:w="30" w:type="dxa"/>
              <w:left w:w="20" w:type="dxa"/>
              <w:bottom w:w="30" w:type="dxa"/>
              <w:right w:w="20" w:type="dxa"/>
            </w:tcMar>
            <w:vAlign w:val="center"/>
            <w:hideMark/>
          </w:tcPr>
          <w:p w:rsidR="00000000" w:rsidRDefault="00795D39">
            <w:pPr>
              <w:divId w:val="1045567858"/>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(248)</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(251)</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(1,048)</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(64)</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992558162"/>
        </w:trPr>
        <w:tc>
          <w:tcPr>
            <w:tcW w:w="0" w:type="auto"/>
            <w:gridSpan w:val="4"/>
            <w:shd w:val="clear" w:color="auto" w:fill="CCEEFF"/>
            <w:tcMar>
              <w:top w:w="30" w:type="dxa"/>
              <w:left w:w="20" w:type="dxa"/>
              <w:bottom w:w="30" w:type="dxa"/>
              <w:right w:w="20" w:type="dxa"/>
            </w:tcMar>
            <w:vAlign w:val="center"/>
            <w:hideMark/>
          </w:tcPr>
          <w:p w:rsidR="00000000" w:rsidRDefault="00795D39">
            <w:pPr>
              <w:divId w:val="666521559"/>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gridAfter w:val="2"/>
          <w:divId w:val="1992558162"/>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992558162"/>
        </w:trPr>
        <w:tc>
          <w:tcPr>
            <w:tcW w:w="0" w:type="auto"/>
            <w:gridSpan w:val="4"/>
            <w:shd w:val="clear" w:color="auto" w:fill="CCEEFF"/>
            <w:tcMar>
              <w:top w:w="30" w:type="dxa"/>
              <w:left w:w="20" w:type="dxa"/>
              <w:bottom w:w="30" w:type="dxa"/>
              <w:right w:w="20" w:type="dxa"/>
            </w:tcMar>
            <w:vAlign w:val="center"/>
            <w:hideMark/>
          </w:tcPr>
          <w:p w:rsidR="00000000" w:rsidRDefault="00795D39">
            <w:pPr>
              <w:divId w:val="322583414"/>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992558162"/>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gridAfter w:val="2"/>
          <w:divId w:val="1992558162"/>
        </w:trPr>
        <w:tc>
          <w:tcPr>
            <w:tcW w:w="0" w:type="auto"/>
            <w:gridSpan w:val="4"/>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992558162"/>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992558162"/>
        </w:trPr>
        <w:tc>
          <w:tcPr>
            <w:tcW w:w="0" w:type="auto"/>
            <w:gridSpan w:val="4"/>
            <w:shd w:val="clear" w:color="auto" w:fill="CCEEFF"/>
            <w:tcMar>
              <w:top w:w="30" w:type="dxa"/>
              <w:left w:w="20" w:type="dxa"/>
              <w:bottom w:w="30" w:type="dxa"/>
              <w:right w:w="20" w:type="dxa"/>
            </w:tcMar>
            <w:vAlign w:val="center"/>
            <w:hideMark/>
          </w:tcPr>
          <w:p w:rsidR="00000000" w:rsidRDefault="00795D39">
            <w:pPr>
              <w:divId w:val="1233083551"/>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gridAfter w:val="2"/>
          <w:divId w:val="1992558162"/>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795D39">
            <w:pPr>
              <w:rPr>
                <w:rFonts w:eastAsia="Times New Roman"/>
              </w:rPr>
            </w:pPr>
          </w:p>
        </w:tc>
        <w:tc>
          <w:tcPr>
            <w:tcW w:w="1606" w:type="pct"/>
            <w:gridSpan w:val="9"/>
            <w:vAlign w:val="center"/>
            <w:hideMark/>
          </w:tcPr>
          <w:p w:rsidR="00000000" w:rsidRDefault="00795D39">
            <w:pPr>
              <w:rPr>
                <w:rFonts w:eastAsia="Times New Roman"/>
                <w:sz w:val="20"/>
                <w:szCs w:val="20"/>
              </w:rPr>
            </w:pPr>
          </w:p>
        </w:tc>
        <w:tc>
          <w:tcPr>
            <w:tcW w:w="5" w:type="pct"/>
            <w:gridSpan w:val="4"/>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1614" w:type="pct"/>
            <w:gridSpan w:val="19"/>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gridSpan w:val="15"/>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blPrEx>
          <w:tblW w:w="4992" w:type="pct"/>
          <w:jc w:val="center"/>
        </w:tblPrEx>
        <w:trPr>
          <w:trHeight w:val="300"/>
          <w:jc w:val="center"/>
        </w:trPr>
        <w:tc>
          <w:tcPr>
            <w:tcW w:w="0" w:type="auto"/>
            <w:gridSpan w:val="54"/>
            <w:tcMar>
              <w:top w:w="0" w:type="dxa"/>
              <w:left w:w="20" w:type="dxa"/>
              <w:bottom w:w="0" w:type="dxa"/>
              <w:right w:w="20" w:type="dxa"/>
            </w:tcMar>
            <w:vAlign w:val="center"/>
            <w:hideMark/>
          </w:tcPr>
          <w:p w:rsidR="00000000" w:rsidRDefault="00795D39">
            <w:pPr>
              <w:rPr>
                <w:rFonts w:eastAsia="Times New Roman"/>
                <w:sz w:val="20"/>
                <w:szCs w:val="20"/>
              </w:rPr>
            </w:pPr>
          </w:p>
        </w:tc>
      </w:tr>
      <w:tr w:rsidR="00000000">
        <w:tblPrEx>
          <w:tblW w:w="4992" w:type="pct"/>
          <w:jc w:val="center"/>
        </w:tblPrEx>
        <w:trPr>
          <w:jc w:val="center"/>
        </w:trPr>
        <w:tc>
          <w:tcPr>
            <w:tcW w:w="0" w:type="auto"/>
            <w:gridSpan w:val="15"/>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118</w:t>
            </w:r>
          </w:p>
        </w:tc>
        <w:tc>
          <w:tcPr>
            <w:tcW w:w="0" w:type="auto"/>
            <w:gridSpan w:val="17"/>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3" style="width:0;height:1.5pt" o:hralign="center" o:hrstd="t" o:hr="t" fillcolor="#a0a0a0" stroked="f"/>
        </w:pict>
      </w:r>
    </w:p>
    <w:p w:rsidR="00000000" w:rsidRDefault="00795D39">
      <w:pPr>
        <w:jc w:val="both"/>
        <w:divId w:val="213386659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2133866598"/>
        <w:rPr>
          <w:rFonts w:eastAsia="Times New Roman"/>
        </w:rPr>
      </w:pPr>
    </w:p>
    <w:tbl>
      <w:tblPr>
        <w:tblW w:w="4956" w:type="pct"/>
        <w:tblCellMar>
          <w:top w:w="15" w:type="dxa"/>
          <w:left w:w="15" w:type="dxa"/>
          <w:bottom w:w="15" w:type="dxa"/>
          <w:right w:w="15" w:type="dxa"/>
        </w:tblCellMar>
        <w:tblLook w:val="04A0" w:firstRow="1" w:lastRow="0" w:firstColumn="1" w:lastColumn="0" w:noHBand="0" w:noVBand="1"/>
      </w:tblPr>
      <w:tblGrid>
        <w:gridCol w:w="55"/>
        <w:gridCol w:w="89"/>
        <w:gridCol w:w="1419"/>
        <w:gridCol w:w="39"/>
        <w:gridCol w:w="73"/>
        <w:gridCol w:w="376"/>
        <w:gridCol w:w="72"/>
        <w:gridCol w:w="111"/>
        <w:gridCol w:w="573"/>
        <w:gridCol w:w="144"/>
        <w:gridCol w:w="1"/>
        <w:gridCol w:w="36"/>
        <w:gridCol w:w="36"/>
        <w:gridCol w:w="36"/>
        <w:gridCol w:w="35"/>
        <w:gridCol w:w="1"/>
        <w:gridCol w:w="111"/>
        <w:gridCol w:w="626"/>
        <w:gridCol w:w="36"/>
        <w:gridCol w:w="36"/>
        <w:gridCol w:w="36"/>
        <w:gridCol w:w="36"/>
        <w:gridCol w:w="111"/>
        <w:gridCol w:w="400"/>
        <w:gridCol w:w="36"/>
        <w:gridCol w:w="36"/>
        <w:gridCol w:w="36"/>
        <w:gridCol w:w="36"/>
        <w:gridCol w:w="111"/>
        <w:gridCol w:w="559"/>
        <w:gridCol w:w="36"/>
        <w:gridCol w:w="36"/>
        <w:gridCol w:w="36"/>
        <w:gridCol w:w="36"/>
        <w:gridCol w:w="111"/>
        <w:gridCol w:w="214"/>
        <w:gridCol w:w="144"/>
        <w:gridCol w:w="144"/>
        <w:gridCol w:w="243"/>
        <w:gridCol w:w="36"/>
        <w:gridCol w:w="36"/>
        <w:gridCol w:w="36"/>
        <w:gridCol w:w="36"/>
        <w:gridCol w:w="111"/>
        <w:gridCol w:w="871"/>
        <w:gridCol w:w="36"/>
        <w:gridCol w:w="36"/>
        <w:gridCol w:w="36"/>
        <w:gridCol w:w="36"/>
        <w:gridCol w:w="111"/>
        <w:gridCol w:w="514"/>
        <w:gridCol w:w="36"/>
        <w:gridCol w:w="502"/>
        <w:gridCol w:w="144"/>
      </w:tblGrid>
      <w:tr w:rsidR="00000000">
        <w:trPr>
          <w:gridAfter w:val="2"/>
          <w:divId w:val="1017736021"/>
        </w:trPr>
        <w:tc>
          <w:tcPr>
            <w:tcW w:w="50" w:type="pct"/>
            <w:vAlign w:val="center"/>
            <w:hideMark/>
          </w:tcPr>
          <w:p w:rsidR="00000000" w:rsidRDefault="00795D39">
            <w:pPr>
              <w:jc w:val="center"/>
              <w:rPr>
                <w:rFonts w:eastAsia="Times New Roman"/>
              </w:rPr>
            </w:pPr>
          </w:p>
        </w:tc>
        <w:tc>
          <w:tcPr>
            <w:tcW w:w="1073"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3" w:type="pct"/>
            <w:gridSpan w:val="3"/>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gridSpan w:val="2"/>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5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8" w:type="pct"/>
            <w:gridSpan w:val="4"/>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gridAfter w:val="2"/>
          <w:divId w:val="1017736021"/>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6"/>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gridAfter w:val="2"/>
          <w:divId w:val="1017736021"/>
        </w:trPr>
        <w:tc>
          <w:tcPr>
            <w:tcW w:w="0" w:type="auto"/>
            <w:gridSpan w:val="4"/>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017736021"/>
        </w:trPr>
        <w:tc>
          <w:tcPr>
            <w:tcW w:w="0" w:type="auto"/>
            <w:gridSpan w:val="4"/>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Non-Interest Income</w:t>
            </w:r>
          </w:p>
        </w:tc>
      </w:tr>
      <w:tr w:rsidR="00000000">
        <w:trPr>
          <w:gridAfter w:val="2"/>
          <w:divId w:val="1017736021"/>
        </w:trPr>
        <w:tc>
          <w:tcPr>
            <w:tcW w:w="0" w:type="auto"/>
            <w:gridSpan w:val="4"/>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Investment Securities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r>
      <w:tr w:rsidR="00795D39">
        <w:trPr>
          <w:gridAfter w:val="2"/>
          <w:divId w:val="1017736021"/>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221600967"/>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(901)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017736021"/>
        </w:trPr>
        <w:tc>
          <w:tcPr>
            <w:tcW w:w="0" w:type="auto"/>
            <w:gridSpan w:val="4"/>
            <w:shd w:val="clear" w:color="auto" w:fill="FFFFFF"/>
            <w:tcMar>
              <w:top w:w="30" w:type="dxa"/>
              <w:left w:w="20" w:type="dxa"/>
              <w:bottom w:w="30" w:type="dxa"/>
              <w:right w:w="20" w:type="dxa"/>
            </w:tcMar>
            <w:vAlign w:val="center"/>
            <w:hideMark/>
          </w:tcPr>
          <w:p w:rsidR="00000000" w:rsidRDefault="00795D39">
            <w:pPr>
              <w:divId w:val="624431582"/>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017736021"/>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gridAfter w:val="2"/>
          <w:divId w:val="1017736021"/>
        </w:trPr>
        <w:tc>
          <w:tcPr>
            <w:tcW w:w="0" w:type="auto"/>
            <w:gridSpan w:val="4"/>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36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017736021"/>
        </w:trPr>
        <w:tc>
          <w:tcPr>
            <w:tcW w:w="0" w:type="auto"/>
            <w:gridSpan w:val="4"/>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495" w:type="dxa"/>
              <w:bottom w:w="0" w:type="dxa"/>
              <w:right w:w="20" w:type="dxa"/>
            </w:tcMar>
            <w:vAlign w:val="center"/>
            <w:hideMark/>
          </w:tcPr>
          <w:p w:rsidR="00000000" w:rsidRDefault="00795D39">
            <w:pPr>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216 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017736021"/>
        </w:trPr>
        <w:tc>
          <w:tcPr>
            <w:tcW w:w="0" w:type="auto"/>
            <w:gridSpan w:val="4"/>
            <w:shd w:val="clear" w:color="auto" w:fill="FFFFFF"/>
            <w:tcMar>
              <w:top w:w="30" w:type="dxa"/>
              <w:left w:w="20" w:type="dxa"/>
              <w:bottom w:w="30" w:type="dxa"/>
              <w:right w:w="20" w:type="dxa"/>
            </w:tcMar>
            <w:vAlign w:val="center"/>
            <w:hideMark/>
          </w:tcPr>
          <w:p w:rsidR="00000000" w:rsidRDefault="00795D39">
            <w:pPr>
              <w:divId w:val="145123280"/>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360" w:type="dxa"/>
              <w:bottom w:w="0" w:type="dxa"/>
              <w:right w:w="20" w:type="dxa"/>
            </w:tcMar>
            <w:vAlign w:val="center"/>
            <w:hideMark/>
          </w:tcPr>
          <w:p w:rsidR="00000000" w:rsidRDefault="00795D39">
            <w:pPr>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(261)</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017736021"/>
        </w:trPr>
        <w:tc>
          <w:tcPr>
            <w:tcW w:w="0" w:type="auto"/>
            <w:gridSpan w:val="4"/>
            <w:shd w:val="clear" w:color="auto" w:fill="CCEEFF"/>
            <w:tcMar>
              <w:top w:w="30" w:type="dxa"/>
              <w:left w:w="20" w:type="dxa"/>
              <w:bottom w:w="30" w:type="dxa"/>
              <w:right w:w="20" w:type="dxa"/>
            </w:tcMar>
            <w:vAlign w:val="center"/>
            <w:hideMark/>
          </w:tcPr>
          <w:p w:rsidR="00000000" w:rsidRDefault="00795D39">
            <w:pPr>
              <w:divId w:val="1327514094"/>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360" w:type="dxa"/>
              <w:bottom w:w="0" w:type="dxa"/>
              <w:right w:w="20" w:type="dxa"/>
            </w:tcMar>
            <w:vAlign w:val="center"/>
            <w:hideMark/>
          </w:tcPr>
          <w:p w:rsidR="00000000" w:rsidRDefault="00795D39">
            <w:pPr>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gridAfter w:val="2"/>
          <w:divId w:val="1017736021"/>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expense recognized on fair value hedges</w:t>
            </w:r>
          </w:p>
        </w:tc>
        <w:tc>
          <w:tcPr>
            <w:tcW w:w="0" w:type="auto"/>
            <w:gridSpan w:val="3"/>
            <w:shd w:val="clear" w:color="auto" w:fill="FFFFFF"/>
            <w:tcMar>
              <w:top w:w="0" w:type="dxa"/>
              <w:left w:w="36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4"/>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017736021"/>
        </w:trPr>
        <w:tc>
          <w:tcPr>
            <w:tcW w:w="0" w:type="auto"/>
            <w:gridSpan w:val="4"/>
            <w:shd w:val="clear" w:color="auto" w:fill="CCEEFF"/>
            <w:tcMar>
              <w:top w:w="30" w:type="dxa"/>
              <w:left w:w="20" w:type="dxa"/>
              <w:bottom w:w="30" w:type="dxa"/>
              <w:right w:w="20" w:type="dxa"/>
            </w:tcMar>
            <w:vAlign w:val="center"/>
            <w:hideMark/>
          </w:tcPr>
          <w:p w:rsidR="00000000" w:rsidRDefault="00795D39">
            <w:pPr>
              <w:divId w:val="1753887030"/>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017736021"/>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gridAfter w:val="2"/>
          <w:divId w:val="1017736021"/>
        </w:trPr>
        <w:tc>
          <w:tcPr>
            <w:tcW w:w="0" w:type="auto"/>
            <w:gridSpan w:val="4"/>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Realized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4"/>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gridAfter w:val="2"/>
          <w:divId w:val="1017736021"/>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gridAfter w:val="2"/>
          <w:divId w:val="1017736021"/>
        </w:trPr>
        <w:tc>
          <w:tcPr>
            <w:tcW w:w="0" w:type="auto"/>
            <w:gridSpan w:val="4"/>
            <w:shd w:val="clear" w:color="auto" w:fill="CCEEFF"/>
            <w:tcMar>
              <w:top w:w="30" w:type="dxa"/>
              <w:left w:w="20" w:type="dxa"/>
              <w:bottom w:w="30" w:type="dxa"/>
              <w:right w:w="20" w:type="dxa"/>
            </w:tcMar>
            <w:vAlign w:val="center"/>
            <w:hideMark/>
          </w:tcPr>
          <w:p w:rsidR="00000000" w:rsidRDefault="00795D39">
            <w:pPr>
              <w:divId w:val="2116829375"/>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gridAfter w:val="2"/>
          <w:divId w:val="1017736021"/>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795D39">
            <w:pPr>
              <w:rPr>
                <w:rFonts w:eastAsia="Times New Roman"/>
              </w:rPr>
            </w:pPr>
          </w:p>
        </w:tc>
        <w:tc>
          <w:tcPr>
            <w:tcW w:w="1606" w:type="pct"/>
            <w:gridSpan w:val="7"/>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gridSpan w:val="5"/>
            <w:vAlign w:val="center"/>
            <w:hideMark/>
          </w:tcPr>
          <w:p w:rsidR="00000000" w:rsidRDefault="00795D39">
            <w:pPr>
              <w:rPr>
                <w:rFonts w:eastAsia="Times New Roman"/>
                <w:sz w:val="20"/>
                <w:szCs w:val="20"/>
              </w:rPr>
            </w:pPr>
          </w:p>
        </w:tc>
        <w:tc>
          <w:tcPr>
            <w:tcW w:w="1614" w:type="pct"/>
            <w:gridSpan w:val="21"/>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gridSpan w:val="15"/>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blPrEx>
          <w:tblW w:w="4992" w:type="pct"/>
          <w:jc w:val="center"/>
        </w:tblPrEx>
        <w:trPr>
          <w:trHeight w:val="300"/>
          <w:jc w:val="center"/>
        </w:trPr>
        <w:tc>
          <w:tcPr>
            <w:tcW w:w="0" w:type="auto"/>
            <w:gridSpan w:val="54"/>
            <w:tcMar>
              <w:top w:w="0" w:type="dxa"/>
              <w:left w:w="20" w:type="dxa"/>
              <w:bottom w:w="0" w:type="dxa"/>
              <w:right w:w="20" w:type="dxa"/>
            </w:tcMar>
            <w:vAlign w:val="center"/>
            <w:hideMark/>
          </w:tcPr>
          <w:p w:rsidR="00000000" w:rsidRDefault="00795D39">
            <w:pPr>
              <w:rPr>
                <w:rFonts w:eastAsia="Times New Roman"/>
                <w:sz w:val="20"/>
                <w:szCs w:val="20"/>
              </w:rPr>
            </w:pPr>
          </w:p>
        </w:tc>
      </w:tr>
      <w:tr w:rsidR="00000000">
        <w:tblPrEx>
          <w:tblW w:w="4992" w:type="pct"/>
          <w:jc w:val="center"/>
        </w:tblPrEx>
        <w:trPr>
          <w:jc w:val="center"/>
        </w:trPr>
        <w:tc>
          <w:tcPr>
            <w:tcW w:w="0" w:type="auto"/>
            <w:gridSpan w:val="10"/>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119</w:t>
            </w:r>
          </w:p>
        </w:tc>
        <w:tc>
          <w:tcPr>
            <w:tcW w:w="0" w:type="auto"/>
            <w:gridSpan w:val="17"/>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4" style="width:0;height:1.5pt" o:hralign="center" o:hrstd="t" o:hr="t" fillcolor="#a0a0a0" stroked="f"/>
        </w:pict>
      </w:r>
    </w:p>
    <w:p w:rsidR="00000000" w:rsidRDefault="00795D39">
      <w:pPr>
        <w:jc w:val="both"/>
        <w:divId w:val="121873582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21873582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674"/>
        <w:gridCol w:w="39"/>
        <w:gridCol w:w="36"/>
        <w:gridCol w:w="36"/>
        <w:gridCol w:w="36"/>
        <w:gridCol w:w="111"/>
        <w:gridCol w:w="718"/>
        <w:gridCol w:w="36"/>
        <w:gridCol w:w="36"/>
        <w:gridCol w:w="36"/>
        <w:gridCol w:w="36"/>
        <w:gridCol w:w="111"/>
        <w:gridCol w:w="625"/>
        <w:gridCol w:w="36"/>
        <w:gridCol w:w="36"/>
        <w:gridCol w:w="36"/>
        <w:gridCol w:w="36"/>
        <w:gridCol w:w="110"/>
        <w:gridCol w:w="569"/>
        <w:gridCol w:w="36"/>
        <w:gridCol w:w="36"/>
        <w:gridCol w:w="36"/>
        <w:gridCol w:w="36"/>
        <w:gridCol w:w="110"/>
        <w:gridCol w:w="633"/>
        <w:gridCol w:w="36"/>
        <w:gridCol w:w="36"/>
        <w:gridCol w:w="36"/>
        <w:gridCol w:w="36"/>
        <w:gridCol w:w="111"/>
        <w:gridCol w:w="743"/>
        <w:gridCol w:w="36"/>
        <w:gridCol w:w="36"/>
        <w:gridCol w:w="36"/>
        <w:gridCol w:w="36"/>
        <w:gridCol w:w="111"/>
        <w:gridCol w:w="871"/>
        <w:gridCol w:w="36"/>
        <w:gridCol w:w="36"/>
        <w:gridCol w:w="36"/>
        <w:gridCol w:w="36"/>
        <w:gridCol w:w="111"/>
        <w:gridCol w:w="595"/>
        <w:gridCol w:w="36"/>
      </w:tblGrid>
      <w:tr w:rsidR="00000000">
        <w:trPr>
          <w:divId w:val="384262086"/>
        </w:trPr>
        <w:tc>
          <w:tcPr>
            <w:tcW w:w="50" w:type="pct"/>
            <w:vAlign w:val="center"/>
            <w:hideMark/>
          </w:tcPr>
          <w:p w:rsidR="00000000" w:rsidRDefault="00795D39">
            <w:pPr>
              <w:jc w:val="center"/>
              <w:rPr>
                <w:rFonts w:eastAsia="Times New Roman"/>
              </w:rPr>
            </w:pPr>
          </w:p>
        </w:tc>
        <w:tc>
          <w:tcPr>
            <w:tcW w:w="106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8426208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84262086"/>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84262086"/>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Non-Interest Income</w:t>
            </w:r>
          </w:p>
        </w:tc>
      </w:tr>
      <w:tr w:rsidR="00000000">
        <w:trPr>
          <w:divId w:val="38426208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r>
      <w:tr w:rsidR="00795D39">
        <w:trPr>
          <w:divId w:val="3842620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358114637"/>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19,180 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(2,588)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(923)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84262086"/>
        </w:trPr>
        <w:tc>
          <w:tcPr>
            <w:tcW w:w="0" w:type="auto"/>
            <w:gridSpan w:val="3"/>
            <w:shd w:val="clear" w:color="auto" w:fill="FFFFFF"/>
            <w:tcMar>
              <w:top w:w="30" w:type="dxa"/>
              <w:left w:w="20" w:type="dxa"/>
              <w:bottom w:w="30" w:type="dxa"/>
              <w:right w:w="20" w:type="dxa"/>
            </w:tcMar>
            <w:vAlign w:val="center"/>
            <w:hideMark/>
          </w:tcPr>
          <w:p w:rsidR="00000000" w:rsidRDefault="00795D39">
            <w:pPr>
              <w:divId w:val="938945513"/>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8426208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38426208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(95)</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8426208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(366)</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295 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968 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(49)</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84262086"/>
        </w:trPr>
        <w:tc>
          <w:tcPr>
            <w:tcW w:w="0" w:type="auto"/>
            <w:gridSpan w:val="3"/>
            <w:shd w:val="clear" w:color="auto" w:fill="FFFFFF"/>
            <w:tcMar>
              <w:top w:w="30" w:type="dxa"/>
              <w:left w:w="20" w:type="dxa"/>
              <w:bottom w:w="30" w:type="dxa"/>
              <w:right w:w="20" w:type="dxa"/>
            </w:tcMar>
            <w:vAlign w:val="center"/>
            <w:hideMark/>
          </w:tcPr>
          <w:p w:rsidR="00000000" w:rsidRDefault="00795D39">
            <w:pPr>
              <w:divId w:val="816528789"/>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365 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(289)</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(165)</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(1,092)</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84262086"/>
        </w:trPr>
        <w:tc>
          <w:tcPr>
            <w:tcW w:w="0" w:type="auto"/>
            <w:gridSpan w:val="3"/>
            <w:shd w:val="clear" w:color="auto" w:fill="CCEEFF"/>
            <w:tcMar>
              <w:top w:w="30" w:type="dxa"/>
              <w:left w:w="20" w:type="dxa"/>
              <w:bottom w:w="30" w:type="dxa"/>
              <w:right w:w="20" w:type="dxa"/>
            </w:tcMar>
            <w:vAlign w:val="center"/>
            <w:hideMark/>
          </w:tcPr>
          <w:p w:rsidR="00000000" w:rsidRDefault="00795D39">
            <w:pPr>
              <w:divId w:val="395320958"/>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divId w:val="3842620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84262086"/>
        </w:trPr>
        <w:tc>
          <w:tcPr>
            <w:tcW w:w="0" w:type="auto"/>
            <w:gridSpan w:val="3"/>
            <w:shd w:val="clear" w:color="auto" w:fill="CCEEFF"/>
            <w:tcMar>
              <w:top w:w="30" w:type="dxa"/>
              <w:left w:w="20" w:type="dxa"/>
              <w:bottom w:w="30" w:type="dxa"/>
              <w:right w:w="20" w:type="dxa"/>
            </w:tcMar>
            <w:vAlign w:val="center"/>
            <w:hideMark/>
          </w:tcPr>
          <w:p w:rsidR="00000000" w:rsidRDefault="00795D39">
            <w:pPr>
              <w:divId w:val="1361593370"/>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842620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38426208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Realized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(158)</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842620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84262086"/>
        </w:trPr>
        <w:tc>
          <w:tcPr>
            <w:tcW w:w="0" w:type="auto"/>
            <w:gridSpan w:val="3"/>
            <w:shd w:val="clear" w:color="auto" w:fill="CCEEFF"/>
            <w:tcMar>
              <w:top w:w="30" w:type="dxa"/>
              <w:left w:w="20" w:type="dxa"/>
              <w:bottom w:w="30" w:type="dxa"/>
              <w:right w:w="20" w:type="dxa"/>
            </w:tcMar>
            <w:vAlign w:val="center"/>
            <w:hideMark/>
          </w:tcPr>
          <w:p w:rsidR="00000000" w:rsidRDefault="00795D39">
            <w:pPr>
              <w:divId w:val="1136070050"/>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795D39">
        <w:trPr>
          <w:divId w:val="38426208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bl>
    <w:p w:rsidR="00000000" w:rsidRDefault="00795D39">
      <w:pPr>
        <w:divId w:val="1151366048"/>
        <w:rPr>
          <w:rFonts w:eastAsia="Times New Roman"/>
        </w:rPr>
      </w:pPr>
      <w:r>
        <w:rPr>
          <w:rFonts w:eastAsia="Times New Roman"/>
          <w:color w:val="000000"/>
          <w:sz w:val="20"/>
          <w:szCs w:val="20"/>
        </w:rPr>
        <w:t>__________</w:t>
      </w:r>
    </w:p>
    <w:p w:rsidR="00000000" w:rsidRDefault="00795D39">
      <w:pPr>
        <w:ind w:hanging="360"/>
        <w:jc w:val="both"/>
        <w:divId w:val="197598928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amortization income of $19 million and expense of $34 million for the three and nine months ended September 30, 2020, respect</w:t>
      </w:r>
      <w:r>
        <w:rPr>
          <w:rFonts w:eastAsia="Times New Roman"/>
          <w:color w:val="000000"/>
          <w:sz w:val="16"/>
          <w:szCs w:val="16"/>
        </w:rPr>
        <w:t>ively, and amortization expense of $60 million and $177 million for the three and nine months ended September 30, 2019, respectively, related to basis adjustments on discontinued hedges.</w:t>
      </w:r>
    </w:p>
    <w:p w:rsidR="00000000" w:rsidRDefault="00795D39">
      <w:pPr>
        <w:ind w:hanging="360"/>
        <w:jc w:val="both"/>
        <w:divId w:val="125332190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eastAsia="Times New Roman"/>
          <w:color w:val="000000"/>
          <w:sz w:val="16"/>
          <w:szCs w:val="16"/>
        </w:rPr>
        <w:t>ized in earnings over the life of the swap under the amortization approach.</w:t>
      </w:r>
    </w:p>
    <w:p w:rsidR="00000000" w:rsidRDefault="00795D39">
      <w:pPr>
        <w:ind w:hanging="360"/>
        <w:jc w:val="both"/>
        <w:divId w:val="23386218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9—Stockholders’ Equity” for the effects of cash flow and net investment hedges on AOCI and amounts reclassified to net income, net of tax.</w:t>
      </w:r>
    </w:p>
    <w:p w:rsidR="00000000" w:rsidRDefault="00795D39">
      <w:pPr>
        <w:ind w:hanging="360"/>
        <w:jc w:val="both"/>
        <w:divId w:val="191916690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We recognized a loss of $</w:t>
      </w:r>
      <w:r>
        <w:rPr>
          <w:rFonts w:eastAsia="Times New Roman"/>
          <w:color w:val="000000"/>
          <w:sz w:val="16"/>
          <w:szCs w:val="16"/>
        </w:rPr>
        <w:t>73 million</w:t>
      </w:r>
      <w:r>
        <w:rPr>
          <w:rFonts w:eastAsia="Times New Roman"/>
          <w:color w:val="000000"/>
          <w:sz w:val="20"/>
          <w:szCs w:val="20"/>
        </w:rPr>
        <w:t xml:space="preserve"> </w:t>
      </w:r>
      <w:r>
        <w:rPr>
          <w:rFonts w:eastAsia="Times New Roman"/>
          <w:color w:val="000000"/>
          <w:sz w:val="16"/>
          <w:szCs w:val="16"/>
        </w:rPr>
        <w:t>and a gain of $20 million for the three and nine months ended September 30, 2020, respectively, and a gain of $71 million and a loss of $224 million for the three and nine months ended September 30, 2019, respectively, on foreign exchange contra</w:t>
      </w:r>
      <w:r>
        <w:rPr>
          <w:rFonts w:eastAsia="Times New Roman"/>
          <w:color w:val="000000"/>
          <w:sz w:val="16"/>
          <w:szCs w:val="16"/>
        </w:rPr>
        <w:t>cts reclassified from AOCI. These amounts were largely offset by the foreign currency transaction gains (losses) on our foreign currency denominated intercompany funding included other non-interest income.</w:t>
      </w:r>
    </w:p>
    <w:p w:rsidR="00000000" w:rsidRDefault="00795D39">
      <w:pPr>
        <w:jc w:val="both"/>
        <w:divId w:val="1485511677"/>
        <w:rPr>
          <w:rFonts w:eastAsia="Times New Roman"/>
        </w:rPr>
      </w:pPr>
      <w:r>
        <w:rPr>
          <w:rFonts w:eastAsia="Times New Roman"/>
          <w:color w:val="000000"/>
          <w:sz w:val="20"/>
          <w:szCs w:val="20"/>
        </w:rPr>
        <w:t xml:space="preserve">In the next 12 months, we expect to reclassify to </w:t>
      </w:r>
      <w:r>
        <w:rPr>
          <w:rFonts w:eastAsia="Times New Roman"/>
          <w:color w:val="000000"/>
          <w:sz w:val="20"/>
          <w:szCs w:val="20"/>
        </w:rPr>
        <w:t xml:space="preserve">earnings net after-tax </w:t>
      </w:r>
      <w:r>
        <w:rPr>
          <w:rFonts w:eastAsia="Times New Roman"/>
          <w:color w:val="000000"/>
          <w:sz w:val="20"/>
          <w:szCs w:val="20"/>
          <w:shd w:val="clear" w:color="auto" w:fill="FFFFFF"/>
        </w:rPr>
        <w:t>gains of $644 million</w:t>
      </w:r>
      <w:r>
        <w:rPr>
          <w:rFonts w:eastAsia="Times New Roman"/>
          <w:color w:val="000000"/>
          <w:sz w:val="20"/>
          <w:szCs w:val="20"/>
        </w:rPr>
        <w:t xml:space="preserve"> recorded in AOCI as of September 30, 2020. These amounts will offset the cash flows associated with the hedged forecasted transactions. The maximum length of time over which forecasted transactions were hedged w</w:t>
      </w:r>
      <w:r>
        <w:rPr>
          <w:rFonts w:eastAsia="Times New Roman"/>
          <w:color w:val="000000"/>
          <w:sz w:val="20"/>
          <w:szCs w:val="20"/>
        </w:rPr>
        <w:t>as approximately 7 years as of September 30, 2020. The amount we expect to reclassify into earnings may change as a result of changes in market conditions and ongoing actions taken as part of our overall risk management strategy.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4516891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4516891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4516891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5" style="width:0;height:1.5pt" o:hralign="center" o:hrstd="t" o:hr="t" fillcolor="#a0a0a0" stroked="f"/>
        </w:pict>
      </w:r>
    </w:p>
    <w:p w:rsidR="00000000" w:rsidRDefault="00795D39">
      <w:pPr>
        <w:jc w:val="both"/>
        <w:divId w:val="9255497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92554978"/>
        <w:rPr>
          <w:rFonts w:eastAsia="Times New Roman"/>
        </w:rPr>
      </w:pPr>
    </w:p>
    <w:p w:rsidR="00000000" w:rsidRDefault="00795D39">
      <w:pPr>
        <w:divId w:val="1512991182"/>
        <w:rPr>
          <w:rFonts w:eastAsia="Times New Roman"/>
        </w:rPr>
      </w:pPr>
      <w:r>
        <w:rPr>
          <w:rFonts w:eastAsia="Times New Roman"/>
          <w:b/>
          <w:bCs/>
          <w:i/>
          <w:iCs/>
          <w:color w:val="000000"/>
          <w:sz w:val="20"/>
          <w:szCs w:val="20"/>
        </w:rPr>
        <w:t>Free-Standing Derivatives</w:t>
      </w:r>
    </w:p>
    <w:p w:rsidR="00000000" w:rsidRDefault="00795D39">
      <w:pPr>
        <w:jc w:val="both"/>
        <w:divId w:val="998775354"/>
        <w:rPr>
          <w:rFonts w:eastAsia="Times New Roman"/>
        </w:rPr>
      </w:pPr>
      <w:r>
        <w:rPr>
          <w:rFonts w:eastAsia="Times New Roman"/>
          <w:color w:val="000000"/>
          <w:sz w:val="20"/>
          <w:szCs w:val="20"/>
        </w:rPr>
        <w:t>The net impacts to our consolidated statements of income related to free-standing derivatives are presented below fo</w:t>
      </w:r>
      <w:r>
        <w:rPr>
          <w:rFonts w:eastAsia="Times New Roman"/>
          <w:color w:val="000000"/>
          <w:sz w:val="20"/>
          <w:szCs w:val="20"/>
        </w:rPr>
        <w:t>r the three and nine months ended September 30, 2020 and 2019. These gains or losses are recognized in other non-interest income in our consolidated statements of income.</w:t>
      </w:r>
    </w:p>
    <w:p w:rsidR="00000000" w:rsidRDefault="00795D39">
      <w:pPr>
        <w:divId w:val="1145128450"/>
        <w:rPr>
          <w:rFonts w:eastAsia="Times New Roman"/>
        </w:rPr>
      </w:pPr>
      <w:r>
        <w:rPr>
          <w:rFonts w:eastAsia="Times New Roman"/>
          <w:b/>
          <w:bCs/>
          <w:color w:val="000000"/>
          <w:sz w:val="18"/>
          <w:szCs w:val="18"/>
        </w:rPr>
        <w:t>Table 8.5: Gains (Losses)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3714"/>
        <w:gridCol w:w="38"/>
        <w:gridCol w:w="36"/>
        <w:gridCol w:w="36"/>
        <w:gridCol w:w="36"/>
        <w:gridCol w:w="110"/>
        <w:gridCol w:w="856"/>
        <w:gridCol w:w="36"/>
        <w:gridCol w:w="36"/>
        <w:gridCol w:w="36"/>
        <w:gridCol w:w="36"/>
        <w:gridCol w:w="110"/>
        <w:gridCol w:w="856"/>
        <w:gridCol w:w="36"/>
        <w:gridCol w:w="36"/>
        <w:gridCol w:w="36"/>
        <w:gridCol w:w="36"/>
        <w:gridCol w:w="110"/>
        <w:gridCol w:w="857"/>
        <w:gridCol w:w="36"/>
        <w:gridCol w:w="36"/>
        <w:gridCol w:w="36"/>
        <w:gridCol w:w="36"/>
        <w:gridCol w:w="110"/>
        <w:gridCol w:w="858"/>
        <w:gridCol w:w="36"/>
        <w:gridCol w:w="36"/>
        <w:gridCol w:w="36"/>
      </w:tblGrid>
      <w:tr w:rsidR="00000000">
        <w:trPr>
          <w:divId w:val="1867283083"/>
        </w:trPr>
        <w:tc>
          <w:tcPr>
            <w:tcW w:w="50" w:type="pct"/>
            <w:vAlign w:val="center"/>
            <w:hideMark/>
          </w:tcPr>
          <w:p w:rsidR="00000000" w:rsidRDefault="00795D39">
            <w:pPr>
              <w:rPr>
                <w:rFonts w:eastAsia="Times New Roman"/>
              </w:rPr>
            </w:pPr>
          </w:p>
        </w:tc>
        <w:tc>
          <w:tcPr>
            <w:tcW w:w="22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7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7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7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7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Gains (losses) recognized in other 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Customer accommodation:</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Foreign exchange and other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customer accommodation</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interest rate exposures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86728308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jc w:val="center"/>
        <w:divId w:val="113194055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45658136"/>
          <w:jc w:val="center"/>
        </w:trPr>
        <w:tc>
          <w:tcPr>
            <w:tcW w:w="50" w:type="pct"/>
            <w:vAlign w:val="center"/>
            <w:hideMark/>
          </w:tcPr>
          <w:p w:rsidR="00000000" w:rsidRDefault="00795D39">
            <w:pPr>
              <w:jc w:val="cente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14565813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4565813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6" style="width:0;height:1.5pt" o:hralign="center" o:hrstd="t" o:hr="t" fillcolor="#a0a0a0" stroked="f"/>
        </w:pict>
      </w:r>
    </w:p>
    <w:p w:rsidR="00000000" w:rsidRDefault="00795D39">
      <w:pPr>
        <w:jc w:val="both"/>
        <w:divId w:val="121604021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2160402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92386300"/>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09238630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9—STOCKHOLDERS’ EQUITY</w:t>
            </w:r>
          </w:p>
        </w:tc>
      </w:tr>
    </w:tbl>
    <w:p w:rsidR="00000000" w:rsidRDefault="00795D39">
      <w:pPr>
        <w:divId w:val="1543135132"/>
        <w:rPr>
          <w:rFonts w:eastAsia="Times New Roman"/>
        </w:rPr>
      </w:pPr>
      <w:r>
        <w:rPr>
          <w:rFonts w:eastAsia="Times New Roman"/>
          <w:b/>
          <w:bCs/>
          <w:color w:val="000000"/>
          <w:sz w:val="20"/>
          <w:szCs w:val="20"/>
        </w:rPr>
        <w:t>Preferred Stock</w:t>
      </w:r>
    </w:p>
    <w:p w:rsidR="00000000" w:rsidRDefault="00795D39">
      <w:pPr>
        <w:jc w:val="both"/>
        <w:divId w:val="395323509"/>
        <w:rPr>
          <w:rFonts w:eastAsia="Times New Roman"/>
        </w:rPr>
      </w:pPr>
      <w:r>
        <w:rPr>
          <w:rFonts w:eastAsia="Times New Roman"/>
          <w:color w:val="000000"/>
          <w:sz w:val="20"/>
          <w:szCs w:val="20"/>
        </w:rPr>
        <w:t>The following table summarizes our preferred stock outstanding as of September 30, 2020 and December 31, 2019.</w:t>
      </w:r>
    </w:p>
    <w:p w:rsidR="00000000" w:rsidRDefault="00795D39">
      <w:pPr>
        <w:divId w:val="588932243"/>
        <w:rPr>
          <w:rFonts w:eastAsia="Times New Roman"/>
        </w:rPr>
      </w:pPr>
      <w:r>
        <w:rPr>
          <w:rFonts w:eastAsia="Times New Roman"/>
          <w:b/>
          <w:bCs/>
          <w:color w:val="000000"/>
          <w:sz w:val="18"/>
          <w:szCs w:val="18"/>
        </w:rPr>
        <w:t>Table 9.1: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388"/>
        <w:gridCol w:w="36"/>
        <w:gridCol w:w="36"/>
        <w:gridCol w:w="36"/>
        <w:gridCol w:w="36"/>
        <w:gridCol w:w="76"/>
        <w:gridCol w:w="704"/>
        <w:gridCol w:w="36"/>
        <w:gridCol w:w="36"/>
        <w:gridCol w:w="36"/>
        <w:gridCol w:w="36"/>
        <w:gridCol w:w="72"/>
        <w:gridCol w:w="638"/>
        <w:gridCol w:w="37"/>
        <w:gridCol w:w="36"/>
        <w:gridCol w:w="36"/>
        <w:gridCol w:w="36"/>
        <w:gridCol w:w="77"/>
        <w:gridCol w:w="687"/>
        <w:gridCol w:w="36"/>
        <w:gridCol w:w="36"/>
        <w:gridCol w:w="36"/>
        <w:gridCol w:w="36"/>
        <w:gridCol w:w="84"/>
        <w:gridCol w:w="642"/>
        <w:gridCol w:w="37"/>
        <w:gridCol w:w="36"/>
        <w:gridCol w:w="36"/>
        <w:gridCol w:w="36"/>
        <w:gridCol w:w="86"/>
        <w:gridCol w:w="641"/>
        <w:gridCol w:w="37"/>
        <w:gridCol w:w="36"/>
        <w:gridCol w:w="36"/>
        <w:gridCol w:w="36"/>
        <w:gridCol w:w="101"/>
        <w:gridCol w:w="654"/>
        <w:gridCol w:w="36"/>
        <w:gridCol w:w="36"/>
        <w:gridCol w:w="36"/>
        <w:gridCol w:w="36"/>
        <w:gridCol w:w="81"/>
        <w:gridCol w:w="698"/>
        <w:gridCol w:w="36"/>
        <w:gridCol w:w="36"/>
        <w:gridCol w:w="36"/>
        <w:gridCol w:w="36"/>
        <w:gridCol w:w="101"/>
        <w:gridCol w:w="606"/>
        <w:gridCol w:w="36"/>
        <w:gridCol w:w="36"/>
        <w:gridCol w:w="36"/>
        <w:gridCol w:w="36"/>
        <w:gridCol w:w="101"/>
        <w:gridCol w:w="572"/>
        <w:gridCol w:w="36"/>
      </w:tblGrid>
      <w:tr w:rsidR="00000000">
        <w:trPr>
          <w:divId w:val="314145206"/>
        </w:trPr>
        <w:tc>
          <w:tcPr>
            <w:tcW w:w="50" w:type="pct"/>
            <w:vAlign w:val="center"/>
            <w:hideMark/>
          </w:tcPr>
          <w:p w:rsidR="00000000" w:rsidRDefault="00795D39">
            <w:pPr>
              <w:rPr>
                <w:rFonts w:eastAsia="Times New Roman"/>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8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2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14145206"/>
          <w:trHeight w:val="46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trPr>
          <w:divId w:val="314145206"/>
          <w:trHeight w:val="400"/>
        </w:trPr>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December 31, 2019</w:t>
            </w:r>
          </w:p>
        </w:tc>
      </w:tr>
      <w:tr w:rsidR="00000000">
        <w:trPr>
          <w:divId w:val="3141452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divId w:val="170340769"/>
              <w:rPr>
                <w:rFonts w:eastAsia="Times New Roman"/>
              </w:rPr>
            </w:pPr>
            <w:r>
              <w:rPr>
                <w:rFonts w:eastAsia="Times New Roman"/>
                <w:b/>
                <w:bCs/>
                <w:color w:val="000000"/>
                <w:sz w:val="16"/>
                <w:szCs w:val="16"/>
              </w:rPr>
              <w:t xml:space="preserve">Series </w:t>
            </w:r>
            <w:r>
              <w:rPr>
                <w:rFonts w:eastAsia="Times New Roman"/>
                <w:b/>
                <w:bCs/>
                <w:color w:val="000000"/>
                <w:sz w:val="16"/>
                <w:szCs w:val="16"/>
              </w:rPr>
              <w:t>B</w:t>
            </w:r>
            <w:r>
              <w:rPr>
                <w:rFonts w:eastAsia="Times New Roman"/>
                <w:b/>
                <w:bCs/>
                <w:color w:val="000000"/>
                <w:sz w:val="10"/>
                <w:szCs w:val="10"/>
              </w:rPr>
              <w:t>(2</w:t>
            </w:r>
            <w:r>
              <w:rPr>
                <w:rFonts w:eastAsia="Times New Roman"/>
                <w:b/>
                <w:bCs/>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 xml:space="preserve">6.000%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August 20, 2012</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September 1, 2017</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6.000%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14145206"/>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14145206"/>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14145206"/>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Series 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Fixed-to-Floating Rate</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May 14, 2015</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June 1, 2020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 xml:space="preserve">5.550% through 5/31/2020; </w:t>
            </w:r>
          </w:p>
          <w:p w:rsidR="00000000" w:rsidRDefault="00795D39">
            <w:pPr>
              <w:jc w:val="center"/>
              <w:rPr>
                <w:rFonts w:eastAsia="Times New Roman"/>
              </w:rPr>
            </w:pPr>
            <w:r>
              <w:rPr>
                <w:rFonts w:eastAsia="Times New Roman"/>
                <w:color w:val="000000"/>
                <w:sz w:val="16"/>
                <w:szCs w:val="16"/>
              </w:rPr>
              <w:t xml:space="preserve">3-mo. </w:t>
            </w:r>
            <w:r>
              <w:rPr>
                <w:rFonts w:eastAsia="Times New Roman"/>
                <w:color w:val="000000"/>
                <w:sz w:val="16"/>
                <w:szCs w:val="16"/>
              </w:rPr>
              <w:t>LIBOR + 380 bps thereafter</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Semi-Annually through 5/31/2020; Quarterly thereafter</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1,000,000 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988 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14145206"/>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Series F</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 xml:space="preserve">6.200%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August 24, 2015</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December 1, 2020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6.200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500,000 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484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484 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14145206"/>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Series 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5.200%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July 29, 2016</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December 1, 2021</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5.200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583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583 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14145206"/>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Series H</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 xml:space="preserve">6.000%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November 29, 2016</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December 1, 2021</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6.000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500,000 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483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483 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14145206"/>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Series I</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September 11, 2019</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December 1, 2024</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5.000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1,500,000 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1,462 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14145206"/>
        </w:trPr>
        <w:tc>
          <w:tcPr>
            <w:tcW w:w="0" w:type="auto"/>
            <w:gridSpan w:val="3"/>
            <w:shd w:val="clear" w:color="auto" w:fill="CCEE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Series J</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January 31, 2020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June 1, 2025</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4.800</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14145206"/>
        </w:trPr>
        <w:tc>
          <w:tcPr>
            <w:tcW w:w="0" w:type="auto"/>
            <w:gridSpan w:val="3"/>
            <w:shd w:val="clear" w:color="auto" w:fill="FFFFFF"/>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16"/>
                <w:szCs w:val="16"/>
              </w:rPr>
              <w:t>Series 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September 17, 2020</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December 1, 2025</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4.625</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125,000 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6"/>
                <w:szCs w:val="16"/>
              </w:rPr>
              <w:t>121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r>
      <w:tr w:rsidR="00000000">
        <w:trPr>
          <w:divId w:val="314145206"/>
        </w:trPr>
        <w:tc>
          <w:tcPr>
            <w:tcW w:w="0" w:type="auto"/>
            <w:gridSpan w:val="45"/>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5,330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4,853 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530098597"/>
        <w:rPr>
          <w:rFonts w:eastAsia="Times New Roman"/>
        </w:rPr>
      </w:pPr>
      <w:r>
        <w:rPr>
          <w:rFonts w:eastAsia="Times New Roman"/>
          <w:color w:val="000000"/>
          <w:sz w:val="20"/>
          <w:szCs w:val="20"/>
        </w:rPr>
        <w:t>__________</w:t>
      </w:r>
    </w:p>
    <w:p w:rsidR="00000000" w:rsidRDefault="00795D39">
      <w:pPr>
        <w:ind w:hanging="360"/>
        <w:jc w:val="both"/>
        <w:divId w:val="102532445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 E, ownership is held in the form of depositary shares, each representing a 1/40th interest in a share of fixed-rate non-cumulative perpetual preferred stock.</w:t>
      </w:r>
    </w:p>
    <w:p w:rsidR="00000000" w:rsidRDefault="00795D39">
      <w:pPr>
        <w:ind w:hanging="360"/>
        <w:jc w:val="both"/>
        <w:divId w:val="180646316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On March 2, 2020, we redeemed all outstanding shares of our preferred stock S</w:t>
      </w:r>
      <w:r>
        <w:rPr>
          <w:rFonts w:eastAsia="Times New Roman"/>
          <w:color w:val="000000"/>
          <w:sz w:val="16"/>
          <w:szCs w:val="16"/>
        </w:rPr>
        <w:t>eries B.</w:t>
      </w:r>
    </w:p>
    <w:p w:rsidR="00000000" w:rsidRDefault="00795D39">
      <w:pPr>
        <w:divId w:val="2108766921"/>
        <w:rPr>
          <w:rFonts w:eastAsia="Times New Roman"/>
        </w:rPr>
      </w:pPr>
      <w:r>
        <w:rPr>
          <w:rFonts w:eastAsia="Times New Roman"/>
          <w:b/>
          <w:bCs/>
          <w:color w:val="000000"/>
          <w:sz w:val="20"/>
          <w:szCs w:val="20"/>
        </w:rPr>
        <w:t>Accumulated Other Comprehensive Income</w:t>
      </w:r>
    </w:p>
    <w:p w:rsidR="00000000" w:rsidRDefault="00795D39">
      <w:pPr>
        <w:jc w:val="both"/>
        <w:divId w:val="1439105181"/>
        <w:rPr>
          <w:rFonts w:eastAsia="Times New Roman"/>
        </w:rPr>
      </w:pPr>
      <w:r>
        <w:rPr>
          <w:rFonts w:eastAsia="Times New Roman"/>
          <w:color w:val="000000"/>
          <w:sz w:val="20"/>
          <w:szCs w:val="20"/>
        </w:rPr>
        <w:t xml:space="preserve">Accumulated other comprehensive income primarily consists of accumulated net unrealized gains associated with securities available for sale, changes in fair value of derivatives in hedging relationships, and </w:t>
      </w:r>
      <w:r>
        <w:rPr>
          <w:rFonts w:eastAsia="Times New Roman"/>
          <w:color w:val="000000"/>
          <w:sz w:val="20"/>
          <w:szCs w:val="20"/>
        </w:rPr>
        <w:t>foreign currency translation adjustments.</w:t>
      </w:r>
    </w:p>
    <w:p w:rsidR="00000000" w:rsidRDefault="00795D39">
      <w:pPr>
        <w:jc w:val="both"/>
        <w:divId w:val="251935526"/>
        <w:rPr>
          <w:rFonts w:eastAsia="Times New Roman"/>
        </w:rPr>
      </w:pPr>
      <w:r>
        <w:rPr>
          <w:rFonts w:eastAsia="Times New Roman"/>
          <w:color w:val="000000"/>
          <w:sz w:val="20"/>
          <w:szCs w:val="20"/>
        </w:rPr>
        <w:t xml:space="preserve">The following table includes the AOCI impacts from the adoption of the CECL standard and the changes in AOCI by component for the three and nine months ended September 30, 2020 and 2019.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95480162"/>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9548016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59548016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7" style="width:0;height:1.5pt" o:hralign="center" o:hrstd="t" o:hr="t" fillcolor="#a0a0a0" stroked="f"/>
        </w:pict>
      </w:r>
    </w:p>
    <w:p w:rsidR="00000000" w:rsidRDefault="00795D39">
      <w:pPr>
        <w:jc w:val="both"/>
        <w:divId w:val="39316054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393160543"/>
        <w:rPr>
          <w:rFonts w:eastAsia="Times New Roman"/>
        </w:rPr>
      </w:pPr>
    </w:p>
    <w:p w:rsidR="00000000" w:rsidRDefault="00795D39">
      <w:pPr>
        <w:divId w:val="191577968"/>
        <w:rPr>
          <w:rFonts w:eastAsia="Times New Roman"/>
        </w:rPr>
      </w:pPr>
      <w:r>
        <w:rPr>
          <w:rFonts w:eastAsia="Times New Roman"/>
          <w:b/>
          <w:bCs/>
          <w:color w:val="000000"/>
          <w:sz w:val="18"/>
          <w:szCs w:val="18"/>
        </w:rPr>
        <w:t>Table 9.2: Accumulated Other Comprehensive Income (Loss)</w:t>
      </w:r>
    </w:p>
    <w:tbl>
      <w:tblPr>
        <w:tblW w:w="4985" w:type="pct"/>
        <w:tblCellMar>
          <w:top w:w="15" w:type="dxa"/>
          <w:left w:w="15" w:type="dxa"/>
          <w:bottom w:w="15" w:type="dxa"/>
          <w:right w:w="15" w:type="dxa"/>
        </w:tblCellMar>
        <w:tblLook w:val="04A0" w:firstRow="1" w:lastRow="0" w:firstColumn="1" w:lastColumn="0" w:noHBand="0" w:noVBand="1"/>
      </w:tblPr>
      <w:tblGrid>
        <w:gridCol w:w="38"/>
        <w:gridCol w:w="3490"/>
        <w:gridCol w:w="37"/>
        <w:gridCol w:w="36"/>
        <w:gridCol w:w="36"/>
        <w:gridCol w:w="36"/>
        <w:gridCol w:w="111"/>
        <w:gridCol w:w="624"/>
        <w:gridCol w:w="36"/>
        <w:gridCol w:w="36"/>
        <w:gridCol w:w="36"/>
        <w:gridCol w:w="36"/>
        <w:gridCol w:w="36"/>
        <w:gridCol w:w="36"/>
        <w:gridCol w:w="111"/>
        <w:gridCol w:w="980"/>
        <w:gridCol w:w="36"/>
        <w:gridCol w:w="36"/>
        <w:gridCol w:w="36"/>
        <w:gridCol w:w="36"/>
        <w:gridCol w:w="111"/>
        <w:gridCol w:w="927"/>
        <w:gridCol w:w="36"/>
        <w:gridCol w:w="36"/>
        <w:gridCol w:w="36"/>
        <w:gridCol w:w="36"/>
        <w:gridCol w:w="111"/>
        <w:gridCol w:w="388"/>
        <w:gridCol w:w="37"/>
        <w:gridCol w:w="36"/>
        <w:gridCol w:w="36"/>
        <w:gridCol w:w="36"/>
        <w:gridCol w:w="110"/>
        <w:gridCol w:w="450"/>
        <w:gridCol w:w="36"/>
      </w:tblGrid>
      <w:tr w:rsidR="00000000">
        <w:trPr>
          <w:divId w:val="1454322254"/>
        </w:trPr>
        <w:tc>
          <w:tcPr>
            <w:tcW w:w="50" w:type="pct"/>
            <w:vAlign w:val="center"/>
            <w:hideMark/>
          </w:tcPr>
          <w:p w:rsidR="00000000" w:rsidRDefault="00795D39">
            <w:pPr>
              <w:rPr>
                <w:rFonts w:eastAsia="Times New Roman"/>
              </w:rPr>
            </w:pPr>
          </w:p>
        </w:tc>
        <w:tc>
          <w:tcPr>
            <w:tcW w:w="232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54322254"/>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2020</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5432225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Securities Available for Sale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1454322254"/>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45432225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45432225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45432225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45432225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45432225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45432225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454322254"/>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45432225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AOCI as of June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432225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432225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432225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5432225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AOCI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3486"/>
        <w:gridCol w:w="39"/>
        <w:gridCol w:w="36"/>
        <w:gridCol w:w="36"/>
        <w:gridCol w:w="36"/>
        <w:gridCol w:w="111"/>
        <w:gridCol w:w="624"/>
        <w:gridCol w:w="36"/>
        <w:gridCol w:w="36"/>
        <w:gridCol w:w="36"/>
        <w:gridCol w:w="36"/>
        <w:gridCol w:w="36"/>
        <w:gridCol w:w="36"/>
        <w:gridCol w:w="111"/>
        <w:gridCol w:w="980"/>
        <w:gridCol w:w="36"/>
        <w:gridCol w:w="36"/>
        <w:gridCol w:w="36"/>
        <w:gridCol w:w="36"/>
        <w:gridCol w:w="111"/>
        <w:gridCol w:w="927"/>
        <w:gridCol w:w="36"/>
        <w:gridCol w:w="36"/>
        <w:gridCol w:w="36"/>
        <w:gridCol w:w="36"/>
        <w:gridCol w:w="111"/>
        <w:gridCol w:w="388"/>
        <w:gridCol w:w="37"/>
        <w:gridCol w:w="36"/>
        <w:gridCol w:w="36"/>
        <w:gridCol w:w="36"/>
        <w:gridCol w:w="110"/>
        <w:gridCol w:w="450"/>
        <w:gridCol w:w="36"/>
      </w:tblGrid>
      <w:tr w:rsidR="00000000">
        <w:trPr>
          <w:divId w:val="868686131"/>
        </w:trPr>
        <w:tc>
          <w:tcPr>
            <w:tcW w:w="50" w:type="pct"/>
            <w:vAlign w:val="center"/>
            <w:hideMark/>
          </w:tcPr>
          <w:p w:rsidR="00000000" w:rsidRDefault="00795D39">
            <w:pPr>
              <w:jc w:val="both"/>
              <w:rPr>
                <w:rFonts w:eastAsia="Times New Roman"/>
              </w:rPr>
            </w:pPr>
          </w:p>
        </w:tc>
        <w:tc>
          <w:tcPr>
            <w:tcW w:w="232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3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68686131"/>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2020</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868686131"/>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Securities Available for Sale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868686131"/>
        </w:trPr>
        <w:tc>
          <w:tcPr>
            <w:tcW w:w="0" w:type="auto"/>
            <w:gridSpan w:val="3"/>
            <w:vAlign w:val="center"/>
            <w:hideMark/>
          </w:tcPr>
          <w:p w:rsidR="00000000" w:rsidRDefault="00795D39">
            <w:pPr>
              <w:jc w:val="center"/>
              <w:rPr>
                <w:rFonts w:eastAsia="Times New Roman"/>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AOCI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6868613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Cumulative effects from the adoption of the CECL standard</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6868613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6868613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Amounts reclassified from AOCI into earnings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6868613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68686131"/>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86868613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AOCI as of September 30, 2020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2846"/>
        <w:gridCol w:w="37"/>
        <w:gridCol w:w="36"/>
        <w:gridCol w:w="36"/>
        <w:gridCol w:w="36"/>
        <w:gridCol w:w="111"/>
        <w:gridCol w:w="614"/>
        <w:gridCol w:w="36"/>
        <w:gridCol w:w="36"/>
        <w:gridCol w:w="36"/>
        <w:gridCol w:w="36"/>
        <w:gridCol w:w="36"/>
        <w:gridCol w:w="36"/>
        <w:gridCol w:w="111"/>
        <w:gridCol w:w="979"/>
        <w:gridCol w:w="36"/>
        <w:gridCol w:w="36"/>
        <w:gridCol w:w="36"/>
        <w:gridCol w:w="36"/>
        <w:gridCol w:w="111"/>
        <w:gridCol w:w="928"/>
        <w:gridCol w:w="36"/>
        <w:gridCol w:w="36"/>
        <w:gridCol w:w="36"/>
        <w:gridCol w:w="36"/>
        <w:gridCol w:w="111"/>
        <w:gridCol w:w="612"/>
        <w:gridCol w:w="36"/>
        <w:gridCol w:w="36"/>
        <w:gridCol w:w="36"/>
        <w:gridCol w:w="36"/>
        <w:gridCol w:w="110"/>
        <w:gridCol w:w="300"/>
        <w:gridCol w:w="36"/>
        <w:gridCol w:w="36"/>
        <w:gridCol w:w="36"/>
        <w:gridCol w:w="36"/>
        <w:gridCol w:w="110"/>
        <w:gridCol w:w="315"/>
        <w:gridCol w:w="36"/>
      </w:tblGrid>
      <w:tr w:rsidR="00000000">
        <w:trPr>
          <w:divId w:val="471484306"/>
        </w:trPr>
        <w:tc>
          <w:tcPr>
            <w:tcW w:w="50" w:type="pct"/>
            <w:vAlign w:val="center"/>
            <w:hideMark/>
          </w:tcPr>
          <w:p w:rsidR="00000000" w:rsidRDefault="00795D39">
            <w:pPr>
              <w:jc w:val="both"/>
              <w:rPr>
                <w:rFonts w:eastAsia="Times New Roman"/>
              </w:rPr>
            </w:pPr>
          </w:p>
        </w:tc>
        <w:tc>
          <w:tcPr>
            <w:tcW w:w="20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1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3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471484306"/>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2019</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47148430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Securities Available for Sale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Securities Held to Maturity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4714843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AOCI as of June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7148430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7148430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7148430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47148430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AOCI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2634"/>
        <w:gridCol w:w="38"/>
        <w:gridCol w:w="36"/>
        <w:gridCol w:w="36"/>
        <w:gridCol w:w="36"/>
        <w:gridCol w:w="111"/>
        <w:gridCol w:w="614"/>
        <w:gridCol w:w="36"/>
        <w:gridCol w:w="36"/>
        <w:gridCol w:w="36"/>
        <w:gridCol w:w="36"/>
        <w:gridCol w:w="36"/>
        <w:gridCol w:w="36"/>
        <w:gridCol w:w="111"/>
        <w:gridCol w:w="979"/>
        <w:gridCol w:w="36"/>
        <w:gridCol w:w="36"/>
        <w:gridCol w:w="36"/>
        <w:gridCol w:w="36"/>
        <w:gridCol w:w="111"/>
        <w:gridCol w:w="928"/>
        <w:gridCol w:w="36"/>
        <w:gridCol w:w="36"/>
        <w:gridCol w:w="36"/>
        <w:gridCol w:w="36"/>
        <w:gridCol w:w="111"/>
        <w:gridCol w:w="612"/>
        <w:gridCol w:w="36"/>
        <w:gridCol w:w="36"/>
        <w:gridCol w:w="36"/>
        <w:gridCol w:w="36"/>
        <w:gridCol w:w="110"/>
        <w:gridCol w:w="300"/>
        <w:gridCol w:w="36"/>
        <w:gridCol w:w="36"/>
        <w:gridCol w:w="36"/>
        <w:gridCol w:w="36"/>
        <w:gridCol w:w="110"/>
        <w:gridCol w:w="525"/>
        <w:gridCol w:w="36"/>
      </w:tblGrid>
      <w:tr w:rsidR="00000000">
        <w:trPr>
          <w:divId w:val="1402556432"/>
        </w:trPr>
        <w:tc>
          <w:tcPr>
            <w:tcW w:w="50" w:type="pct"/>
            <w:vAlign w:val="center"/>
            <w:hideMark/>
          </w:tcPr>
          <w:p w:rsidR="00000000" w:rsidRDefault="00795D39">
            <w:pPr>
              <w:jc w:val="both"/>
              <w:rPr>
                <w:rFonts w:eastAsia="Times New Roman"/>
              </w:rPr>
            </w:pPr>
          </w:p>
        </w:tc>
        <w:tc>
          <w:tcPr>
            <w:tcW w:w="209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1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3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02556432"/>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2019</w:t>
            </w: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402556432"/>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Securities Available for Sale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Securities Held to Maturity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14025564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AOCI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(1,263)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02556432"/>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697 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1,464 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02556432"/>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02556432"/>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02556432"/>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AOCI as of September 30, 2019</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676537652"/>
        <w:rPr>
          <w:rFonts w:eastAsia="Times New Roman"/>
        </w:rPr>
      </w:pPr>
      <w:r>
        <w:rPr>
          <w:rFonts w:eastAsia="Times New Roman"/>
          <w:color w:val="000000"/>
          <w:sz w:val="20"/>
          <w:szCs w:val="20"/>
        </w:rPr>
        <w:t>___</w:t>
      </w:r>
      <w:r>
        <w:rPr>
          <w:rFonts w:eastAsia="Times New Roman"/>
          <w:color w:val="000000"/>
          <w:sz w:val="20"/>
          <w:szCs w:val="20"/>
        </w:rPr>
        <w:t>_______</w:t>
      </w:r>
    </w:p>
    <w:p w:rsidR="00000000" w:rsidRDefault="00795D39">
      <w:pPr>
        <w:ind w:hanging="360"/>
        <w:jc w:val="both"/>
        <w:divId w:val="12816932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rsidR="00000000" w:rsidRDefault="00795D39">
      <w:pPr>
        <w:ind w:hanging="360"/>
        <w:jc w:val="both"/>
        <w:divId w:val="194511153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other comprehensive loss of $75 million</w:t>
      </w:r>
      <w:r>
        <w:rPr>
          <w:rFonts w:eastAsia="Times New Roman"/>
          <w:color w:val="000000"/>
          <w:sz w:val="20"/>
          <w:szCs w:val="20"/>
        </w:rPr>
        <w:t xml:space="preserve"> </w:t>
      </w:r>
      <w:r>
        <w:rPr>
          <w:rFonts w:eastAsia="Times New Roman"/>
          <w:color w:val="000000"/>
          <w:sz w:val="16"/>
          <w:szCs w:val="16"/>
        </w:rPr>
        <w:t>and gain of $59 million for the three and nine months end</w:t>
      </w:r>
      <w:r>
        <w:rPr>
          <w:rFonts w:eastAsia="Times New Roman"/>
          <w:color w:val="000000"/>
          <w:sz w:val="16"/>
          <w:szCs w:val="16"/>
        </w:rPr>
        <w:t>ed September 30, 2020, respectively, and other comprehensive gains of $67 million and $86 million for the three and nine months ended September 30, 2019, respectively, from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99294229"/>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799294229"/>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799294229"/>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8" style="width:0;height:1.5pt" o:hralign="center" o:hrstd="t" o:hr="t" fillcolor="#a0a0a0" stroked="f"/>
        </w:pict>
      </w:r>
    </w:p>
    <w:p w:rsidR="00000000" w:rsidRDefault="00795D39">
      <w:pPr>
        <w:jc w:val="both"/>
        <w:divId w:val="41105111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411051119"/>
        <w:rPr>
          <w:rFonts w:eastAsia="Times New Roman"/>
        </w:rPr>
      </w:pPr>
    </w:p>
    <w:p w:rsidR="00000000" w:rsidRDefault="00795D39">
      <w:pPr>
        <w:jc w:val="both"/>
        <w:divId w:val="1337995879"/>
        <w:rPr>
          <w:rFonts w:eastAsia="Times New Roman"/>
        </w:rPr>
      </w:pPr>
      <w:r>
        <w:rPr>
          <w:rFonts w:eastAsia="Times New Roman"/>
          <w:color w:val="000000"/>
          <w:sz w:val="20"/>
          <w:szCs w:val="20"/>
        </w:rPr>
        <w:t>The following table presents amounts reclassified from each component of AOCI to our consolidated statements of income for the three and nine months ended September 30, 2020 and 2019.</w:t>
      </w:r>
    </w:p>
    <w:p w:rsidR="00000000" w:rsidRDefault="00795D39">
      <w:pPr>
        <w:divId w:val="960767279"/>
        <w:rPr>
          <w:rFonts w:eastAsia="Times New Roman"/>
        </w:rPr>
      </w:pPr>
      <w:r>
        <w:rPr>
          <w:rFonts w:eastAsia="Times New Roman"/>
          <w:b/>
          <w:bCs/>
          <w:color w:val="000000"/>
          <w:sz w:val="18"/>
          <w:szCs w:val="18"/>
        </w:rPr>
        <w:t>Table 9.3: Reclassifications from AOCI</w:t>
      </w:r>
    </w:p>
    <w:tbl>
      <w:tblPr>
        <w:tblW w:w="5000" w:type="pct"/>
        <w:tblCellMar>
          <w:top w:w="15" w:type="dxa"/>
          <w:left w:w="15" w:type="dxa"/>
          <w:bottom w:w="15" w:type="dxa"/>
          <w:right w:w="15" w:type="dxa"/>
        </w:tblCellMar>
        <w:tblLook w:val="04A0" w:firstRow="1" w:lastRow="0" w:firstColumn="1" w:lastColumn="0" w:noHBand="0" w:noVBand="1"/>
      </w:tblPr>
      <w:tblGrid>
        <w:gridCol w:w="42"/>
        <w:gridCol w:w="1875"/>
        <w:gridCol w:w="38"/>
        <w:gridCol w:w="36"/>
        <w:gridCol w:w="36"/>
        <w:gridCol w:w="36"/>
        <w:gridCol w:w="80"/>
        <w:gridCol w:w="2522"/>
        <w:gridCol w:w="36"/>
        <w:gridCol w:w="36"/>
        <w:gridCol w:w="36"/>
        <w:gridCol w:w="36"/>
        <w:gridCol w:w="110"/>
        <w:gridCol w:w="604"/>
        <w:gridCol w:w="36"/>
        <w:gridCol w:w="36"/>
        <w:gridCol w:w="36"/>
        <w:gridCol w:w="36"/>
        <w:gridCol w:w="110"/>
        <w:gridCol w:w="637"/>
        <w:gridCol w:w="36"/>
        <w:gridCol w:w="36"/>
        <w:gridCol w:w="36"/>
        <w:gridCol w:w="36"/>
        <w:gridCol w:w="110"/>
        <w:gridCol w:w="637"/>
        <w:gridCol w:w="36"/>
        <w:gridCol w:w="36"/>
        <w:gridCol w:w="36"/>
        <w:gridCol w:w="36"/>
        <w:gridCol w:w="110"/>
        <w:gridCol w:w="639"/>
        <w:gridCol w:w="36"/>
        <w:gridCol w:w="36"/>
        <w:gridCol w:w="36"/>
      </w:tblGrid>
      <w:tr w:rsidR="00000000">
        <w:trPr>
          <w:divId w:val="268318834"/>
        </w:trPr>
        <w:tc>
          <w:tcPr>
            <w:tcW w:w="50" w:type="pct"/>
            <w:vAlign w:val="center"/>
            <w:hideMark/>
          </w:tcPr>
          <w:p w:rsidR="00000000" w:rsidRDefault="00795D39">
            <w:pPr>
              <w:rPr>
                <w:rFonts w:eastAsia="Times New Roman"/>
              </w:rPr>
            </w:pPr>
          </w:p>
        </w:tc>
        <w:tc>
          <w:tcPr>
            <w:tcW w:w="116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58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Affected Income Statement Line Item</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xml:space="preserve">Net income </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30" w:type="dxa"/>
              <w:left w:w="20" w:type="dxa"/>
              <w:bottom w:w="30" w:type="dxa"/>
              <w:right w:w="20" w:type="dxa"/>
            </w:tcMar>
            <w:vAlign w:val="center"/>
            <w:hideMark/>
          </w:tcPr>
          <w:p w:rsidR="00000000" w:rsidRDefault="00795D39">
            <w:pPr>
              <w:divId w:val="437258705"/>
              <w:rPr>
                <w:rFonts w:eastAsia="Times New Roman"/>
              </w:rPr>
            </w:pPr>
            <w:r>
              <w:rPr>
                <w:rFonts w:eastAsia="Times New Roman"/>
                <w:color w:val="000000"/>
                <w:sz w:val="18"/>
                <w:szCs w:val="18"/>
              </w:rPr>
              <w:t>Securities held to maturity</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 and non-interest expense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 xml:space="preserve">Net income </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68318834"/>
        </w:trPr>
        <w:tc>
          <w:tcPr>
            <w:tcW w:w="0" w:type="auto"/>
            <w:gridSpan w:val="9"/>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reclassifications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2052456685"/>
        <w:rPr>
          <w:rFonts w:eastAsia="Times New Roman"/>
        </w:rPr>
      </w:pPr>
      <w:r>
        <w:rPr>
          <w:rFonts w:eastAsia="Times New Roman"/>
          <w:color w:val="000000"/>
          <w:sz w:val="20"/>
          <w:szCs w:val="20"/>
        </w:rPr>
        <w:t>__________</w:t>
      </w:r>
    </w:p>
    <w:p w:rsidR="00000000" w:rsidRDefault="00795D39">
      <w:pPr>
        <w:ind w:hanging="360"/>
        <w:jc w:val="both"/>
        <w:divId w:val="3455248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On December 31, 2019, we transferred our entire portfolio of held to maturity securities to available for sale.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20495392"/>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32049539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2049539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49" style="width:0;height:1.5pt" o:hralign="center" o:hrstd="t" o:hr="t" fillcolor="#a0a0a0" stroked="f"/>
        </w:pict>
      </w:r>
    </w:p>
    <w:p w:rsidR="00000000" w:rsidRDefault="00795D39">
      <w:pPr>
        <w:jc w:val="both"/>
        <w:divId w:val="1897551277"/>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897551277"/>
        <w:rPr>
          <w:rFonts w:eastAsia="Times New Roman"/>
        </w:rPr>
      </w:pPr>
    </w:p>
    <w:p w:rsidR="00000000" w:rsidRDefault="00795D39">
      <w:pPr>
        <w:jc w:val="both"/>
        <w:divId w:val="2100710378"/>
        <w:rPr>
          <w:rFonts w:eastAsia="Times New Roman"/>
        </w:rPr>
      </w:pPr>
      <w:r>
        <w:rPr>
          <w:rFonts w:eastAsia="Times New Roman"/>
          <w:color w:val="000000"/>
          <w:sz w:val="20"/>
          <w:szCs w:val="20"/>
        </w:rPr>
        <w:t>The table below summarizes other comprehensive income (loss) activity and the related tax impact for the three and nine months ended September</w:t>
      </w:r>
      <w:r>
        <w:rPr>
          <w:rFonts w:eastAsia="Times New Roman"/>
          <w:color w:val="000000"/>
          <w:sz w:val="20"/>
          <w:szCs w:val="20"/>
        </w:rPr>
        <w:t xml:space="preserve"> 30, 2020 and 2019.</w:t>
      </w:r>
    </w:p>
    <w:p w:rsidR="00000000" w:rsidRDefault="00795D39">
      <w:pPr>
        <w:divId w:val="1967656183"/>
        <w:rPr>
          <w:rFonts w:eastAsia="Times New Roman"/>
        </w:rPr>
      </w:pPr>
      <w:r>
        <w:rPr>
          <w:rFonts w:eastAsia="Times New Roman"/>
          <w:b/>
          <w:bCs/>
          <w:color w:val="000000"/>
          <w:sz w:val="18"/>
          <w:szCs w:val="18"/>
        </w:rPr>
        <w:t>Table 9.4: Other Comprehensive Income (Loss)</w:t>
      </w:r>
    </w:p>
    <w:tbl>
      <w:tblPr>
        <w:tblW w:w="4992" w:type="pct"/>
        <w:tblCellMar>
          <w:top w:w="15" w:type="dxa"/>
          <w:left w:w="15" w:type="dxa"/>
          <w:bottom w:w="15" w:type="dxa"/>
          <w:right w:w="15" w:type="dxa"/>
        </w:tblCellMar>
        <w:tblLook w:val="04A0" w:firstRow="1" w:lastRow="0" w:firstColumn="1" w:lastColumn="0" w:noHBand="0" w:noVBand="1"/>
      </w:tblPr>
      <w:tblGrid>
        <w:gridCol w:w="38"/>
        <w:gridCol w:w="3611"/>
        <w:gridCol w:w="37"/>
        <w:gridCol w:w="36"/>
        <w:gridCol w:w="36"/>
        <w:gridCol w:w="36"/>
        <w:gridCol w:w="101"/>
        <w:gridCol w:w="415"/>
        <w:gridCol w:w="36"/>
        <w:gridCol w:w="36"/>
        <w:gridCol w:w="36"/>
        <w:gridCol w:w="36"/>
        <w:gridCol w:w="101"/>
        <w:gridCol w:w="589"/>
        <w:gridCol w:w="36"/>
        <w:gridCol w:w="36"/>
        <w:gridCol w:w="36"/>
        <w:gridCol w:w="36"/>
        <w:gridCol w:w="100"/>
        <w:gridCol w:w="347"/>
        <w:gridCol w:w="36"/>
        <w:gridCol w:w="36"/>
        <w:gridCol w:w="36"/>
        <w:gridCol w:w="36"/>
        <w:gridCol w:w="101"/>
        <w:gridCol w:w="415"/>
        <w:gridCol w:w="36"/>
        <w:gridCol w:w="36"/>
        <w:gridCol w:w="36"/>
        <w:gridCol w:w="36"/>
        <w:gridCol w:w="101"/>
        <w:gridCol w:w="589"/>
        <w:gridCol w:w="36"/>
        <w:gridCol w:w="36"/>
        <w:gridCol w:w="36"/>
        <w:gridCol w:w="36"/>
        <w:gridCol w:w="100"/>
        <w:gridCol w:w="280"/>
        <w:gridCol w:w="36"/>
        <w:gridCol w:w="36"/>
        <w:gridCol w:w="36"/>
        <w:gridCol w:w="36"/>
        <w:gridCol w:w="36"/>
        <w:gridCol w:w="36"/>
        <w:gridCol w:w="36"/>
        <w:gridCol w:w="36"/>
        <w:gridCol w:w="36"/>
        <w:gridCol w:w="36"/>
        <w:gridCol w:w="36"/>
        <w:gridCol w:w="36"/>
        <w:gridCol w:w="36"/>
        <w:gridCol w:w="36"/>
        <w:gridCol w:w="36"/>
      </w:tblGrid>
      <w:tr w:rsidR="00000000">
        <w:trPr>
          <w:divId w:val="343240377"/>
        </w:trPr>
        <w:tc>
          <w:tcPr>
            <w:tcW w:w="50" w:type="pct"/>
            <w:vAlign w:val="center"/>
            <w:hideMark/>
          </w:tcPr>
          <w:p w:rsidR="00000000" w:rsidRDefault="00795D39">
            <w:pPr>
              <w:rPr>
                <w:rFonts w:eastAsia="Times New Roman"/>
              </w:rPr>
            </w:pPr>
          </w:p>
        </w:tc>
        <w:tc>
          <w:tcPr>
            <w:tcW w:w="258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FF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FF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34324037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795D39">
            <w:pPr>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unrealized gains on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100 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unrealized gains (losses) on hedging relationships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(231)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(56)</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(175)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249</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60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189</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shd w:val="clear" w:color="auto" w:fill="FFFFFF"/>
            <w:tcMar>
              <w:top w:w="30" w:type="dxa"/>
              <w:left w:w="20" w:type="dxa"/>
              <w:bottom w:w="30" w:type="dxa"/>
              <w:right w:w="20" w:type="dxa"/>
            </w:tcMar>
            <w:vAlign w:val="center"/>
            <w:hideMark/>
          </w:tcPr>
          <w:p w:rsidR="00000000" w:rsidRDefault="00795D39">
            <w:pPr>
              <w:divId w:val="1699118703"/>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9</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21</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changes in securities held to maturity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10</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2</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8</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34324037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w:t>
            </w:r>
            <w:r>
              <w:rPr>
                <w:rFonts w:eastAsia="Times New Roman"/>
                <w:b/>
                <w:bCs/>
                <w:color w:val="000000"/>
                <w:sz w:val="16"/>
                <w:szCs w:val="16"/>
              </w:rPr>
              <w:t>148)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398 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3470"/>
        <w:gridCol w:w="37"/>
        <w:gridCol w:w="36"/>
        <w:gridCol w:w="36"/>
        <w:gridCol w:w="36"/>
        <w:gridCol w:w="100"/>
        <w:gridCol w:w="400"/>
        <w:gridCol w:w="36"/>
        <w:gridCol w:w="36"/>
        <w:gridCol w:w="36"/>
        <w:gridCol w:w="36"/>
        <w:gridCol w:w="101"/>
        <w:gridCol w:w="589"/>
        <w:gridCol w:w="36"/>
        <w:gridCol w:w="36"/>
        <w:gridCol w:w="36"/>
        <w:gridCol w:w="36"/>
        <w:gridCol w:w="100"/>
        <w:gridCol w:w="400"/>
        <w:gridCol w:w="36"/>
        <w:gridCol w:w="36"/>
        <w:gridCol w:w="36"/>
        <w:gridCol w:w="36"/>
        <w:gridCol w:w="100"/>
        <w:gridCol w:w="400"/>
        <w:gridCol w:w="36"/>
        <w:gridCol w:w="36"/>
        <w:gridCol w:w="36"/>
        <w:gridCol w:w="36"/>
        <w:gridCol w:w="101"/>
        <w:gridCol w:w="589"/>
        <w:gridCol w:w="36"/>
        <w:gridCol w:w="36"/>
        <w:gridCol w:w="36"/>
        <w:gridCol w:w="36"/>
        <w:gridCol w:w="100"/>
        <w:gridCol w:w="400"/>
        <w:gridCol w:w="36"/>
        <w:gridCol w:w="36"/>
        <w:gridCol w:w="36"/>
        <w:gridCol w:w="36"/>
        <w:gridCol w:w="36"/>
        <w:gridCol w:w="36"/>
        <w:gridCol w:w="36"/>
        <w:gridCol w:w="36"/>
        <w:gridCol w:w="36"/>
        <w:gridCol w:w="36"/>
        <w:gridCol w:w="36"/>
        <w:gridCol w:w="36"/>
        <w:gridCol w:w="36"/>
        <w:gridCol w:w="36"/>
        <w:gridCol w:w="36"/>
      </w:tblGrid>
      <w:tr w:rsidR="00000000">
        <w:trPr>
          <w:divId w:val="2117433539"/>
        </w:trPr>
        <w:tc>
          <w:tcPr>
            <w:tcW w:w="50" w:type="pct"/>
            <w:vAlign w:val="center"/>
            <w:hideMark/>
          </w:tcPr>
          <w:p w:rsidR="00000000" w:rsidRDefault="00795D39">
            <w:pPr>
              <w:jc w:val="both"/>
              <w:rPr>
                <w:rFonts w:eastAsia="Times New Roman"/>
              </w:rPr>
            </w:pPr>
          </w:p>
        </w:tc>
        <w:tc>
          <w:tcPr>
            <w:tcW w:w="258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2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211743353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b/>
                <w:bCs/>
                <w:color w:val="000000"/>
                <w:sz w:val="18"/>
                <w:szCs w:val="18"/>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95D39">
            <w:pPr>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unrealized gains on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456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1,447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874 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664 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unrealized gains on hedging relationships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1,653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397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1,256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1,322</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319</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1,003</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shd w:val="clear" w:color="auto" w:fill="FFFFFF"/>
            <w:tcMar>
              <w:top w:w="30" w:type="dxa"/>
              <w:left w:w="20" w:type="dxa"/>
              <w:bottom w:w="30" w:type="dxa"/>
              <w:right w:w="20" w:type="dxa"/>
            </w:tcMar>
            <w:vAlign w:val="center"/>
            <w:hideMark/>
          </w:tcPr>
          <w:p w:rsidR="00000000" w:rsidRDefault="00795D39">
            <w:pPr>
              <w:divId w:val="1673026111"/>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(16)</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61</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28</w:t>
            </w: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33</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changes in securities held to maturity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26</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6</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6"/>
                <w:szCs w:val="16"/>
              </w:rPr>
              <w:t>20</w:t>
            </w:r>
          </w:p>
        </w:tc>
        <w:tc>
          <w:tcPr>
            <w:tcW w:w="0" w:type="auto"/>
            <w:vAlign w:val="center"/>
            <w:hideMark/>
          </w:tcPr>
          <w:p w:rsidR="00000000" w:rsidRDefault="00795D39">
            <w:pPr>
              <w:jc w:val="right"/>
              <w:rPr>
                <w:rFonts w:eastAsia="Times New Roman"/>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211743353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3,557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872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6"/>
                <w:szCs w:val="16"/>
              </w:rPr>
              <w:t>2,685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2,278 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562 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6"/>
                <w:szCs w:val="16"/>
              </w:rPr>
              <w:t>1,716 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divId w:val="127014598"/>
        <w:rPr>
          <w:rFonts w:eastAsia="Times New Roman"/>
        </w:rPr>
      </w:pPr>
      <w:r>
        <w:rPr>
          <w:rFonts w:eastAsia="Times New Roman"/>
          <w:color w:val="000000"/>
          <w:sz w:val="20"/>
          <w:szCs w:val="20"/>
        </w:rPr>
        <w:t>__________</w:t>
      </w:r>
    </w:p>
    <w:p w:rsidR="00000000" w:rsidRDefault="00795D39">
      <w:pPr>
        <w:ind w:hanging="360"/>
        <w:jc w:val="both"/>
        <w:divId w:val="83854522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the impact of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28885516"/>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12888551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12888551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0" style="width:0;height:1.5pt" o:hralign="center" o:hrstd="t" o:hr="t" fillcolor="#a0a0a0" stroked="f"/>
        </w:pict>
      </w:r>
    </w:p>
    <w:p w:rsidR="00000000" w:rsidRDefault="00795D39">
      <w:pPr>
        <w:jc w:val="both"/>
        <w:divId w:val="151368642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51368642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85663384"/>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98566338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10—EARNINGS PER COMMON SHARE</w:t>
            </w:r>
          </w:p>
        </w:tc>
      </w:tr>
    </w:tbl>
    <w:p w:rsidR="00000000" w:rsidRDefault="00795D39">
      <w:pPr>
        <w:jc w:val="both"/>
        <w:divId w:val="1450584846"/>
        <w:rPr>
          <w:rFonts w:eastAsia="Times New Roman"/>
        </w:rPr>
      </w:pPr>
      <w:r>
        <w:rPr>
          <w:rFonts w:eastAsia="Times New Roman"/>
          <w:color w:val="000000"/>
          <w:sz w:val="20"/>
          <w:szCs w:val="20"/>
        </w:rPr>
        <w:t xml:space="preserve">The following table sets forth the computation of basic and diluted earnings per common share. </w:t>
      </w:r>
    </w:p>
    <w:p w:rsidR="00000000" w:rsidRDefault="00795D39">
      <w:pPr>
        <w:divId w:val="1068958670"/>
        <w:rPr>
          <w:rFonts w:eastAsia="Times New Roman"/>
        </w:rPr>
      </w:pPr>
      <w:r>
        <w:rPr>
          <w:rFonts w:eastAsia="Times New Roman"/>
          <w:b/>
          <w:bCs/>
          <w:color w:val="000000"/>
          <w:sz w:val="18"/>
          <w:szCs w:val="18"/>
        </w:rPr>
        <w:t>Table 10.1: Computation of Basic and Diluted Earnings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4627"/>
        <w:gridCol w:w="39"/>
        <w:gridCol w:w="36"/>
        <w:gridCol w:w="36"/>
        <w:gridCol w:w="36"/>
        <w:gridCol w:w="110"/>
        <w:gridCol w:w="627"/>
        <w:gridCol w:w="36"/>
        <w:gridCol w:w="36"/>
        <w:gridCol w:w="36"/>
        <w:gridCol w:w="36"/>
        <w:gridCol w:w="110"/>
        <w:gridCol w:w="627"/>
        <w:gridCol w:w="36"/>
        <w:gridCol w:w="36"/>
        <w:gridCol w:w="36"/>
        <w:gridCol w:w="36"/>
        <w:gridCol w:w="110"/>
        <w:gridCol w:w="627"/>
        <w:gridCol w:w="36"/>
        <w:gridCol w:w="36"/>
        <w:gridCol w:w="36"/>
        <w:gridCol w:w="36"/>
        <w:gridCol w:w="110"/>
        <w:gridCol w:w="631"/>
        <w:gridCol w:w="36"/>
        <w:gridCol w:w="36"/>
        <w:gridCol w:w="36"/>
      </w:tblGrid>
      <w:tr w:rsidR="00000000">
        <w:trPr>
          <w:divId w:val="1397358640"/>
        </w:trPr>
        <w:tc>
          <w:tcPr>
            <w:tcW w:w="50" w:type="pct"/>
            <w:vAlign w:val="center"/>
            <w:hideMark/>
          </w:tcPr>
          <w:p w:rsidR="00000000" w:rsidRDefault="00795D39">
            <w:pPr>
              <w:rPr>
                <w:rFonts w:eastAsia="Times New Roman"/>
              </w:rPr>
            </w:pPr>
          </w:p>
        </w:tc>
        <w:tc>
          <w:tcPr>
            <w:tcW w:w="28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(67)</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Issuance cost for redeemed preferred stock</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Height w:val="240"/>
        </w:trPr>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469.5 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divId w:val="1947804488"/>
              <w:rPr>
                <w:rFonts w:eastAsia="Times New Roman"/>
              </w:rPr>
            </w:pPr>
            <w:r>
              <w:rPr>
                <w:rFonts w:eastAsia="Times New Roman"/>
                <w:color w:val="000000"/>
                <w:sz w:val="18"/>
                <w:szCs w:val="18"/>
              </w:rPr>
              <w:t>Effect of dilutive securities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Stock options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contingently issuable shares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weighted-average diluted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per basic common share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divId w:val="88429465"/>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0.03 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39735864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income (loss)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1048996121"/>
        <w:rPr>
          <w:rFonts w:eastAsia="Times New Roman"/>
        </w:rPr>
      </w:pPr>
      <w:r>
        <w:rPr>
          <w:rFonts w:eastAsia="Times New Roman"/>
          <w:color w:val="000000"/>
          <w:sz w:val="20"/>
          <w:szCs w:val="20"/>
        </w:rPr>
        <w:t>__________</w:t>
      </w:r>
    </w:p>
    <w:p w:rsidR="00000000" w:rsidRDefault="00795D39">
      <w:pPr>
        <w:ind w:hanging="360"/>
        <w:jc w:val="both"/>
        <w:divId w:val="297609434"/>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Excluded from t</w:t>
      </w:r>
      <w:r>
        <w:rPr>
          <w:rFonts w:eastAsia="Times New Roman"/>
          <w:color w:val="000000"/>
          <w:sz w:val="16"/>
          <w:szCs w:val="16"/>
          <w:shd w:val="clear" w:color="auto" w:fill="FFFFFF"/>
        </w:rPr>
        <w:t xml:space="preserve">he computation of diluted earnings per share were </w:t>
      </w:r>
      <w:r>
        <w:rPr>
          <w:rFonts w:eastAsia="Times New Roman"/>
          <w:color w:val="000000"/>
          <w:sz w:val="16"/>
          <w:szCs w:val="16"/>
        </w:rPr>
        <w:t>774 thousand</w:t>
      </w:r>
      <w:r>
        <w:rPr>
          <w:rFonts w:eastAsia="Times New Roman"/>
          <w:color w:val="000000"/>
          <w:sz w:val="16"/>
          <w:szCs w:val="16"/>
          <w:shd w:val="clear" w:color="auto" w:fill="FFFFFF"/>
        </w:rPr>
        <w:t xml:space="preserve"> shares related to options with an exercise price ranging from $70.96 to $86.34 for the three months ended September 30, 2020, because their inclusion would be anti-dilutive. In periods of net l</w:t>
      </w:r>
      <w:r>
        <w:rPr>
          <w:rFonts w:eastAsia="Times New Roman"/>
          <w:color w:val="000000"/>
          <w:sz w:val="16"/>
          <w:szCs w:val="16"/>
          <w:shd w:val="clear" w:color="auto" w:fill="FFFFFF"/>
        </w:rPr>
        <w:t xml:space="preserve">oss available to common stockholders, dilutive securities are excluded as their inclusion would have an anti-dilutive effect. Accordingly, awards of </w:t>
      </w:r>
      <w:r>
        <w:rPr>
          <w:rFonts w:eastAsia="Times New Roman"/>
          <w:color w:val="000000"/>
          <w:sz w:val="16"/>
          <w:szCs w:val="16"/>
        </w:rPr>
        <w:t>762 thousand</w:t>
      </w:r>
      <w:r>
        <w:rPr>
          <w:rFonts w:eastAsia="Times New Roman"/>
          <w:color w:val="000000"/>
          <w:sz w:val="16"/>
          <w:szCs w:val="16"/>
          <w:shd w:val="clear" w:color="auto" w:fill="FFFFFF"/>
        </w:rPr>
        <w:t xml:space="preserve"> shares and options of </w:t>
      </w:r>
      <w:r>
        <w:rPr>
          <w:rFonts w:eastAsia="Times New Roman"/>
          <w:color w:val="000000"/>
          <w:sz w:val="16"/>
          <w:szCs w:val="16"/>
        </w:rPr>
        <w:t>2.7 million</w:t>
      </w:r>
      <w:r>
        <w:rPr>
          <w:rFonts w:eastAsia="Times New Roman"/>
          <w:color w:val="000000"/>
          <w:sz w:val="16"/>
          <w:szCs w:val="16"/>
          <w:shd w:val="clear" w:color="auto" w:fill="FFFFFF"/>
        </w:rPr>
        <w:t xml:space="preserve"> shares with an exercise price ranging from </w:t>
      </w:r>
      <w:r>
        <w:rPr>
          <w:rFonts w:eastAsia="Times New Roman"/>
          <w:color w:val="000000"/>
          <w:sz w:val="16"/>
          <w:szCs w:val="16"/>
        </w:rPr>
        <w:t>$36.55</w:t>
      </w:r>
      <w:r>
        <w:rPr>
          <w:rFonts w:eastAsia="Times New Roman"/>
          <w:color w:val="000000"/>
          <w:sz w:val="16"/>
          <w:szCs w:val="16"/>
          <w:shd w:val="clear" w:color="auto" w:fill="FFFFFF"/>
        </w:rPr>
        <w:t xml:space="preserve"> to </w:t>
      </w:r>
      <w:r>
        <w:rPr>
          <w:rFonts w:eastAsia="Times New Roman"/>
          <w:color w:val="000000"/>
          <w:sz w:val="16"/>
          <w:szCs w:val="16"/>
        </w:rPr>
        <w:t>$86.34</w:t>
      </w:r>
      <w:r>
        <w:rPr>
          <w:rFonts w:eastAsia="Times New Roman"/>
          <w:color w:val="000000"/>
          <w:sz w:val="16"/>
          <w:szCs w:val="16"/>
          <w:shd w:val="clear" w:color="auto" w:fill="FFFFFF"/>
        </w:rPr>
        <w:t xml:space="preserve"> </w:t>
      </w:r>
      <w:r>
        <w:rPr>
          <w:rFonts w:eastAsia="Times New Roman"/>
          <w:color w:val="000000"/>
          <w:sz w:val="16"/>
          <w:szCs w:val="16"/>
          <w:shd w:val="clear" w:color="auto" w:fill="FFFFFF"/>
        </w:rPr>
        <w:t>were excluded for the nine months ended September 30, 2020. For the nine months ended September 30, 2019, 92 thousand shares related to options with an exercise price of $86.34 were excluded from the computation of diluted earnings per share, because their</w:t>
      </w:r>
      <w:r>
        <w:rPr>
          <w:rFonts w:eastAsia="Times New Roman"/>
          <w:color w:val="000000"/>
          <w:sz w:val="16"/>
          <w:szCs w:val="16"/>
          <w:shd w:val="clear" w:color="auto" w:fill="FFFFFF"/>
        </w:rPr>
        <w:t xml:space="preserve"> inclusion would be anti-dilutive.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1144403"/>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6114440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6114440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1" style="width:0;height:1.5pt" o:hralign="center" o:hrstd="t" o:hr="t" fillcolor="#a0a0a0" stroked="f"/>
        </w:pict>
      </w:r>
    </w:p>
    <w:p w:rsidR="00000000" w:rsidRDefault="00795D39">
      <w:pPr>
        <w:jc w:val="both"/>
        <w:divId w:val="154055697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54055697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89018177"/>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8901817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11—FAIR VALUE MEASUREMENT</w:t>
            </w:r>
          </w:p>
        </w:tc>
      </w:tr>
    </w:tbl>
    <w:p w:rsidR="00000000" w:rsidRDefault="00795D39">
      <w:pPr>
        <w:jc w:val="both"/>
        <w:divId w:val="302004273"/>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trPr>
          <w:divId w:val="576018114"/>
        </w:trPr>
        <w:tc>
          <w:tcPr>
            <w:tcW w:w="50" w:type="pct"/>
            <w:vAlign w:val="center"/>
            <w:hideMark/>
          </w:tcPr>
          <w:p w:rsidR="00000000" w:rsidRDefault="00795D39">
            <w:pPr>
              <w:jc w:val="both"/>
              <w:rPr>
                <w:rFonts w:eastAsia="Times New Roman"/>
              </w:rPr>
            </w:pPr>
          </w:p>
        </w:tc>
        <w:tc>
          <w:tcPr>
            <w:tcW w:w="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9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76018114"/>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trPr>
          <w:divId w:val="576018114"/>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trPr>
          <w:divId w:val="576018114"/>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flow methodologies or similar techniques.</w:t>
            </w:r>
          </w:p>
        </w:tc>
      </w:tr>
    </w:tbl>
    <w:p w:rsidR="00000000" w:rsidRDefault="00795D39">
      <w:pPr>
        <w:jc w:val="both"/>
        <w:divId w:val="1631351621"/>
        <w:rPr>
          <w:rFonts w:eastAsia="Times New Roman"/>
        </w:rPr>
      </w:pPr>
      <w:r>
        <w:rPr>
          <w:rFonts w:eastAsia="Times New Roman"/>
          <w:color w:val="000000"/>
          <w:sz w:val="20"/>
          <w:szCs w:val="20"/>
        </w:rPr>
        <w:t>The accounting guidance for fair value measur</w:t>
      </w:r>
      <w:r>
        <w:rPr>
          <w:rFonts w:eastAsia="Times New Roman"/>
          <w:color w:val="000000"/>
          <w:sz w:val="20"/>
          <w:szCs w:val="20"/>
        </w:rPr>
        <w:t>ements requires that we maximize the use of observable inputs and minimize the use of unobservable inputs in determining fair value. The accounting guidance provides for the irrevocable option to elect, on a contract-by-contract basis, to measure certain f</w:t>
      </w:r>
      <w:r>
        <w:rPr>
          <w:rFonts w:eastAsia="Times New Roman"/>
          <w:color w:val="000000"/>
          <w:sz w:val="20"/>
          <w:szCs w:val="20"/>
        </w:rPr>
        <w:t>inancial assets and liabilities at fair value at inception of the contract and record any subsequent changes in fair value in earnings.</w:t>
      </w:r>
    </w:p>
    <w:p w:rsidR="00000000" w:rsidRDefault="00795D39">
      <w:pPr>
        <w:jc w:val="both"/>
        <w:divId w:val="1464541362"/>
        <w:rPr>
          <w:rFonts w:eastAsia="Times New Roman"/>
        </w:rPr>
      </w:pPr>
      <w:r>
        <w:rPr>
          <w:rFonts w:eastAsia="Times New Roman"/>
          <w:color w:val="000000"/>
          <w:sz w:val="20"/>
          <w:szCs w:val="20"/>
        </w:rPr>
        <w:t>The determination and classification of financial instruments in the fair value hierarchy is performed at the end of eac</w:t>
      </w:r>
      <w:r>
        <w:rPr>
          <w:rFonts w:eastAsia="Times New Roman"/>
          <w:color w:val="000000"/>
          <w:sz w:val="20"/>
          <w:szCs w:val="20"/>
        </w:rPr>
        <w:t>h reporting period. We consider all available information, including observable market data, indications of market liquidity and orderliness, and our understanding of the valuation techniques and significant inputs. For additional information on the valuat</w:t>
      </w:r>
      <w:r>
        <w:rPr>
          <w:rFonts w:eastAsia="Times New Roman"/>
          <w:color w:val="000000"/>
          <w:sz w:val="20"/>
          <w:szCs w:val="20"/>
        </w:rPr>
        <w:t>ion techniques used in estimating the fair value of our financial assets and liabilities on a recurring basis, see “Note 16—Fair Value Measurement” in our 2019 Form 10-K.</w:t>
      </w:r>
    </w:p>
    <w:p w:rsidR="00000000" w:rsidRDefault="00795D39">
      <w:pPr>
        <w:divId w:val="1422674912"/>
        <w:rPr>
          <w:rFonts w:eastAsia="Times New Roman"/>
        </w:rPr>
      </w:pPr>
      <w:r>
        <w:rPr>
          <w:rFonts w:eastAsia="Times New Roman"/>
          <w:b/>
          <w:bCs/>
          <w:color w:val="000000"/>
          <w:sz w:val="20"/>
          <w:szCs w:val="20"/>
        </w:rPr>
        <w:t>Assets and Liabilities Measured at Fair Value on a Recurring Basis</w:t>
      </w:r>
    </w:p>
    <w:p w:rsidR="00000000" w:rsidRDefault="00795D39">
      <w:pPr>
        <w:jc w:val="both"/>
        <w:divId w:val="1661500156"/>
        <w:rPr>
          <w:rFonts w:eastAsia="Times New Roman"/>
        </w:rPr>
      </w:pPr>
      <w:r>
        <w:rPr>
          <w:rFonts w:eastAsia="Times New Roman"/>
          <w:color w:val="000000"/>
          <w:sz w:val="20"/>
          <w:szCs w:val="20"/>
        </w:rPr>
        <w:t>The following tabl</w:t>
      </w:r>
      <w:r>
        <w:rPr>
          <w:rFonts w:eastAsia="Times New Roman"/>
          <w:color w:val="000000"/>
          <w:sz w:val="20"/>
          <w:szCs w:val="20"/>
        </w:rPr>
        <w:t>e displays our assets and liabilities measured on our consolidated balance sheets at fair value on a recurring basis as of September 30, 2020 and December 31, 2019.</w:t>
      </w:r>
    </w:p>
    <w:p w:rsidR="00000000" w:rsidRDefault="00795D39">
      <w:pPr>
        <w:divId w:val="1118449110"/>
        <w:rPr>
          <w:rFonts w:eastAsia="Times New Roman"/>
        </w:rPr>
      </w:pPr>
      <w:r>
        <w:rPr>
          <w:rFonts w:eastAsia="Times New Roman"/>
          <w:b/>
          <w:bCs/>
          <w:color w:val="000000"/>
          <w:sz w:val="18"/>
          <w:szCs w:val="18"/>
        </w:rPr>
        <w:t>Table 11.1: Assets and Liabilities Measured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630"/>
        <w:gridCol w:w="36"/>
      </w:tblGrid>
      <w:tr w:rsidR="00000000">
        <w:trPr>
          <w:divId w:val="292490406"/>
        </w:trPr>
        <w:tc>
          <w:tcPr>
            <w:tcW w:w="50" w:type="pct"/>
            <w:vAlign w:val="center"/>
            <w:hideMark/>
          </w:tcPr>
          <w:p w:rsidR="00000000" w:rsidRDefault="00795D39">
            <w:pPr>
              <w:rPr>
                <w:rFonts w:eastAsia="Times New Roman"/>
              </w:rPr>
            </w:pPr>
          </w:p>
        </w:tc>
        <w:tc>
          <w:tcPr>
            <w:tcW w:w="256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2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92490406"/>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292490406"/>
          <w:trHeight w:val="24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92490406"/>
          <w:trHeight w:val="2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2924904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9249040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9249040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9,345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76,185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76,659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11,435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89,482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99,853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92490406"/>
        </w:trPr>
        <w:tc>
          <w:tcPr>
            <w:tcW w:w="0" w:type="auto"/>
            <w:gridSpan w:val="3"/>
            <w:shd w:val="clear" w:color="auto" w:fill="FFFFFF"/>
            <w:tcMar>
              <w:top w:w="30" w:type="dxa"/>
              <w:left w:w="20" w:type="dxa"/>
              <w:bottom w:w="30" w:type="dxa"/>
              <w:right w:w="20" w:type="dxa"/>
            </w:tcMar>
            <w:vAlign w:val="center"/>
            <w:hideMark/>
          </w:tcPr>
          <w:p w:rsidR="00000000" w:rsidRDefault="00795D39">
            <w:pPr>
              <w:divId w:val="1835100326"/>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(1,622)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CCEEFF"/>
            <w:tcMar>
              <w:top w:w="30" w:type="dxa"/>
              <w:left w:w="20" w:type="dxa"/>
              <w:bottom w:w="30" w:type="dxa"/>
              <w:right w:w="20" w:type="dxa"/>
            </w:tcMar>
            <w:vAlign w:val="center"/>
            <w:hideMark/>
          </w:tcPr>
          <w:p w:rsidR="00000000" w:rsidRDefault="00795D39">
            <w:pPr>
              <w:divId w:val="161764089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94,923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(1,622)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104,507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9249040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92490406"/>
        </w:trPr>
        <w:tc>
          <w:tcPr>
            <w:tcW w:w="0" w:type="auto"/>
            <w:gridSpan w:val="3"/>
            <w:shd w:val="clear" w:color="auto" w:fill="CCEEFF"/>
            <w:tcMar>
              <w:top w:w="30" w:type="dxa"/>
              <w:left w:w="20" w:type="dxa"/>
              <w:bottom w:w="30" w:type="dxa"/>
              <w:right w:w="20" w:type="dxa"/>
            </w:tcMar>
            <w:vAlign w:val="center"/>
            <w:hideMark/>
          </w:tcPr>
          <w:p w:rsidR="00000000" w:rsidRDefault="00795D39">
            <w:pPr>
              <w:divId w:val="71775935"/>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(708)</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9249040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2" style="width:0;height:1.5pt" o:hralign="center" o:hrstd="t" o:hr="t" fillcolor="#a0a0a0" stroked="f"/>
        </w:pict>
      </w:r>
    </w:p>
    <w:p w:rsidR="00000000" w:rsidRDefault="00795D39">
      <w:pPr>
        <w:jc w:val="both"/>
        <w:divId w:val="122869115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2286911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2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540"/>
        <w:gridCol w:w="36"/>
      </w:tblGrid>
      <w:tr w:rsidR="00000000">
        <w:trPr>
          <w:divId w:val="835995715"/>
        </w:trPr>
        <w:tc>
          <w:tcPr>
            <w:tcW w:w="50" w:type="pct"/>
            <w:vAlign w:val="center"/>
            <w:hideMark/>
          </w:tcPr>
          <w:p w:rsidR="00000000" w:rsidRDefault="00795D39">
            <w:pPr>
              <w:jc w:val="center"/>
              <w:rPr>
                <w:rFonts w:eastAsia="Times New Roman"/>
              </w:rPr>
            </w:pPr>
          </w:p>
        </w:tc>
        <w:tc>
          <w:tcPr>
            <w:tcW w:w="256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2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35995715"/>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835995715"/>
          <w:trHeight w:val="24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5995715"/>
          <w:trHeight w:val="2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8359957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599571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599571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63,909 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64,338 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9,413 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9,426 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1,094 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74,416 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79,213 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5995715"/>
        </w:trPr>
        <w:tc>
          <w:tcPr>
            <w:tcW w:w="0" w:type="auto"/>
            <w:gridSpan w:val="3"/>
            <w:shd w:val="clear" w:color="auto" w:fill="FFFFFF"/>
            <w:tcMar>
              <w:top w:w="30" w:type="dxa"/>
              <w:left w:w="20" w:type="dxa"/>
              <w:bottom w:w="30" w:type="dxa"/>
              <w:right w:w="20" w:type="dxa"/>
            </w:tcMar>
            <w:vAlign w:val="center"/>
            <w:hideMark/>
          </w:tcPr>
          <w:p w:rsidR="00000000" w:rsidRDefault="00795D39">
            <w:pPr>
              <w:divId w:val="1006245440"/>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1,096 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CCEEFF"/>
            <w:tcMar>
              <w:top w:w="30" w:type="dxa"/>
              <w:left w:w="20" w:type="dxa"/>
              <w:bottom w:w="30" w:type="dxa"/>
              <w:right w:w="20" w:type="dxa"/>
            </w:tcMar>
            <w:vAlign w:val="center"/>
            <w:hideMark/>
          </w:tcPr>
          <w:p w:rsidR="00000000" w:rsidRDefault="00795D39">
            <w:pPr>
              <w:divId w:val="726298929"/>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76,235 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80,970 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599571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835995715"/>
        </w:trPr>
        <w:tc>
          <w:tcPr>
            <w:tcW w:w="0" w:type="auto"/>
            <w:gridSpan w:val="3"/>
            <w:shd w:val="clear" w:color="auto" w:fill="CCEEFF"/>
            <w:tcMar>
              <w:top w:w="30" w:type="dxa"/>
              <w:left w:w="20" w:type="dxa"/>
              <w:bottom w:w="30" w:type="dxa"/>
              <w:right w:w="20" w:type="dxa"/>
            </w:tcMar>
            <w:vAlign w:val="center"/>
            <w:hideMark/>
          </w:tcPr>
          <w:p w:rsidR="00000000" w:rsidRDefault="00795D39">
            <w:pPr>
              <w:divId w:val="70585027"/>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1,129 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(523)</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835995715"/>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067415379"/>
        <w:rPr>
          <w:rFonts w:eastAsia="Times New Roman"/>
        </w:rPr>
      </w:pPr>
      <w:r>
        <w:rPr>
          <w:rFonts w:eastAsia="Times New Roman"/>
          <w:color w:val="000000"/>
          <w:sz w:val="20"/>
          <w:szCs w:val="20"/>
        </w:rPr>
        <w:t>__________</w:t>
      </w:r>
    </w:p>
    <w:p w:rsidR="00000000" w:rsidRDefault="00795D39">
      <w:pPr>
        <w:ind w:hanging="360"/>
        <w:jc w:val="both"/>
        <w:divId w:val="13763920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balance sheet netting of derivative asse</w:t>
      </w:r>
      <w:r>
        <w:rPr>
          <w:rFonts w:eastAsia="Times New Roman"/>
          <w:color w:val="000000"/>
          <w:sz w:val="16"/>
          <w:szCs w:val="16"/>
        </w:rPr>
        <w:t>ts and liabilities, and related payables and receivables for cash collateral held or placed with the same counterparty. See “Note 8—Derivative Instruments and Hedging Activities” for additional information.</w:t>
      </w:r>
    </w:p>
    <w:p w:rsidR="00000000" w:rsidRDefault="00795D39">
      <w:pPr>
        <w:ind w:hanging="360"/>
        <w:jc w:val="both"/>
        <w:divId w:val="149371963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Does not reflect $40 million and $12 million r</w:t>
      </w:r>
      <w:r>
        <w:rPr>
          <w:rFonts w:eastAsia="Times New Roman"/>
          <w:color w:val="000000"/>
          <w:sz w:val="16"/>
          <w:szCs w:val="16"/>
        </w:rPr>
        <w:t>ecognized as a net valuation allowance on derivative assets and liabilities for non-performance risk as of September 30, 2020 and December 31, 2019</w:t>
      </w:r>
      <w:r>
        <w:rPr>
          <w:rFonts w:eastAsia="Times New Roman"/>
          <w:color w:val="000000"/>
          <w:sz w:val="16"/>
          <w:szCs w:val="16"/>
          <w:shd w:val="clear" w:color="auto" w:fill="FFFFFF"/>
        </w:rPr>
        <w:t>, respectively. Non-performance risk is included in derivative assets and liabilities, which are part of othe</w:t>
      </w:r>
      <w:r>
        <w:rPr>
          <w:rFonts w:eastAsia="Times New Roman"/>
          <w:color w:val="000000"/>
          <w:sz w:val="16"/>
          <w:szCs w:val="16"/>
          <w:shd w:val="clear" w:color="auto" w:fill="FFFFFF"/>
        </w:rPr>
        <w:t>r assets and other liabilities on the consolidated balance sheets, and is offset through non-interest income in the consolidated statements of income.</w:t>
      </w:r>
    </w:p>
    <w:p w:rsidR="00000000" w:rsidRDefault="00795D39">
      <w:pPr>
        <w:ind w:hanging="360"/>
        <w:jc w:val="both"/>
        <w:divId w:val="2110930297"/>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rPr>
        <w:t xml:space="preserve">As of September 30, 2020 and </w:t>
      </w:r>
      <w:r>
        <w:rPr>
          <w:rFonts w:eastAsia="Times New Roman"/>
          <w:color w:val="000000"/>
          <w:sz w:val="16"/>
          <w:szCs w:val="16"/>
          <w:shd w:val="clear" w:color="auto" w:fill="FFFFFF"/>
        </w:rPr>
        <w:t>December 31, 2019</w:t>
      </w:r>
      <w:r>
        <w:rPr>
          <w:rFonts w:eastAsia="Times New Roman"/>
          <w:color w:val="000000"/>
          <w:sz w:val="16"/>
          <w:szCs w:val="16"/>
        </w:rPr>
        <w:t>, other includes retained interests in securitizations of $56 million and $66 million, deferred compensation plan assets of $370 million and $343 million, and equity securities of $494 million (including unrealized gains of $470 million) and $1 million, re</w:t>
      </w:r>
      <w:r>
        <w:rPr>
          <w:rFonts w:eastAsia="Times New Roman"/>
          <w:color w:val="000000"/>
          <w:sz w:val="16"/>
          <w:szCs w:val="16"/>
        </w:rPr>
        <w:t>spectively.</w:t>
      </w:r>
    </w:p>
    <w:p w:rsidR="00000000" w:rsidRDefault="00795D39">
      <w:pPr>
        <w:divId w:val="1803378802"/>
        <w:rPr>
          <w:rFonts w:eastAsia="Times New Roman"/>
        </w:rPr>
      </w:pPr>
      <w:r>
        <w:rPr>
          <w:rFonts w:eastAsia="Times New Roman"/>
          <w:b/>
          <w:bCs/>
          <w:color w:val="000000"/>
          <w:sz w:val="20"/>
          <w:szCs w:val="20"/>
          <w:shd w:val="clear" w:color="auto" w:fill="FFFFFF"/>
        </w:rPr>
        <w:t>Level 3 Recurring Fair Val</w:t>
      </w:r>
      <w:r>
        <w:rPr>
          <w:rFonts w:eastAsia="Times New Roman"/>
          <w:b/>
          <w:bCs/>
          <w:color w:val="000000"/>
          <w:sz w:val="20"/>
          <w:szCs w:val="20"/>
        </w:rPr>
        <w:t>ue Rollforward</w:t>
      </w:r>
    </w:p>
    <w:p w:rsidR="00000000" w:rsidRDefault="00795D39">
      <w:pPr>
        <w:jc w:val="both"/>
        <w:divId w:val="667174243"/>
        <w:rPr>
          <w:rFonts w:eastAsia="Times New Roman"/>
        </w:rPr>
      </w:pPr>
      <w:r>
        <w:rPr>
          <w:rFonts w:eastAsia="Times New Roman"/>
          <w:color w:val="000000"/>
          <w:sz w:val="20"/>
          <w:szCs w:val="20"/>
        </w:rPr>
        <w:t xml:space="preserve">The table below presents a reconciliation for all assets and liabilities measured and recognized at fair value on a recurring basis using significant unobservable inputs (Level 3) for the three and nine </w:t>
      </w:r>
      <w:r>
        <w:rPr>
          <w:rFonts w:eastAsia="Times New Roman"/>
          <w:color w:val="000000"/>
          <w:sz w:val="20"/>
          <w:szCs w:val="20"/>
        </w:rPr>
        <w:t>months ended September 30, 2020 and 2019. Generally, transfers into Level 3 were primarily driven by the usage of unobservable assumptions in the pricing of these financial instruments as evidenced by wider pricing variations among pricing vendors and tran</w:t>
      </w:r>
      <w:r>
        <w:rPr>
          <w:rFonts w:eastAsia="Times New Roman"/>
          <w:color w:val="000000"/>
          <w:sz w:val="20"/>
          <w:szCs w:val="20"/>
        </w:rPr>
        <w:t>sfers out of Level 3 were primarily driven by the usage of assumptions corroborated by market observable information as evidenced by tighter pricing among multiple pricing sources.</w:t>
      </w:r>
    </w:p>
    <w:p w:rsidR="00000000" w:rsidRDefault="00795D39">
      <w:pPr>
        <w:divId w:val="1927113607"/>
        <w:rPr>
          <w:rFonts w:eastAsia="Times New Roman"/>
        </w:rPr>
      </w:pPr>
      <w:r>
        <w:rPr>
          <w:rFonts w:eastAsia="Times New Roman"/>
          <w:b/>
          <w:bCs/>
          <w:color w:val="000000"/>
          <w:sz w:val="18"/>
          <w:szCs w:val="18"/>
        </w:rPr>
        <w:t>Table 11.2: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86"/>
        <w:gridCol w:w="58"/>
        <w:gridCol w:w="1134"/>
        <w:gridCol w:w="38"/>
        <w:gridCol w:w="36"/>
        <w:gridCol w:w="36"/>
        <w:gridCol w:w="36"/>
        <w:gridCol w:w="111"/>
        <w:gridCol w:w="397"/>
        <w:gridCol w:w="36"/>
        <w:gridCol w:w="36"/>
        <w:gridCol w:w="36"/>
        <w:gridCol w:w="36"/>
        <w:gridCol w:w="111"/>
        <w:gridCol w:w="444"/>
        <w:gridCol w:w="37"/>
        <w:gridCol w:w="37"/>
        <w:gridCol w:w="47"/>
        <w:gridCol w:w="36"/>
        <w:gridCol w:w="19"/>
        <w:gridCol w:w="91"/>
        <w:gridCol w:w="53"/>
        <w:gridCol w:w="144"/>
        <w:gridCol w:w="246"/>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282"/>
        <w:gridCol w:w="144"/>
        <w:gridCol w:w="108"/>
        <w:gridCol w:w="36"/>
        <w:gridCol w:w="36"/>
        <w:gridCol w:w="36"/>
        <w:gridCol w:w="36"/>
        <w:gridCol w:w="111"/>
        <w:gridCol w:w="447"/>
        <w:gridCol w:w="36"/>
        <w:gridCol w:w="36"/>
        <w:gridCol w:w="36"/>
        <w:gridCol w:w="36"/>
        <w:gridCol w:w="111"/>
        <w:gridCol w:w="440"/>
        <w:gridCol w:w="36"/>
        <w:gridCol w:w="36"/>
        <w:gridCol w:w="36"/>
        <w:gridCol w:w="36"/>
        <w:gridCol w:w="111"/>
        <w:gridCol w:w="520"/>
        <w:gridCol w:w="540"/>
        <w:gridCol w:w="144"/>
        <w:gridCol w:w="107"/>
      </w:tblGrid>
      <w:tr w:rsidR="00000000">
        <w:trPr>
          <w:divId w:val="1410545370"/>
        </w:trPr>
        <w:tc>
          <w:tcPr>
            <w:tcW w:w="50" w:type="pct"/>
            <w:vAlign w:val="center"/>
            <w:hideMark/>
          </w:tcPr>
          <w:p w:rsidR="00000000" w:rsidRDefault="00795D39">
            <w:pPr>
              <w:rPr>
                <w:rFonts w:eastAsia="Times New Roman"/>
              </w:rPr>
            </w:pPr>
          </w:p>
        </w:tc>
        <w:tc>
          <w:tcPr>
            <w:tcW w:w="697"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7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244" w:type="pct"/>
            <w:gridSpan w:val="3"/>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0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gridSpan w:val="3"/>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4" w:type="pct"/>
            <w:vAlign w:val="center"/>
            <w:hideMark/>
          </w:tcPr>
          <w:p w:rsidR="00000000" w:rsidRDefault="00795D39">
            <w:pPr>
              <w:rPr>
                <w:rFonts w:eastAsia="Times New Roman"/>
                <w:sz w:val="20"/>
                <w:szCs w:val="20"/>
              </w:rPr>
            </w:pPr>
          </w:p>
        </w:tc>
        <w:tc>
          <w:tcPr>
            <w:tcW w:w="5" w:type="pct"/>
            <w:gridSpan w:val="3"/>
            <w:vAlign w:val="center"/>
            <w:hideMark/>
          </w:tcPr>
          <w:p w:rsidR="00000000" w:rsidRDefault="00795D39">
            <w:pPr>
              <w:rPr>
                <w:rFonts w:eastAsia="Times New Roman"/>
                <w:sz w:val="20"/>
                <w:szCs w:val="20"/>
              </w:rPr>
            </w:pPr>
          </w:p>
        </w:tc>
      </w:tr>
      <w:tr w:rsidR="00000000">
        <w:trPr>
          <w:divId w:val="1410545370"/>
        </w:trPr>
        <w:tc>
          <w:tcPr>
            <w:tcW w:w="0" w:type="auto"/>
            <w:gridSpan w:val="4"/>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1"/>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3"/>
            <w:vAlign w:val="center"/>
            <w:hideMark/>
          </w:tcPr>
          <w:p w:rsidR="00000000" w:rsidRDefault="00795D39">
            <w:pPr>
              <w:rPr>
                <w:rFonts w:eastAsia="Times New Roman"/>
                <w:sz w:val="20"/>
                <w:szCs w:val="20"/>
              </w:rPr>
            </w:pPr>
          </w:p>
        </w:tc>
      </w:tr>
      <w:tr w:rsidR="00000000">
        <w:trPr>
          <w:divId w:val="1410545370"/>
        </w:trPr>
        <w:tc>
          <w:tcPr>
            <w:tcW w:w="0" w:type="auto"/>
            <w:gridSpan w:val="4"/>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1"/>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Three Months Ended September 30, 2020</w:t>
            </w:r>
          </w:p>
        </w:tc>
        <w:tc>
          <w:tcPr>
            <w:tcW w:w="0" w:type="auto"/>
            <w:gridSpan w:val="3"/>
            <w:vAlign w:val="center"/>
            <w:hideMark/>
          </w:tcPr>
          <w:p w:rsidR="00000000" w:rsidRDefault="00795D39">
            <w:pPr>
              <w:rPr>
                <w:rFonts w:eastAsia="Times New Roman"/>
                <w:sz w:val="20"/>
                <w:szCs w:val="20"/>
              </w:rPr>
            </w:pPr>
          </w:p>
        </w:tc>
      </w:tr>
      <w:tr w:rsidR="00000000">
        <w:trPr>
          <w:divId w:val="1410545370"/>
          <w:trHeight w:val="360"/>
        </w:trPr>
        <w:tc>
          <w:tcPr>
            <w:tcW w:w="0" w:type="auto"/>
            <w:gridSpan w:val="4"/>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Total Gains (Losses) (Realized/Unrealized)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r>
              <w:rPr>
                <w:rFonts w:eastAsia="Times New Roman"/>
                <w:b/>
                <w:bCs/>
                <w:color w:val="000000"/>
                <w:sz w:val="12"/>
                <w:szCs w:val="12"/>
              </w:rPr>
              <w:t xml:space="preserve">Net Unrealized Gains (Losses) Included in Net Income Related to Assets and Liabilities Still Held as of </w:t>
            </w:r>
          </w:p>
          <w:p w:rsidR="00000000" w:rsidRDefault="00795D39">
            <w:pPr>
              <w:jc w:val="center"/>
              <w:rPr>
                <w:rFonts w:eastAsia="Times New Roman"/>
              </w:rPr>
            </w:pPr>
            <w:r>
              <w:rPr>
                <w:rFonts w:eastAsia="Times New Roman"/>
                <w:b/>
                <w:bCs/>
                <w:color w:val="000000"/>
                <w:sz w:val="12"/>
                <w:szCs w:val="12"/>
              </w:rPr>
              <w:t>September 30,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rsidR="00000000" w:rsidRDefault="00795D39">
            <w:pPr>
              <w:jc w:val="center"/>
              <w:rPr>
                <w:rFonts w:eastAsia="Times New Roman"/>
              </w:rPr>
            </w:pPr>
          </w:p>
        </w:tc>
      </w:tr>
      <w:tr w:rsidR="00000000">
        <w:trPr>
          <w:divId w:val="1410545370"/>
          <w:trHeight w:val="420"/>
        </w:trPr>
        <w:tc>
          <w:tcPr>
            <w:tcW w:w="0" w:type="auto"/>
            <w:gridSpan w:val="4"/>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Balance, July 1,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Included</w:t>
            </w:r>
          </w:p>
          <w:p w:rsidR="00000000" w:rsidRDefault="00795D39">
            <w:pPr>
              <w:jc w:val="center"/>
              <w:rPr>
                <w:rFonts w:eastAsia="Times New Roman"/>
              </w:rPr>
            </w:pPr>
            <w:r>
              <w:rPr>
                <w:rFonts w:eastAsia="Times New Roman"/>
                <w:b/>
                <w:bCs/>
                <w:color w:val="000000"/>
                <w:sz w:val="12"/>
                <w:szCs w:val="12"/>
              </w:rPr>
              <w:t>in Net</w:t>
            </w:r>
          </w:p>
          <w:p w:rsidR="00000000" w:rsidRDefault="00795D39">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Balance, September 30,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r>
      <w:tr w:rsidR="00000000">
        <w:trPr>
          <w:divId w:val="1410545370"/>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052080098"/>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1410545370"/>
        </w:trPr>
        <w:tc>
          <w:tcPr>
            <w:tcW w:w="0" w:type="auto"/>
            <w:gridSpan w:val="4"/>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474 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(47)</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gridSpan w:val="3"/>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r>
      <w:tr w:rsidR="00795D39">
        <w:trPr>
          <w:divId w:val="1410545370"/>
        </w:trPr>
        <w:tc>
          <w:tcPr>
            <w:tcW w:w="0" w:type="auto"/>
            <w:gridSpan w:val="4"/>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282 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372</w:t>
            </w:r>
            <w:r>
              <w:rPr>
                <w:rFonts w:eastAsia="Times New Roman"/>
                <w:color w:val="000000"/>
                <w:sz w:val="18"/>
                <w:szCs w:val="18"/>
              </w:rPr>
              <w:t> </w:t>
            </w:r>
          </w:p>
        </w:tc>
        <w:tc>
          <w:tcPr>
            <w:tcW w:w="0" w:type="auto"/>
            <w:gridSpan w:val="3"/>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(1)</w:t>
            </w:r>
          </w:p>
        </w:tc>
      </w:tr>
      <w:tr w:rsidR="00000000">
        <w:trPr>
          <w:divId w:val="1410545370"/>
        </w:trPr>
        <w:tc>
          <w:tcPr>
            <w:tcW w:w="0" w:type="auto"/>
            <w:gridSpan w:val="4"/>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6"/>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1410545370"/>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756 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846</w:t>
            </w:r>
            <w:r>
              <w:rPr>
                <w:rFonts w:eastAsia="Times New Roman"/>
                <w:color w:val="000000"/>
                <w:sz w:val="18"/>
                <w:szCs w:val="18"/>
              </w:rPr>
              <w:t>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9</w:t>
            </w:r>
            <w:r>
              <w:rPr>
                <w:rFonts w:eastAsia="Times New Roman"/>
                <w:color w:val="000000"/>
                <w:sz w:val="18"/>
                <w:szCs w:val="18"/>
              </w:rPr>
              <w:t> </w:t>
            </w:r>
          </w:p>
        </w:tc>
      </w:tr>
      <w:tr w:rsidR="00000000">
        <w:trPr>
          <w:divId w:val="1410545370"/>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10545370"/>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6"/>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1410545370"/>
        </w:trPr>
        <w:tc>
          <w:tcPr>
            <w:tcW w:w="0" w:type="auto"/>
            <w:gridSpan w:val="4"/>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gridSpan w:val="3"/>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795D39">
        <w:trPr>
          <w:divId w:val="1410545370"/>
        </w:trPr>
        <w:tc>
          <w:tcPr>
            <w:tcW w:w="0" w:type="auto"/>
            <w:gridSpan w:val="4"/>
            <w:shd w:val="clear" w:color="auto" w:fill="CCEEFF"/>
            <w:tcMar>
              <w:top w:w="30" w:type="dxa"/>
              <w:left w:w="20" w:type="dxa"/>
              <w:bottom w:w="30" w:type="dxa"/>
              <w:right w:w="20" w:type="dxa"/>
            </w:tcMar>
            <w:vAlign w:val="center"/>
            <w:hideMark/>
          </w:tcPr>
          <w:p w:rsidR="00000000" w:rsidRDefault="00795D39">
            <w:pPr>
              <w:divId w:val="849609888"/>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w:t>
            </w:r>
            <w:r>
              <w:rPr>
                <w:rFonts w:eastAsia="Times New Roman"/>
                <w:b/>
                <w:bCs/>
                <w:color w:val="000000"/>
                <w:sz w:val="18"/>
                <w:szCs w:val="18"/>
              </w:rPr>
              <w:t>)</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gridSpan w:val="3"/>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tblPrEx>
          <w:tblW w:w="4992" w:type="pct"/>
          <w:jc w:val="center"/>
        </w:tblPrEx>
        <w:trPr>
          <w:gridAfter w:val="1"/>
          <w:jc w:val="center"/>
        </w:trPr>
        <w:tc>
          <w:tcPr>
            <w:tcW w:w="50" w:type="pct"/>
            <w:gridSpan w:val="2"/>
            <w:vAlign w:val="center"/>
            <w:hideMark/>
          </w:tcPr>
          <w:p w:rsidR="00000000" w:rsidRDefault="00795D39">
            <w:pPr>
              <w:jc w:val="both"/>
              <w:rPr>
                <w:rFonts w:eastAsia="Times New Roman"/>
              </w:rPr>
            </w:pPr>
          </w:p>
        </w:tc>
        <w:tc>
          <w:tcPr>
            <w:tcW w:w="1606" w:type="pct"/>
            <w:gridSpan w:val="18"/>
            <w:vAlign w:val="center"/>
            <w:hideMark/>
          </w:tcPr>
          <w:p w:rsidR="00000000" w:rsidRDefault="00795D39">
            <w:pPr>
              <w:rPr>
                <w:rFonts w:eastAsia="Times New Roman"/>
                <w:sz w:val="20"/>
                <w:szCs w:val="20"/>
              </w:rPr>
            </w:pPr>
          </w:p>
        </w:tc>
        <w:tc>
          <w:tcPr>
            <w:tcW w:w="5" w:type="pct"/>
            <w:gridSpan w:val="2"/>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gridSpan w:val="25"/>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1614" w:type="pct"/>
            <w:gridSpan w:val="18"/>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blPrEx>
          <w:tblW w:w="4992" w:type="pct"/>
          <w:jc w:val="center"/>
        </w:tblPrEx>
        <w:trPr>
          <w:gridAfter w:val="1"/>
          <w:trHeight w:val="300"/>
          <w:jc w:val="center"/>
        </w:trPr>
        <w:tc>
          <w:tcPr>
            <w:tcW w:w="0" w:type="auto"/>
            <w:gridSpan w:val="70"/>
            <w:tcMar>
              <w:top w:w="0" w:type="dxa"/>
              <w:left w:w="20" w:type="dxa"/>
              <w:bottom w:w="0" w:type="dxa"/>
              <w:right w:w="20" w:type="dxa"/>
            </w:tcMar>
            <w:vAlign w:val="center"/>
            <w:hideMark/>
          </w:tcPr>
          <w:p w:rsidR="00000000" w:rsidRDefault="00795D39">
            <w:pPr>
              <w:rPr>
                <w:rFonts w:eastAsia="Times New Roman"/>
                <w:sz w:val="20"/>
                <w:szCs w:val="20"/>
              </w:rPr>
            </w:pPr>
          </w:p>
        </w:tc>
      </w:tr>
      <w:tr w:rsidR="00000000">
        <w:tblPrEx>
          <w:tblW w:w="4992" w:type="pct"/>
          <w:jc w:val="center"/>
        </w:tblPrEx>
        <w:trPr>
          <w:gridAfter w:val="1"/>
          <w:jc w:val="center"/>
        </w:trPr>
        <w:tc>
          <w:tcPr>
            <w:tcW w:w="0" w:type="auto"/>
            <w:gridSpan w:val="22"/>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128</w:t>
            </w:r>
          </w:p>
        </w:tc>
        <w:tc>
          <w:tcPr>
            <w:tcW w:w="0" w:type="auto"/>
            <w:gridSpan w:val="21"/>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3" style="width:0;height:1.5pt" o:hralign="center" o:hrstd="t" o:hr="t" fillcolor="#a0a0a0" stroked="f"/>
        </w:pict>
      </w:r>
    </w:p>
    <w:p w:rsidR="00000000" w:rsidRDefault="00795D39">
      <w:pPr>
        <w:jc w:val="both"/>
        <w:divId w:val="173542515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73542515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6"/>
        <w:gridCol w:w="1192"/>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1"/>
        <w:gridCol w:w="440"/>
        <w:gridCol w:w="36"/>
        <w:gridCol w:w="36"/>
        <w:gridCol w:w="36"/>
        <w:gridCol w:w="36"/>
        <w:gridCol w:w="111"/>
        <w:gridCol w:w="520"/>
        <w:gridCol w:w="791"/>
      </w:tblGrid>
      <w:tr w:rsidR="00000000">
        <w:trPr>
          <w:divId w:val="625620542"/>
        </w:trPr>
        <w:tc>
          <w:tcPr>
            <w:tcW w:w="50" w:type="pct"/>
            <w:vAlign w:val="center"/>
            <w:hideMark/>
          </w:tcPr>
          <w:p w:rsidR="00000000" w:rsidRDefault="00795D39">
            <w:pPr>
              <w:jc w:val="center"/>
              <w:rPr>
                <w:rFonts w:eastAsia="Times New Roman"/>
              </w:rPr>
            </w:pPr>
          </w:p>
        </w:tc>
        <w:tc>
          <w:tcPr>
            <w:tcW w:w="6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7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0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25620542"/>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795D39">
            <w:pPr>
              <w:rPr>
                <w:rFonts w:eastAsia="Times New Roman"/>
                <w:sz w:val="20"/>
                <w:szCs w:val="20"/>
              </w:rPr>
            </w:pPr>
          </w:p>
        </w:tc>
      </w:tr>
      <w:tr w:rsidR="00000000">
        <w:trPr>
          <w:divId w:val="625620542"/>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Nine Months Ended September 30, 2020</w:t>
            </w:r>
          </w:p>
        </w:tc>
        <w:tc>
          <w:tcPr>
            <w:tcW w:w="0" w:type="auto"/>
            <w:vAlign w:val="center"/>
            <w:hideMark/>
          </w:tcPr>
          <w:p w:rsidR="00000000" w:rsidRDefault="00795D39">
            <w:pPr>
              <w:rPr>
                <w:rFonts w:eastAsia="Times New Roman"/>
                <w:sz w:val="20"/>
                <w:szCs w:val="20"/>
              </w:rPr>
            </w:pPr>
          </w:p>
        </w:tc>
      </w:tr>
      <w:tr w:rsidR="00000000">
        <w:trPr>
          <w:divId w:val="625620542"/>
          <w:trHeight w:val="30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Total Gains (Losses) (Realized/Unrealized)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r>
              <w:rPr>
                <w:rFonts w:eastAsia="Times New Roman"/>
                <w:b/>
                <w:bCs/>
                <w:color w:val="000000"/>
                <w:sz w:val="12"/>
                <w:szCs w:val="12"/>
              </w:rPr>
              <w:t xml:space="preserve">Net Unrealized Gains (Losses) Included in Net Income Related to Assets and Liabilities Still Held as of </w:t>
            </w:r>
          </w:p>
          <w:p w:rsidR="00000000" w:rsidRDefault="00795D39">
            <w:pPr>
              <w:jc w:val="center"/>
              <w:rPr>
                <w:rFonts w:eastAsia="Times New Roman"/>
              </w:rPr>
            </w:pPr>
            <w:r>
              <w:rPr>
                <w:rFonts w:eastAsia="Times New Roman"/>
                <w:b/>
                <w:bCs/>
                <w:color w:val="000000"/>
                <w:sz w:val="12"/>
                <w:szCs w:val="12"/>
              </w:rPr>
              <w:t>September 30,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rsidR="00000000" w:rsidRDefault="00795D39">
            <w:pPr>
              <w:jc w:val="center"/>
              <w:rPr>
                <w:rFonts w:eastAsia="Times New Roman"/>
              </w:rPr>
            </w:pPr>
          </w:p>
        </w:tc>
      </w:tr>
      <w:tr w:rsidR="00000000">
        <w:trPr>
          <w:divId w:val="625620542"/>
          <w:trHeight w:val="46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2"/>
                <w:szCs w:val="12"/>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Balance, January 1, 2020</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Included</w:t>
            </w:r>
          </w:p>
          <w:p w:rsidR="00000000" w:rsidRDefault="00795D39">
            <w:pPr>
              <w:jc w:val="center"/>
              <w:rPr>
                <w:rFonts w:eastAsia="Times New Roman"/>
              </w:rPr>
            </w:pPr>
            <w:r>
              <w:rPr>
                <w:rFonts w:eastAsia="Times New Roman"/>
                <w:b/>
                <w:bCs/>
                <w:color w:val="000000"/>
                <w:sz w:val="12"/>
                <w:szCs w:val="12"/>
              </w:rPr>
              <w:t>in Net</w:t>
            </w:r>
          </w:p>
          <w:p w:rsidR="00000000" w:rsidRDefault="00795D39">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Balance, September 30, 2020</w:t>
            </w:r>
          </w:p>
        </w:tc>
        <w:tc>
          <w:tcPr>
            <w:tcW w:w="0" w:type="auto"/>
            <w:tcMar>
              <w:top w:w="0" w:type="dxa"/>
              <w:left w:w="20" w:type="dxa"/>
              <w:bottom w:w="0" w:type="dxa"/>
              <w:right w:w="20" w:type="dxa"/>
            </w:tcMar>
            <w:vAlign w:val="center"/>
            <w:hideMark/>
          </w:tcPr>
          <w:p w:rsidR="00000000" w:rsidRDefault="00795D39">
            <w:pPr>
              <w:jc w:val="center"/>
              <w:rPr>
                <w:rFonts w:eastAsia="Times New Roman"/>
              </w:rPr>
            </w:pPr>
          </w:p>
        </w:tc>
      </w:tr>
      <w:tr w:rsidR="00000000">
        <w:trPr>
          <w:divId w:val="62562054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447693843"/>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62562054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433 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(55)</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(98)</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r>
      <w:tr w:rsidR="00795D39">
        <w:trPr>
          <w:divId w:val="625620542"/>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(4)</w:t>
            </w:r>
          </w:p>
        </w:tc>
      </w:tr>
      <w:tr w:rsidR="00000000">
        <w:trPr>
          <w:divId w:val="625620542"/>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625620542"/>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846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r>
      <w:tr w:rsidR="00000000">
        <w:trPr>
          <w:divId w:val="625620542"/>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25620542"/>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625620542"/>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(10)</w:t>
            </w:r>
          </w:p>
        </w:tc>
      </w:tr>
      <w:tr w:rsidR="00795D39">
        <w:trPr>
          <w:divId w:val="625620542"/>
        </w:trPr>
        <w:tc>
          <w:tcPr>
            <w:tcW w:w="0" w:type="auto"/>
            <w:gridSpan w:val="3"/>
            <w:shd w:val="clear" w:color="auto" w:fill="CCEEFF"/>
            <w:tcMar>
              <w:top w:w="30" w:type="dxa"/>
              <w:left w:w="20" w:type="dxa"/>
              <w:bottom w:w="30" w:type="dxa"/>
              <w:right w:w="20" w:type="dxa"/>
            </w:tcMar>
            <w:vAlign w:val="center"/>
            <w:hideMark/>
          </w:tcPr>
          <w:p w:rsidR="00000000" w:rsidRDefault="00795D39">
            <w:pPr>
              <w:divId w:val="1834836466"/>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b/>
                <w:bCs/>
                <w:color w:val="000000"/>
                <w:sz w:val="18"/>
                <w:szCs w:val="18"/>
              </w:rPr>
              <w:t>18</w:t>
            </w:r>
            <w:r>
              <w:rPr>
                <w:rFonts w:eastAsia="Times New Roman"/>
                <w:color w:val="000000"/>
                <w:sz w:val="18"/>
                <w:szCs w:val="18"/>
              </w:rPr>
              <w:t> </w:t>
            </w: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6"/>
        <w:gridCol w:w="1192"/>
        <w:gridCol w:w="38"/>
        <w:gridCol w:w="36"/>
        <w:gridCol w:w="36"/>
        <w:gridCol w:w="36"/>
        <w:gridCol w:w="111"/>
        <w:gridCol w:w="397"/>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0"/>
        <w:gridCol w:w="390"/>
        <w:gridCol w:w="36"/>
        <w:gridCol w:w="36"/>
        <w:gridCol w:w="36"/>
        <w:gridCol w:w="36"/>
        <w:gridCol w:w="111"/>
        <w:gridCol w:w="520"/>
        <w:gridCol w:w="791"/>
      </w:tblGrid>
      <w:tr w:rsidR="00000000">
        <w:trPr>
          <w:divId w:val="1929805491"/>
        </w:trPr>
        <w:tc>
          <w:tcPr>
            <w:tcW w:w="50" w:type="pct"/>
            <w:vAlign w:val="center"/>
            <w:hideMark/>
          </w:tcPr>
          <w:p w:rsidR="00000000" w:rsidRDefault="00795D39">
            <w:pPr>
              <w:jc w:val="both"/>
              <w:rPr>
                <w:rFonts w:eastAsia="Times New Roman"/>
              </w:rPr>
            </w:pPr>
          </w:p>
        </w:tc>
        <w:tc>
          <w:tcPr>
            <w:tcW w:w="69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7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0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5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29805491"/>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795D39">
            <w:pPr>
              <w:rPr>
                <w:rFonts w:eastAsia="Times New Roman"/>
                <w:sz w:val="20"/>
                <w:szCs w:val="20"/>
              </w:rPr>
            </w:pPr>
          </w:p>
        </w:tc>
      </w:tr>
      <w:tr w:rsidR="00000000">
        <w:trPr>
          <w:divId w:val="1929805491"/>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5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Three Months Ended September 30, 2019</w:t>
            </w:r>
          </w:p>
        </w:tc>
        <w:tc>
          <w:tcPr>
            <w:tcW w:w="0" w:type="auto"/>
            <w:vAlign w:val="center"/>
            <w:hideMark/>
          </w:tcPr>
          <w:p w:rsidR="00000000" w:rsidRDefault="00795D39">
            <w:pPr>
              <w:rPr>
                <w:rFonts w:eastAsia="Times New Roman"/>
                <w:sz w:val="20"/>
                <w:szCs w:val="20"/>
              </w:rPr>
            </w:pPr>
          </w:p>
        </w:tc>
      </w:tr>
      <w:tr w:rsidR="00000000">
        <w:trPr>
          <w:divId w:val="1929805491"/>
          <w:trHeight w:val="30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r>
              <w:rPr>
                <w:rFonts w:eastAsia="Times New Roman"/>
                <w:b/>
                <w:bCs/>
                <w:color w:val="000000"/>
                <w:sz w:val="12"/>
                <w:szCs w:val="12"/>
              </w:rPr>
              <w:t>Net Unrealized Gains (Losses) Included in Net Income Related to Assets and Liabilities Still Held as of</w:t>
            </w:r>
          </w:p>
          <w:p w:rsidR="00000000" w:rsidRDefault="00795D39">
            <w:pPr>
              <w:jc w:val="center"/>
              <w:rPr>
                <w:rFonts w:eastAsia="Times New Roman"/>
              </w:rPr>
            </w:pPr>
            <w:r>
              <w:rPr>
                <w:rFonts w:eastAsia="Times New Roman"/>
                <w:b/>
                <w:bCs/>
                <w:color w:val="000000"/>
                <w:sz w:val="12"/>
                <w:szCs w:val="12"/>
              </w:rPr>
              <w:t>September 30, 201</w:t>
            </w:r>
            <w:r>
              <w:rPr>
                <w:rFonts w:eastAsia="Times New Roman"/>
                <w:b/>
                <w:bCs/>
                <w:color w:val="000000"/>
                <w:sz w:val="12"/>
                <w:szCs w:val="12"/>
              </w:rPr>
              <w:t>9</w:t>
            </w:r>
            <w:r>
              <w:rPr>
                <w:rFonts w:eastAsia="Times New Roman"/>
                <w:b/>
                <w:bCs/>
                <w:color w:val="000000"/>
                <w:sz w:val="8"/>
                <w:szCs w:val="8"/>
              </w:rPr>
              <w:t>(1</w:t>
            </w:r>
            <w:r>
              <w:rPr>
                <w:rFonts w:eastAsia="Times New Roman"/>
                <w:b/>
                <w:bCs/>
                <w:color w:val="000000"/>
                <w:sz w:val="8"/>
                <w:szCs w:val="8"/>
              </w:rPr>
              <w:t>)</w:t>
            </w:r>
          </w:p>
          <w:p w:rsidR="00000000" w:rsidRDefault="00795D39">
            <w:pPr>
              <w:jc w:val="center"/>
              <w:rPr>
                <w:rFonts w:eastAsia="Times New Roman"/>
              </w:rPr>
            </w:pPr>
          </w:p>
        </w:tc>
      </w:tr>
      <w:tr w:rsidR="00000000">
        <w:trPr>
          <w:divId w:val="1929805491"/>
          <w:trHeight w:val="46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2"/>
                <w:szCs w:val="12"/>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Balance, July 1,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Included</w:t>
            </w:r>
          </w:p>
          <w:p w:rsidR="00000000" w:rsidRDefault="00795D39">
            <w:pPr>
              <w:jc w:val="center"/>
              <w:rPr>
                <w:rFonts w:eastAsia="Times New Roman"/>
              </w:rPr>
            </w:pPr>
            <w:r>
              <w:rPr>
                <w:rFonts w:eastAsia="Times New Roman"/>
                <w:b/>
                <w:bCs/>
                <w:color w:val="000000"/>
                <w:sz w:val="12"/>
                <w:szCs w:val="12"/>
              </w:rPr>
              <w:t>in Net</w:t>
            </w:r>
          </w:p>
          <w:p w:rsidR="00000000" w:rsidRDefault="00795D39">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Balance, September 30, 2019</w:t>
            </w:r>
          </w:p>
        </w:tc>
        <w:tc>
          <w:tcPr>
            <w:tcW w:w="0" w:type="auto"/>
            <w:tcMar>
              <w:top w:w="0" w:type="dxa"/>
              <w:left w:w="20" w:type="dxa"/>
              <w:bottom w:w="0" w:type="dxa"/>
              <w:right w:w="20" w:type="dxa"/>
            </w:tcMar>
            <w:vAlign w:val="center"/>
            <w:hideMark/>
          </w:tcPr>
          <w:p w:rsidR="00000000" w:rsidRDefault="00795D39">
            <w:pPr>
              <w:jc w:val="center"/>
              <w:rPr>
                <w:rFonts w:eastAsia="Times New Roman"/>
              </w:rPr>
            </w:pPr>
          </w:p>
        </w:tc>
      </w:tr>
      <w:tr w:rsidR="00000000">
        <w:trPr>
          <w:divId w:val="192980549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848712404"/>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192980549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515 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(114)</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452 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$9 </w:t>
            </w:r>
          </w:p>
        </w:tc>
      </w:tr>
      <w:tr w:rsidR="00795D39">
        <w:trPr>
          <w:divId w:val="1929805491"/>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0 </w:t>
            </w:r>
          </w:p>
        </w:tc>
      </w:tr>
      <w:tr w:rsidR="00000000">
        <w:trPr>
          <w:divId w:val="1929805491"/>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29805491"/>
        </w:trPr>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795D39">
        <w:trPr>
          <w:divId w:val="1929805491"/>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9 </w:t>
            </w:r>
          </w:p>
        </w:tc>
      </w:tr>
      <w:tr w:rsidR="00000000">
        <w:trPr>
          <w:divId w:val="1929805491"/>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1929805491"/>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(1)</w:t>
            </w:r>
          </w:p>
        </w:tc>
      </w:tr>
      <w:tr w:rsidR="00795D39">
        <w:trPr>
          <w:divId w:val="1929805491"/>
        </w:trPr>
        <w:tc>
          <w:tcPr>
            <w:tcW w:w="0" w:type="auto"/>
            <w:gridSpan w:val="3"/>
            <w:shd w:val="clear" w:color="auto" w:fill="CCEEFF"/>
            <w:tcMar>
              <w:top w:w="30" w:type="dxa"/>
              <w:left w:w="20" w:type="dxa"/>
              <w:bottom w:w="30" w:type="dxa"/>
              <w:right w:w="20" w:type="dxa"/>
            </w:tcMar>
            <w:vAlign w:val="center"/>
            <w:hideMark/>
          </w:tcPr>
          <w:p w:rsidR="00000000" w:rsidRDefault="00795D39">
            <w:pPr>
              <w:divId w:val="120541768"/>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1 </w:t>
            </w: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6"/>
        <w:gridCol w:w="58"/>
        <w:gridCol w:w="1134"/>
        <w:gridCol w:w="38"/>
        <w:gridCol w:w="36"/>
        <w:gridCol w:w="36"/>
        <w:gridCol w:w="36"/>
        <w:gridCol w:w="111"/>
        <w:gridCol w:w="489"/>
        <w:gridCol w:w="36"/>
        <w:gridCol w:w="36"/>
        <w:gridCol w:w="36"/>
        <w:gridCol w:w="36"/>
        <w:gridCol w:w="111"/>
        <w:gridCol w:w="444"/>
        <w:gridCol w:w="37"/>
        <w:gridCol w:w="37"/>
        <w:gridCol w:w="10"/>
        <w:gridCol w:w="37"/>
        <w:gridCol w:w="36"/>
        <w:gridCol w:w="71"/>
        <w:gridCol w:w="39"/>
        <w:gridCol w:w="105"/>
        <w:gridCol w:w="338"/>
        <w:gridCol w:w="36"/>
        <w:gridCol w:w="36"/>
        <w:gridCol w:w="36"/>
        <w:gridCol w:w="36"/>
        <w:gridCol w:w="111"/>
        <w:gridCol w:w="462"/>
        <w:gridCol w:w="36"/>
        <w:gridCol w:w="36"/>
        <w:gridCol w:w="36"/>
        <w:gridCol w:w="36"/>
        <w:gridCol w:w="111"/>
        <w:gridCol w:w="234"/>
        <w:gridCol w:w="36"/>
        <w:gridCol w:w="36"/>
        <w:gridCol w:w="36"/>
        <w:gridCol w:w="36"/>
        <w:gridCol w:w="111"/>
        <w:gridCol w:w="430"/>
        <w:gridCol w:w="36"/>
        <w:gridCol w:w="36"/>
        <w:gridCol w:w="36"/>
        <w:gridCol w:w="36"/>
        <w:gridCol w:w="111"/>
        <w:gridCol w:w="192"/>
        <w:gridCol w:w="144"/>
        <w:gridCol w:w="144"/>
        <w:gridCol w:w="54"/>
        <w:gridCol w:w="36"/>
        <w:gridCol w:w="36"/>
        <w:gridCol w:w="36"/>
        <w:gridCol w:w="36"/>
        <w:gridCol w:w="111"/>
        <w:gridCol w:w="447"/>
        <w:gridCol w:w="36"/>
        <w:gridCol w:w="36"/>
        <w:gridCol w:w="36"/>
        <w:gridCol w:w="36"/>
        <w:gridCol w:w="110"/>
        <w:gridCol w:w="390"/>
        <w:gridCol w:w="36"/>
        <w:gridCol w:w="36"/>
        <w:gridCol w:w="36"/>
        <w:gridCol w:w="36"/>
        <w:gridCol w:w="111"/>
        <w:gridCol w:w="521"/>
        <w:gridCol w:w="500"/>
        <w:gridCol w:w="144"/>
        <w:gridCol w:w="147"/>
      </w:tblGrid>
      <w:tr w:rsidR="00000000">
        <w:trPr>
          <w:divId w:val="1317764419"/>
        </w:trPr>
        <w:tc>
          <w:tcPr>
            <w:tcW w:w="50" w:type="pct"/>
            <w:vAlign w:val="center"/>
            <w:hideMark/>
          </w:tcPr>
          <w:p w:rsidR="00000000" w:rsidRDefault="00795D39">
            <w:pPr>
              <w:jc w:val="both"/>
              <w:rPr>
                <w:rFonts w:eastAsia="Times New Roman"/>
              </w:rPr>
            </w:pPr>
          </w:p>
        </w:tc>
        <w:tc>
          <w:tcPr>
            <w:tcW w:w="697"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7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244" w:type="pct"/>
            <w:gridSpan w:val="2"/>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5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95" w:type="pct"/>
            <w:gridSpan w:val="4"/>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6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4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61" w:type="pct"/>
            <w:vAlign w:val="center"/>
            <w:hideMark/>
          </w:tcPr>
          <w:p w:rsidR="00000000" w:rsidRDefault="00795D39">
            <w:pPr>
              <w:rPr>
                <w:rFonts w:eastAsia="Times New Roman"/>
                <w:sz w:val="20"/>
                <w:szCs w:val="20"/>
              </w:rPr>
            </w:pPr>
          </w:p>
        </w:tc>
        <w:tc>
          <w:tcPr>
            <w:tcW w:w="5" w:type="pct"/>
            <w:gridSpan w:val="3"/>
            <w:vAlign w:val="center"/>
            <w:hideMark/>
          </w:tcPr>
          <w:p w:rsidR="00000000" w:rsidRDefault="00795D39">
            <w:pPr>
              <w:rPr>
                <w:rFonts w:eastAsia="Times New Roman"/>
                <w:sz w:val="20"/>
                <w:szCs w:val="20"/>
              </w:rPr>
            </w:pPr>
          </w:p>
        </w:tc>
      </w:tr>
      <w:tr w:rsidR="00000000">
        <w:trPr>
          <w:divId w:val="1317764419"/>
        </w:trPr>
        <w:tc>
          <w:tcPr>
            <w:tcW w:w="0" w:type="auto"/>
            <w:gridSpan w:val="4"/>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3"/>
            <w:vAlign w:val="center"/>
            <w:hideMark/>
          </w:tcPr>
          <w:p w:rsidR="00000000" w:rsidRDefault="00795D39">
            <w:pPr>
              <w:rPr>
                <w:rFonts w:eastAsia="Times New Roman"/>
                <w:sz w:val="20"/>
                <w:szCs w:val="20"/>
              </w:rPr>
            </w:pPr>
          </w:p>
        </w:tc>
      </w:tr>
      <w:tr w:rsidR="00000000">
        <w:trPr>
          <w:divId w:val="1317764419"/>
        </w:trPr>
        <w:tc>
          <w:tcPr>
            <w:tcW w:w="0" w:type="auto"/>
            <w:gridSpan w:val="4"/>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6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4"/>
                <w:szCs w:val="14"/>
              </w:rPr>
              <w:t>Nine Months Ended September 30, 2019</w:t>
            </w:r>
          </w:p>
        </w:tc>
        <w:tc>
          <w:tcPr>
            <w:tcW w:w="0" w:type="auto"/>
            <w:gridSpan w:val="3"/>
            <w:vAlign w:val="center"/>
            <w:hideMark/>
          </w:tcPr>
          <w:p w:rsidR="00000000" w:rsidRDefault="00795D39">
            <w:pPr>
              <w:rPr>
                <w:rFonts w:eastAsia="Times New Roman"/>
                <w:sz w:val="20"/>
                <w:szCs w:val="20"/>
              </w:rPr>
            </w:pPr>
          </w:p>
        </w:tc>
      </w:tr>
      <w:tr w:rsidR="00000000">
        <w:trPr>
          <w:divId w:val="1317764419"/>
          <w:trHeight w:val="300"/>
        </w:trPr>
        <w:tc>
          <w:tcPr>
            <w:tcW w:w="0" w:type="auto"/>
            <w:gridSpan w:val="4"/>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r>
              <w:rPr>
                <w:rFonts w:eastAsia="Times New Roman"/>
                <w:b/>
                <w:bCs/>
                <w:color w:val="000000"/>
                <w:sz w:val="12"/>
                <w:szCs w:val="12"/>
              </w:rPr>
              <w:t>Net Unrealized Gains (Losses) Included in Net Income Related to Assets and Liabilities Still Held as of</w:t>
            </w:r>
            <w:r>
              <w:rPr>
                <w:rFonts w:eastAsia="Times New Roman"/>
                <w:b/>
                <w:bCs/>
                <w:color w:val="000000"/>
                <w:sz w:val="12"/>
                <w:szCs w:val="12"/>
              </w:rPr>
              <w:br/>
              <w:t>September 30, 201</w:t>
            </w:r>
            <w:r>
              <w:rPr>
                <w:rFonts w:eastAsia="Times New Roman"/>
                <w:b/>
                <w:bCs/>
                <w:color w:val="000000"/>
                <w:sz w:val="12"/>
                <w:szCs w:val="12"/>
              </w:rPr>
              <w:t>9</w:t>
            </w:r>
            <w:r>
              <w:rPr>
                <w:rFonts w:eastAsia="Times New Roman"/>
                <w:b/>
                <w:bCs/>
                <w:color w:val="000000"/>
                <w:sz w:val="8"/>
                <w:szCs w:val="8"/>
              </w:rPr>
              <w:t>(1</w:t>
            </w:r>
            <w:r>
              <w:rPr>
                <w:rFonts w:eastAsia="Times New Roman"/>
                <w:b/>
                <w:bCs/>
                <w:color w:val="000000"/>
                <w:sz w:val="8"/>
                <w:szCs w:val="8"/>
              </w:rPr>
              <w:t>)</w:t>
            </w:r>
          </w:p>
          <w:p w:rsidR="00000000" w:rsidRDefault="00795D39">
            <w:pPr>
              <w:jc w:val="center"/>
              <w:rPr>
                <w:rFonts w:eastAsia="Times New Roman"/>
              </w:rPr>
            </w:pPr>
          </w:p>
        </w:tc>
      </w:tr>
      <w:tr w:rsidR="00000000">
        <w:trPr>
          <w:divId w:val="1317764419"/>
          <w:trHeight w:val="460"/>
        </w:trPr>
        <w:tc>
          <w:tcPr>
            <w:tcW w:w="0" w:type="auto"/>
            <w:gridSpan w:val="4"/>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2"/>
                <w:szCs w:val="12"/>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Balance, January 1,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Included</w:t>
            </w:r>
          </w:p>
          <w:p w:rsidR="00000000" w:rsidRDefault="00795D39">
            <w:pPr>
              <w:jc w:val="center"/>
              <w:rPr>
                <w:rFonts w:eastAsia="Times New Roman"/>
              </w:rPr>
            </w:pPr>
            <w:r>
              <w:rPr>
                <w:rFonts w:eastAsia="Times New Roman"/>
                <w:b/>
                <w:bCs/>
                <w:color w:val="000000"/>
                <w:sz w:val="12"/>
                <w:szCs w:val="12"/>
              </w:rPr>
              <w:t>in Net</w:t>
            </w:r>
          </w:p>
          <w:p w:rsidR="00000000" w:rsidRDefault="00795D39">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2"/>
                <w:szCs w:val="12"/>
              </w:rPr>
              <w:t>Balance, September 30,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r>
      <w:tr w:rsidR="00000000">
        <w:trPr>
          <w:divId w:val="1317764419"/>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divId w:val="1401438354"/>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795D39">
        <w:trPr>
          <w:divId w:val="1317764419"/>
        </w:trPr>
        <w:tc>
          <w:tcPr>
            <w:tcW w:w="0" w:type="auto"/>
            <w:gridSpan w:val="4"/>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433 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173 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(151)</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452 </w:t>
            </w:r>
          </w:p>
        </w:tc>
        <w:tc>
          <w:tcPr>
            <w:tcW w:w="0" w:type="auto"/>
            <w:gridSpan w:val="3"/>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$26 </w:t>
            </w:r>
          </w:p>
        </w:tc>
      </w:tr>
      <w:tr w:rsidR="00795D39">
        <w:trPr>
          <w:divId w:val="1317764419"/>
        </w:trPr>
        <w:tc>
          <w:tcPr>
            <w:tcW w:w="0" w:type="auto"/>
            <w:gridSpan w:val="4"/>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8 </w:t>
            </w:r>
          </w:p>
        </w:tc>
        <w:tc>
          <w:tcPr>
            <w:tcW w:w="0" w:type="auto"/>
            <w:gridSpan w:val="3"/>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0 </w:t>
            </w:r>
          </w:p>
        </w:tc>
      </w:tr>
      <w:tr w:rsidR="00000000">
        <w:trPr>
          <w:divId w:val="1317764419"/>
        </w:trPr>
        <w:tc>
          <w:tcPr>
            <w:tcW w:w="0" w:type="auto"/>
            <w:gridSpan w:val="4"/>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6"/>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1317764419"/>
        </w:trPr>
        <w:tc>
          <w:tcPr>
            <w:tcW w:w="0" w:type="auto"/>
            <w:gridSpan w:val="4"/>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460 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26 </w:t>
            </w:r>
          </w:p>
        </w:tc>
      </w:tr>
      <w:tr w:rsidR="00000000">
        <w:trPr>
          <w:divId w:val="1317764419"/>
        </w:trPr>
        <w:tc>
          <w:tcPr>
            <w:tcW w:w="0" w:type="auto"/>
            <w:gridSpan w:val="4"/>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317764419"/>
        </w:trPr>
        <w:tc>
          <w:tcPr>
            <w:tcW w:w="0" w:type="auto"/>
            <w:gridSpan w:val="4"/>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4"/>
            <w:vAlign w:val="center"/>
            <w:hideMark/>
          </w:tcPr>
          <w:p w:rsidR="00000000" w:rsidRDefault="00795D39">
            <w:pPr>
              <w:rPr>
                <w:rFonts w:eastAsia="Times New Roman"/>
                <w:sz w:val="20"/>
                <w:szCs w:val="20"/>
              </w:rPr>
            </w:pPr>
          </w:p>
        </w:tc>
        <w:tc>
          <w:tcPr>
            <w:tcW w:w="0" w:type="auto"/>
            <w:gridSpan w:val="5"/>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6"/>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2"/>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795D39">
        <w:trPr>
          <w:divId w:val="1317764419"/>
        </w:trPr>
        <w:tc>
          <w:tcPr>
            <w:tcW w:w="0" w:type="auto"/>
            <w:gridSpan w:val="4"/>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158 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107 </w:t>
            </w:r>
          </w:p>
        </w:tc>
        <w:tc>
          <w:tcPr>
            <w:tcW w:w="0" w:type="auto"/>
            <w:gridSpan w:val="3"/>
            <w:shd w:val="clear" w:color="auto" w:fill="FFFF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8 </w:t>
            </w:r>
          </w:p>
        </w:tc>
      </w:tr>
      <w:tr w:rsidR="00795D39">
        <w:trPr>
          <w:divId w:val="1317764419"/>
        </w:trPr>
        <w:tc>
          <w:tcPr>
            <w:tcW w:w="0" w:type="auto"/>
            <w:gridSpan w:val="4"/>
            <w:shd w:val="clear" w:color="auto" w:fill="CCEEFF"/>
            <w:tcMar>
              <w:top w:w="30" w:type="dxa"/>
              <w:left w:w="20" w:type="dxa"/>
              <w:bottom w:w="30" w:type="dxa"/>
              <w:right w:w="20" w:type="dxa"/>
            </w:tcMar>
            <w:vAlign w:val="center"/>
            <w:hideMark/>
          </w:tcPr>
          <w:p w:rsidR="00000000" w:rsidRDefault="00795D39">
            <w:pPr>
              <w:divId w:val="743648450"/>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color w:val="000000"/>
                <w:sz w:val="18"/>
                <w:szCs w:val="18"/>
              </w:rPr>
              <w:t>6 </w:t>
            </w:r>
          </w:p>
        </w:tc>
        <w:tc>
          <w:tcPr>
            <w:tcW w:w="0" w:type="auto"/>
            <w:gridSpan w:val="3"/>
            <w:shd w:val="clear" w:color="auto" w:fill="CCEEFF"/>
            <w:tcMar>
              <w:top w:w="30" w:type="dxa"/>
              <w:left w:w="0" w:type="dxa"/>
              <w:bottom w:w="30" w:type="dxa"/>
              <w:right w:w="20" w:type="dxa"/>
            </w:tcMar>
            <w:vAlign w:val="bottom"/>
            <w:hideMark/>
          </w:tcPr>
          <w:p w:rsidR="00000000" w:rsidRDefault="00795D39">
            <w:pPr>
              <w:jc w:val="right"/>
              <w:rPr>
                <w:rFonts w:eastAsia="Times New Roman"/>
              </w:rPr>
            </w:pPr>
            <w:r>
              <w:rPr>
                <w:rFonts w:eastAsia="Times New Roman"/>
                <w:color w:val="000000"/>
                <w:sz w:val="18"/>
                <w:szCs w:val="18"/>
              </w:rPr>
              <w:t>6 </w:t>
            </w:r>
          </w:p>
        </w:tc>
      </w:tr>
      <w:tr w:rsidR="00000000">
        <w:tblPrEx>
          <w:tblW w:w="4992" w:type="pct"/>
          <w:jc w:val="center"/>
        </w:tblPrEx>
        <w:trPr>
          <w:gridAfter w:val="1"/>
          <w:jc w:val="center"/>
        </w:trPr>
        <w:tc>
          <w:tcPr>
            <w:tcW w:w="50" w:type="pct"/>
            <w:gridSpan w:val="2"/>
            <w:vAlign w:val="center"/>
            <w:hideMark/>
          </w:tcPr>
          <w:p w:rsidR="00000000" w:rsidRDefault="00795D39">
            <w:pPr>
              <w:rPr>
                <w:rFonts w:eastAsia="Times New Roman"/>
              </w:rPr>
            </w:pPr>
          </w:p>
        </w:tc>
        <w:tc>
          <w:tcPr>
            <w:tcW w:w="1606" w:type="pct"/>
            <w:gridSpan w:val="16"/>
            <w:vAlign w:val="center"/>
            <w:hideMark/>
          </w:tcPr>
          <w:p w:rsidR="00000000" w:rsidRDefault="00795D39">
            <w:pPr>
              <w:rPr>
                <w:rFonts w:eastAsia="Times New Roman"/>
                <w:sz w:val="20"/>
                <w:szCs w:val="20"/>
              </w:rPr>
            </w:pPr>
          </w:p>
        </w:tc>
        <w:tc>
          <w:tcPr>
            <w:tcW w:w="5" w:type="pct"/>
            <w:gridSpan w:val="3"/>
            <w:vAlign w:val="center"/>
            <w:hideMark/>
          </w:tcPr>
          <w:p w:rsidR="00000000" w:rsidRDefault="00795D39">
            <w:pPr>
              <w:rPr>
                <w:rFonts w:eastAsia="Times New Roman"/>
                <w:sz w:val="20"/>
                <w:szCs w:val="20"/>
              </w:rPr>
            </w:pPr>
          </w:p>
        </w:tc>
        <w:tc>
          <w:tcPr>
            <w:tcW w:w="50" w:type="pct"/>
            <w:gridSpan w:val="2"/>
            <w:vAlign w:val="center"/>
            <w:hideMark/>
          </w:tcPr>
          <w:p w:rsidR="00000000" w:rsidRDefault="00795D39">
            <w:pPr>
              <w:rPr>
                <w:rFonts w:eastAsia="Times New Roman"/>
                <w:sz w:val="20"/>
                <w:szCs w:val="20"/>
              </w:rPr>
            </w:pPr>
          </w:p>
        </w:tc>
        <w:tc>
          <w:tcPr>
            <w:tcW w:w="1614" w:type="pct"/>
            <w:gridSpan w:val="25"/>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gridSpan w:val="20"/>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blPrEx>
          <w:tblW w:w="4992" w:type="pct"/>
          <w:jc w:val="center"/>
        </w:tblPrEx>
        <w:trPr>
          <w:gridAfter w:val="1"/>
          <w:trHeight w:val="300"/>
          <w:jc w:val="center"/>
        </w:trPr>
        <w:tc>
          <w:tcPr>
            <w:tcW w:w="0" w:type="auto"/>
            <w:gridSpan w:val="71"/>
            <w:tcMar>
              <w:top w:w="0" w:type="dxa"/>
              <w:left w:w="20" w:type="dxa"/>
              <w:bottom w:w="0" w:type="dxa"/>
              <w:right w:w="20" w:type="dxa"/>
            </w:tcMar>
            <w:vAlign w:val="center"/>
            <w:hideMark/>
          </w:tcPr>
          <w:p w:rsidR="00000000" w:rsidRDefault="00795D39">
            <w:pPr>
              <w:rPr>
                <w:rFonts w:eastAsia="Times New Roman"/>
                <w:sz w:val="20"/>
                <w:szCs w:val="20"/>
              </w:rPr>
            </w:pPr>
          </w:p>
        </w:tc>
      </w:tr>
      <w:tr w:rsidR="00000000">
        <w:tblPrEx>
          <w:tblW w:w="4992" w:type="pct"/>
          <w:jc w:val="center"/>
        </w:tblPrEx>
        <w:trPr>
          <w:gridAfter w:val="1"/>
          <w:jc w:val="center"/>
        </w:trPr>
        <w:tc>
          <w:tcPr>
            <w:tcW w:w="0" w:type="auto"/>
            <w:gridSpan w:val="21"/>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8"/>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129</w:t>
            </w:r>
          </w:p>
        </w:tc>
        <w:tc>
          <w:tcPr>
            <w:tcW w:w="0" w:type="auto"/>
            <w:gridSpan w:val="22"/>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4" style="width:0;height:1.5pt" o:hralign="center" o:hrstd="t" o:hr="t" fillcolor="#a0a0a0" stroked="f"/>
        </w:pict>
      </w:r>
    </w:p>
    <w:p w:rsidR="00000000" w:rsidRDefault="00795D39">
      <w:pPr>
        <w:jc w:val="both"/>
        <w:divId w:val="13264807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32648070"/>
        <w:rPr>
          <w:rFonts w:eastAsia="Times New Roman"/>
        </w:rPr>
      </w:pPr>
    </w:p>
    <w:p w:rsidR="00000000" w:rsidRDefault="00795D39">
      <w:pPr>
        <w:divId w:val="35156962"/>
        <w:rPr>
          <w:rFonts w:eastAsia="Times New Roman"/>
        </w:rPr>
      </w:pPr>
      <w:r>
        <w:rPr>
          <w:rFonts w:eastAsia="Times New Roman"/>
          <w:color w:val="000000"/>
          <w:sz w:val="20"/>
          <w:szCs w:val="20"/>
        </w:rPr>
        <w:t>__________</w:t>
      </w:r>
    </w:p>
    <w:p w:rsidR="00000000" w:rsidRDefault="00795D39">
      <w:pPr>
        <w:ind w:hanging="360"/>
        <w:jc w:val="both"/>
        <w:divId w:val="15545434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Realized gains (losses) on securities available for sale are included in net securities gains (losses), and retained interests i</w:t>
      </w:r>
      <w:r>
        <w:rPr>
          <w:rFonts w:eastAsia="Times New Roman"/>
          <w:color w:val="000000"/>
          <w:sz w:val="16"/>
          <w:szCs w:val="16"/>
        </w:rPr>
        <w:t>n securitizations are reported as a component of non-interest income in our consolidated statements of income. Gains (losses) on derivatives are included as a component of net interest income or non-interest income in our consolidated statements of income.</w:t>
      </w:r>
    </w:p>
    <w:p w:rsidR="00000000" w:rsidRDefault="00795D39">
      <w:pPr>
        <w:ind w:hanging="360"/>
        <w:jc w:val="both"/>
        <w:divId w:val="164052836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For the three and nine months ended September 30, 2020, included in OCI related to Level 3 securities available for sale still held as of September 30, 2020 were net unrealized gains of $5 million and net unrealized losses of $16 million, respectively. For</w:t>
      </w:r>
      <w:r>
        <w:rPr>
          <w:rFonts w:eastAsia="Times New Roman"/>
          <w:color w:val="000000"/>
          <w:sz w:val="16"/>
          <w:szCs w:val="16"/>
        </w:rPr>
        <w:t xml:space="preserve"> the three and nine months ended September 30, 2019, net unrealized gains included in OCI related to Level 3 securities available for sale still held as of September 30, 2019 were $1 million and $11 million, respectively.</w:t>
      </w:r>
    </w:p>
    <w:p w:rsidR="00000000" w:rsidRDefault="00795D39">
      <w:pPr>
        <w:ind w:hanging="360"/>
        <w:jc w:val="both"/>
        <w:divId w:val="62423365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Includes derivative assets and </w:t>
      </w:r>
      <w:r>
        <w:rPr>
          <w:rFonts w:eastAsia="Times New Roman"/>
          <w:color w:val="000000"/>
          <w:sz w:val="16"/>
          <w:szCs w:val="16"/>
        </w:rPr>
        <w:t>liabilities of $153 million and $109 million, respectively, as of September 30, 2020, $82 million and $76 million, respectively, as of September 30, 2019.</w:t>
      </w:r>
    </w:p>
    <w:p w:rsidR="00000000" w:rsidRDefault="00795D39">
      <w:pPr>
        <w:ind w:hanging="360"/>
        <w:jc w:val="both"/>
        <w:divId w:val="105081004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The fair value of RMBS as of January 1, 2020 includes a cumulative adjustment of $4 million from t</w:t>
      </w:r>
      <w:r>
        <w:rPr>
          <w:rFonts w:eastAsia="Times New Roman"/>
          <w:color w:val="000000"/>
          <w:sz w:val="16"/>
          <w:szCs w:val="16"/>
        </w:rPr>
        <w:t>he adoption of the CECL standard.</w:t>
      </w:r>
    </w:p>
    <w:p w:rsidR="00000000" w:rsidRDefault="00795D39">
      <w:pPr>
        <w:jc w:val="both"/>
        <w:divId w:val="10500797"/>
        <w:rPr>
          <w:rFonts w:eastAsia="Times New Roman"/>
        </w:rPr>
      </w:pPr>
      <w:r>
        <w:rPr>
          <w:rFonts w:eastAsia="Times New Roman"/>
          <w:b/>
          <w:bCs/>
          <w:color w:val="000000"/>
          <w:sz w:val="20"/>
          <w:szCs w:val="20"/>
        </w:rPr>
        <w:t>Significant Level 3 Fair Value Asset and Liability Inputs</w:t>
      </w:r>
    </w:p>
    <w:p w:rsidR="00000000" w:rsidRDefault="00795D39">
      <w:pPr>
        <w:jc w:val="both"/>
        <w:divId w:val="2081126273"/>
        <w:rPr>
          <w:rFonts w:eastAsia="Times New Roman"/>
        </w:rPr>
      </w:pPr>
      <w:r>
        <w:rPr>
          <w:rFonts w:eastAsia="Times New Roman"/>
          <w:color w:val="000000"/>
          <w:sz w:val="20"/>
          <w:szCs w:val="20"/>
        </w:rPr>
        <w:t>Generally, uncertainties in fair value measurements of financial instruments, such as changes in unobservable inputs, may have a significant impact on fair value. C</w:t>
      </w:r>
      <w:r>
        <w:rPr>
          <w:rFonts w:eastAsia="Times New Roman"/>
          <w:color w:val="000000"/>
          <w:sz w:val="20"/>
          <w:szCs w:val="20"/>
        </w:rPr>
        <w:t>ertain of these unobservable inputs will, in isolation, have a directionally consistent impact on the fair value of the instrument for a given change in that input. Alternatively, the fair value of the instrument may move in an opposite direction for a giv</w:t>
      </w:r>
      <w:r>
        <w:rPr>
          <w:rFonts w:eastAsia="Times New Roman"/>
          <w:color w:val="000000"/>
          <w:sz w:val="20"/>
          <w:szCs w:val="20"/>
        </w:rPr>
        <w:t xml:space="preserve">en change in another input. In general, an increase in the discount rate, default rates, loss severity and credit spreads, in isolation, would result in a decrease in the fair value measurement. In addition, an increase in default rates would generally be </w:t>
      </w:r>
      <w:r>
        <w:rPr>
          <w:rFonts w:eastAsia="Times New Roman"/>
          <w:color w:val="000000"/>
          <w:sz w:val="20"/>
          <w:szCs w:val="20"/>
        </w:rPr>
        <w:t xml:space="preserve">accompanied by a decrease in recovery rates, slower prepayment rates and an increase in liquidity spreads. </w:t>
      </w:r>
    </w:p>
    <w:p w:rsidR="00000000" w:rsidRDefault="00795D39">
      <w:pPr>
        <w:jc w:val="both"/>
        <w:divId w:val="1094549091"/>
        <w:rPr>
          <w:rFonts w:eastAsia="Times New Roman"/>
        </w:rPr>
      </w:pPr>
      <w:r>
        <w:rPr>
          <w:rFonts w:eastAsia="Times New Roman"/>
          <w:b/>
          <w:bCs/>
          <w:color w:val="000000"/>
          <w:sz w:val="20"/>
          <w:szCs w:val="20"/>
        </w:rPr>
        <w:t>Techniques and Inputs for Level 3 Fair Value Measurements</w:t>
      </w:r>
    </w:p>
    <w:p w:rsidR="00000000" w:rsidRDefault="00795D39">
      <w:pPr>
        <w:jc w:val="both"/>
        <w:divId w:val="930897719"/>
        <w:rPr>
          <w:rFonts w:eastAsia="Times New Roman"/>
        </w:rPr>
      </w:pPr>
      <w:r>
        <w:rPr>
          <w:rFonts w:eastAsia="Times New Roman"/>
          <w:color w:val="000000"/>
          <w:sz w:val="20"/>
          <w:szCs w:val="20"/>
        </w:rPr>
        <w:t>The following table presents the significant unobservable inputs used to determine the fai</w:t>
      </w:r>
      <w:r>
        <w:rPr>
          <w:rFonts w:eastAsia="Times New Roman"/>
          <w:color w:val="000000"/>
          <w:sz w:val="20"/>
          <w:szCs w:val="20"/>
        </w:rPr>
        <w:t>r values of our Level 3 financial instruments on a recurring basis. We utilize multiple vendor pricing services to obtain fair value for our securities. Several of our vendor pricing services are only able to provide unobservable input information for a li</w:t>
      </w:r>
      <w:r>
        <w:rPr>
          <w:rFonts w:eastAsia="Times New Roman"/>
          <w:color w:val="000000"/>
          <w:sz w:val="20"/>
          <w:szCs w:val="20"/>
        </w:rPr>
        <w:t>mited number of securities due to software licensing restrictions. Other vendor pricing services are able to provide unobservable input information for all securities for which they provide a valuation. As a result, the unobservable input information for t</w:t>
      </w:r>
      <w:r>
        <w:rPr>
          <w:rFonts w:eastAsia="Times New Roman"/>
          <w:color w:val="000000"/>
          <w:sz w:val="20"/>
          <w:szCs w:val="20"/>
        </w:rPr>
        <w:t>he securities available for sale presented below represents a composite summary of all information we are able to obtain. The unobservable input information for all other Level 3 financial instruments is based on the assumptions used in our internal valuat</w:t>
      </w:r>
      <w:r>
        <w:rPr>
          <w:rFonts w:eastAsia="Times New Roman"/>
          <w:color w:val="000000"/>
          <w:sz w:val="20"/>
          <w:szCs w:val="20"/>
        </w:rPr>
        <w: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91201235"/>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91201235"/>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91201235"/>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5" style="width:0;height:1.5pt" o:hralign="center" o:hrstd="t" o:hr="t" fillcolor="#a0a0a0" stroked="f"/>
        </w:pict>
      </w:r>
    </w:p>
    <w:p w:rsidR="00000000" w:rsidRDefault="00795D39">
      <w:pPr>
        <w:jc w:val="both"/>
        <w:divId w:val="99703158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997031581"/>
        <w:rPr>
          <w:rFonts w:eastAsia="Times New Roman"/>
        </w:rPr>
      </w:pPr>
    </w:p>
    <w:p w:rsidR="00000000" w:rsidRDefault="00795D39">
      <w:pPr>
        <w:divId w:val="1922641431"/>
        <w:rPr>
          <w:rFonts w:eastAsia="Times New Roman"/>
        </w:rPr>
      </w:pPr>
      <w:r>
        <w:rPr>
          <w:rFonts w:eastAsia="Times New Roman"/>
          <w:b/>
          <w:bCs/>
          <w:color w:val="000000"/>
          <w:sz w:val="18"/>
          <w:szCs w:val="18"/>
        </w:rPr>
        <w:t>Table 11.3: Quantitative Information about Level 3 Fair Value Measurements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1"/>
        <w:gridCol w:w="713"/>
        <w:gridCol w:w="37"/>
        <w:gridCol w:w="36"/>
        <w:gridCol w:w="36"/>
        <w:gridCol w:w="36"/>
        <w:gridCol w:w="70"/>
        <w:gridCol w:w="1215"/>
        <w:gridCol w:w="36"/>
        <w:gridCol w:w="36"/>
        <w:gridCol w:w="36"/>
        <w:gridCol w:w="36"/>
        <w:gridCol w:w="92"/>
        <w:gridCol w:w="1984"/>
        <w:gridCol w:w="36"/>
        <w:gridCol w:w="36"/>
        <w:gridCol w:w="36"/>
        <w:gridCol w:w="36"/>
        <w:gridCol w:w="37"/>
        <w:gridCol w:w="799"/>
        <w:gridCol w:w="36"/>
        <w:gridCol w:w="36"/>
        <w:gridCol w:w="36"/>
        <w:gridCol w:w="36"/>
        <w:gridCol w:w="85"/>
        <w:gridCol w:w="633"/>
        <w:gridCol w:w="36"/>
      </w:tblGrid>
      <w:tr w:rsidR="00000000">
        <w:trPr>
          <w:divId w:val="682127308"/>
        </w:trPr>
        <w:tc>
          <w:tcPr>
            <w:tcW w:w="50" w:type="pct"/>
            <w:vAlign w:val="center"/>
            <w:hideMark/>
          </w:tcPr>
          <w:p w:rsidR="00000000" w:rsidRDefault="00795D39">
            <w:pPr>
              <w:rPr>
                <w:rFonts w:eastAsia="Times New Roman"/>
              </w:rPr>
            </w:pPr>
          </w:p>
        </w:tc>
        <w:tc>
          <w:tcPr>
            <w:tcW w:w="110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83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07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82127308"/>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Quantitative Information about Level 3 Fair Value Measurements</w:t>
            </w:r>
          </w:p>
        </w:tc>
      </w:tr>
      <w:tr w:rsidR="00000000">
        <w:trPr>
          <w:divId w:val="682127308"/>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September 30, </w:t>
            </w:r>
            <w:r>
              <w:rPr>
                <w:rFonts w:eastAsia="Times New Roman"/>
                <w:b/>
                <w:bCs/>
                <w:color w:val="000000"/>
                <w:sz w:val="16"/>
                <w:szCs w:val="16"/>
              </w:rPr>
              <w:b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Weighted</w:t>
            </w:r>
          </w:p>
          <w:p w:rsidR="00000000" w:rsidRDefault="00795D39">
            <w:pPr>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68212730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82127308"/>
        </w:trPr>
        <w:tc>
          <w:tcPr>
            <w:tcW w:w="0" w:type="auto"/>
            <w:gridSpan w:val="3"/>
            <w:shd w:val="clear" w:color="auto" w:fill="FFFFFF"/>
            <w:tcMar>
              <w:top w:w="30" w:type="dxa"/>
              <w:left w:w="135" w:type="dxa"/>
              <w:bottom w:w="30" w:type="dxa"/>
              <w:right w:w="20" w:type="dxa"/>
            </w:tcMa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rsidR="00000000" w:rsidRDefault="00795D39">
            <w:pPr>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divId w:val="992367425"/>
              <w:rPr>
                <w:rFonts w:eastAsia="Times New Roman"/>
              </w:rPr>
            </w:pPr>
            <w:r>
              <w:rPr>
                <w:rFonts w:eastAsia="Times New Roman"/>
                <w:b/>
                <w:bCs/>
                <w:color w:val="000000"/>
                <w:sz w:val="18"/>
                <w:szCs w:val="18"/>
              </w:rPr>
              <w:t>1-12%</w:t>
            </w:r>
          </w:p>
          <w:p w:rsidR="00000000" w:rsidRDefault="00795D39">
            <w:pPr>
              <w:divId w:val="2022272633"/>
              <w:rPr>
                <w:rFonts w:eastAsia="Times New Roman"/>
              </w:rPr>
            </w:pPr>
            <w:r>
              <w:rPr>
                <w:rFonts w:eastAsia="Times New Roman"/>
                <w:b/>
                <w:bCs/>
                <w:color w:val="000000"/>
                <w:sz w:val="18"/>
                <w:szCs w:val="18"/>
              </w:rPr>
              <w:t>5-15%</w:t>
            </w:r>
          </w:p>
          <w:p w:rsidR="00000000" w:rsidRDefault="00795D39">
            <w:pPr>
              <w:divId w:val="1164930543"/>
              <w:rPr>
                <w:rFonts w:eastAsia="Times New Roman"/>
              </w:rPr>
            </w:pPr>
            <w:r>
              <w:rPr>
                <w:rFonts w:eastAsia="Times New Roman"/>
                <w:b/>
                <w:bCs/>
                <w:color w:val="000000"/>
                <w:sz w:val="18"/>
                <w:szCs w:val="18"/>
              </w:rPr>
              <w:t>1-11%</w:t>
            </w:r>
          </w:p>
          <w:p w:rsidR="00000000" w:rsidRDefault="00795D39">
            <w:pPr>
              <w:divId w:val="515117770"/>
              <w:rPr>
                <w:rFonts w:eastAsia="Times New Roman"/>
              </w:rPr>
            </w:pPr>
            <w:r>
              <w:rPr>
                <w:rFonts w:eastAsia="Times New Roman"/>
                <w:b/>
                <w:bCs/>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divId w:val="1375042524"/>
              <w:rPr>
                <w:rFonts w:eastAsia="Times New Roman"/>
              </w:rPr>
            </w:pPr>
            <w:r>
              <w:rPr>
                <w:rFonts w:eastAsia="Times New Roman"/>
                <w:b/>
                <w:bCs/>
                <w:color w:val="000000"/>
                <w:sz w:val="18"/>
                <w:szCs w:val="18"/>
              </w:rPr>
              <w:t>3%</w:t>
            </w:r>
          </w:p>
          <w:p w:rsidR="00000000" w:rsidRDefault="00795D39">
            <w:pPr>
              <w:divId w:val="1485706322"/>
              <w:rPr>
                <w:rFonts w:eastAsia="Times New Roman"/>
              </w:rPr>
            </w:pPr>
            <w:r>
              <w:rPr>
                <w:rFonts w:eastAsia="Times New Roman"/>
                <w:b/>
                <w:bCs/>
                <w:color w:val="000000"/>
                <w:sz w:val="18"/>
                <w:szCs w:val="18"/>
              </w:rPr>
              <w:t>9%</w:t>
            </w:r>
          </w:p>
          <w:p w:rsidR="00000000" w:rsidRDefault="00795D39">
            <w:pPr>
              <w:divId w:val="307900222"/>
              <w:rPr>
                <w:rFonts w:eastAsia="Times New Roman"/>
              </w:rPr>
            </w:pPr>
            <w:r>
              <w:rPr>
                <w:rFonts w:eastAsia="Times New Roman"/>
                <w:b/>
                <w:bCs/>
                <w:color w:val="000000"/>
                <w:sz w:val="18"/>
                <w:szCs w:val="18"/>
              </w:rPr>
              <w:t>2%</w:t>
            </w:r>
          </w:p>
          <w:p w:rsidR="00000000" w:rsidRDefault="00795D39">
            <w:pPr>
              <w:divId w:val="1820608736"/>
              <w:rPr>
                <w:rFonts w:eastAsia="Times New Roman"/>
              </w:rPr>
            </w:pPr>
            <w:r>
              <w:rPr>
                <w:rFonts w:eastAsia="Times New Roman"/>
                <w:b/>
                <w:bCs/>
                <w:color w:val="000000"/>
                <w:sz w:val="18"/>
                <w:szCs w:val="18"/>
              </w:rPr>
              <w:t>68%</w:t>
            </w:r>
          </w:p>
        </w:tc>
      </w:tr>
      <w:tr w:rsidR="00000000">
        <w:trPr>
          <w:divId w:val="682127308"/>
        </w:trPr>
        <w:tc>
          <w:tcPr>
            <w:tcW w:w="0" w:type="auto"/>
            <w:gridSpan w:val="3"/>
            <w:shd w:val="clear" w:color="auto" w:fill="CCEEFF"/>
            <w:tcMar>
              <w:top w:w="30" w:type="dxa"/>
              <w:left w:w="135" w:type="dxa"/>
              <w:bottom w:w="30" w:type="dxa"/>
              <w:right w:w="20" w:type="dxa"/>
            </w:tcMar>
            <w:hideMark/>
          </w:tcPr>
          <w:p w:rsidR="00000000" w:rsidRDefault="00795D39">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95D39">
            <w:pPr>
              <w:jc w:val="right"/>
              <w:rPr>
                <w:rFonts w:eastAsia="Times New Roman"/>
              </w:rPr>
            </w:pPr>
            <w:r>
              <w:rPr>
                <w:rFonts w:eastAsia="Times New Roman"/>
                <w:b/>
                <w:bCs/>
                <w:color w:val="000000"/>
                <w:sz w:val="18"/>
                <w:szCs w:val="18"/>
              </w:rPr>
              <w:t>372</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divId w:val="1256552541"/>
              <w:rPr>
                <w:rFonts w:eastAsia="Times New Roman"/>
              </w:rPr>
            </w:pPr>
            <w:r>
              <w:rPr>
                <w:rFonts w:eastAsia="Times New Roman"/>
                <w:b/>
                <w:bCs/>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divId w:val="1000354505"/>
              <w:rPr>
                <w:rFonts w:eastAsia="Times New Roman"/>
              </w:rPr>
            </w:pPr>
            <w:r>
              <w:rPr>
                <w:rFonts w:eastAsia="Times New Roman"/>
                <w:b/>
                <w:bCs/>
                <w:color w:val="000000"/>
                <w:sz w:val="18"/>
                <w:szCs w:val="18"/>
              </w:rPr>
              <w:t>1%</w:t>
            </w:r>
          </w:p>
        </w:tc>
      </w:tr>
      <w:tr w:rsidR="00000000">
        <w:trPr>
          <w:divId w:val="682127308"/>
        </w:trPr>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82127308"/>
        </w:trPr>
        <w:tc>
          <w:tcPr>
            <w:tcW w:w="0" w:type="auto"/>
            <w:gridSpan w:val="3"/>
            <w:shd w:val="clear" w:color="auto" w:fill="CCEEFF"/>
            <w:tcMar>
              <w:top w:w="30" w:type="dxa"/>
              <w:left w:w="20" w:type="dxa"/>
              <w:bottom w:w="30" w:type="dxa"/>
              <w:right w:w="20" w:type="dxa"/>
            </w:tcMar>
            <w:hideMark/>
          </w:tcPr>
          <w:p w:rsidR="00000000" w:rsidRDefault="00795D39">
            <w:pPr>
              <w:divId w:val="1421372048"/>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95D39">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Life of </w:t>
            </w:r>
            <w:r>
              <w:rPr>
                <w:rFonts w:eastAsia="Times New Roman"/>
                <w:color w:val="000000"/>
                <w:sz w:val="18"/>
                <w:szCs w:val="18"/>
              </w:rPr>
              <w:t>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divId w:val="1214195805"/>
              <w:rPr>
                <w:rFonts w:eastAsia="Times New Roman"/>
              </w:rPr>
            </w:pPr>
            <w:r>
              <w:rPr>
                <w:rFonts w:eastAsia="Times New Roman"/>
                <w:b/>
                <w:bCs/>
                <w:color w:val="000000"/>
                <w:sz w:val="18"/>
                <w:szCs w:val="18"/>
              </w:rPr>
              <w:t>36-52</w:t>
            </w:r>
          </w:p>
          <w:p w:rsidR="00000000" w:rsidRDefault="00795D39">
            <w:pPr>
              <w:divId w:val="180777171"/>
              <w:rPr>
                <w:rFonts w:eastAsia="Times New Roman"/>
              </w:rPr>
            </w:pPr>
            <w:r>
              <w:rPr>
                <w:rFonts w:eastAsia="Times New Roman"/>
                <w:b/>
                <w:bCs/>
                <w:color w:val="000000"/>
                <w:sz w:val="18"/>
                <w:szCs w:val="18"/>
              </w:rPr>
              <w:t>3-13%</w:t>
            </w:r>
          </w:p>
          <w:p w:rsidR="00000000" w:rsidRDefault="00795D39">
            <w:pPr>
              <w:divId w:val="5138937"/>
              <w:rPr>
                <w:rFonts w:eastAsia="Times New Roman"/>
              </w:rPr>
            </w:pPr>
            <w:r>
              <w:rPr>
                <w:rFonts w:eastAsia="Times New Roman"/>
                <w:b/>
                <w:bCs/>
                <w:color w:val="000000"/>
                <w:sz w:val="18"/>
                <w:szCs w:val="18"/>
              </w:rPr>
              <w:t>2-12%</w:t>
            </w:r>
          </w:p>
          <w:p w:rsidR="00000000" w:rsidRDefault="00795D39">
            <w:pPr>
              <w:divId w:val="440035725"/>
              <w:rPr>
                <w:rFonts w:eastAsia="Times New Roman"/>
              </w:rPr>
            </w:pPr>
            <w:r>
              <w:rPr>
                <w:rFonts w:eastAsia="Times New Roman"/>
                <w:b/>
                <w:bCs/>
                <w:color w:val="000000"/>
                <w:sz w:val="18"/>
                <w:szCs w:val="18"/>
              </w:rPr>
              <w:t>3%</w:t>
            </w:r>
          </w:p>
          <w:p w:rsidR="00000000" w:rsidRDefault="00795D39">
            <w:pPr>
              <w:divId w:val="1994750749"/>
              <w:rPr>
                <w:rFonts w:eastAsia="Times New Roman"/>
              </w:rPr>
            </w:pPr>
            <w:r>
              <w:rPr>
                <w:rFonts w:eastAsia="Times New Roman"/>
                <w:b/>
                <w:bCs/>
                <w:color w:val="000000"/>
                <w:sz w:val="18"/>
                <w:szCs w:val="18"/>
              </w:rPr>
              <w:t>64-70%</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N/A</w:t>
            </w:r>
          </w:p>
        </w:tc>
      </w:tr>
      <w:tr w:rsidR="00000000">
        <w:trPr>
          <w:divId w:val="682127308"/>
        </w:trPr>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95D39">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b/>
                <w:bCs/>
                <w:color w:val="000000"/>
                <w:sz w:val="18"/>
                <w:szCs w:val="18"/>
              </w:rPr>
              <w:t>1%</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tc>
          <w:tcPr>
            <w:tcW w:w="50" w:type="pct"/>
            <w:vAlign w:val="center"/>
            <w:hideMark/>
          </w:tcPr>
          <w:p w:rsidR="00000000" w:rsidRDefault="00795D39">
            <w:pPr>
              <w:rPr>
                <w:rFonts w:eastAsia="Times New Roman"/>
              </w:rPr>
            </w:pPr>
          </w:p>
        </w:tc>
        <w:tc>
          <w:tcPr>
            <w:tcW w:w="110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0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83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07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8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7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Quantitative Information about Level 3 Fair Value Measurements</w:t>
            </w:r>
          </w:p>
        </w:tc>
      </w:tr>
      <w:tr w:rsidR="00000000">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Weighted</w:t>
            </w:r>
          </w:p>
          <w:p w:rsidR="00000000" w:rsidRDefault="00795D39">
            <w:pPr>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hideMark/>
          </w:tcPr>
          <w:p w:rsidR="00000000" w:rsidRDefault="00795D39">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795D39">
            <w:pPr>
              <w:jc w:val="right"/>
              <w:rPr>
                <w:rFonts w:eastAsia="Times New Roman"/>
              </w:rPr>
            </w:pPr>
            <w:r>
              <w:rPr>
                <w:rFonts w:eastAsia="Times New Roman"/>
                <w:color w:val="000000"/>
                <w:sz w:val="18"/>
                <w:szCs w:val="18"/>
              </w:rPr>
              <w:t>429 </w:t>
            </w:r>
          </w:p>
        </w:tc>
        <w:tc>
          <w:tcPr>
            <w:tcW w:w="0" w:type="auto"/>
            <w:shd w:val="clear" w:color="auto" w:fill="FFFFFF"/>
            <w:tcMar>
              <w:top w:w="30" w:type="dxa"/>
              <w:left w:w="0" w:type="dxa"/>
              <w:bottom w:w="30" w:type="dxa"/>
              <w:right w:w="20" w:type="dxa"/>
            </w:tcMa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Yield</w:t>
            </w:r>
            <w:r>
              <w:rPr>
                <w:rFonts w:eastAsia="Times New Roman"/>
                <w:color w:val="000000"/>
                <w:sz w:val="18"/>
                <w:szCs w:val="18"/>
              </w:rPr>
              <w:br/>
              <w:t>Voluntary </w:t>
            </w:r>
            <w:r>
              <w:rPr>
                <w:rFonts w:eastAsia="Times New Roman"/>
                <w:color w:val="000000"/>
                <w:sz w:val="18"/>
                <w:szCs w:val="18"/>
              </w:rPr>
              <w:t>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divId w:val="56824089"/>
              <w:rPr>
                <w:rFonts w:eastAsia="Times New Roman"/>
              </w:rPr>
            </w:pPr>
            <w:r>
              <w:rPr>
                <w:rFonts w:eastAsia="Times New Roman"/>
                <w:color w:val="000000"/>
                <w:sz w:val="18"/>
                <w:szCs w:val="18"/>
              </w:rPr>
              <w:t>2-18%</w:t>
            </w:r>
          </w:p>
          <w:p w:rsidR="00000000" w:rsidRDefault="00795D39">
            <w:pPr>
              <w:divId w:val="2127044283"/>
              <w:rPr>
                <w:rFonts w:eastAsia="Times New Roman"/>
              </w:rPr>
            </w:pPr>
            <w:r>
              <w:rPr>
                <w:rFonts w:eastAsia="Times New Roman"/>
                <w:color w:val="000000"/>
                <w:sz w:val="18"/>
                <w:szCs w:val="18"/>
              </w:rPr>
              <w:t>0-18%</w:t>
            </w:r>
          </w:p>
          <w:p w:rsidR="00000000" w:rsidRDefault="00795D39">
            <w:pPr>
              <w:divId w:val="156042186"/>
              <w:rPr>
                <w:rFonts w:eastAsia="Times New Roman"/>
              </w:rPr>
            </w:pPr>
            <w:r>
              <w:rPr>
                <w:rFonts w:eastAsia="Times New Roman"/>
                <w:color w:val="000000"/>
                <w:sz w:val="18"/>
                <w:szCs w:val="18"/>
              </w:rPr>
              <w:t>1-6%</w:t>
            </w:r>
          </w:p>
          <w:p w:rsidR="00000000" w:rsidRDefault="00795D39">
            <w:pPr>
              <w:divId w:val="1964075171"/>
              <w:rPr>
                <w:rFonts w:eastAsia="Times New Roman"/>
              </w:rPr>
            </w:pPr>
            <w:r>
              <w:rPr>
                <w:rFonts w:eastAsia="Times New Roman"/>
                <w:color w:val="000000"/>
                <w:sz w:val="18"/>
                <w:szCs w:val="18"/>
              </w:rPr>
              <w:t>30-95%</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divId w:val="1615673351"/>
              <w:rPr>
                <w:rFonts w:eastAsia="Times New Roman"/>
              </w:rPr>
            </w:pPr>
            <w:r>
              <w:rPr>
                <w:rFonts w:eastAsia="Times New Roman"/>
                <w:color w:val="000000"/>
                <w:sz w:val="18"/>
                <w:szCs w:val="18"/>
              </w:rPr>
              <w:t>5%</w:t>
            </w:r>
          </w:p>
          <w:p w:rsidR="00000000" w:rsidRDefault="00795D39">
            <w:pPr>
              <w:divId w:val="1887983218"/>
              <w:rPr>
                <w:rFonts w:eastAsia="Times New Roman"/>
              </w:rPr>
            </w:pPr>
            <w:r>
              <w:rPr>
                <w:rFonts w:eastAsia="Times New Roman"/>
                <w:color w:val="000000"/>
                <w:sz w:val="18"/>
                <w:szCs w:val="18"/>
              </w:rPr>
              <w:t>10%</w:t>
            </w:r>
          </w:p>
          <w:p w:rsidR="00000000" w:rsidRDefault="00795D39">
            <w:pPr>
              <w:divId w:val="2118207254"/>
              <w:rPr>
                <w:rFonts w:eastAsia="Times New Roman"/>
              </w:rPr>
            </w:pPr>
            <w:r>
              <w:rPr>
                <w:rFonts w:eastAsia="Times New Roman"/>
                <w:color w:val="000000"/>
                <w:sz w:val="18"/>
                <w:szCs w:val="18"/>
              </w:rPr>
              <w:t>2%</w:t>
            </w:r>
          </w:p>
          <w:p w:rsidR="00000000" w:rsidRDefault="00795D39">
            <w:pPr>
              <w:divId w:val="1046221846"/>
              <w:rPr>
                <w:rFonts w:eastAsia="Times New Roman"/>
              </w:rPr>
            </w:pPr>
            <w:r>
              <w:rPr>
                <w:rFonts w:eastAsia="Times New Roman"/>
                <w:color w:val="000000"/>
                <w:sz w:val="18"/>
                <w:szCs w:val="18"/>
              </w:rPr>
              <w:t>67%</w:t>
            </w:r>
          </w:p>
        </w:tc>
      </w:tr>
      <w:tr w:rsidR="00000000">
        <w:tc>
          <w:tcPr>
            <w:tcW w:w="0" w:type="auto"/>
            <w:gridSpan w:val="3"/>
            <w:shd w:val="clear" w:color="auto" w:fill="CCEEFF"/>
            <w:tcMar>
              <w:top w:w="30" w:type="dxa"/>
              <w:left w:w="135" w:type="dxa"/>
              <w:bottom w:w="30" w:type="dxa"/>
              <w:right w:w="20" w:type="dxa"/>
            </w:tcMar>
            <w:hideMark/>
          </w:tcPr>
          <w:p w:rsidR="00000000" w:rsidRDefault="00795D39">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95D3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divId w:val="192807113"/>
              <w:rPr>
                <w:rFonts w:eastAsia="Times New Roman"/>
              </w:rPr>
            </w:pPr>
            <w:r>
              <w:rPr>
                <w:rFonts w:eastAsia="Times New Roman"/>
                <w:color w:val="000000"/>
                <w:sz w:val="18"/>
                <w:szCs w:val="18"/>
              </w:rPr>
              <w:t>2-3%</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2%</w:t>
            </w:r>
          </w:p>
        </w:tc>
      </w:tr>
      <w:tr w:rsidR="00000000">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795D39">
            <w:pPr>
              <w:divId w:val="654987864"/>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95D39">
            <w:pPr>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95D39">
            <w:pPr>
              <w:divId w:val="412095576"/>
              <w:rPr>
                <w:rFonts w:eastAsia="Times New Roman"/>
              </w:rPr>
            </w:pPr>
            <w:r>
              <w:rPr>
                <w:rFonts w:eastAsia="Times New Roman"/>
                <w:color w:val="000000"/>
                <w:sz w:val="18"/>
                <w:szCs w:val="18"/>
              </w:rPr>
              <w:t>35-51</w:t>
            </w:r>
          </w:p>
          <w:p w:rsidR="00000000" w:rsidRDefault="00795D39">
            <w:pPr>
              <w:divId w:val="1867938461"/>
              <w:rPr>
                <w:rFonts w:eastAsia="Times New Roman"/>
              </w:rPr>
            </w:pPr>
            <w:r>
              <w:rPr>
                <w:rFonts w:eastAsia="Times New Roman"/>
                <w:color w:val="000000"/>
                <w:sz w:val="18"/>
                <w:szCs w:val="18"/>
              </w:rPr>
              <w:t>4-14%</w:t>
            </w:r>
          </w:p>
          <w:p w:rsidR="00000000" w:rsidRDefault="00795D39">
            <w:pPr>
              <w:divId w:val="2141797669"/>
              <w:rPr>
                <w:rFonts w:eastAsia="Times New Roman"/>
              </w:rPr>
            </w:pPr>
            <w:r>
              <w:rPr>
                <w:rFonts w:eastAsia="Times New Roman"/>
                <w:color w:val="000000"/>
                <w:sz w:val="18"/>
                <w:szCs w:val="18"/>
              </w:rPr>
              <w:t>3-10%</w:t>
            </w:r>
          </w:p>
          <w:p w:rsidR="00000000" w:rsidRDefault="00795D39">
            <w:pPr>
              <w:divId w:val="1348405429"/>
              <w:rPr>
                <w:rFonts w:eastAsia="Times New Roman"/>
              </w:rPr>
            </w:pPr>
            <w:r>
              <w:rPr>
                <w:rFonts w:eastAsia="Times New Roman"/>
                <w:color w:val="000000"/>
                <w:sz w:val="18"/>
                <w:szCs w:val="18"/>
              </w:rPr>
              <w:t>2-3%</w:t>
            </w:r>
          </w:p>
          <w:p w:rsidR="00000000" w:rsidRDefault="00795D39">
            <w:pPr>
              <w:divId w:val="115880122"/>
              <w:rPr>
                <w:rFonts w:eastAsia="Times New Roman"/>
              </w:rPr>
            </w:pPr>
            <w:r>
              <w:rPr>
                <w:rFonts w:eastAsia="Times New Roman"/>
                <w:color w:val="000000"/>
                <w:sz w:val="18"/>
                <w:szCs w:val="18"/>
              </w:rPr>
              <w:t>74-88%</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N/A</w:t>
            </w:r>
          </w:p>
        </w:tc>
      </w:tr>
      <w:tr w:rsidR="00000000">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95D39">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2%</w:t>
            </w:r>
          </w:p>
        </w:tc>
      </w:tr>
    </w:tbl>
    <w:p w:rsidR="00000000" w:rsidRDefault="00795D39">
      <w:pPr>
        <w:divId w:val="604310065"/>
        <w:rPr>
          <w:rFonts w:eastAsia="Times New Roman"/>
        </w:rPr>
      </w:pPr>
      <w:r>
        <w:rPr>
          <w:rFonts w:eastAsia="Times New Roman"/>
          <w:color w:val="000000"/>
          <w:sz w:val="20"/>
          <w:szCs w:val="20"/>
        </w:rPr>
        <w:t>__________</w:t>
      </w:r>
    </w:p>
    <w:p w:rsidR="00000000" w:rsidRDefault="00795D39">
      <w:pPr>
        <w:ind w:hanging="360"/>
        <w:jc w:val="both"/>
        <w:divId w:val="21297378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rsidR="00000000" w:rsidRDefault="00795D39">
      <w:pPr>
        <w:ind w:hanging="360"/>
        <w:jc w:val="both"/>
        <w:divId w:val="204624677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the nature of the various mortgage securitization structures in which we have retained interests, it is not meaningful to present a consolidated weighted average for the significant unobservable inputs.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09251802"/>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0925180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0925180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6" style="width:0;height:1.5pt" o:hralign="center" o:hrstd="t" o:hr="t" fillcolor="#a0a0a0" stroked="f"/>
        </w:pict>
      </w:r>
    </w:p>
    <w:p w:rsidR="00000000" w:rsidRDefault="00795D39">
      <w:pPr>
        <w:jc w:val="both"/>
        <w:divId w:val="25062779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250627799"/>
        <w:rPr>
          <w:rFonts w:eastAsia="Times New Roman"/>
        </w:rPr>
      </w:pPr>
    </w:p>
    <w:p w:rsidR="00000000" w:rsidRDefault="00795D39">
      <w:pPr>
        <w:divId w:val="848711847"/>
        <w:rPr>
          <w:rFonts w:eastAsia="Times New Roman"/>
        </w:rPr>
      </w:pPr>
      <w:r>
        <w:rPr>
          <w:rFonts w:eastAsia="Times New Roman"/>
          <w:b/>
          <w:bCs/>
          <w:color w:val="000000"/>
          <w:sz w:val="20"/>
          <w:szCs w:val="20"/>
        </w:rPr>
        <w:t>Assets and Liabilities Measured at Fair Value on a Nonrecurring Basis</w:t>
      </w:r>
    </w:p>
    <w:p w:rsidR="00000000" w:rsidRDefault="00795D39">
      <w:pPr>
        <w:jc w:val="both"/>
        <w:divId w:val="1191649142"/>
        <w:rPr>
          <w:rFonts w:eastAsia="Times New Roman"/>
        </w:rPr>
      </w:pPr>
      <w:r>
        <w:rPr>
          <w:rFonts w:eastAsia="Times New Roman"/>
          <w:color w:val="000000"/>
          <w:sz w:val="20"/>
          <w:szCs w:val="20"/>
        </w:rPr>
        <w:t>We are required to measure and recognize certain assets at fair value on a nonrecurring basis on the consolidated balance sheets. These assets are not measured at fair value on an ongoin</w:t>
      </w:r>
      <w:r>
        <w:rPr>
          <w:rFonts w:eastAsia="Times New Roman"/>
          <w:color w:val="000000"/>
          <w:sz w:val="20"/>
          <w:szCs w:val="20"/>
        </w:rPr>
        <w:t>g basis but are subject to fair value adjustments in certain circumstances (for example, from the application of lower of cost or fair value accounting or when we evaluate for impairment).</w:t>
      </w:r>
    </w:p>
    <w:p w:rsidR="00000000" w:rsidRDefault="00795D39">
      <w:pPr>
        <w:jc w:val="both"/>
        <w:divId w:val="81489106"/>
        <w:rPr>
          <w:rFonts w:eastAsia="Times New Roman"/>
        </w:rPr>
      </w:pPr>
      <w:r>
        <w:rPr>
          <w:rFonts w:eastAsia="Times New Roman"/>
          <w:color w:val="000000"/>
          <w:sz w:val="20"/>
          <w:szCs w:val="20"/>
        </w:rPr>
        <w:t>The following table presents the carrying value of the assets measu</w:t>
      </w:r>
      <w:r>
        <w:rPr>
          <w:rFonts w:eastAsia="Times New Roman"/>
          <w:color w:val="000000"/>
          <w:sz w:val="20"/>
          <w:szCs w:val="20"/>
        </w:rPr>
        <w:t>red at fair value on a nonrecurring basis and still held as of September 30, 2020 and December 31, 2019, and for which a nonrecurring fair value measurement was recorded during the nine and twelve months then ended.</w:t>
      </w:r>
    </w:p>
    <w:p w:rsidR="00000000" w:rsidRDefault="00795D39">
      <w:pPr>
        <w:divId w:val="1825126232"/>
        <w:rPr>
          <w:rFonts w:eastAsia="Times New Roman"/>
        </w:rPr>
      </w:pPr>
      <w:r>
        <w:rPr>
          <w:rFonts w:eastAsia="Times New Roman"/>
          <w:b/>
          <w:bCs/>
          <w:color w:val="000000"/>
          <w:sz w:val="18"/>
          <w:szCs w:val="18"/>
        </w:rPr>
        <w:t>Table 11.4: Nonrecurring Fair Value Meas</w:t>
      </w:r>
      <w:r>
        <w:rPr>
          <w:rFonts w:eastAsia="Times New Roman"/>
          <w:b/>
          <w:bCs/>
          <w:color w:val="000000"/>
          <w:sz w:val="18"/>
          <w:szCs w:val="18"/>
        </w:rPr>
        <w:t>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trPr>
          <w:divId w:val="1256402979"/>
        </w:trPr>
        <w:tc>
          <w:tcPr>
            <w:tcW w:w="50" w:type="pct"/>
            <w:vAlign w:val="center"/>
            <w:hideMark/>
          </w:tcPr>
          <w:p w:rsidR="00000000" w:rsidRDefault="00795D39">
            <w:pPr>
              <w:rPr>
                <w:rFonts w:eastAsia="Times New Roman"/>
              </w:rPr>
            </w:pPr>
          </w:p>
        </w:tc>
        <w:tc>
          <w:tcPr>
            <w:tcW w:w="366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5640297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1256402979"/>
          <w:trHeight w:val="36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divId w:val="1256402979"/>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795D39">
            <w:pPr>
              <w:rPr>
                <w:rFonts w:eastAsia="Times New Roman"/>
              </w:rPr>
            </w:pPr>
          </w:p>
        </w:tc>
      </w:tr>
      <w:tr w:rsidR="00000000">
        <w:trPr>
          <w:divId w:val="12564029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56402979"/>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256402979"/>
        </w:trPr>
        <w:tc>
          <w:tcPr>
            <w:tcW w:w="0" w:type="auto"/>
            <w:gridSpan w:val="3"/>
            <w:shd w:val="clear" w:color="auto" w:fill="FFFFFF"/>
            <w:tcMar>
              <w:top w:w="30" w:type="dxa"/>
              <w:left w:w="20" w:type="dxa"/>
              <w:bottom w:w="30" w:type="dxa"/>
              <w:right w:w="20" w:type="dxa"/>
            </w:tcMar>
            <w:vAlign w:val="center"/>
            <w:hideMark/>
          </w:tcPr>
          <w:p w:rsidR="00000000" w:rsidRDefault="00795D39">
            <w:pPr>
              <w:divId w:val="1254322206"/>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5640297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tc>
          <w:tcPr>
            <w:tcW w:w="50" w:type="pct"/>
            <w:vAlign w:val="center"/>
            <w:hideMark/>
          </w:tcPr>
          <w:p w:rsidR="00000000" w:rsidRDefault="00795D39">
            <w:pPr>
              <w:rPr>
                <w:rFonts w:eastAsia="Times New Roman"/>
              </w:rPr>
            </w:pPr>
          </w:p>
        </w:tc>
        <w:tc>
          <w:tcPr>
            <w:tcW w:w="366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trHeight w:val="36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w:t>
            </w:r>
          </w:p>
        </w:tc>
      </w:tr>
      <w:tr w:rsidR="00000000">
        <w:trPr>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795D39">
            <w:pPr>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divId w:val="1202399932"/>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814446753"/>
        <w:rPr>
          <w:rFonts w:eastAsia="Times New Roman"/>
        </w:rPr>
      </w:pPr>
      <w:r>
        <w:rPr>
          <w:rFonts w:eastAsia="Times New Roman"/>
          <w:color w:val="000000"/>
          <w:sz w:val="20"/>
          <w:szCs w:val="20"/>
        </w:rPr>
        <w:t>__________</w:t>
      </w:r>
    </w:p>
    <w:p w:rsidR="00000000" w:rsidRDefault="00795D39">
      <w:pPr>
        <w:ind w:hanging="360"/>
        <w:jc w:val="both"/>
        <w:divId w:val="1648976463"/>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As of September 30, 2020, other assets included equity investments accounted for under the measurement alternative of </w:t>
      </w:r>
      <w:r>
        <w:rPr>
          <w:rFonts w:eastAsia="Times New Roman"/>
          <w:color w:val="000000"/>
          <w:sz w:val="16"/>
          <w:szCs w:val="16"/>
        </w:rPr>
        <w:t>$14 million</w:t>
      </w:r>
      <w:r>
        <w:rPr>
          <w:rFonts w:eastAsia="Times New Roman"/>
          <w:color w:val="000000"/>
          <w:sz w:val="16"/>
          <w:szCs w:val="16"/>
          <w:shd w:val="clear" w:color="auto" w:fill="FFFFFF"/>
        </w:rPr>
        <w:t>, repossessed assets of $35 million and long-lived assets held for sale of $6 million. As of December 31, 2019, other assets in</w:t>
      </w:r>
      <w:r>
        <w:rPr>
          <w:rFonts w:eastAsia="Times New Roman"/>
          <w:color w:val="000000"/>
          <w:sz w:val="16"/>
          <w:szCs w:val="16"/>
          <w:shd w:val="clear" w:color="auto" w:fill="FFFFFF"/>
        </w:rPr>
        <w:t>cluded equity investments accounted for under the measurement alternative of $5 million, repossessed assets of $61 million and long-lived assets held for sale of $37 million.</w:t>
      </w:r>
    </w:p>
    <w:p w:rsidR="00000000" w:rsidRDefault="00795D39">
      <w:pPr>
        <w:jc w:val="both"/>
        <w:divId w:val="276184174"/>
        <w:rPr>
          <w:rFonts w:eastAsia="Times New Roman"/>
        </w:rPr>
      </w:pPr>
      <w:r>
        <w:rPr>
          <w:rFonts w:eastAsia="Times New Roman"/>
          <w:color w:val="000000"/>
          <w:sz w:val="20"/>
          <w:szCs w:val="20"/>
          <w:shd w:val="clear" w:color="auto" w:fill="FFFFFF"/>
        </w:rPr>
        <w:t xml:space="preserve">In the above table, loans held for investment are generally valued based in part </w:t>
      </w:r>
      <w:r>
        <w:rPr>
          <w:rFonts w:eastAsia="Times New Roman"/>
          <w:color w:val="000000"/>
          <w:sz w:val="20"/>
          <w:szCs w:val="20"/>
          <w:shd w:val="clear" w:color="auto" w:fill="FFFFFF"/>
        </w:rPr>
        <w:t>on the estimated fair value of the underlying collateral and the non-recoverable rate, which is considered to be a significant unobservable input. The non-recoverable rate ranged from</w:t>
      </w:r>
      <w:r>
        <w:rPr>
          <w:rFonts w:eastAsia="Times New Roman"/>
          <w:color w:val="000000"/>
          <w:sz w:val="20"/>
          <w:szCs w:val="20"/>
        </w:rPr>
        <w:t xml:space="preserve"> 0% to 39%, </w:t>
      </w:r>
      <w:r>
        <w:rPr>
          <w:rFonts w:eastAsia="Times New Roman"/>
          <w:color w:val="000000"/>
          <w:sz w:val="20"/>
          <w:szCs w:val="20"/>
          <w:shd w:val="clear" w:color="auto" w:fill="FFFFFF"/>
        </w:rPr>
        <w:t xml:space="preserve">with a weighted average </w:t>
      </w:r>
      <w:r>
        <w:rPr>
          <w:rFonts w:eastAsia="Times New Roman"/>
          <w:color w:val="000000"/>
          <w:sz w:val="20"/>
          <w:szCs w:val="20"/>
        </w:rPr>
        <w:t xml:space="preserve">of 3%, </w:t>
      </w:r>
      <w:r>
        <w:rPr>
          <w:rFonts w:eastAsia="Times New Roman"/>
          <w:color w:val="000000"/>
          <w:sz w:val="20"/>
          <w:szCs w:val="20"/>
          <w:shd w:val="clear" w:color="auto" w:fill="FFFFFF"/>
        </w:rPr>
        <w:t>and from 0% to 50%, with a wei</w:t>
      </w:r>
      <w:r>
        <w:rPr>
          <w:rFonts w:eastAsia="Times New Roman"/>
          <w:color w:val="000000"/>
          <w:sz w:val="20"/>
          <w:szCs w:val="20"/>
          <w:shd w:val="clear" w:color="auto" w:fill="FFFFFF"/>
        </w:rPr>
        <w:t>ghted average of 6%, as of September 30, 2020 and December 31, 2019, respectively. The weighted average non-recoverable rate is calculated based on the estimated market value of the underlying collateral. The significant unobservable inputs and related qua</w:t>
      </w:r>
      <w:r>
        <w:rPr>
          <w:rFonts w:eastAsia="Times New Roman"/>
          <w:color w:val="000000"/>
          <w:sz w:val="20"/>
          <w:szCs w:val="20"/>
          <w:shd w:val="clear" w:color="auto" w:fill="FFFFFF"/>
        </w:rPr>
        <w:t>ntitative information related to fair value of the other assets are not meaningful to disclose as they vary significantly across properties and collateral.</w:t>
      </w:r>
    </w:p>
    <w:p w:rsidR="00000000" w:rsidRDefault="00795D39">
      <w:pPr>
        <w:jc w:val="both"/>
        <w:divId w:val="1747872934"/>
        <w:rPr>
          <w:rFonts w:eastAsia="Times New Roman"/>
        </w:rPr>
      </w:pPr>
      <w:r>
        <w:rPr>
          <w:rFonts w:eastAsia="Times New Roman"/>
          <w:color w:val="000000"/>
          <w:sz w:val="20"/>
          <w:szCs w:val="20"/>
        </w:rPr>
        <w:t xml:space="preserve">The following table presents total nonrecurring fair value measurements for the period, included in </w:t>
      </w:r>
      <w:r>
        <w:rPr>
          <w:rFonts w:eastAsia="Times New Roman"/>
          <w:color w:val="000000"/>
          <w:sz w:val="20"/>
          <w:szCs w:val="20"/>
        </w:rPr>
        <w:t>earnings, attributable to the change in fair value relating to assets that are still held at September 30, 2020 and 2019.</w:t>
      </w:r>
    </w:p>
    <w:p w:rsidR="00000000" w:rsidRDefault="00795D39">
      <w:pPr>
        <w:divId w:val="1466968260"/>
        <w:rPr>
          <w:rFonts w:eastAsia="Times New Roman"/>
        </w:rPr>
      </w:pPr>
      <w:r>
        <w:rPr>
          <w:rFonts w:eastAsia="Times New Roman"/>
          <w:b/>
          <w:bCs/>
          <w:color w:val="000000"/>
          <w:sz w:val="18"/>
          <w:szCs w:val="18"/>
        </w:rPr>
        <w:t>Table 11.5: Nonrecurring Fair Value Measurements Included in Earnings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trPr>
          <w:divId w:val="1916282023"/>
        </w:trPr>
        <w:tc>
          <w:tcPr>
            <w:tcW w:w="50" w:type="pct"/>
            <w:vAlign w:val="center"/>
            <w:hideMark/>
          </w:tcPr>
          <w:p w:rsidR="00000000" w:rsidRDefault="00795D39">
            <w:pPr>
              <w:rPr>
                <w:rFonts w:eastAsia="Times New Roman"/>
              </w:rPr>
            </w:pPr>
          </w:p>
        </w:tc>
        <w:tc>
          <w:tcPr>
            <w:tcW w:w="354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1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61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16282023"/>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Total Gains (Losses)</w:t>
            </w:r>
          </w:p>
        </w:tc>
      </w:tr>
      <w:tr w:rsidR="00000000">
        <w:trPr>
          <w:divId w:val="1916282023"/>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w:t>
            </w:r>
          </w:p>
        </w:tc>
      </w:tr>
      <w:tr w:rsidR="00000000">
        <w:trPr>
          <w:divId w:val="191628202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2019</w:t>
            </w:r>
          </w:p>
        </w:tc>
      </w:tr>
      <w:tr w:rsidR="00000000">
        <w:trPr>
          <w:divId w:val="191628202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6282023"/>
        </w:trPr>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sale</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6282023"/>
        </w:trPr>
        <w:tc>
          <w:tcPr>
            <w:tcW w:w="0" w:type="auto"/>
            <w:gridSpan w:val="3"/>
            <w:shd w:val="clear" w:color="auto" w:fill="CCEEFF"/>
            <w:tcMar>
              <w:top w:w="30" w:type="dxa"/>
              <w:left w:w="20" w:type="dxa"/>
              <w:bottom w:w="30" w:type="dxa"/>
              <w:right w:w="20" w:type="dxa"/>
            </w:tcMar>
            <w:vAlign w:val="center"/>
            <w:hideMark/>
          </w:tcPr>
          <w:p w:rsidR="00000000" w:rsidRDefault="00795D39">
            <w:pPr>
              <w:divId w:val="197470038"/>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91628202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624897303"/>
        <w:rPr>
          <w:rFonts w:eastAsia="Times New Roman"/>
        </w:rPr>
      </w:pPr>
      <w:r>
        <w:rPr>
          <w:rFonts w:eastAsia="Times New Roman"/>
          <w:color w:val="000000"/>
          <w:sz w:val="20"/>
          <w:szCs w:val="20"/>
        </w:rPr>
        <w:t>__________</w:t>
      </w:r>
    </w:p>
    <w:p w:rsidR="00000000" w:rsidRDefault="00795D39">
      <w:pPr>
        <w:ind w:hanging="360"/>
        <w:jc w:val="both"/>
        <w:divId w:val="153703946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equity investments accounted for under the </w:t>
      </w:r>
      <w:r>
        <w:rPr>
          <w:rFonts w:eastAsia="Times New Roman"/>
          <w:color w:val="000000"/>
          <w:sz w:val="16"/>
          <w:szCs w:val="16"/>
          <w:shd w:val="clear" w:color="auto" w:fill="FFFFFF"/>
        </w:rPr>
        <w:t>measurement alternative.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821512"/>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821512"/>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821512"/>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7" style="width:0;height:1.5pt" o:hralign="center" o:hrstd="t" o:hr="t" fillcolor="#a0a0a0" stroked="f"/>
        </w:pict>
      </w:r>
    </w:p>
    <w:p w:rsidR="00000000" w:rsidRDefault="00795D39">
      <w:pPr>
        <w:jc w:val="both"/>
        <w:divId w:val="76915838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769158389"/>
        <w:rPr>
          <w:rFonts w:eastAsia="Times New Roman"/>
        </w:rPr>
      </w:pPr>
    </w:p>
    <w:p w:rsidR="00000000" w:rsidRDefault="00795D39">
      <w:pPr>
        <w:divId w:val="659507817"/>
        <w:rPr>
          <w:rFonts w:eastAsia="Times New Roman"/>
        </w:rPr>
      </w:pPr>
      <w:r>
        <w:rPr>
          <w:rFonts w:eastAsia="Times New Roman"/>
          <w:b/>
          <w:bCs/>
          <w:color w:val="000000"/>
          <w:sz w:val="20"/>
          <w:szCs w:val="20"/>
        </w:rPr>
        <w:t>Fair Value of Financial Instruments</w:t>
      </w:r>
    </w:p>
    <w:p w:rsidR="00000000" w:rsidRDefault="00795D39">
      <w:pPr>
        <w:jc w:val="both"/>
        <w:divId w:val="878394333"/>
        <w:rPr>
          <w:rFonts w:eastAsia="Times New Roman"/>
        </w:rPr>
      </w:pPr>
      <w:r>
        <w:rPr>
          <w:rFonts w:eastAsia="Times New Roman"/>
          <w:color w:val="000000"/>
          <w:sz w:val="20"/>
          <w:szCs w:val="20"/>
        </w:rPr>
        <w:t>The following table presents the carrying value and estimated fair value, including the level within the fair value hierarchy, of our financial instruments that are not measured at fair value on a recurring basis on our consolidated balance sheets as of Se</w:t>
      </w:r>
      <w:r>
        <w:rPr>
          <w:rFonts w:eastAsia="Times New Roman"/>
          <w:color w:val="000000"/>
          <w:sz w:val="20"/>
          <w:szCs w:val="20"/>
        </w:rPr>
        <w:t>ptember 30, 2020 and December 31, 2019.</w:t>
      </w:r>
    </w:p>
    <w:p w:rsidR="00000000" w:rsidRDefault="00795D39">
      <w:pPr>
        <w:divId w:val="411198675"/>
        <w:rPr>
          <w:rFonts w:eastAsia="Times New Roman"/>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0"/>
        <w:gridCol w:w="4221"/>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trPr>
          <w:divId w:val="1506435146"/>
        </w:trPr>
        <w:tc>
          <w:tcPr>
            <w:tcW w:w="50" w:type="pct"/>
            <w:vAlign w:val="center"/>
            <w:hideMark/>
          </w:tcPr>
          <w:p w:rsidR="00000000" w:rsidRDefault="00795D39">
            <w:pPr>
              <w:rPr>
                <w:rFonts w:eastAsia="Times New Roman"/>
              </w:rPr>
            </w:pPr>
          </w:p>
        </w:tc>
        <w:tc>
          <w:tcPr>
            <w:tcW w:w="290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1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4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06435146"/>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r>
      <w:tr w:rsidR="00000000">
        <w:trPr>
          <w:divId w:val="1506435146"/>
          <w:trHeight w:val="46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Estimated Fair Value </w:t>
            </w:r>
            <w:r>
              <w:rPr>
                <w:rFonts w:eastAsia="Times New Roman"/>
                <w:b/>
                <w:bCs/>
                <w:color w:val="000000"/>
                <w:sz w:val="16"/>
                <w:szCs w:val="16"/>
              </w:rPr>
              <w:t>Hierarchy</w:t>
            </w:r>
          </w:p>
        </w:tc>
      </w:tr>
      <w:tr w:rsidR="00000000">
        <w:trPr>
          <w:divId w:val="1506435146"/>
          <w:trHeight w:val="2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3</w:t>
            </w:r>
          </w:p>
        </w:tc>
      </w:tr>
      <w:tr w:rsidR="00000000">
        <w:trPr>
          <w:divId w:val="150643514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0643514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44,106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39,839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0643514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232,094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239,525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239,525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shd w:val="clear" w:color="auto" w:fill="CCEEFF"/>
            <w:tcMar>
              <w:top w:w="30" w:type="dxa"/>
              <w:left w:w="20" w:type="dxa"/>
              <w:bottom w:w="30" w:type="dxa"/>
              <w:right w:w="20" w:type="dxa"/>
            </w:tcMar>
            <w:vAlign w:val="center"/>
            <w:hideMark/>
          </w:tcPr>
          <w:p w:rsidR="00000000" w:rsidRDefault="00795D39">
            <w:pPr>
              <w:divId w:val="684551356"/>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50643514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38,973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39,414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39,414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13,566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13,770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13,770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28,448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28,928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28,928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06435146"/>
        </w:trPr>
        <w:tc>
          <w:tcPr>
            <w:tcW w:w="0" w:type="auto"/>
            <w:gridSpan w:val="3"/>
            <w:vAlign w:val="center"/>
            <w:hideMark/>
          </w:tcPr>
          <w:p w:rsidR="00000000" w:rsidRDefault="00795D39">
            <w:pPr>
              <w:jc w:val="right"/>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rPr>
          <w:divId w:val="1506435146"/>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5"/>
        <w:gridCol w:w="144"/>
        <w:gridCol w:w="144"/>
        <w:gridCol w:w="144"/>
        <w:gridCol w:w="144"/>
        <w:gridCol w:w="144"/>
        <w:gridCol w:w="551"/>
        <w:gridCol w:w="144"/>
        <w:gridCol w:w="144"/>
        <w:gridCol w:w="144"/>
        <w:gridCol w:w="144"/>
        <w:gridCol w:w="144"/>
        <w:gridCol w:w="56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tblGrid>
      <w:tr w:rsidR="00000000">
        <w:tc>
          <w:tcPr>
            <w:tcW w:w="50" w:type="pct"/>
            <w:vAlign w:val="center"/>
            <w:hideMark/>
          </w:tcPr>
          <w:p w:rsidR="00000000" w:rsidRDefault="00795D39">
            <w:pPr>
              <w:rPr>
                <w:rFonts w:eastAsia="Times New Roman"/>
              </w:rPr>
            </w:pPr>
          </w:p>
        </w:tc>
        <w:tc>
          <w:tcPr>
            <w:tcW w:w="29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39"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30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trHeight w:val="460"/>
        </w:trPr>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Estimated Fair Value Hierarchy</w:t>
            </w:r>
          </w:p>
        </w:tc>
      </w:tr>
      <w:tr w:rsidR="00000000">
        <w:trPr>
          <w:trHeight w:val="24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vMerge/>
            <w:tcBorders>
              <w:top w:val="single" w:sz="8" w:space="0" w:color="000000"/>
            </w:tcBorders>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Level 3</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13,407 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13,407 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4,129 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9,278 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258,601 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258,696 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258,696 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divId w:val="655770272"/>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1,638 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1,638 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1,638 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44,958 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45,225 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45,225 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17,808 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17,941 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17,941 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30,472 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31,233 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31,233 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795D39">
            <w:pPr>
              <w:divId w:val="439574065"/>
              <w:rPr>
                <w:rFonts w:eastAsia="Times New Roman"/>
              </w:rPr>
            </w:pPr>
            <w:r>
              <w:rPr>
                <w:rFonts w:eastAsia="Times New Roman"/>
                <w:color w:val="000000"/>
                <w:sz w:val="18"/>
                <w:szCs w:val="18"/>
              </w:rPr>
              <w:t>Other borrowing</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7,000 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7,001 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2065441251"/>
        <w:rPr>
          <w:rFonts w:eastAsia="Times New Roman"/>
        </w:rPr>
      </w:pPr>
      <w:r>
        <w:rPr>
          <w:rFonts w:eastAsia="Times New Roman"/>
          <w:color w:val="000000"/>
          <w:sz w:val="20"/>
          <w:szCs w:val="20"/>
        </w:rPr>
        <w:t>__________</w:t>
      </w:r>
    </w:p>
    <w:p w:rsidR="00000000" w:rsidRDefault="00795D39">
      <w:pPr>
        <w:ind w:hanging="360"/>
        <w:jc w:val="both"/>
        <w:divId w:val="3382391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sheets.</w:t>
      </w:r>
    </w:p>
    <w:p w:rsidR="00000000" w:rsidRDefault="00795D39">
      <w:pPr>
        <w:ind w:hanging="360"/>
        <w:jc w:val="both"/>
        <w:divId w:val="52240375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borrowings excludes finance lease liabilities.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45795363"/>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45795363"/>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45795363"/>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8" style="width:0;height:1.5pt" o:hralign="center" o:hrstd="t" o:hr="t" fillcolor="#a0a0a0" stroked="f"/>
        </w:pict>
      </w:r>
    </w:p>
    <w:p w:rsidR="00000000" w:rsidRDefault="00795D39">
      <w:pPr>
        <w:jc w:val="both"/>
        <w:divId w:val="1178471703"/>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1784717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19229188"/>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81922918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12—BUSINESS SEGMENTS AND REVENUE FROM CONTRACTS WITH CUSTOMERS</w:t>
            </w:r>
          </w:p>
        </w:tc>
      </w:tr>
    </w:tbl>
    <w:p w:rsidR="00000000" w:rsidRDefault="00795D39">
      <w:pPr>
        <w:jc w:val="both"/>
        <w:divId w:val="1019237178"/>
        <w:rPr>
          <w:rFonts w:eastAsia="Times New Roman"/>
        </w:rPr>
      </w:pPr>
      <w:r>
        <w:rPr>
          <w:rFonts w:eastAsia="Times New Roman"/>
          <w:color w:val="000000"/>
          <w:sz w:val="20"/>
          <w:szCs w:val="20"/>
        </w:rPr>
        <w:t>Our principal operations are organized into three major business segments, which are defined primarily based on the products and services provided or the types of customers served: Credit Card, Consumer Banking and Commercial Banking. The operations of acq</w:t>
      </w:r>
      <w:r>
        <w:rPr>
          <w:rFonts w:eastAsia="Times New Roman"/>
          <w:color w:val="000000"/>
          <w:sz w:val="20"/>
          <w:szCs w:val="20"/>
        </w:rPr>
        <w:t>uired businesses have been integrated into our existing business segments. Certain activities that are not part of a segment, such as management of our corporate investment portfolio, asset/liability management by our centralized Corporate Treasury group a</w:t>
      </w:r>
      <w:r>
        <w:rPr>
          <w:rFonts w:eastAsia="Times New Roman"/>
          <w:color w:val="000000"/>
          <w:sz w:val="20"/>
          <w:szCs w:val="20"/>
        </w:rPr>
        <w:t>nd residual tax expense or benefit to arrive at the consolidated effective tax rate that is not assessed to our primary business segments, are included in the Other category.</w:t>
      </w:r>
    </w:p>
    <w:p w:rsidR="00000000" w:rsidRDefault="00795D39">
      <w:pPr>
        <w:divId w:val="1933077623"/>
        <w:rPr>
          <w:rFonts w:eastAsia="Times New Roman"/>
        </w:rPr>
      </w:pPr>
      <w:r>
        <w:rPr>
          <w:rFonts w:eastAsia="Times New Roman"/>
          <w:b/>
          <w:bCs/>
          <w:color w:val="000000"/>
          <w:sz w:val="20"/>
          <w:szCs w:val="20"/>
        </w:rPr>
        <w:t>Basis of Presentation</w:t>
      </w:r>
    </w:p>
    <w:p w:rsidR="00000000" w:rsidRDefault="00795D39">
      <w:pPr>
        <w:jc w:val="both"/>
        <w:divId w:val="984316385"/>
        <w:rPr>
          <w:rFonts w:eastAsia="Times New Roman"/>
        </w:rPr>
      </w:pPr>
      <w:r>
        <w:rPr>
          <w:rFonts w:eastAsia="Times New Roman"/>
          <w:color w:val="000000"/>
          <w:sz w:val="20"/>
          <w:szCs w:val="20"/>
        </w:rPr>
        <w:t>We report the results of each of our business segments on a</w:t>
      </w:r>
      <w:r>
        <w:rPr>
          <w:rFonts w:eastAsia="Times New Roman"/>
          <w:color w:val="000000"/>
          <w:sz w:val="20"/>
          <w:szCs w:val="20"/>
        </w:rPr>
        <w:t xml:space="preserve"> continuing operations basis. The results of our individual businesses reflect the manner in which management evaluates performance and makes decisions about funding our operations and allocating resources. </w:t>
      </w:r>
    </w:p>
    <w:p w:rsidR="00000000" w:rsidRDefault="00795D39">
      <w:pPr>
        <w:divId w:val="1211459387"/>
        <w:rPr>
          <w:rFonts w:eastAsia="Times New Roman"/>
        </w:rPr>
      </w:pPr>
      <w:r>
        <w:rPr>
          <w:rFonts w:eastAsia="Times New Roman"/>
          <w:b/>
          <w:bCs/>
          <w:color w:val="000000"/>
          <w:sz w:val="20"/>
          <w:szCs w:val="20"/>
        </w:rPr>
        <w:t>Business Segment Reporting Methodology</w:t>
      </w:r>
    </w:p>
    <w:p w:rsidR="00000000" w:rsidRDefault="00795D39">
      <w:pPr>
        <w:jc w:val="both"/>
        <w:divId w:val="1578129456"/>
        <w:rPr>
          <w:rFonts w:eastAsia="Times New Roman"/>
        </w:rPr>
      </w:pPr>
      <w:r>
        <w:rPr>
          <w:rFonts w:eastAsia="Times New Roman"/>
          <w:color w:val="000000"/>
          <w:sz w:val="20"/>
          <w:szCs w:val="20"/>
        </w:rPr>
        <w:t>The results of our business segments are intended to present each segment as if it were a stand-alone business. Our internal management and reporting process used to derive our segment results employs various allocation methodologies, including funds trans</w:t>
      </w:r>
      <w:r>
        <w:rPr>
          <w:rFonts w:eastAsia="Times New Roman"/>
          <w:color w:val="000000"/>
          <w:sz w:val="20"/>
          <w:szCs w:val="20"/>
        </w:rPr>
        <w:t xml:space="preserve">fer pricing, to assign certain balance sheet assets, deposits and other liabilities and their related revenue and expenses directly or indirectly attributable to each business segment. Our funds transfer pricing process provides a funds credit for sources </w:t>
      </w:r>
      <w:r>
        <w:rPr>
          <w:rFonts w:eastAsia="Times New Roman"/>
          <w:color w:val="000000"/>
          <w:sz w:val="20"/>
          <w:szCs w:val="20"/>
        </w:rPr>
        <w:t>of funds, such as deposits generated by our Consumer Banking and Commercial Banking businesses, and a funds charge for the use of funds by each segment. Due to the integrated nature of our business segments, estimates and judgments have been made in alloca</w:t>
      </w:r>
      <w:r>
        <w:rPr>
          <w:rFonts w:eastAsia="Times New Roman"/>
          <w:color w:val="000000"/>
          <w:sz w:val="20"/>
          <w:szCs w:val="20"/>
        </w:rPr>
        <w:t>ting certain revenue and expense items. Transactions between segments are based on specific criteria or approximate third-party rates. We regularly assess the assumptions, methodologies and reporting classifications used for segment reporting, which may re</w:t>
      </w:r>
      <w:r>
        <w:rPr>
          <w:rFonts w:eastAsia="Times New Roman"/>
          <w:color w:val="000000"/>
          <w:sz w:val="20"/>
          <w:szCs w:val="20"/>
        </w:rPr>
        <w:t>sult in the implementation of refinements or changes in future periods. We provide additional information on the allocation methodologies used to derive our business segment results in “Note 17—Business Segments and Revenue from Contracts with Customers” i</w:t>
      </w:r>
      <w:r>
        <w:rPr>
          <w:rFonts w:eastAsia="Times New Roman"/>
          <w:color w:val="000000"/>
          <w:sz w:val="20"/>
          <w:szCs w:val="20"/>
        </w:rPr>
        <w:t>n our 2019 Form 10-K.</w:t>
      </w:r>
    </w:p>
    <w:p w:rsidR="00000000" w:rsidRDefault="00795D39">
      <w:pPr>
        <w:divId w:val="1194995204"/>
        <w:rPr>
          <w:rFonts w:eastAsia="Times New Roman"/>
        </w:rPr>
      </w:pPr>
      <w:r>
        <w:rPr>
          <w:rFonts w:eastAsia="Times New Roman"/>
          <w:b/>
          <w:bCs/>
          <w:color w:val="000000"/>
          <w:sz w:val="20"/>
          <w:szCs w:val="20"/>
        </w:rPr>
        <w:t xml:space="preserve">Segment Results and Reconciliation </w:t>
      </w:r>
    </w:p>
    <w:p w:rsidR="00000000" w:rsidRDefault="00795D39">
      <w:pPr>
        <w:jc w:val="both"/>
        <w:divId w:val="1487628086"/>
        <w:rPr>
          <w:rFonts w:eastAsia="Times New Roman"/>
        </w:rPr>
      </w:pPr>
      <w:r>
        <w:rPr>
          <w:rFonts w:eastAsia="Times New Roman"/>
          <w:color w:val="000000"/>
          <w:sz w:val="20"/>
          <w:szCs w:val="20"/>
        </w:rPr>
        <w:t>We may periodically change our business segments or reclassify business segment results based on modifications to our management reporting methodologies or changes in organizational alignment. The f</w:t>
      </w:r>
      <w:r>
        <w:rPr>
          <w:rFonts w:eastAsia="Times New Roman"/>
          <w:color w:val="000000"/>
          <w:sz w:val="20"/>
          <w:szCs w:val="20"/>
        </w:rPr>
        <w:t xml:space="preserve">ollowing table presents our business segment results for the three and nine months ended September 30, 2020 and 2019, selected balance sheet data as of September 30, 2020 and 2019, and a reconciliation of our total business segment results to our reported </w:t>
      </w:r>
      <w:r>
        <w:rPr>
          <w:rFonts w:eastAsia="Times New Roman"/>
          <w:color w:val="000000"/>
          <w:sz w:val="20"/>
          <w:szCs w:val="20"/>
        </w:rPr>
        <w:t>consolidated income from continuing operations, loans held for investment and deposits.</w:t>
      </w:r>
    </w:p>
    <w:p w:rsidR="00000000" w:rsidRDefault="00795D39">
      <w:pPr>
        <w:divId w:val="100683252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81439977"/>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8143997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8143997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59" style="width:0;height:1.5pt" o:hralign="center" o:hrstd="t" o:hr="t" fillcolor="#a0a0a0" stroked="f"/>
        </w:pict>
      </w:r>
    </w:p>
    <w:p w:rsidR="00000000" w:rsidRDefault="00795D39">
      <w:pPr>
        <w:jc w:val="both"/>
        <w:divId w:val="1210191054"/>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210191054"/>
        <w:rPr>
          <w:rFonts w:eastAsia="Times New Roman"/>
        </w:rPr>
      </w:pPr>
    </w:p>
    <w:p w:rsidR="00000000" w:rsidRDefault="00795D39">
      <w:pPr>
        <w:divId w:val="1444811768"/>
        <w:rPr>
          <w:rFonts w:eastAsia="Times New Roman"/>
        </w:rPr>
      </w:pPr>
      <w:r>
        <w:rPr>
          <w:rFonts w:eastAsia="Times New Roman"/>
          <w:b/>
          <w:bCs/>
          <w:color w:val="000000"/>
          <w:sz w:val="18"/>
          <w:szCs w:val="18"/>
        </w:rPr>
        <w:t>Table 12.1: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1510483556"/>
        </w:trPr>
        <w:tc>
          <w:tcPr>
            <w:tcW w:w="50" w:type="pct"/>
            <w:vAlign w:val="center"/>
            <w:hideMark/>
          </w:tcPr>
          <w:p w:rsidR="00000000" w:rsidRDefault="00795D39">
            <w:pPr>
              <w:rPr>
                <w:rFonts w:eastAsia="Times New Roman"/>
              </w:rPr>
            </w:pPr>
          </w:p>
        </w:tc>
        <w:tc>
          <w:tcPr>
            <w:tcW w:w="22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510483556"/>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2020</w:t>
            </w:r>
          </w:p>
        </w:tc>
      </w:tr>
      <w:tr w:rsidR="00000000">
        <w:trPr>
          <w:divId w:val="1510483556"/>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 Total</w:t>
            </w:r>
          </w:p>
        </w:tc>
      </w:tr>
      <w:tr w:rsidR="00000000">
        <w:trPr>
          <w:divId w:val="151048355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3,292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CCEEFF"/>
            <w:tcMar>
              <w:top w:w="30" w:type="dxa"/>
              <w:left w:w="20" w:type="dxa"/>
              <w:bottom w:w="30" w:type="dxa"/>
              <w:right w:w="20" w:type="dxa"/>
            </w:tcMar>
            <w:vAlign w:val="center"/>
            <w:hideMark/>
          </w:tcPr>
          <w:p w:rsidR="00000000" w:rsidRDefault="00795D39">
            <w:pPr>
              <w:divId w:val="630474708"/>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7,381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103,641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68,688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75,894</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248,223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510483556"/>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249,684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36,783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305,725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2122845693"/>
        </w:trPr>
        <w:tc>
          <w:tcPr>
            <w:tcW w:w="50" w:type="pct"/>
            <w:vAlign w:val="center"/>
            <w:hideMark/>
          </w:tcPr>
          <w:p w:rsidR="00000000" w:rsidRDefault="00795D39">
            <w:pPr>
              <w:jc w:val="both"/>
              <w:rPr>
                <w:rFonts w:eastAsia="Times New Roman"/>
              </w:rPr>
            </w:pPr>
          </w:p>
        </w:tc>
        <w:tc>
          <w:tcPr>
            <w:tcW w:w="22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122845693"/>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2020</w:t>
            </w:r>
          </w:p>
        </w:tc>
      </w:tr>
      <w:tr w:rsidR="00000000">
        <w:trPr>
          <w:divId w:val="2122845693"/>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 Total</w:t>
            </w:r>
          </w:p>
        </w:tc>
      </w:tr>
      <w:tr w:rsidR="00000000">
        <w:trPr>
          <w:divId w:val="212284569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5,226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17,040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CCEEFF"/>
            <w:tcMar>
              <w:top w:w="30" w:type="dxa"/>
              <w:left w:w="20" w:type="dxa"/>
              <w:bottom w:w="30" w:type="dxa"/>
              <w:right w:w="20" w:type="dxa"/>
            </w:tcMar>
            <w:vAlign w:val="center"/>
            <w:hideMark/>
          </w:tcPr>
          <w:p w:rsidR="00000000" w:rsidRDefault="00795D39">
            <w:pPr>
              <w:divId w:val="1724451455"/>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13,132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5,556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21,186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(289)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(253)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(69)</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(102)</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103,641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68,688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75,894</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248,223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122845693"/>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249,684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36,783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19,258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305,725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2097435407"/>
        </w:trPr>
        <w:tc>
          <w:tcPr>
            <w:tcW w:w="50" w:type="pct"/>
            <w:vAlign w:val="center"/>
            <w:hideMark/>
          </w:tcPr>
          <w:p w:rsidR="00000000" w:rsidRDefault="00795D39">
            <w:pPr>
              <w:jc w:val="both"/>
              <w:rPr>
                <w:rFonts w:eastAsia="Times New Roman"/>
              </w:rPr>
            </w:pPr>
          </w:p>
        </w:tc>
        <w:tc>
          <w:tcPr>
            <w:tcW w:w="22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97435407"/>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2019</w:t>
            </w:r>
          </w:p>
        </w:tc>
      </w:tr>
      <w:tr w:rsidR="00000000">
        <w:trPr>
          <w:divId w:val="2097435407"/>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 Total</w:t>
            </w:r>
          </w:p>
        </w:tc>
      </w:tr>
      <w:tr w:rsidR="00000000">
        <w:trPr>
          <w:divId w:val="20974354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5,737 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net revenue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1,847 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6,959 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1,383 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2,360 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985 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3,872 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375 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113,681 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62,015 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73,659 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249,355 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2097435407"/>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206,423 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30,923 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19,802 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257,148 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0" style="width:0;height:1.5pt" o:hralign="center" o:hrstd="t" o:hr="t" fillcolor="#a0a0a0" stroked="f"/>
        </w:pict>
      </w:r>
    </w:p>
    <w:p w:rsidR="00000000" w:rsidRDefault="00795D39">
      <w:pPr>
        <w:jc w:val="both"/>
        <w:divId w:val="1228032389"/>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22803238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1698189430"/>
        </w:trPr>
        <w:tc>
          <w:tcPr>
            <w:tcW w:w="50" w:type="pct"/>
            <w:vAlign w:val="center"/>
            <w:hideMark/>
          </w:tcPr>
          <w:p w:rsidR="00000000" w:rsidRDefault="00795D39">
            <w:pPr>
              <w:jc w:val="center"/>
              <w:rPr>
                <w:rFonts w:eastAsia="Times New Roman"/>
              </w:rPr>
            </w:pPr>
          </w:p>
        </w:tc>
        <w:tc>
          <w:tcPr>
            <w:tcW w:w="2280"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1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69818943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2019</w:t>
            </w:r>
          </w:p>
        </w:tc>
      </w:tr>
      <w:tr w:rsidR="00000000">
        <w:trPr>
          <w:divId w:val="169818943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 Total</w:t>
            </w:r>
          </w:p>
        </w:tc>
      </w:tr>
      <w:tr w:rsidR="00000000">
        <w:trPr>
          <w:divId w:val="169818943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10,667 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5,070 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1,489 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17,274 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2,858 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3,892 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net revenue (loss)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13,525 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5,561 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3,571 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4,418 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6,784 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2,981 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299 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11,322 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1,977 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5,426 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6"/>
                <w:szCs w:val="16"/>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747 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461 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(275)</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1,071 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4,355 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113,681 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62,015 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73,659 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249,355 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69818943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206,423 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30,923 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19,802 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257,148 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1746493847"/>
        <w:rPr>
          <w:rFonts w:eastAsia="Times New Roman"/>
        </w:rPr>
      </w:pPr>
      <w:r>
        <w:rPr>
          <w:rFonts w:eastAsia="Times New Roman"/>
          <w:color w:val="000000"/>
          <w:sz w:val="20"/>
          <w:szCs w:val="20"/>
        </w:rPr>
        <w:t>__________</w:t>
      </w:r>
    </w:p>
    <w:p w:rsidR="00000000" w:rsidRDefault="00795D39">
      <w:pPr>
        <w:ind w:hanging="360"/>
        <w:jc w:val="both"/>
        <w:divId w:val="19607934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Some of </w:t>
      </w:r>
      <w:r>
        <w:rPr>
          <w:rFonts w:eastAsia="Times New Roman"/>
          <w:color w:val="000000"/>
          <w:sz w:val="16"/>
          <w:szCs w:val="16"/>
        </w:rPr>
        <w:t>our commercial investments generate tax-exempt income, tax credits or other tax benefits. Accordingly, we present our Commercial Banking revenue and yields on a taxable-equivalent basis, calculated using the federal statutory tax rate of 21% and state taxe</w:t>
      </w:r>
      <w:r>
        <w:rPr>
          <w:rFonts w:eastAsia="Times New Roman"/>
          <w:color w:val="000000"/>
          <w:sz w:val="16"/>
          <w:szCs w:val="16"/>
        </w:rPr>
        <w:t>s where applicable, with offsetting reductions to the Other category.</w:t>
      </w:r>
    </w:p>
    <w:p w:rsidR="00000000" w:rsidRDefault="00795D39">
      <w:pPr>
        <w:ind w:hanging="360"/>
        <w:jc w:val="both"/>
        <w:divId w:val="196295132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was reduced by $235 million and $942 million in the three and nine months ended September 30, 2020, respectively, for finance charges and fees charged off as uncolle</w:t>
      </w:r>
      <w:r>
        <w:rPr>
          <w:rFonts w:eastAsia="Times New Roman"/>
          <w:color w:val="000000"/>
          <w:sz w:val="16"/>
          <w:szCs w:val="16"/>
        </w:rPr>
        <w:t>ctible.    </w:t>
      </w:r>
    </w:p>
    <w:p w:rsidR="00000000" w:rsidRDefault="00795D39">
      <w:pPr>
        <w:divId w:val="793595553"/>
        <w:rPr>
          <w:rFonts w:eastAsia="Times New Roman"/>
        </w:rPr>
      </w:pPr>
      <w:r>
        <w:rPr>
          <w:rFonts w:eastAsia="Times New Roman"/>
          <w:b/>
          <w:bCs/>
          <w:color w:val="000000"/>
          <w:sz w:val="20"/>
          <w:szCs w:val="20"/>
        </w:rPr>
        <w:t>Revenue from Contracts with Customers</w:t>
      </w:r>
    </w:p>
    <w:p w:rsidR="00000000" w:rsidRDefault="00795D39">
      <w:pPr>
        <w:jc w:val="both"/>
        <w:divId w:val="622688415"/>
        <w:rPr>
          <w:rFonts w:eastAsia="Times New Roman"/>
        </w:rPr>
      </w:pPr>
      <w:r>
        <w:rPr>
          <w:rFonts w:eastAsia="Times New Roman"/>
          <w:color w:val="000000"/>
          <w:sz w:val="20"/>
          <w:szCs w:val="20"/>
        </w:rPr>
        <w:t>The majority of our revenue from contracts with customers consists of interchange fees, service charges and other customer-related fees, and other contract revenue. Interchange fees are primarily from our Credit Card business and are recognized upon settle</w:t>
      </w:r>
      <w:r>
        <w:rPr>
          <w:rFonts w:eastAsia="Times New Roman"/>
          <w:color w:val="000000"/>
          <w:sz w:val="20"/>
          <w:szCs w:val="20"/>
        </w:rPr>
        <w:t>ment with the interchange networks, net of rewards earned by customers. Service charges and other customer-related fees within our Consumer Banking business are primarily related to fees earned on consumer deposit accounts for account maintenance and vario</w:t>
      </w:r>
      <w:r>
        <w:rPr>
          <w:rFonts w:eastAsia="Times New Roman"/>
          <w:color w:val="000000"/>
          <w:sz w:val="20"/>
          <w:szCs w:val="20"/>
        </w:rPr>
        <w:t>us transaction-based services such as overdrafts and ATM usage. Service charges and other customer-related fees within our Commercial Banking business are mostly related to fees earned on treasury management and capital markets services. Other contract rev</w:t>
      </w:r>
      <w:r>
        <w:rPr>
          <w:rFonts w:eastAsia="Times New Roman"/>
          <w:color w:val="000000"/>
          <w:sz w:val="20"/>
          <w:szCs w:val="20"/>
        </w:rPr>
        <w:t>enue in our Credit Card business consists primarily of revenue from our partnership arrangements. Other contract revenue in our Consumer Banking business consists primarily of revenue earned on certain marketing and promotional events from our auto dealers</w:t>
      </w:r>
      <w:r>
        <w:rPr>
          <w:rFonts w:eastAsia="Times New Roman"/>
          <w:color w:val="000000"/>
          <w:sz w:val="20"/>
          <w:szCs w:val="20"/>
        </w:rPr>
        <w:t>. Revenue from contracts with customers is included in non-interest income in our consolidated statements of income.</w:t>
      </w:r>
    </w:p>
    <w:p w:rsidR="00000000" w:rsidRDefault="00795D39">
      <w:pPr>
        <w:jc w:val="both"/>
        <w:divId w:val="113602457"/>
        <w:rPr>
          <w:rFonts w:eastAsia="Times New Roman"/>
        </w:rPr>
      </w:pPr>
      <w:r>
        <w:rPr>
          <w:rFonts w:eastAsia="Times New Roman"/>
          <w:color w:val="000000"/>
          <w:sz w:val="20"/>
          <w:szCs w:val="20"/>
        </w:rPr>
        <w:t xml:space="preserve">The following table presents revenue from contracts with customers and a reconciliation to non-interest income by business segment for the </w:t>
      </w:r>
      <w:r>
        <w:rPr>
          <w:rFonts w:eastAsia="Times New Roman"/>
          <w:color w:val="000000"/>
          <w:sz w:val="20"/>
          <w:szCs w:val="20"/>
        </w:rPr>
        <w:t>three and nine months ended September 30, 2020 and 2019.</w:t>
      </w:r>
    </w:p>
    <w:p w:rsidR="00000000" w:rsidRDefault="00795D39">
      <w:pPr>
        <w:divId w:val="1611473154"/>
        <w:rPr>
          <w:rFonts w:eastAsia="Times New Roman"/>
        </w:rPr>
      </w:pPr>
      <w:r>
        <w:rPr>
          <w:rFonts w:eastAsia="Times New Roman"/>
          <w:b/>
          <w:bCs/>
          <w:color w:val="000000"/>
          <w:sz w:val="18"/>
          <w:szCs w:val="18"/>
        </w:rPr>
        <w:t>Table 12.2: Revenue from Contracts with Customers and Reconciliation to Segment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3638"/>
        <w:gridCol w:w="37"/>
        <w:gridCol w:w="36"/>
        <w:gridCol w:w="36"/>
        <w:gridCol w:w="36"/>
        <w:gridCol w:w="110"/>
        <w:gridCol w:w="525"/>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1464688374"/>
        </w:trPr>
        <w:tc>
          <w:tcPr>
            <w:tcW w:w="50" w:type="pct"/>
            <w:vAlign w:val="center"/>
            <w:hideMark/>
          </w:tcPr>
          <w:p w:rsidR="00000000" w:rsidRDefault="00795D39">
            <w:pPr>
              <w:rPr>
                <w:rFonts w:eastAsia="Times New Roman"/>
              </w:rPr>
            </w:pPr>
          </w:p>
        </w:tc>
        <w:tc>
          <w:tcPr>
            <w:tcW w:w="22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64688374"/>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2020</w:t>
            </w:r>
          </w:p>
        </w:tc>
      </w:tr>
      <w:tr w:rsidR="00000000">
        <w:trPr>
          <w:divId w:val="1464688374"/>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 Total</w:t>
            </w:r>
          </w:p>
        </w:tc>
      </w:tr>
      <w:tr w:rsidR="00000000">
        <w:trPr>
          <w:divId w:val="14646883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64688374"/>
        </w:trPr>
        <w:tc>
          <w:tcPr>
            <w:tcW w:w="0" w:type="auto"/>
            <w:gridSpan w:val="3"/>
            <w:shd w:val="clear" w:color="auto" w:fill="FFFFFF"/>
            <w:tcMar>
              <w:top w:w="30" w:type="dxa"/>
              <w:left w:w="20" w:type="dxa"/>
              <w:bottom w:w="30" w:type="dxa"/>
              <w:right w:w="20" w:type="dxa"/>
            </w:tcMar>
            <w:vAlign w:val="center"/>
            <w:hideMark/>
          </w:tcPr>
          <w:p w:rsidR="00000000" w:rsidRDefault="00795D39">
            <w:pPr>
              <w:divId w:val="1261327912"/>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775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64688374"/>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64688374"/>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6468837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982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64688374"/>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844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464688374"/>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1,826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795D39">
            <w:pPr>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136</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1" style="width:0;height:1.5pt" o:hralign="center" o:hrstd="t" o:hr="t" fillcolor="#a0a0a0" stroked="f"/>
        </w:pict>
      </w:r>
    </w:p>
    <w:p w:rsidR="00000000" w:rsidRDefault="00795D39">
      <w:pPr>
        <w:jc w:val="both"/>
        <w:divId w:val="51584877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51584877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1207375700"/>
        </w:trPr>
        <w:tc>
          <w:tcPr>
            <w:tcW w:w="50" w:type="pct"/>
            <w:vAlign w:val="center"/>
            <w:hideMark/>
          </w:tcPr>
          <w:p w:rsidR="00000000" w:rsidRDefault="00795D39">
            <w:pPr>
              <w:jc w:val="center"/>
              <w:rPr>
                <w:rFonts w:eastAsia="Times New Roman"/>
              </w:rPr>
            </w:pPr>
          </w:p>
        </w:tc>
        <w:tc>
          <w:tcPr>
            <w:tcW w:w="22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0737570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2020</w:t>
            </w:r>
          </w:p>
        </w:tc>
      </w:tr>
      <w:tr w:rsidR="00000000">
        <w:trPr>
          <w:divId w:val="120737570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 Total</w:t>
            </w:r>
          </w:p>
        </w:tc>
      </w:tr>
      <w:tr w:rsidR="00000000">
        <w:trPr>
          <w:divId w:val="120737570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07375700"/>
        </w:trPr>
        <w:tc>
          <w:tcPr>
            <w:tcW w:w="0" w:type="auto"/>
            <w:gridSpan w:val="3"/>
            <w:shd w:val="clear" w:color="auto" w:fill="FFFFFF"/>
            <w:tcMar>
              <w:top w:w="30" w:type="dxa"/>
              <w:left w:w="20" w:type="dxa"/>
              <w:bottom w:w="30" w:type="dxa"/>
              <w:right w:w="20" w:type="dxa"/>
            </w:tcMar>
            <w:vAlign w:val="center"/>
            <w:hideMark/>
          </w:tcPr>
          <w:p w:rsidR="00000000" w:rsidRDefault="00795D39">
            <w:pPr>
              <w:divId w:val="1255554005"/>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2,003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2,199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07375700"/>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07375700"/>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0737570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2,239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0737570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530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0737570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2,769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655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4,146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6"/>
        <w:gridCol w:w="38"/>
        <w:gridCol w:w="36"/>
        <w:gridCol w:w="36"/>
        <w:gridCol w:w="36"/>
        <w:gridCol w:w="111"/>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1839692309"/>
        </w:trPr>
        <w:tc>
          <w:tcPr>
            <w:tcW w:w="50" w:type="pct"/>
            <w:vAlign w:val="center"/>
            <w:hideMark/>
          </w:tcPr>
          <w:p w:rsidR="00000000" w:rsidRDefault="00795D39">
            <w:pPr>
              <w:jc w:val="both"/>
              <w:rPr>
                <w:rFonts w:eastAsia="Times New Roman"/>
              </w:rPr>
            </w:pPr>
          </w:p>
        </w:tc>
        <w:tc>
          <w:tcPr>
            <w:tcW w:w="22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839692309"/>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Three Months Ended September 30, 2019</w:t>
            </w:r>
          </w:p>
        </w:tc>
      </w:tr>
      <w:tr w:rsidR="00000000">
        <w:trPr>
          <w:divId w:val="1839692309"/>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 Total</w:t>
            </w:r>
          </w:p>
        </w:tc>
      </w:tr>
      <w:tr w:rsidR="00000000">
        <w:trPr>
          <w:divId w:val="18396923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839692309"/>
        </w:trPr>
        <w:tc>
          <w:tcPr>
            <w:tcW w:w="0" w:type="auto"/>
            <w:gridSpan w:val="3"/>
            <w:shd w:val="clear" w:color="auto" w:fill="FFFFFF"/>
            <w:tcMar>
              <w:top w:w="30" w:type="dxa"/>
              <w:left w:w="20" w:type="dxa"/>
              <w:bottom w:w="30" w:type="dxa"/>
              <w:right w:w="20" w:type="dxa"/>
            </w:tcMar>
            <w:vAlign w:val="center"/>
            <w:hideMark/>
          </w:tcPr>
          <w:p w:rsidR="00000000" w:rsidRDefault="00795D39">
            <w:pPr>
              <w:divId w:val="147601593"/>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722 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790 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39692309"/>
        </w:trPr>
        <w:tc>
          <w:tcPr>
            <w:tcW w:w="0" w:type="auto"/>
            <w:gridSpan w:val="3"/>
            <w:shd w:val="clear" w:color="auto" w:fill="CCEE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39692309"/>
        </w:trPr>
        <w:tc>
          <w:tcPr>
            <w:tcW w:w="0" w:type="auto"/>
            <w:gridSpan w:val="3"/>
            <w:shd w:val="clear" w:color="auto" w:fill="FFFFFF"/>
            <w:tcMar>
              <w:top w:w="30" w:type="dxa"/>
              <w:left w:w="225"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3969230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39692309"/>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133 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170 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(32)</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839692309"/>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638"/>
        <w:gridCol w:w="37"/>
        <w:gridCol w:w="36"/>
        <w:gridCol w:w="36"/>
        <w:gridCol w:w="36"/>
        <w:gridCol w:w="110"/>
        <w:gridCol w:w="525"/>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654143550"/>
        </w:trPr>
        <w:tc>
          <w:tcPr>
            <w:tcW w:w="50" w:type="pct"/>
            <w:vAlign w:val="center"/>
            <w:hideMark/>
          </w:tcPr>
          <w:p w:rsidR="00000000" w:rsidRDefault="00795D39">
            <w:pPr>
              <w:jc w:val="both"/>
              <w:rPr>
                <w:rFonts w:eastAsia="Times New Roman"/>
              </w:rPr>
            </w:pPr>
          </w:p>
        </w:tc>
        <w:tc>
          <w:tcPr>
            <w:tcW w:w="228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3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6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5414355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Nine Months Ended September 30, 2019</w:t>
            </w:r>
          </w:p>
        </w:tc>
      </w:tr>
      <w:tr w:rsidR="00000000">
        <w:trPr>
          <w:divId w:val="65414355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Consolidated Total</w:t>
            </w:r>
          </w:p>
        </w:tc>
      </w:tr>
      <w:tr w:rsidR="00000000">
        <w:trPr>
          <w:divId w:val="6541435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54143550"/>
        </w:trPr>
        <w:tc>
          <w:tcPr>
            <w:tcW w:w="0" w:type="auto"/>
            <w:gridSpan w:val="3"/>
            <w:shd w:val="clear" w:color="auto" w:fill="FFFFFF"/>
            <w:tcMar>
              <w:top w:w="30" w:type="dxa"/>
              <w:left w:w="20" w:type="dxa"/>
              <w:bottom w:w="30" w:type="dxa"/>
              <w:right w:w="20" w:type="dxa"/>
            </w:tcMar>
            <w:vAlign w:val="center"/>
            <w:hideMark/>
          </w:tcPr>
          <w:p w:rsidR="00000000" w:rsidRDefault="00795D39">
            <w:pPr>
              <w:divId w:val="357896412"/>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2,181 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2,368 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5414355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225 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312 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5414355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76 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5414355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2,228 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5414355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630 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479 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1,087 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654143550"/>
        </w:trPr>
        <w:tc>
          <w:tcPr>
            <w:tcW w:w="0" w:type="auto"/>
            <w:gridSpan w:val="3"/>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2,858 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(65)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3,892 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704259883"/>
        <w:rPr>
          <w:rFonts w:eastAsia="Times New Roman"/>
        </w:rPr>
      </w:pPr>
      <w:r>
        <w:rPr>
          <w:rFonts w:eastAsia="Times New Roman"/>
          <w:color w:val="000000"/>
          <w:sz w:val="20"/>
          <w:szCs w:val="20"/>
        </w:rPr>
        <w:t>__________</w:t>
      </w:r>
    </w:p>
    <w:p w:rsidR="00000000" w:rsidRDefault="00795D39">
      <w:pPr>
        <w:ind w:hanging="360"/>
        <w:jc w:val="both"/>
        <w:divId w:val="49430194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w:t>
      </w:r>
      <w:r>
        <w:rPr>
          <w:rFonts w:eastAsia="Times New Roman"/>
          <w:color w:val="000000"/>
          <w:sz w:val="16"/>
          <w:szCs w:val="16"/>
        </w:rPr>
        <w:t>te of 21% and state taxes where applicable, with offsetting reductions to the Other category.</w:t>
      </w:r>
    </w:p>
    <w:p w:rsidR="00000000" w:rsidRDefault="00795D39">
      <w:pPr>
        <w:ind w:hanging="360"/>
        <w:jc w:val="both"/>
        <w:divId w:val="152281662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06993387"/>
          <w:jc w:val="center"/>
        </w:trPr>
        <w:tc>
          <w:tcPr>
            <w:tcW w:w="50" w:type="pct"/>
            <w:vAlign w:val="center"/>
            <w:hideMark/>
          </w:tcPr>
          <w:p w:rsidR="00000000" w:rsidRDefault="00795D39">
            <w:pPr>
              <w:ind w:hanging="360"/>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0699338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0699338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137</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2" style="width:0;height:1.5pt" o:hralign="center" o:hrstd="t" o:hr="t" fillcolor="#a0a0a0" stroked="f"/>
        </w:pict>
      </w:r>
    </w:p>
    <w:p w:rsidR="00000000" w:rsidRDefault="00795D39">
      <w:pPr>
        <w:jc w:val="both"/>
        <w:divId w:val="160972901"/>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6097290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10072393"/>
        </w:trPr>
        <w:tc>
          <w:tcPr>
            <w:tcW w:w="50" w:type="pct"/>
            <w:vAlign w:val="center"/>
            <w:hideMark/>
          </w:tcPr>
          <w:p w:rsidR="00000000" w:rsidRDefault="00795D39">
            <w:pPr>
              <w:jc w:val="center"/>
              <w:rPr>
                <w:rFonts w:eastAsia="Times New Roman"/>
              </w:rPr>
            </w:pPr>
          </w:p>
        </w:tc>
        <w:tc>
          <w:tcPr>
            <w:tcW w:w="494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51007239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NOTE 13—COMMITMENTS, CONTINGENCIES, GUARANTEES AND OTHERS</w:t>
            </w:r>
          </w:p>
        </w:tc>
      </w:tr>
    </w:tbl>
    <w:p w:rsidR="00000000" w:rsidRDefault="00795D39">
      <w:pPr>
        <w:divId w:val="1935091017"/>
        <w:rPr>
          <w:rFonts w:eastAsia="Times New Roman"/>
        </w:rPr>
      </w:pPr>
      <w:r>
        <w:rPr>
          <w:rFonts w:eastAsia="Times New Roman"/>
          <w:b/>
          <w:bCs/>
          <w:color w:val="000000"/>
          <w:sz w:val="20"/>
          <w:szCs w:val="20"/>
        </w:rPr>
        <w:t>Commitments to Lend</w:t>
      </w:r>
    </w:p>
    <w:p w:rsidR="00000000" w:rsidRDefault="00795D39">
      <w:pPr>
        <w:jc w:val="both"/>
        <w:divId w:val="1790247463"/>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eastAsia="Times New Roman"/>
          <w:color w:val="000000"/>
          <w:sz w:val="20"/>
          <w:szCs w:val="20"/>
        </w:rPr>
        <w:t xml:space="preserve"> card lines, are legally binding conditional agreements that have fixed expirations or termination dates and specified interest rates and purposes. The contractual amount of these commitments represents the maximum possible credit risk to us should the cou</w:t>
      </w:r>
      <w:r>
        <w:rPr>
          <w:rFonts w:eastAsia="Times New Roman"/>
          <w:color w:val="000000"/>
          <w:sz w:val="20"/>
          <w:szCs w:val="20"/>
        </w:rPr>
        <w:t xml:space="preserve">nterparty draw upon the commitment. We generally manage the potential risk of unfunded lending commitments by limiting the total amount of arrangements, monitoring the size and maturity structure of these portfolios, and applying the same credit standards </w:t>
      </w:r>
      <w:r>
        <w:rPr>
          <w:rFonts w:eastAsia="Times New Roman"/>
          <w:color w:val="000000"/>
          <w:sz w:val="20"/>
          <w:szCs w:val="20"/>
        </w:rPr>
        <w:t>for all of our credit activities.</w:t>
      </w:r>
    </w:p>
    <w:p w:rsidR="00000000" w:rsidRDefault="00795D39">
      <w:pPr>
        <w:jc w:val="both"/>
        <w:divId w:val="738945771"/>
        <w:rPr>
          <w:rFonts w:eastAsia="Times New Roman"/>
        </w:rPr>
      </w:pPr>
      <w:r>
        <w:rPr>
          <w:rFonts w:eastAsia="Times New Roman"/>
          <w:color w:val="000000"/>
          <w:sz w:val="20"/>
          <w:szCs w:val="20"/>
        </w:rPr>
        <w:t xml:space="preserve">For unused credit card lines, we have not experienced and do not anticipate that all of our customers will access their entire available line at any given point in time. Commitments to extend credit other than credit card </w:t>
      </w:r>
      <w:r>
        <w:rPr>
          <w:rFonts w:eastAsia="Times New Roman"/>
          <w:color w:val="000000"/>
          <w:sz w:val="20"/>
          <w:szCs w:val="20"/>
        </w:rPr>
        <w:t>lines generally require customers to maintain certain credit standards. Collateral requirements and loan-to-value (“LTV”) ratios are the same as those for funded transactions and are established based on management’s credit assessment of the customer. Thes</w:t>
      </w:r>
      <w:r>
        <w:rPr>
          <w:rFonts w:eastAsia="Times New Roman"/>
          <w:color w:val="000000"/>
          <w:sz w:val="20"/>
          <w:szCs w:val="20"/>
        </w:rPr>
        <w:t>e commitments may expire without being drawn upon; therefore, the total commitment amount does not necessarily represent future funding requirements.</w:t>
      </w:r>
    </w:p>
    <w:p w:rsidR="00000000" w:rsidRDefault="00795D39">
      <w:pPr>
        <w:jc w:val="both"/>
        <w:divId w:val="1624581623"/>
        <w:rPr>
          <w:rFonts w:eastAsia="Times New Roman"/>
        </w:rPr>
      </w:pPr>
      <w:r>
        <w:rPr>
          <w:rFonts w:eastAsia="Times New Roman"/>
          <w:color w:val="000000"/>
          <w:sz w:val="20"/>
          <w:szCs w:val="20"/>
        </w:rPr>
        <w:t xml:space="preserve">We also issue letters of credit, such as financial standby, performance standby and commercial letters of </w:t>
      </w:r>
      <w:r>
        <w:rPr>
          <w:rFonts w:eastAsia="Times New Roman"/>
          <w:color w:val="000000"/>
          <w:sz w:val="20"/>
          <w:szCs w:val="20"/>
        </w:rPr>
        <w:t>credit, to meet the financing needs of our customers. Standby letters of credit are conditional commitments issued by us to guarantee the performance of a customer to a third party in a borrowing arrangement. Commercial letters of credit are short-term com</w:t>
      </w:r>
      <w:r>
        <w:rPr>
          <w:rFonts w:eastAsia="Times New Roman"/>
          <w:color w:val="000000"/>
          <w:sz w:val="20"/>
          <w:szCs w:val="20"/>
        </w:rPr>
        <w:t>mitments issued primarily to facilitate trade finance activities for customers and are generally collateralized by the goods being shipped to the customer. These collateral requirements are similar to those for funded transactions and are established based</w:t>
      </w:r>
      <w:r>
        <w:rPr>
          <w:rFonts w:eastAsia="Times New Roman"/>
          <w:color w:val="000000"/>
          <w:sz w:val="20"/>
          <w:szCs w:val="20"/>
        </w:rPr>
        <w:t xml:space="preserve"> on management’s credit assessment of the customer. Management conducts regular reviews of all outstanding letters of credit and the results of these reviews are considered in assessing the adequacy of reserves for unfunded lending commitments.</w:t>
      </w:r>
    </w:p>
    <w:p w:rsidR="00000000" w:rsidRDefault="00795D39">
      <w:pPr>
        <w:jc w:val="both"/>
        <w:divId w:val="195780587"/>
        <w:rPr>
          <w:rFonts w:eastAsia="Times New Roman"/>
        </w:rPr>
      </w:pPr>
      <w:r>
        <w:rPr>
          <w:rFonts w:eastAsia="Times New Roman"/>
          <w:color w:val="000000"/>
          <w:sz w:val="20"/>
          <w:szCs w:val="20"/>
        </w:rPr>
        <w:t>The followi</w:t>
      </w:r>
      <w:r>
        <w:rPr>
          <w:rFonts w:eastAsia="Times New Roman"/>
          <w:color w:val="000000"/>
          <w:sz w:val="20"/>
          <w:szCs w:val="20"/>
        </w:rPr>
        <w:t>ng table presents the contractual amount and carrying value of our unfunded lending commitments as of September 30, 2020 and December 31, 2019. The carrying value represents our reserve and deferred revenue on legally binding commitments.</w:t>
      </w:r>
    </w:p>
    <w:p w:rsidR="00000000" w:rsidRDefault="00795D39">
      <w:pPr>
        <w:divId w:val="1762993750"/>
        <w:rPr>
          <w:rFonts w:eastAsia="Times New Roman"/>
        </w:rPr>
      </w:pPr>
      <w:r>
        <w:rPr>
          <w:rFonts w:eastAsia="Times New Roman"/>
          <w:b/>
          <w:bCs/>
          <w:color w:val="000000"/>
          <w:sz w:val="18"/>
          <w:szCs w:val="18"/>
        </w:rPr>
        <w:t>Table 13.1: Unfun</w:t>
      </w:r>
      <w:r>
        <w:rPr>
          <w:rFonts w:eastAsia="Times New Roman"/>
          <w:b/>
          <w:bCs/>
          <w:color w:val="000000"/>
          <w:sz w:val="18"/>
          <w:szCs w:val="18"/>
        </w:rPr>
        <w:t>ded Lending Commitments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282"/>
        <w:gridCol w:w="37"/>
        <w:gridCol w:w="36"/>
        <w:gridCol w:w="36"/>
        <w:gridCol w:w="36"/>
        <w:gridCol w:w="110"/>
        <w:gridCol w:w="732"/>
        <w:gridCol w:w="36"/>
        <w:gridCol w:w="36"/>
        <w:gridCol w:w="36"/>
        <w:gridCol w:w="36"/>
        <w:gridCol w:w="110"/>
        <w:gridCol w:w="732"/>
        <w:gridCol w:w="36"/>
        <w:gridCol w:w="36"/>
        <w:gridCol w:w="36"/>
        <w:gridCol w:w="36"/>
        <w:gridCol w:w="111"/>
        <w:gridCol w:w="733"/>
        <w:gridCol w:w="36"/>
        <w:gridCol w:w="36"/>
        <w:gridCol w:w="36"/>
        <w:gridCol w:w="36"/>
        <w:gridCol w:w="111"/>
        <w:gridCol w:w="734"/>
        <w:gridCol w:w="36"/>
      </w:tblGrid>
      <w:tr w:rsidR="00000000">
        <w:trPr>
          <w:divId w:val="124859720"/>
        </w:trPr>
        <w:tc>
          <w:tcPr>
            <w:tcW w:w="50" w:type="pct"/>
            <w:vAlign w:val="center"/>
            <w:hideMark/>
          </w:tcPr>
          <w:p w:rsidR="00000000" w:rsidRDefault="00795D39">
            <w:pPr>
              <w:rPr>
                <w:rFonts w:eastAsia="Times New Roman"/>
              </w:rPr>
            </w:pPr>
          </w:p>
        </w:tc>
        <w:tc>
          <w:tcPr>
            <w:tcW w:w="260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93"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485972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6"/>
                <w:szCs w:val="16"/>
              </w:rPr>
              <w:t>Carrying Value</w:t>
            </w:r>
          </w:p>
        </w:tc>
      </w:tr>
      <w:tr w:rsidR="00000000">
        <w:trPr>
          <w:divId w:val="124859720"/>
        </w:trPr>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December 31, 2019</w:t>
            </w:r>
          </w:p>
        </w:tc>
      </w:tr>
      <w:tr w:rsidR="00000000">
        <w:trPr>
          <w:divId w:val="12485972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350,356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363,446 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95D39">
            <w:pPr>
              <w:jc w:val="right"/>
              <w:rPr>
                <w:rFonts w:eastAsia="Times New Roman"/>
              </w:rPr>
            </w:pPr>
            <w:r>
              <w:rPr>
                <w:rFonts w:eastAsia="Times New Roman"/>
                <w:color w:val="000000"/>
                <w:sz w:val="18"/>
                <w:szCs w:val="18"/>
              </w:rPr>
              <w:t>N/A</w:t>
            </w:r>
          </w:p>
        </w:tc>
      </w:tr>
      <w:tr w:rsidR="00000000">
        <w:trPr>
          <w:divId w:val="124859720"/>
        </w:trPr>
        <w:tc>
          <w:tcPr>
            <w:tcW w:w="0" w:type="auto"/>
            <w:gridSpan w:val="3"/>
            <w:shd w:val="clear" w:color="auto" w:fill="FFFFFF"/>
            <w:tcMar>
              <w:top w:w="30" w:type="dxa"/>
              <w:left w:w="20" w:type="dxa"/>
              <w:bottom w:w="30" w:type="dxa"/>
              <w:right w:w="20" w:type="dxa"/>
            </w:tcMar>
            <w:vAlign w:val="center"/>
            <w:hideMark/>
          </w:tcPr>
          <w:p w:rsidR="00000000" w:rsidRDefault="00795D39">
            <w:pPr>
              <w:divId w:val="1051222848"/>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34,574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36,454 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4859720"/>
        </w:trPr>
        <w:tc>
          <w:tcPr>
            <w:tcW w:w="0" w:type="auto"/>
            <w:gridSpan w:val="3"/>
            <w:shd w:val="clear" w:color="auto" w:fill="CCEEFF"/>
            <w:tcMar>
              <w:top w:w="30" w:type="dxa"/>
              <w:left w:w="20" w:type="dxa"/>
              <w:bottom w:w="30" w:type="dxa"/>
              <w:right w:w="20" w:type="dxa"/>
            </w:tcMar>
            <w:vAlign w:val="center"/>
            <w:hideMark/>
          </w:tcPr>
          <w:p w:rsidR="00000000" w:rsidRDefault="00795D39">
            <w:pPr>
              <w:divId w:val="1165973426"/>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1,335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1,574 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center"/>
            <w:hideMark/>
          </w:tcPr>
          <w:p w:rsidR="00000000" w:rsidRDefault="00795D39">
            <w:pPr>
              <w:jc w:val="right"/>
              <w:rPr>
                <w:rFonts w:eastAsia="Times New Roman"/>
              </w:rPr>
            </w:pPr>
          </w:p>
        </w:tc>
      </w:tr>
      <w:tr w:rsidR="00000000">
        <w:trPr>
          <w:divId w:val="124859720"/>
        </w:trPr>
        <w:tc>
          <w:tcPr>
            <w:tcW w:w="0" w:type="auto"/>
            <w:gridSpan w:val="3"/>
            <w:shd w:val="clear" w:color="auto" w:fill="FFFFFF"/>
            <w:tcMar>
              <w:top w:w="30" w:type="dxa"/>
              <w:left w:w="20" w:type="dxa"/>
              <w:bottom w:w="30" w:type="dxa"/>
              <w:right w:w="20" w:type="dxa"/>
            </w:tcMar>
            <w:vAlign w:val="center"/>
            <w:hideMark/>
          </w:tcPr>
          <w:p w:rsidR="00000000" w:rsidRDefault="00795D39">
            <w:pPr>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386,265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401,474 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b/>
                <w:bCs/>
                <w:color w:val="000000"/>
                <w:sz w:val="18"/>
                <w:szCs w:val="18"/>
              </w:rPr>
              <w:t>176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795D3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795D39">
            <w:pPr>
              <w:jc w:val="right"/>
              <w:rPr>
                <w:rFonts w:eastAsia="Times New Roman"/>
              </w:rPr>
            </w:pPr>
            <w:r>
              <w:rPr>
                <w:rFonts w:eastAsia="Times New Roman"/>
                <w:color w:val="000000"/>
                <w:sz w:val="18"/>
                <w:szCs w:val="18"/>
              </w:rPr>
              <w:t>137 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795D39">
            <w:pPr>
              <w:jc w:val="right"/>
              <w:rPr>
                <w:rFonts w:eastAsia="Times New Roman"/>
              </w:rPr>
            </w:pPr>
          </w:p>
        </w:tc>
      </w:tr>
    </w:tbl>
    <w:p w:rsidR="00000000" w:rsidRDefault="00795D39">
      <w:pPr>
        <w:divId w:val="770010182"/>
        <w:rPr>
          <w:rFonts w:eastAsia="Times New Roman"/>
        </w:rPr>
      </w:pPr>
      <w:r>
        <w:rPr>
          <w:rFonts w:eastAsia="Times New Roman"/>
          <w:color w:val="000000"/>
          <w:sz w:val="20"/>
          <w:szCs w:val="20"/>
        </w:rPr>
        <w:t>__________</w:t>
      </w:r>
    </w:p>
    <w:p w:rsidR="00000000" w:rsidRDefault="00795D39">
      <w:pPr>
        <w:ind w:hanging="360"/>
        <w:jc w:val="both"/>
        <w:divId w:val="156082434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$1.6 </w:t>
      </w:r>
      <w:r>
        <w:rPr>
          <w:rFonts w:eastAsia="Times New Roman"/>
          <w:color w:val="000000"/>
          <w:sz w:val="16"/>
          <w:szCs w:val="16"/>
        </w:rPr>
        <w:t>billion of advised lines of credit as of both September 30, 2020 and December 31, 2019.</w:t>
      </w:r>
    </w:p>
    <w:p w:rsidR="00000000" w:rsidRDefault="00795D39">
      <w:pPr>
        <w:ind w:hanging="360"/>
        <w:jc w:val="both"/>
        <w:divId w:val="121500202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ranging from 2020 to 2023 as of September 30, 2020.</w:t>
      </w:r>
    </w:p>
    <w:p w:rsidR="00000000" w:rsidRDefault="00795D39">
      <w:pPr>
        <w:divId w:val="699934042"/>
        <w:rPr>
          <w:rFonts w:eastAsia="Times New Roman"/>
        </w:rPr>
      </w:pPr>
      <w:r>
        <w:rPr>
          <w:rFonts w:eastAsia="Times New Roman"/>
          <w:b/>
          <w:bCs/>
          <w:color w:val="000000"/>
          <w:sz w:val="20"/>
          <w:szCs w:val="20"/>
        </w:rPr>
        <w:t>Loss Sharing Agreements</w:t>
      </w:r>
    </w:p>
    <w:p w:rsidR="00000000" w:rsidRDefault="00795D39">
      <w:pPr>
        <w:jc w:val="both"/>
        <w:divId w:val="2139295152"/>
        <w:rPr>
          <w:rFonts w:eastAsia="Times New Roman"/>
        </w:rPr>
      </w:pPr>
      <w:r>
        <w:rPr>
          <w:rFonts w:eastAsia="Times New Roman"/>
          <w:color w:val="000000"/>
          <w:sz w:val="20"/>
          <w:szCs w:val="20"/>
        </w:rPr>
        <w:t xml:space="preserve">Within our Commercial Banking business, </w:t>
      </w:r>
      <w:r>
        <w:rPr>
          <w:rFonts w:eastAsia="Times New Roman"/>
          <w:color w:val="000000"/>
          <w:sz w:val="20"/>
          <w:szCs w:val="20"/>
        </w:rPr>
        <w:t xml:space="preserve">we originate multifamily commercial real estate loans with the intent to sell them to the GSEs. We enter into loss sharing agreements with the GSEs upon the sale of the loans. Beginning January 1, 2020, we elected the fair value option on new loss sharing </w:t>
      </w:r>
      <w:r>
        <w:rPr>
          <w:rFonts w:eastAsia="Times New Roman"/>
          <w:color w:val="000000"/>
          <w:sz w:val="20"/>
          <w:szCs w:val="20"/>
        </w:rPr>
        <w:t>agreements. Unrealized gains and losses are recorded in other non-interest income in our consolidated statements of income. For those loss sharing agreements entered into as of December 31, 2019, we amortize the liability recorded at inception into non-int</w:t>
      </w:r>
      <w:r>
        <w:rPr>
          <w:rFonts w:eastAsia="Times New Roman"/>
          <w:color w:val="000000"/>
          <w:sz w:val="20"/>
          <w:szCs w:val="20"/>
        </w:rPr>
        <w:t>erest income as we are released from risk of payment under the loss sharing agreement and record our estimate of expected credit losses each period in provision for credit losses in our consolidated statements of income. The liability recognized on our con</w:t>
      </w:r>
      <w:r>
        <w:rPr>
          <w:rFonts w:eastAsia="Times New Roman"/>
          <w:color w:val="000000"/>
          <w:sz w:val="20"/>
          <w:szCs w:val="20"/>
        </w:rPr>
        <w:t>solidated balance sheets for these loss sharing agreements was $99 million and $75 million as of September 30, 2020 and December 31, 2019,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90890804"/>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9089080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9089080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138</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3" style="width:0;height:1.5pt" o:hralign="center" o:hrstd="t" o:hr="t" fillcolor="#a0a0a0" stroked="f"/>
        </w:pict>
      </w:r>
    </w:p>
    <w:p w:rsidR="00000000" w:rsidRDefault="00795D39">
      <w:pPr>
        <w:jc w:val="both"/>
        <w:divId w:val="22657611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226576110"/>
        <w:rPr>
          <w:rFonts w:eastAsia="Times New Roman"/>
        </w:rPr>
      </w:pPr>
    </w:p>
    <w:p w:rsidR="00000000" w:rsidRDefault="00795D39">
      <w:pPr>
        <w:jc w:val="both"/>
        <w:divId w:val="875041315"/>
        <w:rPr>
          <w:rFonts w:eastAsia="Times New Roman"/>
        </w:rPr>
      </w:pPr>
      <w:r>
        <w:rPr>
          <w:rFonts w:eastAsia="Times New Roman"/>
          <w:color w:val="000000"/>
          <w:sz w:val="20"/>
          <w:szCs w:val="20"/>
        </w:rPr>
        <w:t>See “Note 4—Allowance for Credit Losses and Reserve for Unfunded Lending Commitments” for more information related to our credit card partners</w:t>
      </w:r>
      <w:r>
        <w:rPr>
          <w:rFonts w:eastAsia="Times New Roman"/>
          <w:color w:val="000000"/>
          <w:sz w:val="20"/>
          <w:szCs w:val="20"/>
        </w:rPr>
        <w:t>hip loss sharing arrangements.</w:t>
      </w:r>
    </w:p>
    <w:p w:rsidR="00000000" w:rsidRDefault="00795D39">
      <w:pPr>
        <w:jc w:val="both"/>
        <w:divId w:val="1689066137"/>
        <w:rPr>
          <w:rFonts w:eastAsia="Times New Roman"/>
        </w:rPr>
      </w:pPr>
      <w:r>
        <w:rPr>
          <w:rFonts w:eastAsia="Times New Roman"/>
          <w:b/>
          <w:bCs/>
          <w:color w:val="000000"/>
          <w:sz w:val="20"/>
          <w:szCs w:val="20"/>
        </w:rPr>
        <w:t>U.K. Payment Protection Insurance</w:t>
      </w:r>
    </w:p>
    <w:p w:rsidR="00000000" w:rsidRDefault="00795D39">
      <w:pPr>
        <w:jc w:val="both"/>
        <w:divId w:val="1742098848"/>
        <w:rPr>
          <w:rFonts w:eastAsia="Times New Roman"/>
        </w:rPr>
      </w:pPr>
      <w:r>
        <w:rPr>
          <w:rFonts w:eastAsia="Times New Roman"/>
          <w:color w:val="000000"/>
          <w:sz w:val="20"/>
          <w:szCs w:val="20"/>
        </w:rPr>
        <w:t xml:space="preserve">In the U.K., we previously sold payment protection insurance (“PPI”). In response to an elevated level of customer complaints across the industry, heightened media coverage and pressure from </w:t>
      </w:r>
      <w:r>
        <w:rPr>
          <w:rFonts w:eastAsia="Times New Roman"/>
          <w:color w:val="000000"/>
          <w:sz w:val="20"/>
          <w:szCs w:val="20"/>
        </w:rPr>
        <w:t>consumer advocacy groups, the U.K. Financial Conduct Authority (“FCA”), formerly the Financial Services Authority, investigated and raised concerns about the way the industry has handled complaints related to the sale of these insurance policies. For the p</w:t>
      </w:r>
      <w:r>
        <w:rPr>
          <w:rFonts w:eastAsia="Times New Roman"/>
          <w:color w:val="000000"/>
          <w:sz w:val="20"/>
          <w:szCs w:val="20"/>
        </w:rPr>
        <w:t xml:space="preserve">ast several years, the U.K.’s Financial Ombudsman Service (“FOS”) has been adjudicating customer complaints relating to PPI, escalated to it by consumers who disagree with the rejection of their complaint by firms, leading to customer remediation payments </w:t>
      </w:r>
      <w:r>
        <w:rPr>
          <w:rFonts w:eastAsia="Times New Roman"/>
          <w:color w:val="000000"/>
          <w:sz w:val="20"/>
          <w:szCs w:val="20"/>
        </w:rPr>
        <w:t>by us and others within the industry. In August 2017, the FCA issued final rules and guidance on the PPI complaints. This set the deadline for complaints as August 29, 2019. It also provided clarity on how to handle PPI complaints under s.140A of the Consu</w:t>
      </w:r>
      <w:r>
        <w:rPr>
          <w:rFonts w:eastAsia="Times New Roman"/>
          <w:color w:val="000000"/>
          <w:sz w:val="20"/>
          <w:szCs w:val="20"/>
        </w:rPr>
        <w:t xml:space="preserve">mer Credit Act, including guidance on how redress for such complaints should be calculated. </w:t>
      </w:r>
    </w:p>
    <w:p w:rsidR="00000000" w:rsidRDefault="00795D39">
      <w:pPr>
        <w:jc w:val="both"/>
        <w:divId w:val="117189310"/>
        <w:rPr>
          <w:rFonts w:eastAsia="Times New Roman"/>
        </w:rPr>
      </w:pPr>
      <w:r>
        <w:rPr>
          <w:rFonts w:eastAsia="Times New Roman"/>
          <w:color w:val="000000"/>
          <w:sz w:val="20"/>
          <w:szCs w:val="20"/>
        </w:rPr>
        <w:t>COEP has now materially completed the handling of PPI complaints that were received prior to the deadline set by the FCA. Escalations to the FOS (by customers or t</w:t>
      </w:r>
      <w:r>
        <w:rPr>
          <w:rFonts w:eastAsia="Times New Roman"/>
          <w:color w:val="000000"/>
          <w:sz w:val="20"/>
          <w:szCs w:val="20"/>
        </w:rPr>
        <w:t xml:space="preserve">heir representatives) may still take place until the first quarter of 2021. Throughout this time, the FCA will continue to supervise firms that handle PPI complaints and the supporting processes, people and systems. </w:t>
      </w:r>
    </w:p>
    <w:p w:rsidR="00000000" w:rsidRDefault="00795D39">
      <w:pPr>
        <w:jc w:val="both"/>
        <w:divId w:val="1399934190"/>
        <w:rPr>
          <w:rFonts w:eastAsia="Times New Roman"/>
        </w:rPr>
      </w:pPr>
      <w:r>
        <w:rPr>
          <w:rFonts w:eastAsia="Times New Roman"/>
          <w:color w:val="000000"/>
          <w:sz w:val="20"/>
          <w:szCs w:val="20"/>
        </w:rPr>
        <w:t>Our U.K. PPI reserve declined to a de m</w:t>
      </w:r>
      <w:r>
        <w:rPr>
          <w:rFonts w:eastAsia="Times New Roman"/>
          <w:color w:val="000000"/>
          <w:sz w:val="20"/>
          <w:szCs w:val="20"/>
        </w:rPr>
        <w:t>inimis amount at September 30, 2020 from $188 million as of December 31, 2019. We do not believe there are significant reasonably possible future losses beyond our reserve as of September 30, 2020.</w:t>
      </w:r>
    </w:p>
    <w:p w:rsidR="00000000" w:rsidRDefault="00795D39">
      <w:pPr>
        <w:jc w:val="both"/>
        <w:divId w:val="1511527431"/>
        <w:rPr>
          <w:rFonts w:eastAsia="Times New Roman"/>
        </w:rPr>
      </w:pPr>
      <w:r>
        <w:rPr>
          <w:rFonts w:eastAsia="Times New Roman"/>
          <w:color w:val="000000"/>
          <w:sz w:val="20"/>
          <w:szCs w:val="20"/>
        </w:rPr>
        <w:t>In determining our best estimate of incurred losses for fu</w:t>
      </w:r>
      <w:r>
        <w:rPr>
          <w:rFonts w:eastAsia="Times New Roman"/>
          <w:color w:val="000000"/>
          <w:sz w:val="20"/>
          <w:szCs w:val="20"/>
        </w:rPr>
        <w:t>ture remediation payments, management considers numerous factors, including (i) the number of customer complaints or information requests still to be processed; (ii) our expectation of upholding those complaints; (iii) the expected number of complaints cus</w:t>
      </w:r>
      <w:r>
        <w:rPr>
          <w:rFonts w:eastAsia="Times New Roman"/>
          <w:color w:val="000000"/>
          <w:sz w:val="20"/>
          <w:szCs w:val="20"/>
        </w:rPr>
        <w:t>tomers escalate to the FOS; (iv) our expectation of the FOS upholding such escalated complaints; (v) the number of complaints that fall under s.140A of the Consumer Credit Act; and (vi) the estimated remediation payout to customers. We monitor these factor</w:t>
      </w:r>
      <w:r>
        <w:rPr>
          <w:rFonts w:eastAsia="Times New Roman"/>
          <w:color w:val="000000"/>
          <w:sz w:val="20"/>
          <w:szCs w:val="20"/>
        </w:rPr>
        <w:t>s each quarter and adjust our reserves to reflect the latest data.</w:t>
      </w:r>
    </w:p>
    <w:p w:rsidR="00000000" w:rsidRDefault="00795D39">
      <w:pPr>
        <w:divId w:val="1851289873"/>
        <w:rPr>
          <w:rFonts w:eastAsia="Times New Roman"/>
        </w:rPr>
      </w:pPr>
      <w:r>
        <w:rPr>
          <w:rFonts w:eastAsia="Times New Roman"/>
          <w:b/>
          <w:bCs/>
          <w:color w:val="000000"/>
          <w:sz w:val="20"/>
          <w:szCs w:val="20"/>
        </w:rPr>
        <w:t>Litigation</w:t>
      </w:r>
    </w:p>
    <w:p w:rsidR="00000000" w:rsidRDefault="00795D39">
      <w:pPr>
        <w:jc w:val="both"/>
        <w:divId w:val="860433410"/>
        <w:rPr>
          <w:rFonts w:eastAsia="Times New Roman"/>
        </w:rPr>
      </w:pPr>
      <w:r>
        <w:rPr>
          <w:rFonts w:eastAsia="Times New Roman"/>
          <w:color w:val="000000"/>
          <w:sz w:val="20"/>
          <w:szCs w:val="20"/>
        </w:rPr>
        <w:t>In accordance with the current accounting standards for loss contingencies, we establish reserves for litigation-related matters that arise from the ordinary course of our busine</w:t>
      </w:r>
      <w:r>
        <w:rPr>
          <w:rFonts w:eastAsia="Times New Roman"/>
          <w:color w:val="000000"/>
          <w:sz w:val="20"/>
          <w:szCs w:val="20"/>
        </w:rPr>
        <w:t xml:space="preserve">ss activities when it is probable that a loss associated with a claim or proceeding has been incurred and the amount of the loss can be reasonably estimated. None of the amounts we currently have recorded individually or in the aggregate are considered to </w:t>
      </w:r>
      <w:r>
        <w:rPr>
          <w:rFonts w:eastAsia="Times New Roman"/>
          <w:color w:val="000000"/>
          <w:sz w:val="20"/>
          <w:szCs w:val="20"/>
        </w:rPr>
        <w:t>be material to our financial condition. Litigation claims and proceedings of all types are subject to many uncertain factors that generally cannot be predicted with assurance. Below we provide a description of potentially material legal proceedings and cla</w:t>
      </w:r>
      <w:r>
        <w:rPr>
          <w:rFonts w:eastAsia="Times New Roman"/>
          <w:color w:val="000000"/>
          <w:sz w:val="20"/>
          <w:szCs w:val="20"/>
        </w:rPr>
        <w:t>ims.</w:t>
      </w:r>
    </w:p>
    <w:p w:rsidR="00000000" w:rsidRDefault="00795D39">
      <w:pPr>
        <w:jc w:val="both"/>
        <w:divId w:val="1470321242"/>
        <w:rPr>
          <w:rFonts w:eastAsia="Times New Roman"/>
        </w:rPr>
      </w:pPr>
      <w:r>
        <w:rPr>
          <w:rFonts w:eastAsia="Times New Roman"/>
          <w:color w:val="000000"/>
          <w:sz w:val="20"/>
          <w:szCs w:val="20"/>
        </w:rPr>
        <w:t>For some of the matters disclosed below, we are able to estimate reasonably possible losses above existing reserves, and for other disclosed matters, such an estimate is not possible at this time. For those matters below where an estimate is possible,</w:t>
      </w:r>
      <w:r>
        <w:rPr>
          <w:rFonts w:eastAsia="Times New Roman"/>
          <w:color w:val="000000"/>
          <w:sz w:val="20"/>
          <w:szCs w:val="20"/>
        </w:rPr>
        <w:t xml:space="preserve"> management currently estimates the reasonably possible future losses beyond our reserves as of September 30, 2020 are approximately $1.0 billion. Our reserve and reasonably possible loss estimates involve considerable judgment and reflect that there is st</w:t>
      </w:r>
      <w:r>
        <w:rPr>
          <w:rFonts w:eastAsia="Times New Roman"/>
          <w:color w:val="000000"/>
          <w:sz w:val="20"/>
          <w:szCs w:val="20"/>
        </w:rPr>
        <w:t>ill significant uncertainty regarding numerous factors that may impact the ultimate loss levels. Notwithstanding our attempt to estimate a reasonably possible range of loss beyond our current accrual levels for some litigation matters based on current info</w:t>
      </w:r>
      <w:r>
        <w:rPr>
          <w:rFonts w:eastAsia="Times New Roman"/>
          <w:color w:val="000000"/>
          <w:sz w:val="20"/>
          <w:szCs w:val="20"/>
        </w:rPr>
        <w:t>rmation, it is possible that actual future losses will exceed both the current accrual level and the range of reasonably possible losses disclosed here. Given the inherent uncertainties involved in these matters, especially those involving governmental age</w:t>
      </w:r>
      <w:r>
        <w:rPr>
          <w:rFonts w:eastAsia="Times New Roman"/>
          <w:color w:val="000000"/>
          <w:sz w:val="20"/>
          <w:szCs w:val="20"/>
        </w:rPr>
        <w:t>ncies, and the very large or indeterminate damages sought in some of these matters, there is significant uncertainty as to the ultimate liability we may incur from these litigation matters and an adverse outcome in one or more of these matters could be mat</w:t>
      </w:r>
      <w:r>
        <w:rPr>
          <w:rFonts w:eastAsia="Times New Roman"/>
          <w:color w:val="000000"/>
          <w:sz w:val="20"/>
          <w:szCs w:val="20"/>
        </w:rPr>
        <w:t>erial to our results of operations or cash flows for any particular reporting period.</w:t>
      </w:r>
    </w:p>
    <w:p w:rsidR="00000000" w:rsidRDefault="00795D39">
      <w:pPr>
        <w:divId w:val="1809011378"/>
        <w:rPr>
          <w:rFonts w:eastAsia="Times New Roman"/>
        </w:rPr>
      </w:pPr>
      <w:r>
        <w:rPr>
          <w:rFonts w:eastAsia="Times New Roman"/>
          <w:b/>
          <w:bCs/>
          <w:i/>
          <w:iCs/>
          <w:color w:val="000000"/>
          <w:sz w:val="20"/>
          <w:szCs w:val="20"/>
        </w:rPr>
        <w:t>Interchange</w:t>
      </w:r>
    </w:p>
    <w:p w:rsidR="00000000" w:rsidRDefault="00795D39">
      <w:pPr>
        <w:jc w:val="both"/>
        <w:divId w:val="336348069"/>
        <w:rPr>
          <w:rFonts w:eastAsia="Times New Roman"/>
        </w:rPr>
      </w:pPr>
      <w:r>
        <w:rPr>
          <w:rFonts w:eastAsia="Times New Roman"/>
          <w:color w:val="000000"/>
          <w:sz w:val="20"/>
          <w:szCs w:val="20"/>
        </w:rPr>
        <w:t>In 2005, a putative class of retail merchants filed antitrust lawsuits against MasterCard and Visa and several issuing banks, including Capital One, seeking b</w:t>
      </w:r>
      <w:r>
        <w:rPr>
          <w:rFonts w:eastAsia="Times New Roman"/>
          <w:color w:val="000000"/>
          <w:sz w:val="20"/>
          <w:szCs w:val="20"/>
        </w:rPr>
        <w:t xml:space="preserve">oth injunctive relief and monetary damages for an alleged conspiracy by defendants to fix the level of interchange fees. Other merchants have asserted similar claims in separate lawsuits, and while these separate cases did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1775014"/>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2177501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2177501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139</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4" style="width:0;height:1.5pt" o:hralign="center" o:hrstd="t" o:hr="t" fillcolor="#a0a0a0" stroked="f"/>
        </w:pict>
      </w:r>
    </w:p>
    <w:p w:rsidR="00000000" w:rsidRDefault="00795D39">
      <w:pPr>
        <w:jc w:val="both"/>
        <w:divId w:val="1613708067"/>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613708067"/>
        <w:rPr>
          <w:rFonts w:eastAsia="Times New Roman"/>
        </w:rPr>
      </w:pPr>
    </w:p>
    <w:p w:rsidR="00000000" w:rsidRDefault="00795D39">
      <w:pPr>
        <w:jc w:val="both"/>
        <w:divId w:val="1453986134"/>
        <w:rPr>
          <w:rFonts w:eastAsia="Times New Roman"/>
        </w:rPr>
      </w:pPr>
      <w:r>
        <w:rPr>
          <w:rFonts w:eastAsia="Times New Roman"/>
          <w:color w:val="000000"/>
          <w:sz w:val="20"/>
          <w:szCs w:val="20"/>
        </w:rPr>
        <w:t>not name any issuing banks, Visa, MasterCard and issuers, including Capital One, have entered settlement and judgment sharing agreements allocating the liabilities of any judgment or settlement arising from all interchange-related cases.</w:t>
      </w:r>
    </w:p>
    <w:p w:rsidR="00000000" w:rsidRDefault="00795D39">
      <w:pPr>
        <w:jc w:val="both"/>
        <w:divId w:val="699548139"/>
        <w:rPr>
          <w:rFonts w:eastAsia="Times New Roman"/>
        </w:rPr>
      </w:pPr>
      <w:r>
        <w:rPr>
          <w:rFonts w:eastAsia="Times New Roman"/>
          <w:color w:val="000000"/>
          <w:sz w:val="20"/>
          <w:szCs w:val="20"/>
        </w:rPr>
        <w:t xml:space="preserve">The lawsuits were </w:t>
      </w:r>
      <w:r>
        <w:rPr>
          <w:rFonts w:eastAsia="Times New Roman"/>
          <w:color w:val="000000"/>
          <w:sz w:val="20"/>
          <w:szCs w:val="20"/>
        </w:rPr>
        <w:t>consolidated before the U.S. District Court for the Eastern District of New York for certain purposes and were settled in 2012. The class settlement, however, was invalidated by the United States Court of Appeals for the Second Circuit in June 2016, and th</w:t>
      </w:r>
      <w:r>
        <w:rPr>
          <w:rFonts w:eastAsia="Times New Roman"/>
          <w:color w:val="000000"/>
          <w:sz w:val="20"/>
          <w:szCs w:val="20"/>
        </w:rPr>
        <w:t>e suit was bifurcated into separate class actions seeking injunctive and monetary relief, respectively. In addition, numerous merchant groups opted out of the 2012 settlement and have pursued their own claims. The claims by the injunctive relief class have</w:t>
      </w:r>
      <w:r>
        <w:rPr>
          <w:rFonts w:eastAsia="Times New Roman"/>
          <w:color w:val="000000"/>
          <w:sz w:val="20"/>
          <w:szCs w:val="20"/>
        </w:rPr>
        <w:t xml:space="preserve"> not been resolved, but the settlement of $5.5 billion for the monetary damages class received final approval from the trial court, and has been appealed to the U.S. Court of Appeals for the Second Circuit. Visa and MasterCard have also settled a number of</w:t>
      </w:r>
      <w:r>
        <w:rPr>
          <w:rFonts w:eastAsia="Times New Roman"/>
          <w:color w:val="000000"/>
          <w:sz w:val="20"/>
          <w:szCs w:val="20"/>
        </w:rPr>
        <w:t xml:space="preserve"> the opt-out cases, which required non-material payments from issuing banks, including Capital One. Visa created a litigation escrow account following its initial public offering of stock in 2008 that funds settlements for its member banks, and any settlem</w:t>
      </w:r>
      <w:r>
        <w:rPr>
          <w:rFonts w:eastAsia="Times New Roman"/>
          <w:color w:val="000000"/>
          <w:sz w:val="20"/>
          <w:szCs w:val="20"/>
        </w:rPr>
        <w:t>ents related to MasterCard-allocated losses have either already been paid or are reflected in our reserves.</w:t>
      </w:r>
    </w:p>
    <w:p w:rsidR="00000000" w:rsidRDefault="00795D39">
      <w:pPr>
        <w:divId w:val="1606112152"/>
        <w:rPr>
          <w:rFonts w:eastAsia="Times New Roman"/>
        </w:rPr>
      </w:pPr>
      <w:r>
        <w:rPr>
          <w:rFonts w:eastAsia="Times New Roman"/>
          <w:b/>
          <w:bCs/>
          <w:i/>
          <w:iCs/>
          <w:color w:val="000000"/>
          <w:sz w:val="20"/>
          <w:szCs w:val="20"/>
        </w:rPr>
        <w:t>Mortgage Representation and Warranty</w:t>
      </w:r>
    </w:p>
    <w:p w:rsidR="00000000" w:rsidRDefault="00795D39">
      <w:pPr>
        <w:jc w:val="both"/>
        <w:divId w:val="505632634"/>
        <w:rPr>
          <w:rFonts w:eastAsia="Times New Roman"/>
        </w:rPr>
      </w:pPr>
      <w:r>
        <w:rPr>
          <w:rFonts w:eastAsia="Times New Roman"/>
          <w:color w:val="000000"/>
          <w:sz w:val="20"/>
          <w:szCs w:val="20"/>
        </w:rPr>
        <w:t>We face residual exposure related to subsidiaries that originated residential mortgage loans and sold these loa</w:t>
      </w:r>
      <w:r>
        <w:rPr>
          <w:rFonts w:eastAsia="Times New Roman"/>
          <w:color w:val="000000"/>
          <w:sz w:val="20"/>
          <w:szCs w:val="20"/>
        </w:rPr>
        <w:t xml:space="preserve">ns to various purchasers, including purchasers who created securitization trusts. In connection with their sales of mortgage loans, these subsidiaries entered into agreements containing varying representations and warranties about, among other things, the </w:t>
      </w:r>
      <w:r>
        <w:rPr>
          <w:rFonts w:eastAsia="Times New Roman"/>
          <w:color w:val="000000"/>
          <w:sz w:val="20"/>
          <w:szCs w:val="20"/>
        </w:rPr>
        <w:t>ownership of the loan, the validity of the lien securing the loan, the loan’s compliance with any applicable criteria established by the purchaser, including underwriting guidelines and the existence of mortgage insurance, and the loan’s compliance with ap</w:t>
      </w:r>
      <w:r>
        <w:rPr>
          <w:rFonts w:eastAsia="Times New Roman"/>
          <w:color w:val="000000"/>
          <w:sz w:val="20"/>
          <w:szCs w:val="20"/>
        </w:rPr>
        <w:t>plicable federal, state and local laws. Each of these subsidiaries may be required to repurchase mortgage loans or indemnify certain purchasers and others against losses they incur in the event of certain breaches of these representations and warranties.</w:t>
      </w:r>
    </w:p>
    <w:p w:rsidR="00000000" w:rsidRDefault="00795D39">
      <w:pPr>
        <w:jc w:val="both"/>
        <w:divId w:val="1977950251"/>
        <w:rPr>
          <w:rFonts w:eastAsia="Times New Roman"/>
        </w:rPr>
      </w:pPr>
      <w:r>
        <w:rPr>
          <w:rFonts w:eastAsia="Times New Roman"/>
          <w:color w:val="000000"/>
          <w:sz w:val="20"/>
          <w:szCs w:val="20"/>
        </w:rPr>
        <w:t>T</w:t>
      </w:r>
      <w:r>
        <w:rPr>
          <w:rFonts w:eastAsia="Times New Roman"/>
          <w:color w:val="000000"/>
          <w:sz w:val="20"/>
          <w:szCs w:val="20"/>
        </w:rPr>
        <w:t>he substantial majority of our representation and warranty exposure has been resolved through litigation, and our remaining representation and warranty exposure is almost entirely litigation-related. Accordingly, we establish litigation reserves for repres</w:t>
      </w:r>
      <w:r>
        <w:rPr>
          <w:rFonts w:eastAsia="Times New Roman"/>
          <w:color w:val="000000"/>
          <w:sz w:val="20"/>
          <w:szCs w:val="20"/>
        </w:rPr>
        <w:t xml:space="preserve">entation and warranty losses that we consider to be both probable and reasonably estimable. The reserve process relies heavily on estimates, which are inherently uncertain, and requires the application of judgment. Our reserves and estimates of reasonably </w:t>
      </w:r>
      <w:r>
        <w:rPr>
          <w:rFonts w:eastAsia="Times New Roman"/>
          <w:color w:val="000000"/>
          <w:sz w:val="20"/>
          <w:szCs w:val="20"/>
        </w:rPr>
        <w:t>possible losses could be impacted by claims which may be brought by securitization trustees and sponsors, bond-insurers, investors, and GSEs, as well as claims brought by governmental agencies.</w:t>
      </w:r>
    </w:p>
    <w:p w:rsidR="00000000" w:rsidRDefault="00795D39">
      <w:pPr>
        <w:divId w:val="737555199"/>
        <w:rPr>
          <w:rFonts w:eastAsia="Times New Roman"/>
        </w:rPr>
      </w:pPr>
      <w:r>
        <w:rPr>
          <w:rFonts w:eastAsia="Times New Roman"/>
          <w:b/>
          <w:bCs/>
          <w:i/>
          <w:iCs/>
          <w:color w:val="000000"/>
          <w:sz w:val="20"/>
          <w:szCs w:val="20"/>
        </w:rPr>
        <w:t>Anti-Money Laundering</w:t>
      </w:r>
    </w:p>
    <w:p w:rsidR="00000000" w:rsidRDefault="00795D39">
      <w:pPr>
        <w:jc w:val="both"/>
        <w:divId w:val="1755398067"/>
        <w:rPr>
          <w:rFonts w:eastAsia="Times New Roman"/>
        </w:rPr>
      </w:pPr>
      <w:r>
        <w:rPr>
          <w:rFonts w:eastAsia="Times New Roman"/>
          <w:color w:val="000000"/>
          <w:sz w:val="20"/>
          <w:szCs w:val="20"/>
        </w:rPr>
        <w:t>In October 2018, we paid a civil monetar</w:t>
      </w:r>
      <w:r>
        <w:rPr>
          <w:rFonts w:eastAsia="Times New Roman"/>
          <w:color w:val="000000"/>
          <w:sz w:val="20"/>
          <w:szCs w:val="20"/>
        </w:rPr>
        <w:t>y penalty of $100 million to resolve the monetary component of a July 2015 Office of the Comptroller of the Currency (“OCC”) consent order relating to our anti-money laundering (“AML”) program. The OCC lifted the AML consent order in November 2019.</w:t>
      </w:r>
    </w:p>
    <w:p w:rsidR="00000000" w:rsidRDefault="00795D39">
      <w:pPr>
        <w:jc w:val="both"/>
        <w:divId w:val="1223371861"/>
        <w:rPr>
          <w:rFonts w:eastAsia="Times New Roman"/>
        </w:rPr>
      </w:pPr>
      <w:r>
        <w:rPr>
          <w:rFonts w:eastAsia="Times New Roman"/>
          <w:color w:val="000000"/>
          <w:sz w:val="20"/>
          <w:szCs w:val="20"/>
        </w:rPr>
        <w:t>The Dep</w:t>
      </w:r>
      <w:r>
        <w:rPr>
          <w:rFonts w:eastAsia="Times New Roman"/>
          <w:color w:val="000000"/>
          <w:sz w:val="20"/>
          <w:szCs w:val="20"/>
        </w:rPr>
        <w:t>artment of Justice and the New York District Attorney’s Office have closed their investigations into certain former check casher clients of the Commercial Banking business and our AML program. We are in discussions with the Financial Crimes Enforcement Net</w:t>
      </w:r>
      <w:r>
        <w:rPr>
          <w:rFonts w:eastAsia="Times New Roman"/>
          <w:color w:val="000000"/>
          <w:sz w:val="20"/>
          <w:szCs w:val="20"/>
        </w:rPr>
        <w:t>work (“FinCEN”) of the U.S. Department of Treasury to explore a potential regulatory resolution of its investigation into our AML program, which could include a monetary penalty.</w:t>
      </w:r>
    </w:p>
    <w:p w:rsidR="00000000" w:rsidRDefault="00795D39">
      <w:pPr>
        <w:divId w:val="1068067009"/>
        <w:rPr>
          <w:rFonts w:eastAsia="Times New Roman"/>
        </w:rPr>
      </w:pPr>
      <w:r>
        <w:rPr>
          <w:rFonts w:eastAsia="Times New Roman"/>
          <w:b/>
          <w:bCs/>
          <w:i/>
          <w:iCs/>
          <w:color w:val="000000"/>
          <w:sz w:val="20"/>
          <w:szCs w:val="20"/>
        </w:rPr>
        <w:t>Cybersecurity Incident</w:t>
      </w:r>
    </w:p>
    <w:p w:rsidR="00000000" w:rsidRDefault="00795D39">
      <w:pPr>
        <w:jc w:val="both"/>
        <w:divId w:val="1330601224"/>
        <w:rPr>
          <w:rFonts w:eastAsia="Times New Roman"/>
        </w:rPr>
      </w:pPr>
      <w:r>
        <w:rPr>
          <w:rFonts w:eastAsia="Times New Roman"/>
          <w:color w:val="000000"/>
          <w:sz w:val="20"/>
          <w:szCs w:val="20"/>
        </w:rPr>
        <w:t>As a result of the Cybersecurity Incident announced on</w:t>
      </w:r>
      <w:r>
        <w:rPr>
          <w:rFonts w:eastAsia="Times New Roman"/>
          <w:color w:val="000000"/>
          <w:sz w:val="20"/>
          <w:szCs w:val="20"/>
        </w:rPr>
        <w:t xml:space="preserve"> July 29, 2019, we are subject to numerous legal proceedings and other inquiries and could be the subject of additional proceedings and inquiries in the future. </w:t>
      </w:r>
    </w:p>
    <w:p w:rsidR="00000000" w:rsidRDefault="00795D39">
      <w:pPr>
        <w:jc w:val="both"/>
        <w:divId w:val="526022234"/>
        <w:rPr>
          <w:rFonts w:eastAsia="Times New Roman"/>
        </w:rPr>
      </w:pPr>
      <w:r>
        <w:rPr>
          <w:rFonts w:eastAsia="Times New Roman"/>
          <w:i/>
          <w:iCs/>
          <w:color w:val="000000"/>
          <w:sz w:val="20"/>
          <w:szCs w:val="20"/>
        </w:rPr>
        <w:t>Consumer class actions</w:t>
      </w:r>
      <w:r>
        <w:rPr>
          <w:rFonts w:eastAsia="Times New Roman"/>
          <w:color w:val="000000"/>
          <w:sz w:val="20"/>
          <w:szCs w:val="20"/>
        </w:rPr>
        <w:t>. To date, we have been named as a defendant in approximately 73 putativ</w:t>
      </w:r>
      <w:r>
        <w:rPr>
          <w:rFonts w:eastAsia="Times New Roman"/>
          <w:color w:val="000000"/>
          <w:sz w:val="20"/>
          <w:szCs w:val="20"/>
        </w:rPr>
        <w:t>e consumer class action cases (61 in U.S. federal courts and 12 in Canadian courts) alleging harm from the Cybersecurity Incident and seeking various remedies, including monetary and injunctive relief. The lawsuits allege breach of contract, negligence, vi</w:t>
      </w:r>
      <w:r>
        <w:rPr>
          <w:rFonts w:eastAsia="Times New Roman"/>
          <w:color w:val="000000"/>
          <w:sz w:val="20"/>
          <w:szCs w:val="20"/>
        </w:rPr>
        <w:t>olations of various privacy laws and a variety of other legal causes of action. The U.S. consumer class actions have been consolidated for pretrial proceedings before a multi-district litigation (“MDL”) panel in the U.S. District Court for the Eastern Dist</w:t>
      </w:r>
      <w:r>
        <w:rPr>
          <w:rFonts w:eastAsia="Times New Roman"/>
          <w:color w:val="000000"/>
          <w:sz w:val="20"/>
          <w:szCs w:val="20"/>
        </w:rPr>
        <w:t xml:space="preserve">rict of Virginia, Alexandria Division. In the third quarter of 2020, the MDL panel denied in part and granted in part Capital One’s motion to dismiss and permitted pretrial discovery to continue.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47493779"/>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47493779"/>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47493779"/>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140</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5" style="width:0;height:1.5pt" o:hralign="center" o:hrstd="t" o:hr="t" fillcolor="#a0a0a0" stroked="f"/>
        </w:pict>
      </w:r>
    </w:p>
    <w:p w:rsidR="00000000" w:rsidRDefault="00795D39">
      <w:pPr>
        <w:jc w:val="both"/>
        <w:divId w:val="56243350"/>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56243350"/>
        <w:rPr>
          <w:rFonts w:eastAsia="Times New Roman"/>
        </w:rPr>
      </w:pPr>
    </w:p>
    <w:p w:rsidR="00000000" w:rsidRDefault="00795D39">
      <w:pPr>
        <w:jc w:val="both"/>
        <w:divId w:val="133565465"/>
        <w:rPr>
          <w:rFonts w:eastAsia="Times New Roman"/>
        </w:rPr>
      </w:pPr>
      <w:r>
        <w:rPr>
          <w:rFonts w:eastAsia="Times New Roman"/>
          <w:i/>
          <w:iCs/>
          <w:color w:val="000000"/>
          <w:sz w:val="20"/>
          <w:szCs w:val="20"/>
        </w:rPr>
        <w:t>Securities class action</w:t>
      </w:r>
      <w:r>
        <w:rPr>
          <w:rFonts w:eastAsia="Times New Roman"/>
          <w:color w:val="000000"/>
          <w:sz w:val="20"/>
          <w:szCs w:val="20"/>
        </w:rPr>
        <w:t>. The Company and certain officers have also been named as defendants in a putative class action pending in the MDL all</w:t>
      </w:r>
      <w:r>
        <w:rPr>
          <w:rFonts w:eastAsia="Times New Roman"/>
          <w:color w:val="000000"/>
          <w:sz w:val="20"/>
          <w:szCs w:val="20"/>
        </w:rPr>
        <w:t>eging violations of certain federal securities laws in connection with statements and alleged omissions in securities filings relating to our information security standards and practices. The complaint seeks certification of a class of all persons who purc</w:t>
      </w:r>
      <w:r>
        <w:rPr>
          <w:rFonts w:eastAsia="Times New Roman"/>
          <w:color w:val="000000"/>
          <w:sz w:val="20"/>
          <w:szCs w:val="20"/>
        </w:rPr>
        <w:t>hased or otherwise acquired Capital One securities from July 23, 2015 to July 29, 2019, as well as unspecified monetary damages, costs and other relief.</w:t>
      </w:r>
    </w:p>
    <w:p w:rsidR="00000000" w:rsidRDefault="00795D39">
      <w:pPr>
        <w:jc w:val="both"/>
        <w:divId w:val="472915610"/>
        <w:rPr>
          <w:rFonts w:eastAsia="Times New Roman"/>
        </w:rPr>
      </w:pPr>
      <w:r>
        <w:rPr>
          <w:rFonts w:eastAsia="Times New Roman"/>
          <w:i/>
          <w:iCs/>
          <w:color w:val="000000"/>
          <w:sz w:val="20"/>
          <w:szCs w:val="20"/>
        </w:rPr>
        <w:t>Governmental inquiries</w:t>
      </w:r>
      <w:r>
        <w:rPr>
          <w:rFonts w:eastAsia="Times New Roman"/>
          <w:color w:val="000000"/>
          <w:sz w:val="20"/>
          <w:szCs w:val="20"/>
        </w:rPr>
        <w:t>. We have received inquiries and requests for information relating to the Cyberse</w:t>
      </w:r>
      <w:r>
        <w:rPr>
          <w:rFonts w:eastAsia="Times New Roman"/>
          <w:color w:val="000000"/>
          <w:sz w:val="20"/>
          <w:szCs w:val="20"/>
        </w:rPr>
        <w:t xml:space="preserve">curity Incident from Congress, federal banking regulators, relevant Canadian regulators, the Department of Justice, and the offices of approximately fourteen state Attorneys General. We are cooperating with these offices and responding to their inquiries. </w:t>
      </w:r>
    </w:p>
    <w:p w:rsidR="00000000" w:rsidRDefault="00795D39">
      <w:pPr>
        <w:jc w:val="both"/>
        <w:divId w:val="4133151"/>
        <w:rPr>
          <w:rFonts w:eastAsia="Times New Roman"/>
        </w:rPr>
      </w:pPr>
      <w:r>
        <w:rPr>
          <w:rFonts w:eastAsia="Times New Roman"/>
          <w:color w:val="000000"/>
          <w:sz w:val="20"/>
          <w:szCs w:val="20"/>
        </w:rPr>
        <w:t>In August 2020, we entered into consent orders with the Federal Reserve Board of Governors and the OCC resulting from regulatory reviews of the Cybersecurity Incident and relating to ongoing enhancements of our cybersecurity and operational risk management</w:t>
      </w:r>
      <w:r>
        <w:rPr>
          <w:rFonts w:eastAsia="Times New Roman"/>
          <w:color w:val="000000"/>
          <w:sz w:val="20"/>
          <w:szCs w:val="20"/>
        </w:rPr>
        <w:t xml:space="preserve"> processes. We paid an $80 million penalty to the U.S. Treasury as part of the OCC agreement. The Federal Reserve Board agreement did not contain a monetary penalty. </w:t>
      </w:r>
    </w:p>
    <w:p w:rsidR="00000000" w:rsidRDefault="00795D39">
      <w:pPr>
        <w:divId w:val="1909067674"/>
        <w:rPr>
          <w:rFonts w:eastAsia="Times New Roman"/>
        </w:rPr>
      </w:pPr>
      <w:r>
        <w:rPr>
          <w:rFonts w:eastAsia="Times New Roman"/>
          <w:b/>
          <w:bCs/>
          <w:i/>
          <w:iCs/>
          <w:color w:val="000000"/>
          <w:sz w:val="20"/>
          <w:szCs w:val="20"/>
        </w:rPr>
        <w:t>Taxi Medallion Finance Investigations</w:t>
      </w:r>
    </w:p>
    <w:p w:rsidR="00000000" w:rsidRDefault="00795D39">
      <w:pPr>
        <w:jc w:val="both"/>
        <w:divId w:val="17630827"/>
        <w:rPr>
          <w:rFonts w:eastAsia="Times New Roman"/>
        </w:rPr>
      </w:pPr>
      <w:r>
        <w:rPr>
          <w:rFonts w:eastAsia="Times New Roman"/>
          <w:color w:val="000000"/>
          <w:sz w:val="20"/>
          <w:szCs w:val="20"/>
        </w:rPr>
        <w:t xml:space="preserve">Beginning in 2019, we have received subpoenas from </w:t>
      </w:r>
      <w:r>
        <w:rPr>
          <w:rFonts w:eastAsia="Times New Roman"/>
          <w:color w:val="000000"/>
          <w:sz w:val="20"/>
          <w:szCs w:val="20"/>
        </w:rPr>
        <w:t>the New York Attorney General’s office and from the U.S. Attorney’s Office for the Southern District of New York, Civil and Criminal Divisions, relating to investigations of the taxi medallion finance industry we exited beginning in 2015. The subpoenas see</w:t>
      </w:r>
      <w:r>
        <w:rPr>
          <w:rFonts w:eastAsia="Times New Roman"/>
          <w:color w:val="000000"/>
          <w:sz w:val="20"/>
          <w:szCs w:val="20"/>
        </w:rPr>
        <w:t>k, among other things, information regarding our lending counterparties and practices. We are cooperating with these investigations.</w:t>
      </w:r>
    </w:p>
    <w:p w:rsidR="00000000" w:rsidRDefault="00795D39">
      <w:pPr>
        <w:divId w:val="1318802026"/>
        <w:rPr>
          <w:rFonts w:eastAsia="Times New Roman"/>
        </w:rPr>
      </w:pPr>
      <w:r>
        <w:rPr>
          <w:rFonts w:eastAsia="Times New Roman"/>
          <w:b/>
          <w:bCs/>
          <w:i/>
          <w:iCs/>
          <w:color w:val="000000"/>
          <w:sz w:val="20"/>
          <w:szCs w:val="20"/>
        </w:rPr>
        <w:t>U.K. PPI Litigation</w:t>
      </w:r>
    </w:p>
    <w:p w:rsidR="00000000" w:rsidRDefault="00795D39">
      <w:pPr>
        <w:jc w:val="both"/>
        <w:divId w:val="1535579120"/>
        <w:rPr>
          <w:rFonts w:eastAsia="Times New Roman"/>
        </w:rPr>
      </w:pPr>
      <w:r>
        <w:rPr>
          <w:rFonts w:eastAsia="Times New Roman"/>
          <w:color w:val="000000"/>
          <w:sz w:val="20"/>
          <w:szCs w:val="20"/>
        </w:rPr>
        <w:t>Some of the claimants in the U.K. PPI regulatory claims process described above have initiated legal pr</w:t>
      </w:r>
      <w:r>
        <w:rPr>
          <w:rFonts w:eastAsia="Times New Roman"/>
          <w:color w:val="000000"/>
          <w:sz w:val="20"/>
          <w:szCs w:val="20"/>
        </w:rPr>
        <w:t xml:space="preserve">oceedings. The significant increase in PPI regulatory claim volumes shortly before the August 29, 2019 claims submission deadline increases the potential exposure for PPI-related litigation, which is not subject to the August 29, 2019 deadline. </w:t>
      </w:r>
    </w:p>
    <w:p w:rsidR="00000000" w:rsidRDefault="00795D39">
      <w:pPr>
        <w:jc w:val="both"/>
        <w:divId w:val="1691179084"/>
        <w:rPr>
          <w:rFonts w:eastAsia="Times New Roman"/>
        </w:rPr>
      </w:pPr>
      <w:r>
        <w:rPr>
          <w:rFonts w:eastAsia="Times New Roman"/>
          <w:b/>
          <w:bCs/>
          <w:i/>
          <w:iCs/>
          <w:color w:val="000000"/>
          <w:sz w:val="20"/>
          <w:szCs w:val="20"/>
        </w:rPr>
        <w:t>Other Pend</w:t>
      </w:r>
      <w:r>
        <w:rPr>
          <w:rFonts w:eastAsia="Times New Roman"/>
          <w:b/>
          <w:bCs/>
          <w:i/>
          <w:iCs/>
          <w:color w:val="000000"/>
          <w:sz w:val="20"/>
          <w:szCs w:val="20"/>
        </w:rPr>
        <w:t>ing and Threatened Litigation</w:t>
      </w:r>
    </w:p>
    <w:p w:rsidR="00000000" w:rsidRDefault="00795D39">
      <w:pPr>
        <w:jc w:val="both"/>
        <w:divId w:val="1878740679"/>
        <w:rPr>
          <w:rFonts w:eastAsia="Times New Roman"/>
        </w:rPr>
      </w:pPr>
      <w:r>
        <w:rPr>
          <w:rFonts w:eastAsia="Times New Roman"/>
          <w:color w:val="000000"/>
          <w:sz w:val="20"/>
          <w:szCs w:val="20"/>
        </w:rPr>
        <w:t>In addition, we are commonly subject to various pending and threatened legal actions relating to the conduct of our normal business activities. In the opinion of management, the ultimate aggregate liability, if any, arising ou</w:t>
      </w:r>
      <w:r>
        <w:rPr>
          <w:rFonts w:eastAsia="Times New Roman"/>
          <w:color w:val="000000"/>
          <w:sz w:val="20"/>
          <w:szCs w:val="20"/>
        </w:rPr>
        <w:t>t of all such other pending or threatened legal actions, is not expected to be material to our consolidated financial position or our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46516430"/>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046516430"/>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046516430"/>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141</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6" style="width:0;height:1.5pt" o:hralign="center" o:hrstd="t" o:hr="t" fillcolor="#a0a0a0" stroked="f"/>
        </w:pict>
      </w:r>
    </w:p>
    <w:p w:rsidR="00000000" w:rsidRDefault="00795D39">
      <w:pPr>
        <w:jc w:val="both"/>
        <w:divId w:val="746807178"/>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divId w:val="2034190776"/>
        <w:rPr>
          <w:rFonts w:eastAsia="Times New Roman"/>
        </w:rPr>
      </w:pPr>
      <w:r>
        <w:rPr>
          <w:rFonts w:eastAsia="Times New Roman"/>
          <w:b/>
          <w:bCs/>
          <w:color w:val="000000"/>
          <w:sz w:val="20"/>
          <w:szCs w:val="20"/>
        </w:rPr>
        <w:t xml:space="preserve">Item 3. Quantitative and Qualitative Disclosures about Market Risk </w:t>
      </w:r>
    </w:p>
    <w:p w:rsidR="00000000" w:rsidRDefault="00795D39">
      <w:pPr>
        <w:jc w:val="both"/>
        <w:divId w:val="943881588"/>
        <w:rPr>
          <w:rFonts w:eastAsia="Times New Roman"/>
        </w:rPr>
      </w:pPr>
      <w:r>
        <w:rPr>
          <w:rFonts w:eastAsia="Times New Roman"/>
          <w:color w:val="000000"/>
          <w:sz w:val="20"/>
          <w:szCs w:val="20"/>
        </w:rPr>
        <w:t>For a discussion of the quantitative and qualitative disclosures about marke</w:t>
      </w:r>
      <w:r>
        <w:rPr>
          <w:rFonts w:eastAsia="Times New Roman"/>
          <w:color w:val="000000"/>
          <w:sz w:val="20"/>
          <w:szCs w:val="20"/>
        </w:rPr>
        <w:t>t risk, see “MD&amp;A—Market Risk Profile.”</w:t>
      </w:r>
    </w:p>
    <w:p w:rsidR="00000000" w:rsidRDefault="00795D39">
      <w:pPr>
        <w:divId w:val="2095735357"/>
        <w:rPr>
          <w:rFonts w:eastAsia="Times New Roman"/>
        </w:rPr>
      </w:pPr>
      <w:r>
        <w:rPr>
          <w:rFonts w:eastAsia="Times New Roman"/>
          <w:b/>
          <w:bCs/>
          <w:color w:val="000000"/>
          <w:sz w:val="20"/>
          <w:szCs w:val="20"/>
        </w:rPr>
        <w:t>Item 4. Controls and Procedures</w:t>
      </w:r>
    </w:p>
    <w:p w:rsidR="00000000" w:rsidRDefault="00795D39">
      <w:pPr>
        <w:divId w:val="1400595328"/>
        <w:rPr>
          <w:rFonts w:eastAsia="Times New Roman"/>
        </w:rPr>
      </w:pPr>
      <w:r>
        <w:rPr>
          <w:rFonts w:eastAsia="Times New Roman"/>
          <w:b/>
          <w:bCs/>
          <w:color w:val="000000"/>
          <w:sz w:val="20"/>
          <w:szCs w:val="20"/>
        </w:rPr>
        <w:t>Overview</w:t>
      </w:r>
    </w:p>
    <w:p w:rsidR="00000000" w:rsidRDefault="00795D39">
      <w:pPr>
        <w:jc w:val="both"/>
        <w:divId w:val="1478035348"/>
        <w:rPr>
          <w:rFonts w:eastAsia="Times New Roman"/>
        </w:rPr>
      </w:pPr>
      <w:r>
        <w:rPr>
          <w:rFonts w:eastAsia="Times New Roman"/>
          <w:color w:val="000000"/>
          <w:sz w:val="20"/>
          <w:szCs w:val="20"/>
        </w:rPr>
        <w:t>We are required under applicable laws and regulations to maintain controls and procedures, which include disclosure controls and procedures as well as internal control over fi</w:t>
      </w:r>
      <w:r>
        <w:rPr>
          <w:rFonts w:eastAsia="Times New Roman"/>
          <w:color w:val="000000"/>
          <w:sz w:val="20"/>
          <w:szCs w:val="20"/>
        </w:rPr>
        <w:t>nancial reporting, as further described below. </w:t>
      </w:r>
    </w:p>
    <w:p w:rsidR="00000000" w:rsidRDefault="00795D39">
      <w:pPr>
        <w:divId w:val="1347292755"/>
        <w:rPr>
          <w:rFonts w:eastAsia="Times New Roman"/>
        </w:rPr>
      </w:pPr>
      <w:r>
        <w:rPr>
          <w:rFonts w:eastAsia="Times New Roman"/>
          <w:b/>
          <w:bCs/>
          <w:color w:val="000000"/>
          <w:sz w:val="20"/>
          <w:szCs w:val="20"/>
        </w:rPr>
        <w:t>(a) Disclosure Controls and Procedures</w:t>
      </w:r>
    </w:p>
    <w:p w:rsidR="00000000" w:rsidRDefault="00795D39">
      <w:pPr>
        <w:jc w:val="both"/>
        <w:divId w:val="390346815"/>
        <w:rPr>
          <w:rFonts w:eastAsia="Times New Roman"/>
        </w:rPr>
      </w:pPr>
      <w:r>
        <w:rPr>
          <w:rFonts w:eastAsia="Times New Roman"/>
          <w:color w:val="000000"/>
          <w:sz w:val="20"/>
          <w:szCs w:val="20"/>
        </w:rPr>
        <w:t>Disclosure controls and procedures refer to controls and other procedures designed to provide reasonable assurance that information required to be disclosed in our finan</w:t>
      </w:r>
      <w:r>
        <w:rPr>
          <w:rFonts w:eastAsia="Times New Roman"/>
          <w:color w:val="000000"/>
          <w:sz w:val="20"/>
          <w:szCs w:val="20"/>
        </w:rPr>
        <w:t>cial reports is recorded, processed, summarized and reported within the time periods specified by the U.S. Securities and Exchange Commission (“SEC”) rules and forms and that such information is accumulated and communicated to management, including our Chi</w:t>
      </w:r>
      <w:r>
        <w:rPr>
          <w:rFonts w:eastAsia="Times New Roman"/>
          <w:color w:val="000000"/>
          <w:sz w:val="20"/>
          <w:szCs w:val="20"/>
        </w:rPr>
        <w:t xml:space="preserve">ef Executive Officer and Chief Financial Officer, as appropriate, to allow timely decisions regarding our required disclosure. In designing and evaluating our disclosure controls and procedures, we recognize that any controls and procedures, no matter how </w:t>
      </w:r>
      <w:r>
        <w:rPr>
          <w:rFonts w:eastAsia="Times New Roman"/>
          <w:color w:val="000000"/>
          <w:sz w:val="20"/>
          <w:szCs w:val="20"/>
        </w:rPr>
        <w:t>well designed and operated, can provide only reasonable assurance of achieving the desired control objectives, and we must apply judgment in evaluating and implementing possible controls and procedures. </w:t>
      </w:r>
    </w:p>
    <w:p w:rsidR="00000000" w:rsidRDefault="00795D39">
      <w:pPr>
        <w:divId w:val="1842621028"/>
        <w:rPr>
          <w:rFonts w:eastAsia="Times New Roman"/>
        </w:rPr>
      </w:pPr>
      <w:r>
        <w:rPr>
          <w:rFonts w:eastAsia="Times New Roman"/>
          <w:b/>
          <w:bCs/>
          <w:i/>
          <w:iCs/>
          <w:color w:val="000000"/>
          <w:sz w:val="20"/>
          <w:szCs w:val="20"/>
        </w:rPr>
        <w:t>Evaluation of Disclosure Controls and Procedures</w:t>
      </w:r>
    </w:p>
    <w:p w:rsidR="00000000" w:rsidRDefault="00795D39">
      <w:pPr>
        <w:jc w:val="both"/>
        <w:divId w:val="1128551974"/>
        <w:rPr>
          <w:rFonts w:eastAsia="Times New Roman"/>
        </w:rPr>
      </w:pPr>
      <w:r>
        <w:rPr>
          <w:rFonts w:eastAsia="Times New Roman"/>
          <w:color w:val="000000"/>
          <w:sz w:val="20"/>
          <w:szCs w:val="20"/>
        </w:rPr>
        <w:t xml:space="preserve">As </w:t>
      </w:r>
      <w:r>
        <w:rPr>
          <w:rFonts w:eastAsia="Times New Roman"/>
          <w:color w:val="000000"/>
          <w:sz w:val="20"/>
          <w:szCs w:val="20"/>
        </w:rPr>
        <w:t>required by Rule 13a-15 of the Securities Exchange Act of 1934 (“Exchange Act”), our management, including the Chief Executive Officer and Chief Financial Officer, conducted an evaluation of the effectiveness of our disclosure controls and procedures (as t</w:t>
      </w:r>
      <w:r>
        <w:rPr>
          <w:rFonts w:eastAsia="Times New Roman"/>
          <w:color w:val="000000"/>
          <w:sz w:val="20"/>
          <w:szCs w:val="20"/>
        </w:rPr>
        <w:t>hat term is defined in Rules 13a-15(e) and 15d-15(e) of the Exchange Act) as of September 30, 2020, the end of the period covered by this Report on Form 10-Q. Based upon that evaluation, the Chief Executive Officer and Chief Financial Officer concluded tha</w:t>
      </w:r>
      <w:r>
        <w:rPr>
          <w:rFonts w:eastAsia="Times New Roman"/>
          <w:color w:val="000000"/>
          <w:sz w:val="20"/>
          <w:szCs w:val="20"/>
        </w:rPr>
        <w:t>t our disclosure controls and procedures were effective as of September 30, 2020, at a reasonable level of assurance, in recording, processing, summarizing and reporting information required to be disclosed within the time periods specified by the SEC rule</w:t>
      </w:r>
      <w:r>
        <w:rPr>
          <w:rFonts w:eastAsia="Times New Roman"/>
          <w:color w:val="000000"/>
          <w:sz w:val="20"/>
          <w:szCs w:val="20"/>
        </w:rPr>
        <w:t>s and forms.</w:t>
      </w:r>
    </w:p>
    <w:p w:rsidR="00000000" w:rsidRDefault="00795D39">
      <w:pPr>
        <w:jc w:val="both"/>
        <w:divId w:val="285090629"/>
        <w:rPr>
          <w:rFonts w:eastAsia="Times New Roman"/>
        </w:rPr>
      </w:pPr>
      <w:r>
        <w:rPr>
          <w:rFonts w:eastAsia="Times New Roman"/>
          <w:b/>
          <w:bCs/>
          <w:color w:val="000000"/>
          <w:sz w:val="20"/>
          <w:szCs w:val="20"/>
        </w:rPr>
        <w:t>(b) Changes in Internal Control Over Financial Reporting</w:t>
      </w:r>
    </w:p>
    <w:p w:rsidR="00000000" w:rsidRDefault="00795D39">
      <w:pPr>
        <w:jc w:val="both"/>
        <w:divId w:val="707221567"/>
        <w:rPr>
          <w:rFonts w:eastAsia="Times New Roman"/>
        </w:rPr>
      </w:pPr>
      <w:r>
        <w:rPr>
          <w:rFonts w:eastAsia="Times New Roman"/>
          <w:color w:val="000000"/>
          <w:sz w:val="20"/>
          <w:szCs w:val="20"/>
        </w:rPr>
        <w:t>We regularly review our disclosure controls and procedures and make changes intended to ensure the quality of our financial reporting. There were no changes in internal control over fina</w:t>
      </w:r>
      <w:r>
        <w:rPr>
          <w:rFonts w:eastAsia="Times New Roman"/>
          <w:color w:val="000000"/>
          <w:sz w:val="20"/>
          <w:szCs w:val="20"/>
        </w:rPr>
        <w:t>ncial reporting that occurred in the third quarter of 2020 that materially affected, or are reasonably likely to materially affect, the Company’s internal control over financial reporting.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7578816"/>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7578816"/>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67578816"/>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142</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7" style="width:0;height:1.5pt" o:hralign="center" o:hrstd="t" o:hr="t" fillcolor="#a0a0a0" stroked="f"/>
        </w:pict>
      </w:r>
    </w:p>
    <w:p w:rsidR="00000000" w:rsidRDefault="00795D39">
      <w:pPr>
        <w:jc w:val="both"/>
        <w:divId w:val="1394310776"/>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256551165"/>
        <w:rPr>
          <w:rFonts w:eastAsia="Times New Roman"/>
        </w:rPr>
      </w:pPr>
      <w:r>
        <w:rPr>
          <w:rFonts w:eastAsia="Times New Roman"/>
          <w:b/>
          <w:bCs/>
          <w:color w:val="000000"/>
          <w:sz w:val="20"/>
          <w:szCs w:val="20"/>
        </w:rPr>
        <w:t xml:space="preserve">PART II—OTHER INFORMATION </w:t>
      </w:r>
    </w:p>
    <w:p w:rsidR="00000000" w:rsidRDefault="00795D39">
      <w:pPr>
        <w:divId w:val="2146775026"/>
        <w:rPr>
          <w:rFonts w:eastAsia="Times New Roman"/>
        </w:rPr>
      </w:pPr>
      <w:r>
        <w:rPr>
          <w:rFonts w:eastAsia="Times New Roman"/>
          <w:b/>
          <w:bCs/>
          <w:color w:val="000000"/>
          <w:sz w:val="20"/>
          <w:szCs w:val="20"/>
        </w:rPr>
        <w:t xml:space="preserve">Item 1. Legal Proceedings </w:t>
      </w:r>
    </w:p>
    <w:p w:rsidR="00000000" w:rsidRDefault="00795D39">
      <w:pPr>
        <w:jc w:val="both"/>
        <w:divId w:val="1530992831"/>
        <w:rPr>
          <w:rFonts w:eastAsia="Times New Roman"/>
        </w:rPr>
      </w:pPr>
      <w:r>
        <w:rPr>
          <w:rFonts w:eastAsia="Times New Roman"/>
          <w:color w:val="000000"/>
          <w:sz w:val="20"/>
          <w:szCs w:val="20"/>
        </w:rPr>
        <w:t>The information required by Item 103 of Regulation S-K is included in “Note 13—Commitments, Contingencies, Guarantees and Others.”</w:t>
      </w:r>
    </w:p>
    <w:p w:rsidR="00000000" w:rsidRDefault="00795D39">
      <w:pPr>
        <w:divId w:val="1656952481"/>
        <w:rPr>
          <w:rFonts w:eastAsia="Times New Roman"/>
        </w:rPr>
      </w:pPr>
      <w:r>
        <w:rPr>
          <w:rFonts w:eastAsia="Times New Roman"/>
          <w:b/>
          <w:bCs/>
          <w:color w:val="000000"/>
          <w:sz w:val="20"/>
          <w:szCs w:val="20"/>
        </w:rPr>
        <w:t xml:space="preserve">Item 1A. Risk Factors </w:t>
      </w:r>
    </w:p>
    <w:p w:rsidR="00000000" w:rsidRDefault="00795D39">
      <w:pPr>
        <w:jc w:val="both"/>
        <w:divId w:val="450049008"/>
        <w:rPr>
          <w:rFonts w:eastAsia="Times New Roman"/>
        </w:rPr>
      </w:pPr>
      <w:r>
        <w:rPr>
          <w:rFonts w:eastAsia="Times New Roman"/>
          <w:color w:val="000000"/>
          <w:sz w:val="20"/>
          <w:szCs w:val="20"/>
          <w:shd w:val="clear" w:color="auto" w:fill="FFFFFF"/>
        </w:rPr>
        <w:t>W</w:t>
      </w:r>
      <w:r>
        <w:rPr>
          <w:rFonts w:eastAsia="Times New Roman"/>
          <w:color w:val="000000"/>
          <w:sz w:val="20"/>
          <w:szCs w:val="20"/>
        </w:rPr>
        <w:t xml:space="preserve">e are not aware of any material changes from </w:t>
      </w:r>
      <w:r>
        <w:rPr>
          <w:rFonts w:eastAsia="Times New Roman"/>
          <w:color w:val="000000"/>
          <w:sz w:val="20"/>
          <w:szCs w:val="20"/>
          <w:shd w:val="clear" w:color="auto" w:fill="FFFFFF"/>
        </w:rPr>
        <w:t>the risk factors set forth under “Part I—Item 1A. Risk F</w:t>
      </w:r>
      <w:r>
        <w:rPr>
          <w:rFonts w:eastAsia="Times New Roman"/>
          <w:color w:val="000000"/>
          <w:sz w:val="20"/>
          <w:szCs w:val="20"/>
          <w:shd w:val="clear" w:color="auto" w:fill="FFFFFF"/>
        </w:rPr>
        <w:t>actors” in our 2019 Form 10-K and “Part II—Item 1A. Risk Factors” in our Quarterly Report on Form 10-Q for the period ended June 30, 2020.</w:t>
      </w:r>
    </w:p>
    <w:p w:rsidR="00000000" w:rsidRDefault="00795D39">
      <w:pPr>
        <w:divId w:val="97528167"/>
        <w:rPr>
          <w:rFonts w:eastAsia="Times New Roman"/>
        </w:rPr>
      </w:pPr>
      <w:r>
        <w:rPr>
          <w:rFonts w:eastAsia="Times New Roman"/>
          <w:b/>
          <w:bCs/>
          <w:color w:val="000000"/>
          <w:sz w:val="20"/>
          <w:szCs w:val="20"/>
        </w:rPr>
        <w:t xml:space="preserve">Item 2. Unregistered Sales of Equity Securities and Use of Proceeds </w:t>
      </w:r>
    </w:p>
    <w:p w:rsidR="00000000" w:rsidRDefault="00795D39">
      <w:pPr>
        <w:jc w:val="both"/>
        <w:divId w:val="1668822950"/>
        <w:rPr>
          <w:rFonts w:eastAsia="Times New Roman"/>
        </w:rPr>
      </w:pPr>
      <w:r>
        <w:rPr>
          <w:rFonts w:eastAsia="Times New Roman"/>
          <w:color w:val="000000"/>
          <w:sz w:val="20"/>
          <w:szCs w:val="20"/>
        </w:rPr>
        <w:t>The following table presents information related</w:t>
      </w:r>
      <w:r>
        <w:rPr>
          <w:rFonts w:eastAsia="Times New Roman"/>
          <w:color w:val="000000"/>
          <w:sz w:val="20"/>
          <w:szCs w:val="20"/>
        </w:rPr>
        <w:t xml:space="preserve"> to the withholdings of our common stock for each calendar month in the third quarter of 2020. Commission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48"/>
        <w:gridCol w:w="5368"/>
        <w:gridCol w:w="36"/>
        <w:gridCol w:w="36"/>
        <w:gridCol w:w="36"/>
        <w:gridCol w:w="36"/>
        <w:gridCol w:w="51"/>
        <w:gridCol w:w="1129"/>
        <w:gridCol w:w="36"/>
        <w:gridCol w:w="36"/>
        <w:gridCol w:w="36"/>
        <w:gridCol w:w="36"/>
        <w:gridCol w:w="111"/>
        <w:gridCol w:w="1131"/>
        <w:gridCol w:w="36"/>
        <w:gridCol w:w="36"/>
        <w:gridCol w:w="36"/>
        <w:gridCol w:w="36"/>
        <w:gridCol w:w="36"/>
      </w:tblGrid>
      <w:tr w:rsidR="00000000">
        <w:trPr>
          <w:divId w:val="1909996080"/>
        </w:trPr>
        <w:tc>
          <w:tcPr>
            <w:tcW w:w="50" w:type="pct"/>
            <w:vAlign w:val="center"/>
            <w:hideMark/>
          </w:tcPr>
          <w:p w:rsidR="00000000" w:rsidRDefault="00795D39">
            <w:pPr>
              <w:jc w:val="both"/>
              <w:rPr>
                <w:rFonts w:eastAsia="Times New Roman"/>
              </w:rPr>
            </w:pPr>
          </w:p>
        </w:tc>
        <w:tc>
          <w:tcPr>
            <w:tcW w:w="330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72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72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0999608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 xml:space="preserve">Total Number </w:t>
            </w:r>
          </w:p>
          <w:p w:rsidR="00000000" w:rsidRDefault="00795D39">
            <w:pPr>
              <w:jc w:val="center"/>
              <w:rPr>
                <w:rFonts w:eastAsia="Times New Roman"/>
              </w:rPr>
            </w:pPr>
            <w:r>
              <w:rPr>
                <w:rFonts w:eastAsia="Times New Roman"/>
                <w:b/>
                <w:bCs/>
                <w:color w:val="000000"/>
                <w:sz w:val="16"/>
                <w:szCs w:val="16"/>
              </w:rPr>
              <w:t>of Shares</w:t>
            </w:r>
          </w:p>
          <w:p w:rsidR="00000000" w:rsidRDefault="00795D39">
            <w:pPr>
              <w:jc w:val="center"/>
              <w:rPr>
                <w:rFonts w:eastAsia="Times New Roman"/>
              </w:rPr>
            </w:pPr>
            <w:r>
              <w:rPr>
                <w:rFonts w:eastAsia="Times New Roman"/>
                <w:b/>
                <w:bCs/>
                <w:color w:val="000000"/>
                <w:sz w:val="16"/>
                <w:szCs w:val="16"/>
              </w:rPr>
              <w:t>Withhel</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 </w:t>
            </w:r>
            <w:r>
              <w:rPr>
                <w:rFonts w:eastAsia="Times New Roman"/>
                <w:b/>
                <w:bCs/>
                <w:color w:val="000000"/>
                <w:sz w:val="16"/>
                <w:szCs w:val="16"/>
              </w:rPr>
              <w:br/>
              <w:t>per </w:t>
            </w:r>
            <w:r>
              <w:rPr>
                <w:rFonts w:eastAsia="Times New Roman"/>
                <w:b/>
                <w:bCs/>
                <w:color w:val="000000"/>
                <w:sz w:val="16"/>
                <w:szCs w:val="16"/>
              </w:rPr>
              <w:t>Share</w:t>
            </w:r>
          </w:p>
        </w:tc>
        <w:tc>
          <w:tcPr>
            <w:tcW w:w="0" w:type="auto"/>
            <w:vAlign w:val="center"/>
            <w:hideMark/>
          </w:tcPr>
          <w:p w:rsidR="00000000" w:rsidRDefault="00795D39">
            <w:pPr>
              <w:jc w:val="center"/>
              <w:rPr>
                <w:rFonts w:eastAsia="Times New Roman"/>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0999608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July</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4,765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95D3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60.70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09996080"/>
        </w:trPr>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August</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25,152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63.80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09996080"/>
        </w:trPr>
        <w:tc>
          <w:tcPr>
            <w:tcW w:w="0" w:type="auto"/>
            <w:gridSpan w:val="3"/>
            <w:shd w:val="clear" w:color="auto" w:fill="CCEE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September</w:t>
            </w:r>
          </w:p>
        </w:tc>
        <w:tc>
          <w:tcPr>
            <w:tcW w:w="0" w:type="auto"/>
            <w:gridSpan w:val="3"/>
            <w:shd w:val="clear" w:color="auto" w:fill="CCEEFF"/>
            <w:tcMar>
              <w:top w:w="0" w:type="dxa"/>
              <w:left w:w="20" w:type="dxa"/>
              <w:bottom w:w="0" w:type="dxa"/>
              <w:right w:w="20" w:type="dxa"/>
            </w:tcMar>
            <w:vAlign w:val="center"/>
            <w:hideMark/>
          </w:tcPr>
          <w:p w:rsidR="00000000" w:rsidRDefault="00795D3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r w:rsidR="00000000">
        <w:trPr>
          <w:divId w:val="1909996080"/>
        </w:trPr>
        <w:tc>
          <w:tcPr>
            <w:tcW w:w="0" w:type="auto"/>
            <w:gridSpan w:val="3"/>
            <w:shd w:val="clear" w:color="auto" w:fill="FFFFFF"/>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95D39">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29,917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95D3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95D39">
            <w:pPr>
              <w:jc w:val="right"/>
              <w:rPr>
                <w:rFonts w:eastAsia="Times New Roman"/>
              </w:rPr>
            </w:pPr>
            <w:r>
              <w:rPr>
                <w:rFonts w:eastAsia="Times New Roman"/>
                <w:b/>
                <w:bCs/>
                <w:color w:val="000000"/>
                <w:sz w:val="18"/>
                <w:szCs w:val="18"/>
              </w:rPr>
              <w:t>63.31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95D39">
            <w:pPr>
              <w:jc w:val="right"/>
              <w:rPr>
                <w:rFonts w:eastAsia="Times New Roman"/>
              </w:rPr>
            </w:pPr>
          </w:p>
        </w:tc>
        <w:tc>
          <w:tcPr>
            <w:tcW w:w="0" w:type="auto"/>
            <w:vAlign w:val="center"/>
            <w:hideMark/>
          </w:tcPr>
          <w:p w:rsidR="00000000" w:rsidRDefault="00795D39">
            <w:pPr>
              <w:jc w:val="right"/>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c>
          <w:tcPr>
            <w:tcW w:w="0" w:type="auto"/>
            <w:vAlign w:val="center"/>
            <w:hideMark/>
          </w:tcPr>
          <w:p w:rsidR="00000000" w:rsidRDefault="00795D39">
            <w:pPr>
              <w:rPr>
                <w:rFonts w:eastAsia="Times New Roman"/>
                <w:sz w:val="20"/>
                <w:szCs w:val="20"/>
              </w:rPr>
            </w:pPr>
          </w:p>
        </w:tc>
      </w:tr>
    </w:tbl>
    <w:p w:rsidR="00000000" w:rsidRDefault="00795D39">
      <w:pPr>
        <w:divId w:val="1368943166"/>
        <w:rPr>
          <w:rFonts w:eastAsia="Times New Roman"/>
        </w:rPr>
      </w:pPr>
      <w:r>
        <w:rPr>
          <w:rFonts w:eastAsia="Times New Roman"/>
          <w:color w:val="000000"/>
          <w:sz w:val="20"/>
          <w:szCs w:val="20"/>
        </w:rPr>
        <w:t>__________</w:t>
      </w:r>
    </w:p>
    <w:p w:rsidR="00000000" w:rsidRDefault="00795D39">
      <w:pPr>
        <w:ind w:hanging="360"/>
        <w:jc w:val="both"/>
        <w:divId w:val="14817745"/>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Consists of shares withheld to cover taxes on restr</w:t>
      </w:r>
      <w:r>
        <w:rPr>
          <w:rFonts w:eastAsia="Times New Roman"/>
          <w:color w:val="000000"/>
          <w:sz w:val="16"/>
          <w:szCs w:val="16"/>
        </w:rPr>
        <w:t xml:space="preserve">icted stock units </w:t>
      </w:r>
      <w:r>
        <w:rPr>
          <w:rFonts w:eastAsia="Times New Roman"/>
          <w:color w:val="000000"/>
          <w:sz w:val="16"/>
          <w:szCs w:val="16"/>
          <w:shd w:val="clear" w:color="auto" w:fill="FFFFFF"/>
        </w:rPr>
        <w:t>whose restrictions have lapsed. We suspended our 2019 Stock Repurchase Program in March 2020 and the program subsequently expired at the end of the second quarter of 2020, see “MD&amp;A—Capit</w:t>
      </w:r>
      <w:r>
        <w:rPr>
          <w:rFonts w:eastAsia="Times New Roman"/>
          <w:color w:val="000000"/>
          <w:sz w:val="16"/>
          <w:szCs w:val="16"/>
          <w:shd w:val="clear" w:color="auto" w:fill="FFFFFF"/>
        </w:rPr>
        <w:t xml:space="preserve">al Management—Dividend Policy and Stock Purchases” for more information. </w:t>
      </w:r>
    </w:p>
    <w:p w:rsidR="00000000" w:rsidRDefault="00795D39">
      <w:pPr>
        <w:divId w:val="2128885305"/>
        <w:rPr>
          <w:rFonts w:eastAsia="Times New Roman"/>
        </w:rPr>
      </w:pPr>
      <w:r>
        <w:rPr>
          <w:rFonts w:eastAsia="Times New Roman"/>
          <w:b/>
          <w:bCs/>
          <w:color w:val="000000"/>
          <w:sz w:val="20"/>
          <w:szCs w:val="20"/>
        </w:rPr>
        <w:t xml:space="preserve">Item 3. Defaults Upon Senior Securities </w:t>
      </w:r>
    </w:p>
    <w:p w:rsidR="00000000" w:rsidRDefault="00795D39">
      <w:pPr>
        <w:jc w:val="both"/>
        <w:divId w:val="840121575"/>
        <w:rPr>
          <w:rFonts w:eastAsia="Times New Roman"/>
        </w:rPr>
      </w:pPr>
      <w:r>
        <w:rPr>
          <w:rFonts w:eastAsia="Times New Roman"/>
          <w:color w:val="000000"/>
          <w:sz w:val="20"/>
          <w:szCs w:val="20"/>
          <w:shd w:val="clear" w:color="auto" w:fill="FFFFFF"/>
        </w:rPr>
        <w:t>None.</w:t>
      </w:r>
    </w:p>
    <w:p w:rsidR="00000000" w:rsidRDefault="00795D39">
      <w:pPr>
        <w:divId w:val="277218755"/>
        <w:rPr>
          <w:rFonts w:eastAsia="Times New Roman"/>
        </w:rPr>
      </w:pPr>
      <w:r>
        <w:rPr>
          <w:rFonts w:eastAsia="Times New Roman"/>
          <w:b/>
          <w:bCs/>
          <w:color w:val="000000"/>
          <w:sz w:val="20"/>
          <w:szCs w:val="20"/>
        </w:rPr>
        <w:t xml:space="preserve">Item 4. Mine Safety Disclosures </w:t>
      </w:r>
    </w:p>
    <w:p w:rsidR="00000000" w:rsidRDefault="00795D39">
      <w:pPr>
        <w:divId w:val="38088778"/>
        <w:rPr>
          <w:rFonts w:eastAsia="Times New Roman"/>
        </w:rPr>
      </w:pPr>
      <w:r>
        <w:rPr>
          <w:rFonts w:eastAsia="Times New Roman"/>
          <w:color w:val="000000"/>
          <w:sz w:val="20"/>
          <w:szCs w:val="20"/>
        </w:rPr>
        <w:t>Not applicable.</w:t>
      </w:r>
    </w:p>
    <w:p w:rsidR="00000000" w:rsidRDefault="00795D39">
      <w:pPr>
        <w:divId w:val="518859750"/>
        <w:rPr>
          <w:rFonts w:eastAsia="Times New Roman"/>
        </w:rPr>
      </w:pPr>
      <w:r>
        <w:rPr>
          <w:rFonts w:eastAsia="Times New Roman"/>
          <w:b/>
          <w:bCs/>
          <w:color w:val="000000"/>
          <w:sz w:val="20"/>
          <w:szCs w:val="20"/>
        </w:rPr>
        <w:t>Item 5.</w:t>
      </w:r>
      <w:r>
        <w:rPr>
          <w:rFonts w:eastAsia="Times New Roman"/>
          <w:color w:val="000000"/>
          <w:sz w:val="20"/>
          <w:szCs w:val="20"/>
        </w:rPr>
        <w:t xml:space="preserve"> </w:t>
      </w:r>
      <w:r>
        <w:rPr>
          <w:rFonts w:eastAsia="Times New Roman"/>
          <w:b/>
          <w:bCs/>
          <w:color w:val="000000"/>
          <w:sz w:val="20"/>
          <w:szCs w:val="20"/>
        </w:rPr>
        <w:t xml:space="preserve">Other Information </w:t>
      </w:r>
    </w:p>
    <w:p w:rsidR="00000000" w:rsidRDefault="00795D39">
      <w:pPr>
        <w:jc w:val="both"/>
        <w:divId w:val="655694387"/>
        <w:rPr>
          <w:rFonts w:eastAsia="Times New Roman"/>
        </w:rPr>
      </w:pPr>
      <w:r>
        <w:rPr>
          <w:rFonts w:eastAsia="Times New Roman"/>
          <w:color w:val="000000"/>
          <w:sz w:val="20"/>
          <w:szCs w:val="20"/>
        </w:rPr>
        <w:t>None.</w:t>
      </w:r>
    </w:p>
    <w:p w:rsidR="00000000" w:rsidRDefault="00795D39">
      <w:pPr>
        <w:divId w:val="816529237"/>
        <w:rPr>
          <w:rFonts w:eastAsia="Times New Roman"/>
        </w:rPr>
      </w:pPr>
      <w:r>
        <w:rPr>
          <w:rFonts w:eastAsia="Times New Roman"/>
          <w:b/>
          <w:bCs/>
          <w:color w:val="000000"/>
          <w:sz w:val="20"/>
          <w:szCs w:val="20"/>
        </w:rPr>
        <w:t xml:space="preserve">Item 6. Exhibits </w:t>
      </w:r>
    </w:p>
    <w:p w:rsidR="00000000" w:rsidRDefault="00795D39">
      <w:pPr>
        <w:jc w:val="both"/>
        <w:divId w:val="1141652394"/>
        <w:rPr>
          <w:rFonts w:eastAsia="Times New Roman"/>
        </w:rPr>
      </w:pPr>
      <w:r>
        <w:rPr>
          <w:rFonts w:eastAsia="Times New Roman"/>
          <w:color w:val="000000"/>
          <w:sz w:val="20"/>
          <w:szCs w:val="20"/>
        </w:rPr>
        <w:t>An index to exhibits has been filed as part of this Report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6971748"/>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466971748"/>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466971748"/>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143</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8" style="width:0;height:1.5pt" o:hralign="center" o:hrstd="t" o:hr="t" fillcolor="#a0a0a0" stroked="f"/>
        </w:pict>
      </w:r>
    </w:p>
    <w:p w:rsidR="00000000" w:rsidRDefault="00795D39">
      <w:pPr>
        <w:jc w:val="both"/>
        <w:divId w:val="803238432"/>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rPr>
          <w:rFonts w:eastAsia="Times New Roman"/>
        </w:rPr>
      </w:pPr>
      <w:r>
        <w:rPr>
          <w:rFonts w:eastAsia="Times New Roman"/>
          <w:b/>
          <w:bCs/>
          <w:color w:val="000000"/>
          <w:sz w:val="20"/>
          <w:szCs w:val="20"/>
        </w:rPr>
        <w:t xml:space="preserve">EXHIBIT INDEX </w:t>
      </w:r>
    </w:p>
    <w:p w:rsidR="00000000" w:rsidRDefault="00795D39">
      <w:pPr>
        <w:jc w:val="both"/>
        <w:divId w:val="1617328248"/>
        <w:rPr>
          <w:rFonts w:eastAsia="Times New Roman"/>
        </w:rPr>
      </w:pPr>
      <w:r>
        <w:rPr>
          <w:rFonts w:eastAsia="Times New Roman"/>
          <w:color w:val="000000"/>
          <w:sz w:val="20"/>
          <w:szCs w:val="20"/>
        </w:rPr>
        <w:t>The following exhibits are incorporated by reference or filed herewith. Reference to the “2003 Form 10-K” is to the Company’s Ann</w:t>
      </w:r>
      <w:r>
        <w:rPr>
          <w:rFonts w:eastAsia="Times New Roman"/>
          <w:color w:val="000000"/>
          <w:sz w:val="20"/>
          <w:szCs w:val="20"/>
        </w:rPr>
        <w:t>ual Report on Form 10-K for the year ended December 31, 2003, filed on March 5, 2004.</w:t>
      </w:r>
    </w:p>
    <w:tbl>
      <w:tblPr>
        <w:tblW w:w="5000" w:type="pct"/>
        <w:tblCellMar>
          <w:top w:w="15" w:type="dxa"/>
          <w:left w:w="15" w:type="dxa"/>
          <w:bottom w:w="15" w:type="dxa"/>
          <w:right w:w="15" w:type="dxa"/>
        </w:tblCellMar>
        <w:tblLook w:val="04A0" w:firstRow="1" w:lastRow="0" w:firstColumn="1" w:lastColumn="0" w:noHBand="0" w:noVBand="1"/>
      </w:tblPr>
      <w:tblGrid>
        <w:gridCol w:w="93"/>
        <w:gridCol w:w="819"/>
        <w:gridCol w:w="36"/>
        <w:gridCol w:w="36"/>
        <w:gridCol w:w="36"/>
        <w:gridCol w:w="36"/>
        <w:gridCol w:w="40"/>
        <w:gridCol w:w="7172"/>
        <w:gridCol w:w="38"/>
      </w:tblGrid>
      <w:tr w:rsidR="00000000">
        <w:trPr>
          <w:divId w:val="631331473"/>
        </w:trPr>
        <w:tc>
          <w:tcPr>
            <w:tcW w:w="50" w:type="pct"/>
            <w:vAlign w:val="center"/>
            <w:hideMark/>
          </w:tcPr>
          <w:p w:rsidR="00000000" w:rsidRDefault="00795D39">
            <w:pPr>
              <w:jc w:val="both"/>
              <w:rPr>
                <w:rFonts w:eastAsia="Times New Roman"/>
              </w:rPr>
            </w:pPr>
          </w:p>
        </w:tc>
        <w:tc>
          <w:tcPr>
            <w:tcW w:w="4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41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b/>
                <w:bCs/>
                <w:color w:val="000000"/>
                <w:sz w:val="18"/>
                <w:szCs w:val="18"/>
              </w:rPr>
              <w:t>Exhibit No.</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rPr>
                <w:rFonts w:eastAsia="Times New Roman"/>
              </w:rPr>
            </w:pPr>
            <w:r>
              <w:rPr>
                <w:rFonts w:eastAsia="Times New Roman"/>
                <w:b/>
                <w:bCs/>
                <w:color w:val="000000"/>
                <w:sz w:val="18"/>
                <w:szCs w:val="18"/>
              </w:rPr>
              <w:t>Description</w:t>
            </w:r>
          </w:p>
        </w:tc>
      </w:tr>
      <w:tr w:rsidR="00000000">
        <w:trPr>
          <w:divId w:val="63133147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3.1</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95D39">
            <w:pPr>
              <w:jc w:val="both"/>
              <w:rPr>
                <w:rFonts w:eastAsia="Times New Roman"/>
              </w:rPr>
            </w:pPr>
            <w:hyperlink r:id="rId4" w:history="1">
              <w:r>
                <w:rPr>
                  <w:rStyle w:val="a3"/>
                  <w:rFonts w:eastAsia="Times New Roman"/>
                  <w:sz w:val="18"/>
                  <w:szCs w:val="18"/>
                  <w:u w:val="none"/>
                </w:rPr>
                <w:t>Restated Certificate of Incorporation of Capital One Financial Corporation (as restated May 1, 2020) (incorporated by reference to Exhibit 3.2 of the Current Report on Form 8-K, filed on May 4, 2020).</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3.2</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5" w:history="1">
              <w:r>
                <w:rPr>
                  <w:rStyle w:val="a3"/>
                  <w:rFonts w:eastAsia="Times New Roman"/>
                  <w:sz w:val="18"/>
                  <w:szCs w:val="18"/>
                  <w:u w:val="none"/>
                </w:rPr>
                <w:t xml:space="preserve">Amended and Restated Bylaws of Capital One Financial Corporation, dated May 1, 2020 (incorporated by reference to Exhibit 3.3 of the Current Report </w:t>
              </w:r>
              <w:r>
                <w:rPr>
                  <w:rStyle w:val="a3"/>
                  <w:rFonts w:eastAsia="Times New Roman"/>
                  <w:sz w:val="18"/>
                  <w:szCs w:val="18"/>
                  <w:u w:val="none"/>
                </w:rPr>
                <w:t>on Form 8-K, filed on May 4, 2020).</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3.3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6" w:history="1">
              <w:r>
                <w:rPr>
                  <w:rStyle w:val="a3"/>
                  <w:rFonts w:eastAsia="Times New Roman"/>
                  <w:sz w:val="18"/>
                  <w:szCs w:val="18"/>
                  <w:u w:val="none"/>
                </w:rPr>
                <w:t>Certificate of Designations of Fixed Rate Non-Cumulative Perpetual Preferred Stock, Series K, dated September 1</w:t>
              </w:r>
              <w:r>
                <w:rPr>
                  <w:rStyle w:val="a3"/>
                  <w:rFonts w:eastAsia="Times New Roman"/>
                  <w:sz w:val="18"/>
                  <w:szCs w:val="18"/>
                  <w:u w:val="none"/>
                </w:rPr>
                <w:t>6, 2020 (incorporated by reference to Exhibit 3.1 of the Current Report on Form 8-K, filed on September 17, 2020).</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4.1.1</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7" w:history="1">
              <w:r>
                <w:rPr>
                  <w:rStyle w:val="a3"/>
                  <w:rFonts w:eastAsia="Times New Roman"/>
                  <w:sz w:val="18"/>
                  <w:szCs w:val="18"/>
                  <w:u w:val="none"/>
                </w:rPr>
                <w:t>Specimen certificate representing th</w:t>
              </w:r>
              <w:r>
                <w:rPr>
                  <w:rStyle w:val="a3"/>
                  <w:rFonts w:eastAsia="Times New Roman"/>
                  <w:sz w:val="18"/>
                  <w:szCs w:val="18"/>
                  <w:u w:val="none"/>
                </w:rPr>
                <w:t>e common stock of Capital One Financial Corporation (incorporated by reference to Exhibit 4.1 of the 2003 Form 10-K).</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4.1.2</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8" w:history="1">
              <w:r>
                <w:rPr>
                  <w:rStyle w:val="a3"/>
                  <w:rFonts w:eastAsia="Times New Roman"/>
                  <w:sz w:val="18"/>
                  <w:szCs w:val="18"/>
                  <w:u w:val="none"/>
                </w:rPr>
                <w:t xml:space="preserve">Warrant Agreement, dated December 3, 2009, between Capital One Financial Corporation and Computershare Trust Company, N.A. (incorporated by reference to the Exhibit </w:t>
              </w:r>
              <w:r>
                <w:rPr>
                  <w:rStyle w:val="a3"/>
                  <w:rFonts w:eastAsia="Times New Roman"/>
                  <w:sz w:val="18"/>
                  <w:szCs w:val="18"/>
                  <w:u w:val="none"/>
                </w:rPr>
                <w:t>4.1 of the Form 8-A, filed on December 4, 2009).</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4.1.3</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9" w:history="1">
              <w:r>
                <w:rPr>
                  <w:rStyle w:val="a3"/>
                  <w:rFonts w:eastAsia="Times New Roman"/>
                  <w:sz w:val="18"/>
                  <w:szCs w:val="18"/>
                  <w:u w:val="none"/>
                </w:rPr>
                <w:t xml:space="preserve">Deposit Agreement, dated </w:t>
              </w:r>
            </w:hyperlink>
            <w:hyperlink r:id="rId10" w:history="1">
              <w:r>
                <w:rPr>
                  <w:rStyle w:val="a3"/>
                  <w:rFonts w:eastAsia="Times New Roman"/>
                  <w:sz w:val="18"/>
                  <w:szCs w:val="18"/>
                  <w:u w:val="none"/>
                </w:rPr>
                <w:t>September 17</w:t>
              </w:r>
            </w:hyperlink>
            <w:hyperlink r:id="rId11" w:history="1">
              <w:r>
                <w:rPr>
                  <w:rStyle w:val="a3"/>
                  <w:rFonts w:eastAsia="Times New Roman"/>
                  <w:sz w:val="18"/>
                  <w:szCs w:val="18"/>
                  <w:u w:val="none"/>
                </w:rPr>
                <w:t>, 20</w:t>
              </w:r>
            </w:hyperlink>
            <w:hyperlink r:id="rId12" w:history="1">
              <w:r>
                <w:rPr>
                  <w:rStyle w:val="a3"/>
                  <w:rFonts w:eastAsia="Times New Roman"/>
                  <w:sz w:val="18"/>
                  <w:szCs w:val="18"/>
                  <w:u w:val="none"/>
                </w:rPr>
                <w:t>20</w:t>
              </w:r>
            </w:hyperlink>
            <w:hyperlink r:id="rId13" w:history="1">
              <w:r>
                <w:rPr>
                  <w:rStyle w:val="a3"/>
                  <w:rFonts w:eastAsia="Times New Roman"/>
                  <w:sz w:val="18"/>
                  <w:szCs w:val="18"/>
                  <w:u w:val="none"/>
                </w:rPr>
                <w:t xml:space="preserve"> (incorporated by reference to Exhibit 4.1 of the Current Report on Form 8-K, filed on </w:t>
              </w:r>
            </w:hyperlink>
            <w:hyperlink r:id="rId14" w:history="1">
              <w:r>
                <w:rPr>
                  <w:rStyle w:val="a3"/>
                  <w:rFonts w:eastAsia="Times New Roman"/>
                  <w:sz w:val="18"/>
                  <w:szCs w:val="18"/>
                  <w:u w:val="none"/>
                </w:rPr>
                <w:t>Sept</w:t>
              </w:r>
            </w:hyperlink>
            <w:hyperlink r:id="rId15" w:history="1">
              <w:r>
                <w:rPr>
                  <w:rStyle w:val="a3"/>
                  <w:rFonts w:eastAsia="Times New Roman"/>
                  <w:sz w:val="18"/>
                  <w:szCs w:val="18"/>
                  <w:u w:val="none"/>
                </w:rPr>
                <w:t>ember 17, 2020</w:t>
              </w:r>
            </w:hyperlink>
            <w:hyperlink r:id="rId16" w:history="1">
              <w:r>
                <w:rPr>
                  <w:rStyle w:val="a3"/>
                  <w:rFonts w:eastAsia="Times New Roman"/>
                  <w:sz w:val="18"/>
                  <w:szCs w:val="18"/>
                  <w:u w:val="none"/>
                </w:rPr>
                <w:t>).</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4.2</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18"/>
                <w:szCs w:val="18"/>
              </w:rPr>
              <w:t>Pursuant to Item 601(b)(4)(iii)(A) of Regulation </w:t>
            </w:r>
            <w:r>
              <w:rPr>
                <w:rFonts w:eastAsia="Times New Roman"/>
                <w:color w:val="000000"/>
                <w:sz w:val="18"/>
                <w:szCs w:val="18"/>
              </w:rPr>
              <w:t>S-K, copies of instruments defining the rights of holders of long-term debt are not filed. The Company agrees to furnish a copy thereof to the SEC upon request.</w:t>
            </w:r>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31.1*</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17" w:history="1">
              <w:r>
                <w:rPr>
                  <w:rStyle w:val="a3"/>
                  <w:rFonts w:eastAsia="Times New Roman"/>
                  <w:sz w:val="18"/>
                  <w:szCs w:val="18"/>
                  <w:u w:val="none"/>
                </w:rPr>
                <w:t>Certification of Richard D. Fairbank.</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31.2*</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18" w:history="1">
              <w:r>
                <w:rPr>
                  <w:rStyle w:val="a3"/>
                  <w:rFonts w:eastAsia="Times New Roman"/>
                  <w:sz w:val="18"/>
                  <w:szCs w:val="18"/>
                  <w:u w:val="none"/>
                </w:rPr>
                <w:t>Certification of R. Scott Blackley.</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32.1**</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19" w:history="1">
              <w:r>
                <w:rPr>
                  <w:rStyle w:val="a3"/>
                  <w:rFonts w:eastAsia="Times New Roman"/>
                  <w:sz w:val="18"/>
                  <w:szCs w:val="18"/>
                  <w:u w:val="none"/>
                </w:rPr>
                <w:t>Certification of Richard D. Fairbank.</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32.2**</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hyperlink r:id="rId20" w:history="1">
              <w:r>
                <w:rPr>
                  <w:rStyle w:val="a3"/>
                  <w:rFonts w:eastAsia="Times New Roman"/>
                  <w:sz w:val="18"/>
                  <w:szCs w:val="18"/>
                  <w:u w:val="none"/>
                </w:rPr>
                <w:t>Certification of R. Scott Blackley.</w:t>
              </w:r>
            </w:hyperlink>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101.INS</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18"/>
                <w:szCs w:val="18"/>
              </w:rPr>
              <w:t>XBRL Instance Document - the instance document does not appear in the Interactive Data File because its XBRL tags are embedded within the Inline XBRL document.</w:t>
            </w:r>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101.SCH*</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18"/>
                <w:szCs w:val="18"/>
              </w:rPr>
              <w:t>Inline XBRL Taxonomy Extension Schema Document.</w:t>
            </w:r>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101.CAL*</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18"/>
                <w:szCs w:val="18"/>
              </w:rPr>
              <w:t>Inline XBRL Taxonomy Extension Calculation Linkbase Document.</w:t>
            </w:r>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101.DEF*</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95D39">
            <w:pPr>
              <w:jc w:val="both"/>
              <w:rPr>
                <w:rFonts w:eastAsia="Times New Roman"/>
              </w:rPr>
            </w:pPr>
            <w:r>
              <w:rPr>
                <w:rFonts w:eastAsia="Times New Roman"/>
                <w:color w:val="000000"/>
                <w:sz w:val="18"/>
                <w:szCs w:val="18"/>
              </w:rPr>
              <w:t>Inline XBRL Taxonomy Extension Definition Linkbase Document.</w:t>
            </w:r>
          </w:p>
        </w:tc>
      </w:tr>
      <w:tr w:rsidR="00000000">
        <w:trPr>
          <w:divId w:val="631331473"/>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8"/>
                <w:szCs w:val="18"/>
              </w:rPr>
              <w:t>101.LAB*</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hideMark/>
          </w:tcPr>
          <w:p w:rsidR="00000000" w:rsidRDefault="00795D39">
            <w:pPr>
              <w:jc w:val="both"/>
              <w:rPr>
                <w:rFonts w:eastAsia="Times New Roman"/>
              </w:rPr>
            </w:pPr>
            <w:r>
              <w:rPr>
                <w:rFonts w:eastAsia="Times New Roman"/>
                <w:color w:val="000000"/>
                <w:sz w:val="18"/>
                <w:szCs w:val="18"/>
              </w:rPr>
              <w:t>Inline XBRL Taxonomy Extension Label Linkbase Document.</w:t>
            </w:r>
          </w:p>
        </w:tc>
      </w:tr>
      <w:tr w:rsidR="00000000">
        <w:trPr>
          <w:divId w:val="631331473"/>
        </w:trPr>
        <w:tc>
          <w:tcPr>
            <w:tcW w:w="0" w:type="auto"/>
            <w:gridSpan w:val="3"/>
            <w:tcMar>
              <w:top w:w="30" w:type="dxa"/>
              <w:left w:w="20" w:type="dxa"/>
              <w:bottom w:w="30" w:type="dxa"/>
              <w:right w:w="20" w:type="dxa"/>
            </w:tcMar>
            <w:hideMark/>
          </w:tcPr>
          <w:p w:rsidR="00000000" w:rsidRDefault="00795D39">
            <w:pPr>
              <w:jc w:val="center"/>
              <w:rPr>
                <w:rFonts w:eastAsia="Times New Roman"/>
              </w:rPr>
            </w:pPr>
            <w:r>
              <w:rPr>
                <w:rFonts w:eastAsia="Times New Roman"/>
                <w:color w:val="000000"/>
                <w:sz w:val="18"/>
                <w:szCs w:val="18"/>
              </w:rPr>
              <w:t>101.PRE*</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hideMark/>
          </w:tcPr>
          <w:p w:rsidR="00000000" w:rsidRDefault="00795D39">
            <w:pPr>
              <w:jc w:val="both"/>
              <w:rPr>
                <w:rFonts w:eastAsia="Times New Roman"/>
              </w:rPr>
            </w:pPr>
            <w:r>
              <w:rPr>
                <w:rFonts w:eastAsia="Times New Roman"/>
                <w:color w:val="000000"/>
                <w:sz w:val="18"/>
                <w:szCs w:val="18"/>
              </w:rPr>
              <w:t>Inline XBRL Taxonomy Extension Presentation Linkbase Document.</w:t>
            </w:r>
          </w:p>
        </w:tc>
      </w:tr>
      <w:tr w:rsidR="00000000">
        <w:trPr>
          <w:divId w:val="631331473"/>
        </w:trPr>
        <w:tc>
          <w:tcPr>
            <w:tcW w:w="0" w:type="auto"/>
            <w:gridSpan w:val="3"/>
            <w:tcMar>
              <w:top w:w="30" w:type="dxa"/>
              <w:left w:w="20" w:type="dxa"/>
              <w:bottom w:w="30" w:type="dxa"/>
              <w:right w:w="20" w:type="dxa"/>
            </w:tcMar>
            <w:vAlign w:val="center"/>
            <w:hideMark/>
          </w:tcPr>
          <w:p w:rsidR="00000000" w:rsidRDefault="00795D39">
            <w:pPr>
              <w:jc w:val="center"/>
              <w:rPr>
                <w:rFonts w:eastAsia="Times New Roman"/>
              </w:rPr>
            </w:pPr>
            <w:r>
              <w:rPr>
                <w:rFonts w:eastAsia="Times New Roman"/>
                <w:color w:val="000000"/>
                <w:sz w:val="18"/>
                <w:szCs w:val="18"/>
              </w:rPr>
              <w:t>104</w:t>
            </w:r>
          </w:p>
        </w:tc>
        <w:tc>
          <w:tcPr>
            <w:tcW w:w="0" w:type="auto"/>
            <w:gridSpan w:val="3"/>
            <w:tcMar>
              <w:top w:w="0" w:type="dxa"/>
              <w:left w:w="20" w:type="dxa"/>
              <w:bottom w:w="0" w:type="dxa"/>
              <w:right w:w="20" w:type="dxa"/>
            </w:tcMar>
            <w:vAlign w:val="center"/>
            <w:hideMark/>
          </w:tcPr>
          <w:p w:rsidR="00000000" w:rsidRDefault="00795D39">
            <w:pPr>
              <w:jc w:val="center"/>
              <w:rPr>
                <w:rFonts w:eastAsia="Times New Roman"/>
              </w:rPr>
            </w:pPr>
          </w:p>
        </w:tc>
        <w:tc>
          <w:tcPr>
            <w:tcW w:w="0" w:type="auto"/>
            <w:gridSpan w:val="3"/>
            <w:tcMar>
              <w:top w:w="30" w:type="dxa"/>
              <w:left w:w="20" w:type="dxa"/>
              <w:bottom w:w="30" w:type="dxa"/>
              <w:right w:w="20" w:type="dxa"/>
            </w:tcMar>
            <w:hideMark/>
          </w:tcPr>
          <w:p w:rsidR="00000000" w:rsidRDefault="00795D39">
            <w:pPr>
              <w:jc w:val="both"/>
              <w:rPr>
                <w:rFonts w:eastAsia="Times New Roman"/>
              </w:rPr>
            </w:pPr>
            <w:r>
              <w:rPr>
                <w:rFonts w:eastAsia="Times New Roman"/>
                <w:color w:val="000000"/>
                <w:sz w:val="18"/>
                <w:szCs w:val="18"/>
              </w:rPr>
              <w:t>The cover page of Capital One Financial Corporation’</w:t>
            </w:r>
            <w:r>
              <w:rPr>
                <w:rFonts w:eastAsia="Times New Roman"/>
                <w:color w:val="000000"/>
                <w:sz w:val="18"/>
                <w:szCs w:val="18"/>
              </w:rPr>
              <w:t>s Quarterly Report on Form 10-Q for the quarter ended September 30, 2020, formatted in Inline XBRL (included within the Exhibit 101 attachments).</w:t>
            </w:r>
          </w:p>
        </w:tc>
      </w:tr>
    </w:tbl>
    <w:p w:rsidR="00000000" w:rsidRDefault="00795D39">
      <w:pPr>
        <w:divId w:val="494615852"/>
        <w:rPr>
          <w:rFonts w:eastAsia="Times New Roman"/>
        </w:rPr>
      </w:pPr>
      <w:r>
        <w:rPr>
          <w:rFonts w:eastAsia="Times New Roman"/>
          <w:color w:val="000000"/>
          <w:sz w:val="20"/>
          <w:szCs w:val="20"/>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8"/>
        <w:gridCol w:w="37"/>
      </w:tblGrid>
      <w:tr w:rsidR="00000000">
        <w:tc>
          <w:tcPr>
            <w:tcW w:w="50" w:type="pct"/>
            <w:vAlign w:val="center"/>
            <w:hideMark/>
          </w:tcPr>
          <w:p w:rsidR="00000000" w:rsidRDefault="00795D39">
            <w:pPr>
              <w:rPr>
                <w:rFonts w:eastAsia="Times New Roman"/>
              </w:rPr>
            </w:pPr>
          </w:p>
        </w:tc>
        <w:tc>
          <w:tcPr>
            <w:tcW w:w="12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476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795D39">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795D39">
            <w:pPr>
              <w:jc w:val="both"/>
              <w:rPr>
                <w:rFonts w:eastAsia="Times New Roman"/>
              </w:rPr>
            </w:pPr>
            <w:r>
              <w:rPr>
                <w:rFonts w:eastAsia="Times New Roman"/>
                <w:color w:val="000000"/>
                <w:sz w:val="16"/>
                <w:szCs w:val="16"/>
              </w:rPr>
              <w:t>Indicates a document being filed with this Form 10-Q.</w:t>
            </w:r>
          </w:p>
        </w:tc>
      </w:tr>
      <w:tr w:rsidR="00000000">
        <w:tc>
          <w:tcPr>
            <w:tcW w:w="0" w:type="auto"/>
            <w:gridSpan w:val="3"/>
            <w:tcMar>
              <w:top w:w="30" w:type="dxa"/>
              <w:left w:w="20" w:type="dxa"/>
              <w:bottom w:w="30" w:type="dxa"/>
              <w:right w:w="20" w:type="dxa"/>
            </w:tcMar>
            <w:hideMark/>
          </w:tcPr>
          <w:p w:rsidR="00000000" w:rsidRDefault="00795D39">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795D39">
            <w:pPr>
              <w:jc w:val="both"/>
              <w:rPr>
                <w:rFonts w:eastAsia="Times New Roman"/>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p w:rsidR="00000000" w:rsidRDefault="00795D39">
      <w:pPr>
        <w:jc w:val="center"/>
        <w:divId w:val="395737067"/>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95737067"/>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395737067"/>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395737067"/>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144</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000000" w:rsidRDefault="00795D39">
      <w:pPr>
        <w:rPr>
          <w:rFonts w:eastAsia="Times New Roman"/>
        </w:rPr>
      </w:pPr>
      <w:r>
        <w:rPr>
          <w:rFonts w:eastAsia="Times New Roman"/>
        </w:rPr>
        <w:pict>
          <v:rect id="_x0000_i1169" style="width:0;height:1.5pt" o:hralign="center" o:hrstd="t" o:hr="t" fillcolor="#a0a0a0" stroked="f"/>
        </w:pict>
      </w:r>
    </w:p>
    <w:p w:rsidR="00000000" w:rsidRDefault="00795D39">
      <w:pPr>
        <w:jc w:val="both"/>
        <w:divId w:val="1303656395"/>
        <w:rPr>
          <w:rFonts w:eastAsia="Times New Roman"/>
        </w:rPr>
      </w:pPr>
      <w:hyperlink w:anchor="i86ab6d5a0edf43c49d46a425718ef61b_7" w:history="1">
        <w:r>
          <w:rPr>
            <w:rStyle w:val="a3"/>
            <w:rFonts w:eastAsia="Times New Roman"/>
            <w:sz w:val="16"/>
            <w:szCs w:val="16"/>
          </w:rPr>
          <w:t>Table of Contents</w:t>
        </w:r>
      </w:hyperlink>
    </w:p>
    <w:p w:rsidR="00000000" w:rsidRDefault="00795D39">
      <w:pPr>
        <w:jc w:val="center"/>
        <w:divId w:val="1657107407"/>
        <w:rPr>
          <w:rFonts w:eastAsia="Times New Roman"/>
        </w:rPr>
      </w:pPr>
      <w:r>
        <w:rPr>
          <w:rFonts w:eastAsia="Times New Roman"/>
          <w:b/>
          <w:bCs/>
          <w:color w:val="000000"/>
          <w:sz w:val="20"/>
          <w:szCs w:val="20"/>
        </w:rPr>
        <w:t>SIGNATURES</w:t>
      </w:r>
    </w:p>
    <w:p w:rsidR="00000000" w:rsidRDefault="00795D39">
      <w:pPr>
        <w:jc w:val="both"/>
        <w:divId w:val="26684491"/>
        <w:rPr>
          <w:rFonts w:eastAsia="Times New Roman"/>
        </w:rPr>
      </w:pPr>
      <w:r>
        <w:rPr>
          <w:rFonts w:eastAsia="Times New Roman"/>
          <w:color w:val="000000"/>
          <w:sz w:val="20"/>
          <w:szCs w:val="20"/>
        </w:rPr>
        <w:t>Pursuant to the requirements of the Securities Exchange Act of 1934, the registrant has duly caused this report to be signed on its b</w:t>
      </w:r>
      <w:r>
        <w:rPr>
          <w:rFonts w:eastAsia="Times New Roman"/>
          <w:color w:val="000000"/>
          <w:sz w:val="20"/>
          <w:szCs w:val="20"/>
        </w:rPr>
        <w:t>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58"/>
        <w:gridCol w:w="3224"/>
        <w:gridCol w:w="36"/>
        <w:gridCol w:w="58"/>
        <w:gridCol w:w="890"/>
        <w:gridCol w:w="36"/>
        <w:gridCol w:w="77"/>
        <w:gridCol w:w="217"/>
        <w:gridCol w:w="36"/>
        <w:gridCol w:w="36"/>
        <w:gridCol w:w="36"/>
        <w:gridCol w:w="36"/>
        <w:gridCol w:w="38"/>
        <w:gridCol w:w="3384"/>
        <w:gridCol w:w="36"/>
        <w:gridCol w:w="36"/>
        <w:gridCol w:w="36"/>
        <w:gridCol w:w="36"/>
      </w:tblGrid>
      <w:tr w:rsidR="00000000">
        <w:trPr>
          <w:divId w:val="1934124620"/>
        </w:trPr>
        <w:tc>
          <w:tcPr>
            <w:tcW w:w="50" w:type="pct"/>
            <w:vAlign w:val="center"/>
            <w:hideMark/>
          </w:tcPr>
          <w:p w:rsidR="00000000" w:rsidRDefault="00795D39">
            <w:pPr>
              <w:jc w:val="both"/>
              <w:rPr>
                <w:rFonts w:eastAsia="Times New Roman"/>
              </w:rPr>
            </w:pPr>
          </w:p>
        </w:tc>
        <w:tc>
          <w:tcPr>
            <w:tcW w:w="195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551"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42"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205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193412462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b/>
                <w:bCs/>
                <w:color w:val="000000"/>
                <w:sz w:val="20"/>
                <w:szCs w:val="20"/>
              </w:rPr>
              <w:t>CAPITAL ONE FINANCIAL CORPORATION</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r>
      <w:tr w:rsidR="00000000">
        <w:trPr>
          <w:divId w:val="1934124620"/>
          <w:trHeight w:val="12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1934124620"/>
        </w:trPr>
        <w:tc>
          <w:tcPr>
            <w:tcW w:w="0" w:type="auto"/>
            <w:gridSpan w:val="3"/>
            <w:tcMar>
              <w:top w:w="30" w:type="dxa"/>
              <w:left w:w="20" w:type="dxa"/>
              <w:bottom w:w="30" w:type="dxa"/>
              <w:right w:w="20" w:type="dxa"/>
            </w:tcMar>
            <w:hideMark/>
          </w:tcPr>
          <w:p w:rsidR="00000000" w:rsidRDefault="00795D39">
            <w:pPr>
              <w:rPr>
                <w:rFonts w:eastAsia="Times New Roman"/>
              </w:rPr>
            </w:pPr>
            <w:r>
              <w:rPr>
                <w:rFonts w:eastAsia="Times New Roman"/>
                <w:color w:val="000000"/>
                <w:sz w:val="20"/>
                <w:szCs w:val="20"/>
              </w:rPr>
              <w:t>Date: November 2, 2020</w:t>
            </w: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/s/ R. SCOTT BLACKLEY</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r>
      <w:tr w:rsidR="00000000">
        <w:trPr>
          <w:divId w:val="193412462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795D39">
            <w:pPr>
              <w:rPr>
                <w:rFonts w:eastAsia="Times New Roman"/>
              </w:rPr>
            </w:pPr>
            <w:r>
              <w:rPr>
                <w:rFonts w:eastAsia="Times New Roman"/>
                <w:color w:val="000000"/>
                <w:sz w:val="18"/>
                <w:szCs w:val="18"/>
              </w:rPr>
              <w:t>R. Scott Blackley</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r>
      <w:tr w:rsidR="00000000">
        <w:trPr>
          <w:divId w:val="1934124620"/>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rPr>
                <w:rFonts w:eastAsia="Times New Roman"/>
              </w:rPr>
            </w:pPr>
            <w:r>
              <w:rPr>
                <w:rFonts w:eastAsia="Times New Roman"/>
                <w:color w:val="000000"/>
                <w:sz w:val="18"/>
                <w:szCs w:val="18"/>
              </w:rPr>
              <w:t>Chief Financial Officer</w:t>
            </w:r>
          </w:p>
        </w:tc>
        <w:tc>
          <w:tcPr>
            <w:tcW w:w="0" w:type="auto"/>
            <w:gridSpan w:val="3"/>
            <w:tcMar>
              <w:top w:w="0" w:type="dxa"/>
              <w:left w:w="20" w:type="dxa"/>
              <w:bottom w:w="0" w:type="dxa"/>
              <w:right w:w="20" w:type="dxa"/>
            </w:tcMar>
            <w:vAlign w:val="center"/>
            <w:hideMark/>
          </w:tcPr>
          <w:p w:rsidR="00000000" w:rsidRDefault="00795D39">
            <w:pPr>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684"/>
        <w:gridCol w:w="144"/>
        <w:gridCol w:w="144"/>
        <w:gridCol w:w="144"/>
        <w:gridCol w:w="144"/>
        <w:gridCol w:w="144"/>
        <w:gridCol w:w="2968"/>
        <w:gridCol w:w="144"/>
        <w:gridCol w:w="144"/>
        <w:gridCol w:w="144"/>
        <w:gridCol w:w="144"/>
        <w:gridCol w:w="144"/>
        <w:gridCol w:w="1255"/>
        <w:gridCol w:w="144"/>
      </w:tblGrid>
      <w:tr w:rsidR="00000000">
        <w:tc>
          <w:tcPr>
            <w:tcW w:w="50" w:type="pct"/>
            <w:vAlign w:val="center"/>
            <w:hideMark/>
          </w:tcPr>
          <w:p w:rsidR="00000000" w:rsidRDefault="00795D39">
            <w:pPr>
              <w:jc w:val="both"/>
              <w:rPr>
                <w:rFonts w:eastAsia="Times New Roman"/>
              </w:rPr>
            </w:pPr>
          </w:p>
        </w:tc>
        <w:tc>
          <w:tcPr>
            <w:tcW w:w="2218"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787"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2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75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trHeight w:val="60"/>
        </w:trPr>
        <w:tc>
          <w:tcPr>
            <w:tcW w:w="0" w:type="auto"/>
            <w:gridSpan w:val="15"/>
            <w:tcMar>
              <w:top w:w="0" w:type="dxa"/>
              <w:left w:w="20" w:type="dxa"/>
              <w:bottom w:w="0" w:type="dxa"/>
              <w:right w:w="20" w:type="dxa"/>
            </w:tcMar>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r w:rsidR="00000000">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c>
          <w:tcPr>
            <w:tcW w:w="0" w:type="auto"/>
            <w:gridSpan w:val="3"/>
            <w:vAlign w:val="center"/>
            <w:hideMark/>
          </w:tcPr>
          <w:p w:rsidR="00000000" w:rsidRDefault="00795D39">
            <w:pPr>
              <w:rPr>
                <w:rFonts w:eastAsia="Times New Roman"/>
                <w:sz w:val="20"/>
                <w:szCs w:val="20"/>
              </w:rPr>
            </w:pPr>
          </w:p>
        </w:tc>
      </w:tr>
    </w:tbl>
    <w:p w:rsidR="00000000" w:rsidRDefault="00795D39">
      <w:pPr>
        <w:jc w:val="center"/>
        <w:divId w:val="222910914"/>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22910914"/>
          <w:jc w:val="center"/>
        </w:trPr>
        <w:tc>
          <w:tcPr>
            <w:tcW w:w="50" w:type="pct"/>
            <w:vAlign w:val="center"/>
            <w:hideMark/>
          </w:tcPr>
          <w:p w:rsidR="00000000" w:rsidRDefault="00795D39">
            <w:pPr>
              <w:jc w:val="both"/>
              <w:rPr>
                <w:rFonts w:eastAsia="Times New Roman"/>
              </w:rPr>
            </w:pPr>
          </w:p>
        </w:tc>
        <w:tc>
          <w:tcPr>
            <w:tcW w:w="1606"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c>
          <w:tcPr>
            <w:tcW w:w="50" w:type="pct"/>
            <w:vAlign w:val="center"/>
            <w:hideMark/>
          </w:tcPr>
          <w:p w:rsidR="00000000" w:rsidRDefault="00795D39">
            <w:pPr>
              <w:rPr>
                <w:rFonts w:eastAsia="Times New Roman"/>
                <w:sz w:val="20"/>
                <w:szCs w:val="20"/>
              </w:rPr>
            </w:pPr>
          </w:p>
        </w:tc>
        <w:tc>
          <w:tcPr>
            <w:tcW w:w="1614" w:type="pct"/>
            <w:vAlign w:val="center"/>
            <w:hideMark/>
          </w:tcPr>
          <w:p w:rsidR="00000000" w:rsidRDefault="00795D39">
            <w:pPr>
              <w:rPr>
                <w:rFonts w:eastAsia="Times New Roman"/>
                <w:sz w:val="20"/>
                <w:szCs w:val="20"/>
              </w:rPr>
            </w:pPr>
          </w:p>
        </w:tc>
        <w:tc>
          <w:tcPr>
            <w:tcW w:w="5" w:type="pct"/>
            <w:vAlign w:val="center"/>
            <w:hideMark/>
          </w:tcPr>
          <w:p w:rsidR="00000000" w:rsidRDefault="00795D39">
            <w:pPr>
              <w:rPr>
                <w:rFonts w:eastAsia="Times New Roman"/>
                <w:sz w:val="20"/>
                <w:szCs w:val="20"/>
              </w:rPr>
            </w:pPr>
          </w:p>
        </w:tc>
      </w:tr>
      <w:tr w:rsidR="00000000">
        <w:trPr>
          <w:divId w:val="222910914"/>
          <w:trHeight w:val="300"/>
          <w:jc w:val="center"/>
        </w:trPr>
        <w:tc>
          <w:tcPr>
            <w:tcW w:w="0" w:type="auto"/>
            <w:gridSpan w:val="9"/>
            <w:tcMar>
              <w:top w:w="0" w:type="dxa"/>
              <w:left w:w="20" w:type="dxa"/>
              <w:bottom w:w="0" w:type="dxa"/>
              <w:right w:w="20" w:type="dxa"/>
            </w:tcMar>
            <w:vAlign w:val="center"/>
            <w:hideMark/>
          </w:tcPr>
          <w:p w:rsidR="00000000" w:rsidRDefault="00795D39">
            <w:pPr>
              <w:rPr>
                <w:rFonts w:eastAsia="Times New Roman"/>
                <w:sz w:val="20"/>
                <w:szCs w:val="20"/>
              </w:rPr>
            </w:pPr>
          </w:p>
        </w:tc>
      </w:tr>
      <w:tr w:rsidR="00000000">
        <w:trPr>
          <w:divId w:val="222910914"/>
          <w:jc w:val="center"/>
        </w:trPr>
        <w:tc>
          <w:tcPr>
            <w:tcW w:w="0" w:type="auto"/>
            <w:gridSpan w:val="3"/>
            <w:tcMar>
              <w:top w:w="0" w:type="dxa"/>
              <w:left w:w="20" w:type="dxa"/>
              <w:bottom w:w="0" w:type="dxa"/>
              <w:right w:w="20" w:type="dxa"/>
            </w:tcMar>
            <w:vAlign w:val="center"/>
            <w:hideMark/>
          </w:tcPr>
          <w:p w:rsidR="00000000" w:rsidRDefault="00795D3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95D39">
            <w:pPr>
              <w:jc w:val="center"/>
              <w:rPr>
                <w:rFonts w:eastAsia="Times New Roman"/>
              </w:rPr>
            </w:pPr>
            <w:r>
              <w:rPr>
                <w:rFonts w:eastAsia="Times New Roman"/>
                <w:color w:val="000000"/>
                <w:sz w:val="16"/>
                <w:szCs w:val="16"/>
              </w:rPr>
              <w:t>145</w:t>
            </w:r>
          </w:p>
        </w:tc>
        <w:tc>
          <w:tcPr>
            <w:tcW w:w="0" w:type="auto"/>
            <w:gridSpan w:val="3"/>
            <w:tcMar>
              <w:top w:w="30" w:type="dxa"/>
              <w:left w:w="20" w:type="dxa"/>
              <w:bottom w:w="30" w:type="dxa"/>
              <w:right w:w="20" w:type="dxa"/>
            </w:tcMar>
            <w:vAlign w:val="bottom"/>
            <w:hideMark/>
          </w:tcPr>
          <w:p w:rsidR="00000000" w:rsidRDefault="00795D39">
            <w:pPr>
              <w:jc w:val="right"/>
              <w:rPr>
                <w:rFonts w:eastAsia="Times New Roman"/>
              </w:rPr>
            </w:pPr>
            <w:r>
              <w:rPr>
                <w:rFonts w:eastAsia="Times New Roman"/>
                <w:color w:val="000000"/>
                <w:sz w:val="16"/>
                <w:szCs w:val="16"/>
              </w:rPr>
              <w:t>Capital One Financial Corporation (COF)</w:t>
            </w:r>
          </w:p>
        </w:tc>
      </w:tr>
    </w:tbl>
    <w:p w:rsidR="00795D39" w:rsidRDefault="00795D39">
      <w:pPr>
        <w:divId w:val="222910914"/>
        <w:rPr>
          <w:rFonts w:eastAsia="Times New Roman"/>
        </w:rPr>
      </w:pPr>
    </w:p>
    <w:sectPr w:rsidR="00795D3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95D39"/>
    <w:rsid w:val="00795D39"/>
  </w:rsids>
  <m:mathPr>
    <m:mathFont m:val="Cambria Math"/>
    <m:brkBin m:val="before"/>
    <m:brkBinSub m:val="--"/>
    <m:smallFrac m:val="0"/>
    <m:dispDef/>
    <m:lMargin m:val="0"/>
    <m:rMargin m:val="0"/>
    <m:defJc m:val="centerGroup"/>
    <m:wrapIndent m:val="1440"/>
    <m:intLim m:val="subSup"/>
    <m:naryLim m:val="undOvr"/>
  </m:mathPr>
  <w:attachedSchema w:val="http://fasb.org/srt/2020-01-31"/>
  <w:attachedSchema w:val="http://fasb.org/us-gaap/2020-01-31"/>
  <w:attachedSchema w:val="http://xbrl.sec.gov/currency/2020-01-31"/>
  <w:attachedSchema w:val="http://www.capitalone.com/20200930"/>
  <w:attachedSchema w:val="http://xbrl.org/2006/xbrldi"/>
  <w:attachedSchema w:val="http://www.xbrl.org/2013/inlineXBRL"/>
  <w:attachedSchema w:val="http://www.xbrl.org/2003/instance"/>
  <w:attachedSchema w:val="http://xbrl.sec.gov/country/2020-01-31"/>
  <w:attachedSchema w:val="http://www.xbrl.org/2003/linkbase"/>
  <w:attachedSchema w:val="http://www.w3.org/1999/xlink"/>
  <w:attachedSchema w:val="http://xbrl.sec.gov/dei/2020-01-31"/>
  <w:attachedSchema w:val="http://www.sec.gov/inlineXBRL/transformation/2015-08-31"/>
  <w:attachedSchema w:val="http://www.xbrl.org/inlineXBRL/transformation/2015-02-26"/>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50">
      <w:marLeft w:val="0"/>
      <w:marRight w:val="0"/>
      <w:marTop w:val="100"/>
      <w:marBottom w:val="60"/>
      <w:divBdr>
        <w:top w:val="none" w:sz="0" w:space="0" w:color="auto"/>
        <w:left w:val="none" w:sz="0" w:space="0" w:color="auto"/>
        <w:bottom w:val="none" w:sz="0" w:space="0" w:color="auto"/>
        <w:right w:val="none" w:sz="0" w:space="0" w:color="auto"/>
      </w:divBdr>
      <w:divsChild>
        <w:div w:id="2035225410">
          <w:marLeft w:val="0"/>
          <w:marRight w:val="0"/>
          <w:marTop w:val="0"/>
          <w:marBottom w:val="0"/>
          <w:divBdr>
            <w:top w:val="none" w:sz="0" w:space="0" w:color="auto"/>
            <w:left w:val="none" w:sz="0" w:space="0" w:color="auto"/>
            <w:bottom w:val="none" w:sz="0" w:space="0" w:color="auto"/>
            <w:right w:val="none" w:sz="0" w:space="0" w:color="auto"/>
          </w:divBdr>
        </w:div>
        <w:div w:id="1401638483">
          <w:marLeft w:val="0"/>
          <w:marRight w:val="0"/>
          <w:marTop w:val="0"/>
          <w:marBottom w:val="0"/>
          <w:divBdr>
            <w:top w:val="none" w:sz="0" w:space="0" w:color="auto"/>
            <w:left w:val="none" w:sz="0" w:space="0" w:color="auto"/>
            <w:bottom w:val="none" w:sz="0" w:space="0" w:color="auto"/>
            <w:right w:val="none" w:sz="0" w:space="0" w:color="auto"/>
          </w:divBdr>
        </w:div>
        <w:div w:id="1639261929">
          <w:marLeft w:val="0"/>
          <w:marRight w:val="0"/>
          <w:marTop w:val="0"/>
          <w:marBottom w:val="0"/>
          <w:divBdr>
            <w:top w:val="none" w:sz="0" w:space="0" w:color="auto"/>
            <w:left w:val="none" w:sz="0" w:space="0" w:color="auto"/>
            <w:bottom w:val="none" w:sz="0" w:space="0" w:color="auto"/>
            <w:right w:val="none" w:sz="0" w:space="0" w:color="auto"/>
          </w:divBdr>
        </w:div>
      </w:divsChild>
    </w:div>
    <w:div w:id="789217">
      <w:marLeft w:val="0"/>
      <w:marRight w:val="0"/>
      <w:marTop w:val="180"/>
      <w:marBottom w:val="180"/>
      <w:divBdr>
        <w:top w:val="none" w:sz="0" w:space="0" w:color="auto"/>
        <w:left w:val="none" w:sz="0" w:space="0" w:color="auto"/>
        <w:bottom w:val="none" w:sz="0" w:space="0" w:color="auto"/>
        <w:right w:val="none" w:sz="0" w:space="0" w:color="auto"/>
      </w:divBdr>
    </w:div>
    <w:div w:id="813178">
      <w:marLeft w:val="0"/>
      <w:marRight w:val="0"/>
      <w:marTop w:val="180"/>
      <w:marBottom w:val="180"/>
      <w:divBdr>
        <w:top w:val="none" w:sz="0" w:space="0" w:color="auto"/>
        <w:left w:val="none" w:sz="0" w:space="0" w:color="auto"/>
        <w:bottom w:val="none" w:sz="0" w:space="0" w:color="auto"/>
        <w:right w:val="none" w:sz="0" w:space="0" w:color="auto"/>
      </w:divBdr>
    </w:div>
    <w:div w:id="1392915">
      <w:marLeft w:val="0"/>
      <w:marRight w:val="0"/>
      <w:marTop w:val="100"/>
      <w:marBottom w:val="100"/>
      <w:divBdr>
        <w:top w:val="none" w:sz="0" w:space="0" w:color="auto"/>
        <w:left w:val="none" w:sz="0" w:space="0" w:color="auto"/>
        <w:bottom w:val="none" w:sz="0" w:space="0" w:color="auto"/>
        <w:right w:val="none" w:sz="0" w:space="0" w:color="auto"/>
      </w:divBdr>
    </w:div>
    <w:div w:id="1594671">
      <w:marLeft w:val="0"/>
      <w:marRight w:val="0"/>
      <w:marTop w:val="180"/>
      <w:marBottom w:val="180"/>
      <w:divBdr>
        <w:top w:val="none" w:sz="0" w:space="0" w:color="auto"/>
        <w:left w:val="none" w:sz="0" w:space="0" w:color="auto"/>
        <w:bottom w:val="none" w:sz="0" w:space="0" w:color="auto"/>
        <w:right w:val="none" w:sz="0" w:space="0" w:color="auto"/>
      </w:divBdr>
    </w:div>
    <w:div w:id="3751778">
      <w:marLeft w:val="0"/>
      <w:marRight w:val="0"/>
      <w:marTop w:val="180"/>
      <w:marBottom w:val="60"/>
      <w:divBdr>
        <w:top w:val="none" w:sz="0" w:space="0" w:color="auto"/>
        <w:left w:val="none" w:sz="0" w:space="0" w:color="auto"/>
        <w:bottom w:val="none" w:sz="0" w:space="0" w:color="auto"/>
        <w:right w:val="none" w:sz="0" w:space="0" w:color="auto"/>
      </w:divBdr>
    </w:div>
    <w:div w:id="3867034">
      <w:marLeft w:val="0"/>
      <w:marRight w:val="0"/>
      <w:marTop w:val="0"/>
      <w:marBottom w:val="0"/>
      <w:divBdr>
        <w:top w:val="none" w:sz="0" w:space="0" w:color="auto"/>
        <w:left w:val="none" w:sz="0" w:space="0" w:color="auto"/>
        <w:bottom w:val="none" w:sz="0" w:space="0" w:color="auto"/>
        <w:right w:val="none" w:sz="0" w:space="0" w:color="auto"/>
      </w:divBdr>
    </w:div>
    <w:div w:id="4133151">
      <w:marLeft w:val="0"/>
      <w:marRight w:val="0"/>
      <w:marTop w:val="180"/>
      <w:marBottom w:val="180"/>
      <w:divBdr>
        <w:top w:val="none" w:sz="0" w:space="0" w:color="auto"/>
        <w:left w:val="none" w:sz="0" w:space="0" w:color="auto"/>
        <w:bottom w:val="none" w:sz="0" w:space="0" w:color="auto"/>
        <w:right w:val="none" w:sz="0" w:space="0" w:color="auto"/>
      </w:divBdr>
    </w:div>
    <w:div w:id="5207499">
      <w:marLeft w:val="0"/>
      <w:marRight w:val="0"/>
      <w:marTop w:val="0"/>
      <w:marBottom w:val="0"/>
      <w:divBdr>
        <w:top w:val="none" w:sz="0" w:space="0" w:color="auto"/>
        <w:left w:val="none" w:sz="0" w:space="0" w:color="auto"/>
        <w:bottom w:val="none" w:sz="0" w:space="0" w:color="auto"/>
        <w:right w:val="none" w:sz="0" w:space="0" w:color="auto"/>
      </w:divBdr>
      <w:divsChild>
        <w:div w:id="884833846">
          <w:marLeft w:val="0"/>
          <w:marRight w:val="0"/>
          <w:marTop w:val="180"/>
          <w:marBottom w:val="180"/>
          <w:divBdr>
            <w:top w:val="none" w:sz="0" w:space="0" w:color="auto"/>
            <w:left w:val="none" w:sz="0" w:space="0" w:color="auto"/>
            <w:bottom w:val="none" w:sz="0" w:space="0" w:color="auto"/>
            <w:right w:val="none" w:sz="0" w:space="0" w:color="auto"/>
          </w:divBdr>
        </w:div>
      </w:divsChild>
    </w:div>
    <w:div w:id="5253754">
      <w:marLeft w:val="0"/>
      <w:marRight w:val="0"/>
      <w:marTop w:val="180"/>
      <w:marBottom w:val="180"/>
      <w:divBdr>
        <w:top w:val="none" w:sz="0" w:space="0" w:color="auto"/>
        <w:left w:val="none" w:sz="0" w:space="0" w:color="auto"/>
        <w:bottom w:val="none" w:sz="0" w:space="0" w:color="auto"/>
        <w:right w:val="none" w:sz="0" w:space="0" w:color="auto"/>
      </w:divBdr>
    </w:div>
    <w:div w:id="5865455">
      <w:marLeft w:val="0"/>
      <w:marRight w:val="0"/>
      <w:marTop w:val="100"/>
      <w:marBottom w:val="100"/>
      <w:divBdr>
        <w:top w:val="none" w:sz="0" w:space="0" w:color="auto"/>
        <w:left w:val="none" w:sz="0" w:space="0" w:color="auto"/>
        <w:bottom w:val="none" w:sz="0" w:space="0" w:color="auto"/>
        <w:right w:val="none" w:sz="0" w:space="0" w:color="auto"/>
      </w:divBdr>
      <w:divsChild>
        <w:div w:id="828861115">
          <w:marLeft w:val="0"/>
          <w:marRight w:val="0"/>
          <w:marTop w:val="180"/>
          <w:marBottom w:val="0"/>
          <w:divBdr>
            <w:top w:val="none" w:sz="0" w:space="0" w:color="auto"/>
            <w:left w:val="none" w:sz="0" w:space="0" w:color="auto"/>
            <w:bottom w:val="none" w:sz="0" w:space="0" w:color="auto"/>
            <w:right w:val="none" w:sz="0" w:space="0" w:color="auto"/>
          </w:divBdr>
        </w:div>
      </w:divsChild>
    </w:div>
    <w:div w:id="6061478">
      <w:marLeft w:val="0"/>
      <w:marRight w:val="0"/>
      <w:marTop w:val="100"/>
      <w:marBottom w:val="100"/>
      <w:divBdr>
        <w:top w:val="none" w:sz="0" w:space="0" w:color="auto"/>
        <w:left w:val="none" w:sz="0" w:space="0" w:color="auto"/>
        <w:bottom w:val="none" w:sz="0" w:space="0" w:color="auto"/>
        <w:right w:val="none" w:sz="0" w:space="0" w:color="auto"/>
      </w:divBdr>
    </w:div>
    <w:div w:id="9840970">
      <w:marLeft w:val="0"/>
      <w:marRight w:val="0"/>
      <w:marTop w:val="180"/>
      <w:marBottom w:val="180"/>
      <w:divBdr>
        <w:top w:val="none" w:sz="0" w:space="0" w:color="auto"/>
        <w:left w:val="none" w:sz="0" w:space="0" w:color="auto"/>
        <w:bottom w:val="none" w:sz="0" w:space="0" w:color="auto"/>
        <w:right w:val="none" w:sz="0" w:space="0" w:color="auto"/>
      </w:divBdr>
    </w:div>
    <w:div w:id="10226292">
      <w:marLeft w:val="0"/>
      <w:marRight w:val="0"/>
      <w:marTop w:val="0"/>
      <w:marBottom w:val="0"/>
      <w:divBdr>
        <w:top w:val="none" w:sz="0" w:space="0" w:color="auto"/>
        <w:left w:val="none" w:sz="0" w:space="0" w:color="auto"/>
        <w:bottom w:val="none" w:sz="0" w:space="0" w:color="auto"/>
        <w:right w:val="none" w:sz="0" w:space="0" w:color="auto"/>
      </w:divBdr>
      <w:divsChild>
        <w:div w:id="769198501">
          <w:marLeft w:val="0"/>
          <w:marRight w:val="0"/>
          <w:marTop w:val="180"/>
          <w:marBottom w:val="180"/>
          <w:divBdr>
            <w:top w:val="none" w:sz="0" w:space="0" w:color="auto"/>
            <w:left w:val="none" w:sz="0" w:space="0" w:color="auto"/>
            <w:bottom w:val="none" w:sz="0" w:space="0" w:color="auto"/>
            <w:right w:val="none" w:sz="0" w:space="0" w:color="auto"/>
          </w:divBdr>
        </w:div>
      </w:divsChild>
    </w:div>
    <w:div w:id="10500797">
      <w:marLeft w:val="0"/>
      <w:marRight w:val="0"/>
      <w:marTop w:val="180"/>
      <w:marBottom w:val="180"/>
      <w:divBdr>
        <w:top w:val="none" w:sz="0" w:space="0" w:color="auto"/>
        <w:left w:val="none" w:sz="0" w:space="0" w:color="auto"/>
        <w:bottom w:val="none" w:sz="0" w:space="0" w:color="auto"/>
        <w:right w:val="none" w:sz="0" w:space="0" w:color="auto"/>
      </w:divBdr>
    </w:div>
    <w:div w:id="13894987">
      <w:marLeft w:val="0"/>
      <w:marRight w:val="0"/>
      <w:marTop w:val="60"/>
      <w:marBottom w:val="60"/>
      <w:divBdr>
        <w:top w:val="none" w:sz="0" w:space="0" w:color="auto"/>
        <w:left w:val="none" w:sz="0" w:space="0" w:color="auto"/>
        <w:bottom w:val="none" w:sz="0" w:space="0" w:color="auto"/>
        <w:right w:val="none" w:sz="0" w:space="0" w:color="auto"/>
      </w:divBdr>
    </w:div>
    <w:div w:id="14188290">
      <w:marLeft w:val="0"/>
      <w:marRight w:val="0"/>
      <w:marTop w:val="180"/>
      <w:marBottom w:val="60"/>
      <w:divBdr>
        <w:top w:val="none" w:sz="0" w:space="0" w:color="auto"/>
        <w:left w:val="none" w:sz="0" w:space="0" w:color="auto"/>
        <w:bottom w:val="none" w:sz="0" w:space="0" w:color="auto"/>
        <w:right w:val="none" w:sz="0" w:space="0" w:color="auto"/>
      </w:divBdr>
    </w:div>
    <w:div w:id="14817745">
      <w:marLeft w:val="0"/>
      <w:marRight w:val="0"/>
      <w:marTop w:val="60"/>
      <w:marBottom w:val="60"/>
      <w:divBdr>
        <w:top w:val="none" w:sz="0" w:space="0" w:color="auto"/>
        <w:left w:val="none" w:sz="0" w:space="0" w:color="auto"/>
        <w:bottom w:val="none" w:sz="0" w:space="0" w:color="auto"/>
        <w:right w:val="none" w:sz="0" w:space="0" w:color="auto"/>
      </w:divBdr>
    </w:div>
    <w:div w:id="15620680">
      <w:marLeft w:val="0"/>
      <w:marRight w:val="0"/>
      <w:marTop w:val="60"/>
      <w:marBottom w:val="60"/>
      <w:divBdr>
        <w:top w:val="none" w:sz="0" w:space="0" w:color="auto"/>
        <w:left w:val="none" w:sz="0" w:space="0" w:color="auto"/>
        <w:bottom w:val="none" w:sz="0" w:space="0" w:color="auto"/>
        <w:right w:val="none" w:sz="0" w:space="0" w:color="auto"/>
      </w:divBdr>
    </w:div>
    <w:div w:id="17006559">
      <w:marLeft w:val="0"/>
      <w:marRight w:val="0"/>
      <w:marTop w:val="180"/>
      <w:marBottom w:val="180"/>
      <w:divBdr>
        <w:top w:val="none" w:sz="0" w:space="0" w:color="auto"/>
        <w:left w:val="none" w:sz="0" w:space="0" w:color="auto"/>
        <w:bottom w:val="none" w:sz="0" w:space="0" w:color="auto"/>
        <w:right w:val="none" w:sz="0" w:space="0" w:color="auto"/>
      </w:divBdr>
    </w:div>
    <w:div w:id="17630827">
      <w:marLeft w:val="0"/>
      <w:marRight w:val="0"/>
      <w:marTop w:val="180"/>
      <w:marBottom w:val="180"/>
      <w:divBdr>
        <w:top w:val="none" w:sz="0" w:space="0" w:color="auto"/>
        <w:left w:val="none" w:sz="0" w:space="0" w:color="auto"/>
        <w:bottom w:val="none" w:sz="0" w:space="0" w:color="auto"/>
        <w:right w:val="none" w:sz="0" w:space="0" w:color="auto"/>
      </w:divBdr>
    </w:div>
    <w:div w:id="18941315">
      <w:marLeft w:val="0"/>
      <w:marRight w:val="0"/>
      <w:marTop w:val="60"/>
      <w:marBottom w:val="60"/>
      <w:divBdr>
        <w:top w:val="none" w:sz="0" w:space="0" w:color="auto"/>
        <w:left w:val="none" w:sz="0" w:space="0" w:color="auto"/>
        <w:bottom w:val="none" w:sz="0" w:space="0" w:color="auto"/>
        <w:right w:val="none" w:sz="0" w:space="0" w:color="auto"/>
      </w:divBdr>
    </w:div>
    <w:div w:id="20514031">
      <w:marLeft w:val="0"/>
      <w:marRight w:val="0"/>
      <w:marTop w:val="180"/>
      <w:marBottom w:val="180"/>
      <w:divBdr>
        <w:top w:val="none" w:sz="0" w:space="0" w:color="auto"/>
        <w:left w:val="none" w:sz="0" w:space="0" w:color="auto"/>
        <w:bottom w:val="none" w:sz="0" w:space="0" w:color="auto"/>
        <w:right w:val="none" w:sz="0" w:space="0" w:color="auto"/>
      </w:divBdr>
    </w:div>
    <w:div w:id="23361069">
      <w:marLeft w:val="0"/>
      <w:marRight w:val="0"/>
      <w:marTop w:val="180"/>
      <w:marBottom w:val="180"/>
      <w:divBdr>
        <w:top w:val="none" w:sz="0" w:space="0" w:color="auto"/>
        <w:left w:val="none" w:sz="0" w:space="0" w:color="auto"/>
        <w:bottom w:val="none" w:sz="0" w:space="0" w:color="auto"/>
        <w:right w:val="none" w:sz="0" w:space="0" w:color="auto"/>
      </w:divBdr>
    </w:div>
    <w:div w:id="24599245">
      <w:marLeft w:val="0"/>
      <w:marRight w:val="0"/>
      <w:marTop w:val="0"/>
      <w:marBottom w:val="0"/>
      <w:divBdr>
        <w:top w:val="none" w:sz="0" w:space="0" w:color="auto"/>
        <w:left w:val="none" w:sz="0" w:space="0" w:color="auto"/>
        <w:bottom w:val="none" w:sz="0" w:space="0" w:color="auto"/>
        <w:right w:val="none" w:sz="0" w:space="0" w:color="auto"/>
      </w:divBdr>
      <w:divsChild>
        <w:div w:id="328366736">
          <w:marLeft w:val="0"/>
          <w:marRight w:val="0"/>
          <w:marTop w:val="0"/>
          <w:marBottom w:val="0"/>
          <w:divBdr>
            <w:top w:val="none" w:sz="0" w:space="0" w:color="auto"/>
            <w:left w:val="none" w:sz="0" w:space="0" w:color="auto"/>
            <w:bottom w:val="none" w:sz="0" w:space="0" w:color="auto"/>
            <w:right w:val="none" w:sz="0" w:space="0" w:color="auto"/>
          </w:divBdr>
          <w:divsChild>
            <w:div w:id="3830251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717535">
      <w:marLeft w:val="0"/>
      <w:marRight w:val="0"/>
      <w:marTop w:val="180"/>
      <w:marBottom w:val="180"/>
      <w:divBdr>
        <w:top w:val="none" w:sz="0" w:space="0" w:color="auto"/>
        <w:left w:val="none" w:sz="0" w:space="0" w:color="auto"/>
        <w:bottom w:val="none" w:sz="0" w:space="0" w:color="auto"/>
        <w:right w:val="none" w:sz="0" w:space="0" w:color="auto"/>
      </w:divBdr>
    </w:div>
    <w:div w:id="26377276">
      <w:marLeft w:val="0"/>
      <w:marRight w:val="0"/>
      <w:marTop w:val="180"/>
      <w:marBottom w:val="180"/>
      <w:divBdr>
        <w:top w:val="none" w:sz="0" w:space="0" w:color="auto"/>
        <w:left w:val="none" w:sz="0" w:space="0" w:color="auto"/>
        <w:bottom w:val="none" w:sz="0" w:space="0" w:color="auto"/>
        <w:right w:val="none" w:sz="0" w:space="0" w:color="auto"/>
      </w:divBdr>
    </w:div>
    <w:div w:id="26684491">
      <w:marLeft w:val="0"/>
      <w:marRight w:val="0"/>
      <w:marTop w:val="180"/>
      <w:marBottom w:val="180"/>
      <w:divBdr>
        <w:top w:val="none" w:sz="0" w:space="0" w:color="auto"/>
        <w:left w:val="none" w:sz="0" w:space="0" w:color="auto"/>
        <w:bottom w:val="none" w:sz="0" w:space="0" w:color="auto"/>
        <w:right w:val="none" w:sz="0" w:space="0" w:color="auto"/>
      </w:divBdr>
    </w:div>
    <w:div w:id="27462036">
      <w:marLeft w:val="0"/>
      <w:marRight w:val="0"/>
      <w:marTop w:val="180"/>
      <w:marBottom w:val="180"/>
      <w:divBdr>
        <w:top w:val="none" w:sz="0" w:space="0" w:color="auto"/>
        <w:left w:val="none" w:sz="0" w:space="0" w:color="auto"/>
        <w:bottom w:val="none" w:sz="0" w:space="0" w:color="auto"/>
        <w:right w:val="none" w:sz="0" w:space="0" w:color="auto"/>
      </w:divBdr>
    </w:div>
    <w:div w:id="27529852">
      <w:marLeft w:val="0"/>
      <w:marRight w:val="0"/>
      <w:marTop w:val="60"/>
      <w:marBottom w:val="60"/>
      <w:divBdr>
        <w:top w:val="none" w:sz="0" w:space="0" w:color="auto"/>
        <w:left w:val="none" w:sz="0" w:space="0" w:color="auto"/>
        <w:bottom w:val="none" w:sz="0" w:space="0" w:color="auto"/>
        <w:right w:val="none" w:sz="0" w:space="0" w:color="auto"/>
      </w:divBdr>
    </w:div>
    <w:div w:id="27612648">
      <w:marLeft w:val="0"/>
      <w:marRight w:val="0"/>
      <w:marTop w:val="60"/>
      <w:marBottom w:val="60"/>
      <w:divBdr>
        <w:top w:val="none" w:sz="0" w:space="0" w:color="auto"/>
        <w:left w:val="none" w:sz="0" w:space="0" w:color="auto"/>
        <w:bottom w:val="none" w:sz="0" w:space="0" w:color="auto"/>
        <w:right w:val="none" w:sz="0" w:space="0" w:color="auto"/>
      </w:divBdr>
    </w:div>
    <w:div w:id="28340335">
      <w:marLeft w:val="0"/>
      <w:marRight w:val="0"/>
      <w:marTop w:val="180"/>
      <w:marBottom w:val="180"/>
      <w:divBdr>
        <w:top w:val="none" w:sz="0" w:space="0" w:color="auto"/>
        <w:left w:val="none" w:sz="0" w:space="0" w:color="auto"/>
        <w:bottom w:val="none" w:sz="0" w:space="0" w:color="auto"/>
        <w:right w:val="none" w:sz="0" w:space="0" w:color="auto"/>
      </w:divBdr>
    </w:div>
    <w:div w:id="29426680">
      <w:marLeft w:val="0"/>
      <w:marRight w:val="0"/>
      <w:marTop w:val="0"/>
      <w:marBottom w:val="0"/>
      <w:divBdr>
        <w:top w:val="none" w:sz="0" w:space="0" w:color="auto"/>
        <w:left w:val="none" w:sz="0" w:space="0" w:color="auto"/>
        <w:bottom w:val="none" w:sz="0" w:space="0" w:color="auto"/>
        <w:right w:val="none" w:sz="0" w:space="0" w:color="auto"/>
      </w:divBdr>
    </w:div>
    <w:div w:id="30111801">
      <w:marLeft w:val="0"/>
      <w:marRight w:val="0"/>
      <w:marTop w:val="60"/>
      <w:marBottom w:val="60"/>
      <w:divBdr>
        <w:top w:val="none" w:sz="0" w:space="0" w:color="auto"/>
        <w:left w:val="none" w:sz="0" w:space="0" w:color="auto"/>
        <w:bottom w:val="none" w:sz="0" w:space="0" w:color="auto"/>
        <w:right w:val="none" w:sz="0" w:space="0" w:color="auto"/>
      </w:divBdr>
    </w:div>
    <w:div w:id="30346576">
      <w:marLeft w:val="0"/>
      <w:marRight w:val="0"/>
      <w:marTop w:val="0"/>
      <w:marBottom w:val="0"/>
      <w:divBdr>
        <w:top w:val="none" w:sz="0" w:space="0" w:color="auto"/>
        <w:left w:val="none" w:sz="0" w:space="0" w:color="auto"/>
        <w:bottom w:val="none" w:sz="0" w:space="0" w:color="auto"/>
        <w:right w:val="none" w:sz="0" w:space="0" w:color="auto"/>
      </w:divBdr>
      <w:divsChild>
        <w:div w:id="1917859103">
          <w:marLeft w:val="0"/>
          <w:marRight w:val="0"/>
          <w:marTop w:val="0"/>
          <w:marBottom w:val="0"/>
          <w:divBdr>
            <w:top w:val="none" w:sz="0" w:space="0" w:color="auto"/>
            <w:left w:val="none" w:sz="0" w:space="0" w:color="auto"/>
            <w:bottom w:val="none" w:sz="0" w:space="0" w:color="auto"/>
            <w:right w:val="none" w:sz="0" w:space="0" w:color="auto"/>
          </w:divBdr>
          <w:divsChild>
            <w:div w:id="9374487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267645">
      <w:marLeft w:val="0"/>
      <w:marRight w:val="0"/>
      <w:marTop w:val="180"/>
      <w:marBottom w:val="180"/>
      <w:divBdr>
        <w:top w:val="none" w:sz="0" w:space="0" w:color="auto"/>
        <w:left w:val="none" w:sz="0" w:space="0" w:color="auto"/>
        <w:bottom w:val="none" w:sz="0" w:space="0" w:color="auto"/>
        <w:right w:val="none" w:sz="0" w:space="0" w:color="auto"/>
      </w:divBdr>
    </w:div>
    <w:div w:id="33387983">
      <w:marLeft w:val="0"/>
      <w:marRight w:val="0"/>
      <w:marTop w:val="180"/>
      <w:marBottom w:val="180"/>
      <w:divBdr>
        <w:top w:val="none" w:sz="0" w:space="0" w:color="auto"/>
        <w:left w:val="none" w:sz="0" w:space="0" w:color="auto"/>
        <w:bottom w:val="none" w:sz="0" w:space="0" w:color="auto"/>
        <w:right w:val="none" w:sz="0" w:space="0" w:color="auto"/>
      </w:divBdr>
    </w:div>
    <w:div w:id="34476487">
      <w:marLeft w:val="0"/>
      <w:marRight w:val="0"/>
      <w:marTop w:val="180"/>
      <w:marBottom w:val="180"/>
      <w:divBdr>
        <w:top w:val="none" w:sz="0" w:space="0" w:color="auto"/>
        <w:left w:val="none" w:sz="0" w:space="0" w:color="auto"/>
        <w:bottom w:val="none" w:sz="0" w:space="0" w:color="auto"/>
        <w:right w:val="none" w:sz="0" w:space="0" w:color="auto"/>
      </w:divBdr>
    </w:div>
    <w:div w:id="35156962">
      <w:marLeft w:val="0"/>
      <w:marRight w:val="0"/>
      <w:marTop w:val="60"/>
      <w:marBottom w:val="60"/>
      <w:divBdr>
        <w:top w:val="none" w:sz="0" w:space="0" w:color="auto"/>
        <w:left w:val="none" w:sz="0" w:space="0" w:color="auto"/>
        <w:bottom w:val="none" w:sz="0" w:space="0" w:color="auto"/>
        <w:right w:val="none" w:sz="0" w:space="0" w:color="auto"/>
      </w:divBdr>
    </w:div>
    <w:div w:id="35786027">
      <w:marLeft w:val="0"/>
      <w:marRight w:val="0"/>
      <w:marTop w:val="180"/>
      <w:marBottom w:val="180"/>
      <w:divBdr>
        <w:top w:val="none" w:sz="0" w:space="0" w:color="auto"/>
        <w:left w:val="none" w:sz="0" w:space="0" w:color="auto"/>
        <w:bottom w:val="none" w:sz="0" w:space="0" w:color="auto"/>
        <w:right w:val="none" w:sz="0" w:space="0" w:color="auto"/>
      </w:divBdr>
    </w:div>
    <w:div w:id="36708307">
      <w:marLeft w:val="0"/>
      <w:marRight w:val="0"/>
      <w:marTop w:val="60"/>
      <w:marBottom w:val="60"/>
      <w:divBdr>
        <w:top w:val="none" w:sz="0" w:space="0" w:color="auto"/>
        <w:left w:val="none" w:sz="0" w:space="0" w:color="auto"/>
        <w:bottom w:val="none" w:sz="0" w:space="0" w:color="auto"/>
        <w:right w:val="none" w:sz="0" w:space="0" w:color="auto"/>
      </w:divBdr>
    </w:div>
    <w:div w:id="37826199">
      <w:marLeft w:val="0"/>
      <w:marRight w:val="0"/>
      <w:marTop w:val="60"/>
      <w:marBottom w:val="60"/>
      <w:divBdr>
        <w:top w:val="none" w:sz="0" w:space="0" w:color="auto"/>
        <w:left w:val="none" w:sz="0" w:space="0" w:color="auto"/>
        <w:bottom w:val="none" w:sz="0" w:space="0" w:color="auto"/>
        <w:right w:val="none" w:sz="0" w:space="0" w:color="auto"/>
      </w:divBdr>
    </w:div>
    <w:div w:id="38088778">
      <w:marLeft w:val="0"/>
      <w:marRight w:val="0"/>
      <w:marTop w:val="180"/>
      <w:marBottom w:val="180"/>
      <w:divBdr>
        <w:top w:val="none" w:sz="0" w:space="0" w:color="auto"/>
        <w:left w:val="none" w:sz="0" w:space="0" w:color="auto"/>
        <w:bottom w:val="none" w:sz="0" w:space="0" w:color="auto"/>
        <w:right w:val="none" w:sz="0" w:space="0" w:color="auto"/>
      </w:divBdr>
    </w:div>
    <w:div w:id="38627122">
      <w:marLeft w:val="0"/>
      <w:marRight w:val="0"/>
      <w:marTop w:val="0"/>
      <w:marBottom w:val="0"/>
      <w:divBdr>
        <w:top w:val="none" w:sz="0" w:space="0" w:color="auto"/>
        <w:left w:val="none" w:sz="0" w:space="0" w:color="auto"/>
        <w:bottom w:val="none" w:sz="0" w:space="0" w:color="auto"/>
        <w:right w:val="none" w:sz="0" w:space="0" w:color="auto"/>
      </w:divBdr>
      <w:divsChild>
        <w:div w:id="1160543461">
          <w:marLeft w:val="0"/>
          <w:marRight w:val="0"/>
          <w:marTop w:val="180"/>
          <w:marBottom w:val="180"/>
          <w:divBdr>
            <w:top w:val="none" w:sz="0" w:space="0" w:color="auto"/>
            <w:left w:val="none" w:sz="0" w:space="0" w:color="auto"/>
            <w:bottom w:val="none" w:sz="0" w:space="0" w:color="auto"/>
            <w:right w:val="none" w:sz="0" w:space="0" w:color="auto"/>
          </w:divBdr>
        </w:div>
      </w:divsChild>
    </w:div>
    <w:div w:id="41365207">
      <w:marLeft w:val="0"/>
      <w:marRight w:val="0"/>
      <w:marTop w:val="180"/>
      <w:marBottom w:val="180"/>
      <w:divBdr>
        <w:top w:val="none" w:sz="0" w:space="0" w:color="auto"/>
        <w:left w:val="none" w:sz="0" w:space="0" w:color="auto"/>
        <w:bottom w:val="none" w:sz="0" w:space="0" w:color="auto"/>
        <w:right w:val="none" w:sz="0" w:space="0" w:color="auto"/>
      </w:divBdr>
    </w:div>
    <w:div w:id="41756070">
      <w:marLeft w:val="0"/>
      <w:marRight w:val="0"/>
      <w:marTop w:val="0"/>
      <w:marBottom w:val="0"/>
      <w:divBdr>
        <w:top w:val="none" w:sz="0" w:space="0" w:color="auto"/>
        <w:left w:val="none" w:sz="0" w:space="0" w:color="auto"/>
        <w:bottom w:val="none" w:sz="0" w:space="0" w:color="auto"/>
        <w:right w:val="none" w:sz="0" w:space="0" w:color="auto"/>
      </w:divBdr>
    </w:div>
    <w:div w:id="43526040">
      <w:marLeft w:val="0"/>
      <w:marRight w:val="0"/>
      <w:marTop w:val="100"/>
      <w:marBottom w:val="100"/>
      <w:divBdr>
        <w:top w:val="none" w:sz="0" w:space="0" w:color="auto"/>
        <w:left w:val="none" w:sz="0" w:space="0" w:color="auto"/>
        <w:bottom w:val="none" w:sz="0" w:space="0" w:color="auto"/>
        <w:right w:val="none" w:sz="0" w:space="0" w:color="auto"/>
      </w:divBdr>
      <w:divsChild>
        <w:div w:id="1812482635">
          <w:marLeft w:val="0"/>
          <w:marRight w:val="0"/>
          <w:marTop w:val="0"/>
          <w:marBottom w:val="0"/>
          <w:divBdr>
            <w:top w:val="none" w:sz="0" w:space="0" w:color="auto"/>
            <w:left w:val="none" w:sz="0" w:space="0" w:color="auto"/>
            <w:bottom w:val="none" w:sz="0" w:space="0" w:color="auto"/>
            <w:right w:val="none" w:sz="0" w:space="0" w:color="auto"/>
          </w:divBdr>
        </w:div>
      </w:divsChild>
    </w:div>
    <w:div w:id="43674746">
      <w:marLeft w:val="0"/>
      <w:marRight w:val="0"/>
      <w:marTop w:val="180"/>
      <w:marBottom w:val="180"/>
      <w:divBdr>
        <w:top w:val="none" w:sz="0" w:space="0" w:color="auto"/>
        <w:left w:val="none" w:sz="0" w:space="0" w:color="auto"/>
        <w:bottom w:val="none" w:sz="0" w:space="0" w:color="auto"/>
        <w:right w:val="none" w:sz="0" w:space="0" w:color="auto"/>
      </w:divBdr>
    </w:div>
    <w:div w:id="44179433">
      <w:marLeft w:val="0"/>
      <w:marRight w:val="0"/>
      <w:marTop w:val="0"/>
      <w:marBottom w:val="0"/>
      <w:divBdr>
        <w:top w:val="none" w:sz="0" w:space="0" w:color="auto"/>
        <w:left w:val="none" w:sz="0" w:space="0" w:color="auto"/>
        <w:bottom w:val="none" w:sz="0" w:space="0" w:color="auto"/>
        <w:right w:val="none" w:sz="0" w:space="0" w:color="auto"/>
      </w:divBdr>
      <w:divsChild>
        <w:div w:id="115373294">
          <w:marLeft w:val="0"/>
          <w:marRight w:val="0"/>
          <w:marTop w:val="0"/>
          <w:marBottom w:val="0"/>
          <w:divBdr>
            <w:top w:val="none" w:sz="0" w:space="0" w:color="auto"/>
            <w:left w:val="none" w:sz="0" w:space="0" w:color="auto"/>
            <w:bottom w:val="none" w:sz="0" w:space="0" w:color="auto"/>
            <w:right w:val="none" w:sz="0" w:space="0" w:color="auto"/>
          </w:divBdr>
          <w:divsChild>
            <w:div w:id="16183739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966321">
      <w:marLeft w:val="0"/>
      <w:marRight w:val="0"/>
      <w:marTop w:val="180"/>
      <w:marBottom w:val="180"/>
      <w:divBdr>
        <w:top w:val="none" w:sz="0" w:space="0" w:color="auto"/>
        <w:left w:val="none" w:sz="0" w:space="0" w:color="auto"/>
        <w:bottom w:val="none" w:sz="0" w:space="0" w:color="auto"/>
        <w:right w:val="none" w:sz="0" w:space="0" w:color="auto"/>
      </w:divBdr>
    </w:div>
    <w:div w:id="50271643">
      <w:marLeft w:val="0"/>
      <w:marRight w:val="0"/>
      <w:marTop w:val="300"/>
      <w:marBottom w:val="100"/>
      <w:divBdr>
        <w:top w:val="none" w:sz="0" w:space="0" w:color="auto"/>
        <w:left w:val="none" w:sz="0" w:space="0" w:color="auto"/>
        <w:bottom w:val="none" w:sz="0" w:space="0" w:color="auto"/>
        <w:right w:val="none" w:sz="0" w:space="0" w:color="auto"/>
      </w:divBdr>
    </w:div>
    <w:div w:id="51732726">
      <w:marLeft w:val="0"/>
      <w:marRight w:val="0"/>
      <w:marTop w:val="180"/>
      <w:marBottom w:val="180"/>
      <w:divBdr>
        <w:top w:val="none" w:sz="0" w:space="0" w:color="auto"/>
        <w:left w:val="none" w:sz="0" w:space="0" w:color="auto"/>
        <w:bottom w:val="none" w:sz="0" w:space="0" w:color="auto"/>
        <w:right w:val="none" w:sz="0" w:space="0" w:color="auto"/>
      </w:divBdr>
    </w:div>
    <w:div w:id="52043025">
      <w:marLeft w:val="0"/>
      <w:marRight w:val="0"/>
      <w:marTop w:val="180"/>
      <w:marBottom w:val="180"/>
      <w:divBdr>
        <w:top w:val="none" w:sz="0" w:space="0" w:color="auto"/>
        <w:left w:val="none" w:sz="0" w:space="0" w:color="auto"/>
        <w:bottom w:val="none" w:sz="0" w:space="0" w:color="auto"/>
        <w:right w:val="none" w:sz="0" w:space="0" w:color="auto"/>
      </w:divBdr>
    </w:div>
    <w:div w:id="52900209">
      <w:marLeft w:val="0"/>
      <w:marRight w:val="0"/>
      <w:marTop w:val="180"/>
      <w:marBottom w:val="180"/>
      <w:divBdr>
        <w:top w:val="none" w:sz="0" w:space="0" w:color="auto"/>
        <w:left w:val="none" w:sz="0" w:space="0" w:color="auto"/>
        <w:bottom w:val="none" w:sz="0" w:space="0" w:color="auto"/>
        <w:right w:val="none" w:sz="0" w:space="0" w:color="auto"/>
      </w:divBdr>
    </w:div>
    <w:div w:id="55007011">
      <w:marLeft w:val="0"/>
      <w:marRight w:val="0"/>
      <w:marTop w:val="180"/>
      <w:marBottom w:val="60"/>
      <w:divBdr>
        <w:top w:val="none" w:sz="0" w:space="0" w:color="auto"/>
        <w:left w:val="none" w:sz="0" w:space="0" w:color="auto"/>
        <w:bottom w:val="none" w:sz="0" w:space="0" w:color="auto"/>
        <w:right w:val="none" w:sz="0" w:space="0" w:color="auto"/>
      </w:divBdr>
    </w:div>
    <w:div w:id="55053144">
      <w:marLeft w:val="0"/>
      <w:marRight w:val="0"/>
      <w:marTop w:val="180"/>
      <w:marBottom w:val="0"/>
      <w:divBdr>
        <w:top w:val="none" w:sz="0" w:space="0" w:color="auto"/>
        <w:left w:val="none" w:sz="0" w:space="0" w:color="auto"/>
        <w:bottom w:val="none" w:sz="0" w:space="0" w:color="auto"/>
        <w:right w:val="none" w:sz="0" w:space="0" w:color="auto"/>
      </w:divBdr>
    </w:div>
    <w:div w:id="56243350">
      <w:marLeft w:val="0"/>
      <w:marRight w:val="0"/>
      <w:marTop w:val="0"/>
      <w:marBottom w:val="0"/>
      <w:divBdr>
        <w:top w:val="none" w:sz="0" w:space="0" w:color="auto"/>
        <w:left w:val="none" w:sz="0" w:space="0" w:color="auto"/>
        <w:bottom w:val="none" w:sz="0" w:space="0" w:color="auto"/>
        <w:right w:val="none" w:sz="0" w:space="0" w:color="auto"/>
      </w:divBdr>
    </w:div>
    <w:div w:id="56318203">
      <w:marLeft w:val="0"/>
      <w:marRight w:val="0"/>
      <w:marTop w:val="180"/>
      <w:marBottom w:val="180"/>
      <w:divBdr>
        <w:top w:val="none" w:sz="0" w:space="0" w:color="auto"/>
        <w:left w:val="none" w:sz="0" w:space="0" w:color="auto"/>
        <w:bottom w:val="none" w:sz="0" w:space="0" w:color="auto"/>
        <w:right w:val="none" w:sz="0" w:space="0" w:color="auto"/>
      </w:divBdr>
    </w:div>
    <w:div w:id="56824089">
      <w:marLeft w:val="0"/>
      <w:marRight w:val="0"/>
      <w:marTop w:val="0"/>
      <w:marBottom w:val="0"/>
      <w:divBdr>
        <w:top w:val="none" w:sz="0" w:space="0" w:color="auto"/>
        <w:left w:val="none" w:sz="0" w:space="0" w:color="auto"/>
        <w:bottom w:val="none" w:sz="0" w:space="0" w:color="auto"/>
        <w:right w:val="none" w:sz="0" w:space="0" w:color="auto"/>
      </w:divBdr>
    </w:div>
    <w:div w:id="57436803">
      <w:marLeft w:val="0"/>
      <w:marRight w:val="0"/>
      <w:marTop w:val="180"/>
      <w:marBottom w:val="180"/>
      <w:divBdr>
        <w:top w:val="none" w:sz="0" w:space="0" w:color="auto"/>
        <w:left w:val="none" w:sz="0" w:space="0" w:color="auto"/>
        <w:bottom w:val="none" w:sz="0" w:space="0" w:color="auto"/>
        <w:right w:val="none" w:sz="0" w:space="0" w:color="auto"/>
      </w:divBdr>
    </w:div>
    <w:div w:id="58556027">
      <w:marLeft w:val="0"/>
      <w:marRight w:val="0"/>
      <w:marTop w:val="180"/>
      <w:marBottom w:val="180"/>
      <w:divBdr>
        <w:top w:val="none" w:sz="0" w:space="0" w:color="auto"/>
        <w:left w:val="none" w:sz="0" w:space="0" w:color="auto"/>
        <w:bottom w:val="none" w:sz="0" w:space="0" w:color="auto"/>
        <w:right w:val="none" w:sz="0" w:space="0" w:color="auto"/>
      </w:divBdr>
    </w:div>
    <w:div w:id="58677315">
      <w:marLeft w:val="0"/>
      <w:marRight w:val="0"/>
      <w:marTop w:val="180"/>
      <w:marBottom w:val="180"/>
      <w:divBdr>
        <w:top w:val="none" w:sz="0" w:space="0" w:color="auto"/>
        <w:left w:val="none" w:sz="0" w:space="0" w:color="auto"/>
        <w:bottom w:val="none" w:sz="0" w:space="0" w:color="auto"/>
        <w:right w:val="none" w:sz="0" w:space="0" w:color="auto"/>
      </w:divBdr>
    </w:div>
    <w:div w:id="60106271">
      <w:marLeft w:val="0"/>
      <w:marRight w:val="0"/>
      <w:marTop w:val="60"/>
      <w:marBottom w:val="60"/>
      <w:divBdr>
        <w:top w:val="none" w:sz="0" w:space="0" w:color="auto"/>
        <w:left w:val="none" w:sz="0" w:space="0" w:color="auto"/>
        <w:bottom w:val="none" w:sz="0" w:space="0" w:color="auto"/>
        <w:right w:val="none" w:sz="0" w:space="0" w:color="auto"/>
      </w:divBdr>
    </w:div>
    <w:div w:id="60521545">
      <w:marLeft w:val="0"/>
      <w:marRight w:val="0"/>
      <w:marTop w:val="180"/>
      <w:marBottom w:val="180"/>
      <w:divBdr>
        <w:top w:val="none" w:sz="0" w:space="0" w:color="auto"/>
        <w:left w:val="none" w:sz="0" w:space="0" w:color="auto"/>
        <w:bottom w:val="none" w:sz="0" w:space="0" w:color="auto"/>
        <w:right w:val="none" w:sz="0" w:space="0" w:color="auto"/>
      </w:divBdr>
    </w:div>
    <w:div w:id="60644310">
      <w:marLeft w:val="0"/>
      <w:marRight w:val="0"/>
      <w:marTop w:val="180"/>
      <w:marBottom w:val="180"/>
      <w:divBdr>
        <w:top w:val="none" w:sz="0" w:space="0" w:color="auto"/>
        <w:left w:val="none" w:sz="0" w:space="0" w:color="auto"/>
        <w:bottom w:val="none" w:sz="0" w:space="0" w:color="auto"/>
        <w:right w:val="none" w:sz="0" w:space="0" w:color="auto"/>
      </w:divBdr>
    </w:div>
    <w:div w:id="61024249">
      <w:marLeft w:val="0"/>
      <w:marRight w:val="0"/>
      <w:marTop w:val="0"/>
      <w:marBottom w:val="0"/>
      <w:divBdr>
        <w:top w:val="none" w:sz="0" w:space="0" w:color="auto"/>
        <w:left w:val="none" w:sz="0" w:space="0" w:color="auto"/>
        <w:bottom w:val="none" w:sz="0" w:space="0" w:color="auto"/>
        <w:right w:val="none" w:sz="0" w:space="0" w:color="auto"/>
      </w:divBdr>
      <w:divsChild>
        <w:div w:id="1851679637">
          <w:marLeft w:val="0"/>
          <w:marRight w:val="0"/>
          <w:marTop w:val="180"/>
          <w:marBottom w:val="180"/>
          <w:divBdr>
            <w:top w:val="none" w:sz="0" w:space="0" w:color="auto"/>
            <w:left w:val="none" w:sz="0" w:space="0" w:color="auto"/>
            <w:bottom w:val="none" w:sz="0" w:space="0" w:color="auto"/>
            <w:right w:val="none" w:sz="0" w:space="0" w:color="auto"/>
          </w:divBdr>
        </w:div>
      </w:divsChild>
    </w:div>
    <w:div w:id="62071746">
      <w:marLeft w:val="0"/>
      <w:marRight w:val="0"/>
      <w:marTop w:val="180"/>
      <w:marBottom w:val="180"/>
      <w:divBdr>
        <w:top w:val="none" w:sz="0" w:space="0" w:color="auto"/>
        <w:left w:val="none" w:sz="0" w:space="0" w:color="auto"/>
        <w:bottom w:val="none" w:sz="0" w:space="0" w:color="auto"/>
        <w:right w:val="none" w:sz="0" w:space="0" w:color="auto"/>
      </w:divBdr>
    </w:div>
    <w:div w:id="63723855">
      <w:marLeft w:val="0"/>
      <w:marRight w:val="0"/>
      <w:marTop w:val="180"/>
      <w:marBottom w:val="180"/>
      <w:divBdr>
        <w:top w:val="none" w:sz="0" w:space="0" w:color="auto"/>
        <w:left w:val="none" w:sz="0" w:space="0" w:color="auto"/>
        <w:bottom w:val="none" w:sz="0" w:space="0" w:color="auto"/>
        <w:right w:val="none" w:sz="0" w:space="0" w:color="auto"/>
      </w:divBdr>
    </w:div>
    <w:div w:id="63839343">
      <w:marLeft w:val="0"/>
      <w:marRight w:val="0"/>
      <w:marTop w:val="180"/>
      <w:marBottom w:val="160"/>
      <w:divBdr>
        <w:top w:val="none" w:sz="0" w:space="0" w:color="auto"/>
        <w:left w:val="none" w:sz="0" w:space="0" w:color="auto"/>
        <w:bottom w:val="none" w:sz="0" w:space="0" w:color="auto"/>
        <w:right w:val="none" w:sz="0" w:space="0" w:color="auto"/>
      </w:divBdr>
    </w:div>
    <w:div w:id="64381617">
      <w:marLeft w:val="0"/>
      <w:marRight w:val="0"/>
      <w:marTop w:val="180"/>
      <w:marBottom w:val="180"/>
      <w:divBdr>
        <w:top w:val="none" w:sz="0" w:space="0" w:color="auto"/>
        <w:left w:val="none" w:sz="0" w:space="0" w:color="auto"/>
        <w:bottom w:val="none" w:sz="0" w:space="0" w:color="auto"/>
        <w:right w:val="none" w:sz="0" w:space="0" w:color="auto"/>
      </w:divBdr>
    </w:div>
    <w:div w:id="64495191">
      <w:marLeft w:val="0"/>
      <w:marRight w:val="0"/>
      <w:marTop w:val="0"/>
      <w:marBottom w:val="0"/>
      <w:divBdr>
        <w:top w:val="none" w:sz="0" w:space="0" w:color="auto"/>
        <w:left w:val="none" w:sz="0" w:space="0" w:color="auto"/>
        <w:bottom w:val="none" w:sz="0" w:space="0" w:color="auto"/>
        <w:right w:val="none" w:sz="0" w:space="0" w:color="auto"/>
      </w:divBdr>
      <w:divsChild>
        <w:div w:id="987824558">
          <w:marLeft w:val="0"/>
          <w:marRight w:val="0"/>
          <w:marTop w:val="0"/>
          <w:marBottom w:val="0"/>
          <w:divBdr>
            <w:top w:val="none" w:sz="0" w:space="0" w:color="auto"/>
            <w:left w:val="none" w:sz="0" w:space="0" w:color="auto"/>
            <w:bottom w:val="none" w:sz="0" w:space="0" w:color="auto"/>
            <w:right w:val="none" w:sz="0" w:space="0" w:color="auto"/>
          </w:divBdr>
          <w:divsChild>
            <w:div w:id="21013703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5960714">
      <w:marLeft w:val="0"/>
      <w:marRight w:val="0"/>
      <w:marTop w:val="60"/>
      <w:marBottom w:val="60"/>
      <w:divBdr>
        <w:top w:val="none" w:sz="0" w:space="0" w:color="auto"/>
        <w:left w:val="none" w:sz="0" w:space="0" w:color="auto"/>
        <w:bottom w:val="none" w:sz="0" w:space="0" w:color="auto"/>
        <w:right w:val="none" w:sz="0" w:space="0" w:color="auto"/>
      </w:divBdr>
    </w:div>
    <w:div w:id="67196852">
      <w:marLeft w:val="0"/>
      <w:marRight w:val="0"/>
      <w:marTop w:val="60"/>
      <w:marBottom w:val="60"/>
      <w:divBdr>
        <w:top w:val="none" w:sz="0" w:space="0" w:color="auto"/>
        <w:left w:val="none" w:sz="0" w:space="0" w:color="auto"/>
        <w:bottom w:val="none" w:sz="0" w:space="0" w:color="auto"/>
        <w:right w:val="none" w:sz="0" w:space="0" w:color="auto"/>
      </w:divBdr>
    </w:div>
    <w:div w:id="68768898">
      <w:marLeft w:val="0"/>
      <w:marRight w:val="0"/>
      <w:marTop w:val="60"/>
      <w:marBottom w:val="180"/>
      <w:divBdr>
        <w:top w:val="none" w:sz="0" w:space="0" w:color="auto"/>
        <w:left w:val="none" w:sz="0" w:space="0" w:color="auto"/>
        <w:bottom w:val="none" w:sz="0" w:space="0" w:color="auto"/>
        <w:right w:val="none" w:sz="0" w:space="0" w:color="auto"/>
      </w:divBdr>
    </w:div>
    <w:div w:id="69161534">
      <w:marLeft w:val="0"/>
      <w:marRight w:val="0"/>
      <w:marTop w:val="180"/>
      <w:marBottom w:val="180"/>
      <w:divBdr>
        <w:top w:val="none" w:sz="0" w:space="0" w:color="auto"/>
        <w:left w:val="none" w:sz="0" w:space="0" w:color="auto"/>
        <w:bottom w:val="none" w:sz="0" w:space="0" w:color="auto"/>
        <w:right w:val="none" w:sz="0" w:space="0" w:color="auto"/>
      </w:divBdr>
    </w:div>
    <w:div w:id="70322297">
      <w:marLeft w:val="0"/>
      <w:marRight w:val="0"/>
      <w:marTop w:val="180"/>
      <w:marBottom w:val="180"/>
      <w:divBdr>
        <w:top w:val="none" w:sz="0" w:space="0" w:color="auto"/>
        <w:left w:val="none" w:sz="0" w:space="0" w:color="auto"/>
        <w:bottom w:val="none" w:sz="0" w:space="0" w:color="auto"/>
        <w:right w:val="none" w:sz="0" w:space="0" w:color="auto"/>
      </w:divBdr>
    </w:div>
    <w:div w:id="74209021">
      <w:marLeft w:val="0"/>
      <w:marRight w:val="0"/>
      <w:marTop w:val="180"/>
      <w:marBottom w:val="180"/>
      <w:divBdr>
        <w:top w:val="none" w:sz="0" w:space="0" w:color="auto"/>
        <w:left w:val="none" w:sz="0" w:space="0" w:color="auto"/>
        <w:bottom w:val="none" w:sz="0" w:space="0" w:color="auto"/>
        <w:right w:val="none" w:sz="0" w:space="0" w:color="auto"/>
      </w:divBdr>
    </w:div>
    <w:div w:id="75713127">
      <w:marLeft w:val="0"/>
      <w:marRight w:val="0"/>
      <w:marTop w:val="60"/>
      <w:marBottom w:val="60"/>
      <w:divBdr>
        <w:top w:val="none" w:sz="0" w:space="0" w:color="auto"/>
        <w:left w:val="none" w:sz="0" w:space="0" w:color="auto"/>
        <w:bottom w:val="none" w:sz="0" w:space="0" w:color="auto"/>
        <w:right w:val="none" w:sz="0" w:space="0" w:color="auto"/>
      </w:divBdr>
    </w:div>
    <w:div w:id="77486355">
      <w:marLeft w:val="0"/>
      <w:marRight w:val="0"/>
      <w:marTop w:val="180"/>
      <w:marBottom w:val="180"/>
      <w:divBdr>
        <w:top w:val="none" w:sz="0" w:space="0" w:color="auto"/>
        <w:left w:val="none" w:sz="0" w:space="0" w:color="auto"/>
        <w:bottom w:val="none" w:sz="0" w:space="0" w:color="auto"/>
        <w:right w:val="none" w:sz="0" w:space="0" w:color="auto"/>
      </w:divBdr>
    </w:div>
    <w:div w:id="81142616">
      <w:marLeft w:val="0"/>
      <w:marRight w:val="0"/>
      <w:marTop w:val="180"/>
      <w:marBottom w:val="180"/>
      <w:divBdr>
        <w:top w:val="none" w:sz="0" w:space="0" w:color="auto"/>
        <w:left w:val="none" w:sz="0" w:space="0" w:color="auto"/>
        <w:bottom w:val="none" w:sz="0" w:space="0" w:color="auto"/>
        <w:right w:val="none" w:sz="0" w:space="0" w:color="auto"/>
      </w:divBdr>
    </w:div>
    <w:div w:id="81414765">
      <w:marLeft w:val="0"/>
      <w:marRight w:val="0"/>
      <w:marTop w:val="0"/>
      <w:marBottom w:val="0"/>
      <w:divBdr>
        <w:top w:val="none" w:sz="0" w:space="0" w:color="auto"/>
        <w:left w:val="none" w:sz="0" w:space="0" w:color="auto"/>
        <w:bottom w:val="none" w:sz="0" w:space="0" w:color="auto"/>
        <w:right w:val="none" w:sz="0" w:space="0" w:color="auto"/>
      </w:divBdr>
    </w:div>
    <w:div w:id="81489106">
      <w:marLeft w:val="0"/>
      <w:marRight w:val="0"/>
      <w:marTop w:val="180"/>
      <w:marBottom w:val="180"/>
      <w:divBdr>
        <w:top w:val="none" w:sz="0" w:space="0" w:color="auto"/>
        <w:left w:val="none" w:sz="0" w:space="0" w:color="auto"/>
        <w:bottom w:val="none" w:sz="0" w:space="0" w:color="auto"/>
        <w:right w:val="none" w:sz="0" w:space="0" w:color="auto"/>
      </w:divBdr>
    </w:div>
    <w:div w:id="83110340">
      <w:marLeft w:val="0"/>
      <w:marRight w:val="0"/>
      <w:marTop w:val="60"/>
      <w:marBottom w:val="60"/>
      <w:divBdr>
        <w:top w:val="none" w:sz="0" w:space="0" w:color="auto"/>
        <w:left w:val="none" w:sz="0" w:space="0" w:color="auto"/>
        <w:bottom w:val="none" w:sz="0" w:space="0" w:color="auto"/>
        <w:right w:val="none" w:sz="0" w:space="0" w:color="auto"/>
      </w:divBdr>
    </w:div>
    <w:div w:id="85155959">
      <w:marLeft w:val="0"/>
      <w:marRight w:val="0"/>
      <w:marTop w:val="0"/>
      <w:marBottom w:val="0"/>
      <w:divBdr>
        <w:top w:val="none" w:sz="0" w:space="0" w:color="auto"/>
        <w:left w:val="none" w:sz="0" w:space="0" w:color="auto"/>
        <w:bottom w:val="none" w:sz="0" w:space="0" w:color="auto"/>
        <w:right w:val="none" w:sz="0" w:space="0" w:color="auto"/>
      </w:divBdr>
    </w:div>
    <w:div w:id="85856244">
      <w:marLeft w:val="0"/>
      <w:marRight w:val="0"/>
      <w:marTop w:val="0"/>
      <w:marBottom w:val="0"/>
      <w:divBdr>
        <w:top w:val="none" w:sz="0" w:space="0" w:color="auto"/>
        <w:left w:val="none" w:sz="0" w:space="0" w:color="auto"/>
        <w:bottom w:val="none" w:sz="0" w:space="0" w:color="auto"/>
        <w:right w:val="none" w:sz="0" w:space="0" w:color="auto"/>
      </w:divBdr>
      <w:divsChild>
        <w:div w:id="1453744572">
          <w:marLeft w:val="0"/>
          <w:marRight w:val="0"/>
          <w:marTop w:val="0"/>
          <w:marBottom w:val="0"/>
          <w:divBdr>
            <w:top w:val="none" w:sz="0" w:space="0" w:color="auto"/>
            <w:left w:val="none" w:sz="0" w:space="0" w:color="auto"/>
            <w:bottom w:val="none" w:sz="0" w:space="0" w:color="auto"/>
            <w:right w:val="none" w:sz="0" w:space="0" w:color="auto"/>
          </w:divBdr>
          <w:divsChild>
            <w:div w:id="12908908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318111">
      <w:marLeft w:val="0"/>
      <w:marRight w:val="0"/>
      <w:marTop w:val="180"/>
      <w:marBottom w:val="60"/>
      <w:divBdr>
        <w:top w:val="none" w:sz="0" w:space="0" w:color="auto"/>
        <w:left w:val="none" w:sz="0" w:space="0" w:color="auto"/>
        <w:bottom w:val="none" w:sz="0" w:space="0" w:color="auto"/>
        <w:right w:val="none" w:sz="0" w:space="0" w:color="auto"/>
      </w:divBdr>
    </w:div>
    <w:div w:id="88933546">
      <w:marLeft w:val="0"/>
      <w:marRight w:val="0"/>
      <w:marTop w:val="0"/>
      <w:marBottom w:val="0"/>
      <w:divBdr>
        <w:top w:val="none" w:sz="0" w:space="0" w:color="auto"/>
        <w:left w:val="none" w:sz="0" w:space="0" w:color="auto"/>
        <w:bottom w:val="none" w:sz="0" w:space="0" w:color="auto"/>
        <w:right w:val="none" w:sz="0" w:space="0" w:color="auto"/>
      </w:divBdr>
    </w:div>
    <w:div w:id="90128527">
      <w:marLeft w:val="0"/>
      <w:marRight w:val="0"/>
      <w:marTop w:val="0"/>
      <w:marBottom w:val="0"/>
      <w:divBdr>
        <w:top w:val="none" w:sz="0" w:space="0" w:color="auto"/>
        <w:left w:val="none" w:sz="0" w:space="0" w:color="auto"/>
        <w:bottom w:val="none" w:sz="0" w:space="0" w:color="auto"/>
        <w:right w:val="none" w:sz="0" w:space="0" w:color="auto"/>
      </w:divBdr>
      <w:divsChild>
        <w:div w:id="1892380820">
          <w:marLeft w:val="0"/>
          <w:marRight w:val="0"/>
          <w:marTop w:val="0"/>
          <w:marBottom w:val="0"/>
          <w:divBdr>
            <w:top w:val="none" w:sz="0" w:space="0" w:color="auto"/>
            <w:left w:val="none" w:sz="0" w:space="0" w:color="auto"/>
            <w:bottom w:val="none" w:sz="0" w:space="0" w:color="auto"/>
            <w:right w:val="none" w:sz="0" w:space="0" w:color="auto"/>
          </w:divBdr>
          <w:divsChild>
            <w:div w:id="1080952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554978">
      <w:marLeft w:val="0"/>
      <w:marRight w:val="0"/>
      <w:marTop w:val="0"/>
      <w:marBottom w:val="0"/>
      <w:divBdr>
        <w:top w:val="none" w:sz="0" w:space="0" w:color="auto"/>
        <w:left w:val="none" w:sz="0" w:space="0" w:color="auto"/>
        <w:bottom w:val="none" w:sz="0" w:space="0" w:color="auto"/>
        <w:right w:val="none" w:sz="0" w:space="0" w:color="auto"/>
      </w:divBdr>
    </w:div>
    <w:div w:id="95254727">
      <w:marLeft w:val="0"/>
      <w:marRight w:val="0"/>
      <w:marTop w:val="180"/>
      <w:marBottom w:val="180"/>
      <w:divBdr>
        <w:top w:val="none" w:sz="0" w:space="0" w:color="auto"/>
        <w:left w:val="none" w:sz="0" w:space="0" w:color="auto"/>
        <w:bottom w:val="none" w:sz="0" w:space="0" w:color="auto"/>
        <w:right w:val="none" w:sz="0" w:space="0" w:color="auto"/>
      </w:divBdr>
    </w:div>
    <w:div w:id="97456966">
      <w:marLeft w:val="0"/>
      <w:marRight w:val="0"/>
      <w:marTop w:val="180"/>
      <w:marBottom w:val="180"/>
      <w:divBdr>
        <w:top w:val="none" w:sz="0" w:space="0" w:color="auto"/>
        <w:left w:val="none" w:sz="0" w:space="0" w:color="auto"/>
        <w:bottom w:val="none" w:sz="0" w:space="0" w:color="auto"/>
        <w:right w:val="none" w:sz="0" w:space="0" w:color="auto"/>
      </w:divBdr>
    </w:div>
    <w:div w:id="97528167">
      <w:marLeft w:val="0"/>
      <w:marRight w:val="0"/>
      <w:marTop w:val="180"/>
      <w:marBottom w:val="180"/>
      <w:divBdr>
        <w:top w:val="none" w:sz="0" w:space="0" w:color="auto"/>
        <w:left w:val="none" w:sz="0" w:space="0" w:color="auto"/>
        <w:bottom w:val="none" w:sz="0" w:space="0" w:color="auto"/>
        <w:right w:val="none" w:sz="0" w:space="0" w:color="auto"/>
      </w:divBdr>
    </w:div>
    <w:div w:id="98255836">
      <w:marLeft w:val="0"/>
      <w:marRight w:val="0"/>
      <w:marTop w:val="0"/>
      <w:marBottom w:val="0"/>
      <w:divBdr>
        <w:top w:val="none" w:sz="0" w:space="0" w:color="auto"/>
        <w:left w:val="none" w:sz="0" w:space="0" w:color="auto"/>
        <w:bottom w:val="none" w:sz="0" w:space="0" w:color="auto"/>
        <w:right w:val="none" w:sz="0" w:space="0" w:color="auto"/>
      </w:divBdr>
      <w:divsChild>
        <w:div w:id="1911035769">
          <w:marLeft w:val="0"/>
          <w:marRight w:val="0"/>
          <w:marTop w:val="180"/>
          <w:marBottom w:val="180"/>
          <w:divBdr>
            <w:top w:val="none" w:sz="0" w:space="0" w:color="auto"/>
            <w:left w:val="none" w:sz="0" w:space="0" w:color="auto"/>
            <w:bottom w:val="none" w:sz="0" w:space="0" w:color="auto"/>
            <w:right w:val="none" w:sz="0" w:space="0" w:color="auto"/>
          </w:divBdr>
        </w:div>
      </w:divsChild>
    </w:div>
    <w:div w:id="105780916">
      <w:marLeft w:val="0"/>
      <w:marRight w:val="0"/>
      <w:marTop w:val="0"/>
      <w:marBottom w:val="0"/>
      <w:divBdr>
        <w:top w:val="none" w:sz="0" w:space="0" w:color="auto"/>
        <w:left w:val="none" w:sz="0" w:space="0" w:color="auto"/>
        <w:bottom w:val="none" w:sz="0" w:space="0" w:color="auto"/>
        <w:right w:val="none" w:sz="0" w:space="0" w:color="auto"/>
      </w:divBdr>
      <w:divsChild>
        <w:div w:id="2091995862">
          <w:marLeft w:val="0"/>
          <w:marRight w:val="0"/>
          <w:marTop w:val="180"/>
          <w:marBottom w:val="180"/>
          <w:divBdr>
            <w:top w:val="none" w:sz="0" w:space="0" w:color="auto"/>
            <w:left w:val="none" w:sz="0" w:space="0" w:color="auto"/>
            <w:bottom w:val="none" w:sz="0" w:space="0" w:color="auto"/>
            <w:right w:val="none" w:sz="0" w:space="0" w:color="auto"/>
          </w:divBdr>
        </w:div>
      </w:divsChild>
    </w:div>
    <w:div w:id="106851809">
      <w:marLeft w:val="0"/>
      <w:marRight w:val="0"/>
      <w:marTop w:val="60"/>
      <w:marBottom w:val="60"/>
      <w:divBdr>
        <w:top w:val="none" w:sz="0" w:space="0" w:color="auto"/>
        <w:left w:val="none" w:sz="0" w:space="0" w:color="auto"/>
        <w:bottom w:val="none" w:sz="0" w:space="0" w:color="auto"/>
        <w:right w:val="none" w:sz="0" w:space="0" w:color="auto"/>
      </w:divBdr>
    </w:div>
    <w:div w:id="107166089">
      <w:marLeft w:val="0"/>
      <w:marRight w:val="0"/>
      <w:marTop w:val="180"/>
      <w:marBottom w:val="60"/>
      <w:divBdr>
        <w:top w:val="none" w:sz="0" w:space="0" w:color="auto"/>
        <w:left w:val="none" w:sz="0" w:space="0" w:color="auto"/>
        <w:bottom w:val="none" w:sz="0" w:space="0" w:color="auto"/>
        <w:right w:val="none" w:sz="0" w:space="0" w:color="auto"/>
      </w:divBdr>
    </w:div>
    <w:div w:id="109126896">
      <w:marLeft w:val="0"/>
      <w:marRight w:val="0"/>
      <w:marTop w:val="180"/>
      <w:marBottom w:val="180"/>
      <w:divBdr>
        <w:top w:val="none" w:sz="0" w:space="0" w:color="auto"/>
        <w:left w:val="none" w:sz="0" w:space="0" w:color="auto"/>
        <w:bottom w:val="none" w:sz="0" w:space="0" w:color="auto"/>
        <w:right w:val="none" w:sz="0" w:space="0" w:color="auto"/>
      </w:divBdr>
    </w:div>
    <w:div w:id="109977946">
      <w:marLeft w:val="0"/>
      <w:marRight w:val="0"/>
      <w:marTop w:val="180"/>
      <w:marBottom w:val="180"/>
      <w:divBdr>
        <w:top w:val="none" w:sz="0" w:space="0" w:color="auto"/>
        <w:left w:val="none" w:sz="0" w:space="0" w:color="auto"/>
        <w:bottom w:val="none" w:sz="0" w:space="0" w:color="auto"/>
        <w:right w:val="none" w:sz="0" w:space="0" w:color="auto"/>
      </w:divBdr>
    </w:div>
    <w:div w:id="113602457">
      <w:marLeft w:val="0"/>
      <w:marRight w:val="0"/>
      <w:marTop w:val="180"/>
      <w:marBottom w:val="180"/>
      <w:divBdr>
        <w:top w:val="none" w:sz="0" w:space="0" w:color="auto"/>
        <w:left w:val="none" w:sz="0" w:space="0" w:color="auto"/>
        <w:bottom w:val="none" w:sz="0" w:space="0" w:color="auto"/>
        <w:right w:val="none" w:sz="0" w:space="0" w:color="auto"/>
      </w:divBdr>
    </w:div>
    <w:div w:id="113987868">
      <w:marLeft w:val="0"/>
      <w:marRight w:val="0"/>
      <w:marTop w:val="180"/>
      <w:marBottom w:val="180"/>
      <w:divBdr>
        <w:top w:val="none" w:sz="0" w:space="0" w:color="auto"/>
        <w:left w:val="none" w:sz="0" w:space="0" w:color="auto"/>
        <w:bottom w:val="none" w:sz="0" w:space="0" w:color="auto"/>
        <w:right w:val="none" w:sz="0" w:space="0" w:color="auto"/>
      </w:divBdr>
    </w:div>
    <w:div w:id="114523823">
      <w:marLeft w:val="0"/>
      <w:marRight w:val="0"/>
      <w:marTop w:val="180"/>
      <w:marBottom w:val="180"/>
      <w:divBdr>
        <w:top w:val="none" w:sz="0" w:space="0" w:color="auto"/>
        <w:left w:val="none" w:sz="0" w:space="0" w:color="auto"/>
        <w:bottom w:val="none" w:sz="0" w:space="0" w:color="auto"/>
        <w:right w:val="none" w:sz="0" w:space="0" w:color="auto"/>
      </w:divBdr>
    </w:div>
    <w:div w:id="115880122">
      <w:marLeft w:val="0"/>
      <w:marRight w:val="0"/>
      <w:marTop w:val="0"/>
      <w:marBottom w:val="0"/>
      <w:divBdr>
        <w:top w:val="none" w:sz="0" w:space="0" w:color="auto"/>
        <w:left w:val="none" w:sz="0" w:space="0" w:color="auto"/>
        <w:bottom w:val="none" w:sz="0" w:space="0" w:color="auto"/>
        <w:right w:val="none" w:sz="0" w:space="0" w:color="auto"/>
      </w:divBdr>
    </w:div>
    <w:div w:id="115950871">
      <w:marLeft w:val="0"/>
      <w:marRight w:val="0"/>
      <w:marTop w:val="180"/>
      <w:marBottom w:val="180"/>
      <w:divBdr>
        <w:top w:val="none" w:sz="0" w:space="0" w:color="auto"/>
        <w:left w:val="none" w:sz="0" w:space="0" w:color="auto"/>
        <w:bottom w:val="none" w:sz="0" w:space="0" w:color="auto"/>
        <w:right w:val="none" w:sz="0" w:space="0" w:color="auto"/>
      </w:divBdr>
    </w:div>
    <w:div w:id="116683587">
      <w:marLeft w:val="0"/>
      <w:marRight w:val="0"/>
      <w:marTop w:val="0"/>
      <w:marBottom w:val="0"/>
      <w:divBdr>
        <w:top w:val="none" w:sz="0" w:space="0" w:color="auto"/>
        <w:left w:val="none" w:sz="0" w:space="0" w:color="auto"/>
        <w:bottom w:val="none" w:sz="0" w:space="0" w:color="auto"/>
        <w:right w:val="none" w:sz="0" w:space="0" w:color="auto"/>
      </w:divBdr>
      <w:divsChild>
        <w:div w:id="1643269656">
          <w:marLeft w:val="0"/>
          <w:marRight w:val="0"/>
          <w:marTop w:val="0"/>
          <w:marBottom w:val="0"/>
          <w:divBdr>
            <w:top w:val="none" w:sz="0" w:space="0" w:color="auto"/>
            <w:left w:val="none" w:sz="0" w:space="0" w:color="auto"/>
            <w:bottom w:val="none" w:sz="0" w:space="0" w:color="auto"/>
            <w:right w:val="none" w:sz="0" w:space="0" w:color="auto"/>
          </w:divBdr>
          <w:divsChild>
            <w:div w:id="18451689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947836">
      <w:marLeft w:val="0"/>
      <w:marRight w:val="0"/>
      <w:marTop w:val="180"/>
      <w:marBottom w:val="180"/>
      <w:divBdr>
        <w:top w:val="none" w:sz="0" w:space="0" w:color="auto"/>
        <w:left w:val="none" w:sz="0" w:space="0" w:color="auto"/>
        <w:bottom w:val="none" w:sz="0" w:space="0" w:color="auto"/>
        <w:right w:val="none" w:sz="0" w:space="0" w:color="auto"/>
      </w:divBdr>
    </w:div>
    <w:div w:id="117115792">
      <w:marLeft w:val="0"/>
      <w:marRight w:val="0"/>
      <w:marTop w:val="180"/>
      <w:marBottom w:val="180"/>
      <w:divBdr>
        <w:top w:val="none" w:sz="0" w:space="0" w:color="auto"/>
        <w:left w:val="none" w:sz="0" w:space="0" w:color="auto"/>
        <w:bottom w:val="none" w:sz="0" w:space="0" w:color="auto"/>
        <w:right w:val="none" w:sz="0" w:space="0" w:color="auto"/>
      </w:divBdr>
    </w:div>
    <w:div w:id="117189310">
      <w:marLeft w:val="0"/>
      <w:marRight w:val="0"/>
      <w:marTop w:val="180"/>
      <w:marBottom w:val="180"/>
      <w:divBdr>
        <w:top w:val="none" w:sz="0" w:space="0" w:color="auto"/>
        <w:left w:val="none" w:sz="0" w:space="0" w:color="auto"/>
        <w:bottom w:val="none" w:sz="0" w:space="0" w:color="auto"/>
        <w:right w:val="none" w:sz="0" w:space="0" w:color="auto"/>
      </w:divBdr>
    </w:div>
    <w:div w:id="117458219">
      <w:marLeft w:val="0"/>
      <w:marRight w:val="0"/>
      <w:marTop w:val="180"/>
      <w:marBottom w:val="180"/>
      <w:divBdr>
        <w:top w:val="none" w:sz="0" w:space="0" w:color="auto"/>
        <w:left w:val="none" w:sz="0" w:space="0" w:color="auto"/>
        <w:bottom w:val="none" w:sz="0" w:space="0" w:color="auto"/>
        <w:right w:val="none" w:sz="0" w:space="0" w:color="auto"/>
      </w:divBdr>
    </w:div>
    <w:div w:id="118913185">
      <w:marLeft w:val="0"/>
      <w:marRight w:val="0"/>
      <w:marTop w:val="180"/>
      <w:marBottom w:val="180"/>
      <w:divBdr>
        <w:top w:val="none" w:sz="0" w:space="0" w:color="auto"/>
        <w:left w:val="none" w:sz="0" w:space="0" w:color="auto"/>
        <w:bottom w:val="none" w:sz="0" w:space="0" w:color="auto"/>
        <w:right w:val="none" w:sz="0" w:space="0" w:color="auto"/>
      </w:divBdr>
    </w:div>
    <w:div w:id="119619184">
      <w:marLeft w:val="0"/>
      <w:marRight w:val="0"/>
      <w:marTop w:val="180"/>
      <w:marBottom w:val="0"/>
      <w:divBdr>
        <w:top w:val="none" w:sz="0" w:space="0" w:color="auto"/>
        <w:left w:val="none" w:sz="0" w:space="0" w:color="auto"/>
        <w:bottom w:val="none" w:sz="0" w:space="0" w:color="auto"/>
        <w:right w:val="none" w:sz="0" w:space="0" w:color="auto"/>
      </w:divBdr>
    </w:div>
    <w:div w:id="121774395">
      <w:marLeft w:val="0"/>
      <w:marRight w:val="0"/>
      <w:marTop w:val="180"/>
      <w:marBottom w:val="180"/>
      <w:divBdr>
        <w:top w:val="none" w:sz="0" w:space="0" w:color="auto"/>
        <w:left w:val="none" w:sz="0" w:space="0" w:color="auto"/>
        <w:bottom w:val="none" w:sz="0" w:space="0" w:color="auto"/>
        <w:right w:val="none" w:sz="0" w:space="0" w:color="auto"/>
      </w:divBdr>
    </w:div>
    <w:div w:id="123886848">
      <w:marLeft w:val="0"/>
      <w:marRight w:val="0"/>
      <w:marTop w:val="180"/>
      <w:marBottom w:val="180"/>
      <w:divBdr>
        <w:top w:val="none" w:sz="0" w:space="0" w:color="auto"/>
        <w:left w:val="none" w:sz="0" w:space="0" w:color="auto"/>
        <w:bottom w:val="none" w:sz="0" w:space="0" w:color="auto"/>
        <w:right w:val="none" w:sz="0" w:space="0" w:color="auto"/>
      </w:divBdr>
    </w:div>
    <w:div w:id="124323279">
      <w:marLeft w:val="0"/>
      <w:marRight w:val="0"/>
      <w:marTop w:val="60"/>
      <w:marBottom w:val="60"/>
      <w:divBdr>
        <w:top w:val="none" w:sz="0" w:space="0" w:color="auto"/>
        <w:left w:val="none" w:sz="0" w:space="0" w:color="auto"/>
        <w:bottom w:val="none" w:sz="0" w:space="0" w:color="auto"/>
        <w:right w:val="none" w:sz="0" w:space="0" w:color="auto"/>
      </w:divBdr>
    </w:div>
    <w:div w:id="124392502">
      <w:marLeft w:val="0"/>
      <w:marRight w:val="0"/>
      <w:marTop w:val="180"/>
      <w:marBottom w:val="180"/>
      <w:divBdr>
        <w:top w:val="none" w:sz="0" w:space="0" w:color="auto"/>
        <w:left w:val="none" w:sz="0" w:space="0" w:color="auto"/>
        <w:bottom w:val="none" w:sz="0" w:space="0" w:color="auto"/>
        <w:right w:val="none" w:sz="0" w:space="0" w:color="auto"/>
      </w:divBdr>
    </w:div>
    <w:div w:id="124590760">
      <w:marLeft w:val="0"/>
      <w:marRight w:val="0"/>
      <w:marTop w:val="60"/>
      <w:marBottom w:val="60"/>
      <w:divBdr>
        <w:top w:val="none" w:sz="0" w:space="0" w:color="auto"/>
        <w:left w:val="none" w:sz="0" w:space="0" w:color="auto"/>
        <w:bottom w:val="none" w:sz="0" w:space="0" w:color="auto"/>
        <w:right w:val="none" w:sz="0" w:space="0" w:color="auto"/>
      </w:divBdr>
    </w:div>
    <w:div w:id="124859720">
      <w:marLeft w:val="0"/>
      <w:marRight w:val="0"/>
      <w:marTop w:val="100"/>
      <w:marBottom w:val="100"/>
      <w:divBdr>
        <w:top w:val="none" w:sz="0" w:space="0" w:color="auto"/>
        <w:left w:val="none" w:sz="0" w:space="0" w:color="auto"/>
        <w:bottom w:val="none" w:sz="0" w:space="0" w:color="auto"/>
        <w:right w:val="none" w:sz="0" w:space="0" w:color="auto"/>
      </w:divBdr>
      <w:divsChild>
        <w:div w:id="1051222848">
          <w:marLeft w:val="0"/>
          <w:marRight w:val="0"/>
          <w:marTop w:val="0"/>
          <w:marBottom w:val="0"/>
          <w:divBdr>
            <w:top w:val="none" w:sz="0" w:space="0" w:color="auto"/>
            <w:left w:val="none" w:sz="0" w:space="0" w:color="auto"/>
            <w:bottom w:val="none" w:sz="0" w:space="0" w:color="auto"/>
            <w:right w:val="none" w:sz="0" w:space="0" w:color="auto"/>
          </w:divBdr>
        </w:div>
        <w:div w:id="1165973426">
          <w:marLeft w:val="0"/>
          <w:marRight w:val="0"/>
          <w:marTop w:val="0"/>
          <w:marBottom w:val="0"/>
          <w:divBdr>
            <w:top w:val="none" w:sz="0" w:space="0" w:color="auto"/>
            <w:left w:val="none" w:sz="0" w:space="0" w:color="auto"/>
            <w:bottom w:val="none" w:sz="0" w:space="0" w:color="auto"/>
            <w:right w:val="none" w:sz="0" w:space="0" w:color="auto"/>
          </w:divBdr>
        </w:div>
      </w:divsChild>
    </w:div>
    <w:div w:id="125507489">
      <w:marLeft w:val="0"/>
      <w:marRight w:val="0"/>
      <w:marTop w:val="180"/>
      <w:marBottom w:val="180"/>
      <w:divBdr>
        <w:top w:val="none" w:sz="0" w:space="0" w:color="auto"/>
        <w:left w:val="none" w:sz="0" w:space="0" w:color="auto"/>
        <w:bottom w:val="none" w:sz="0" w:space="0" w:color="auto"/>
        <w:right w:val="none" w:sz="0" w:space="0" w:color="auto"/>
      </w:divBdr>
    </w:div>
    <w:div w:id="126440685">
      <w:marLeft w:val="0"/>
      <w:marRight w:val="0"/>
      <w:marTop w:val="180"/>
      <w:marBottom w:val="180"/>
      <w:divBdr>
        <w:top w:val="none" w:sz="0" w:space="0" w:color="auto"/>
        <w:left w:val="none" w:sz="0" w:space="0" w:color="auto"/>
        <w:bottom w:val="none" w:sz="0" w:space="0" w:color="auto"/>
        <w:right w:val="none" w:sz="0" w:space="0" w:color="auto"/>
      </w:divBdr>
    </w:div>
    <w:div w:id="127014598">
      <w:marLeft w:val="0"/>
      <w:marRight w:val="0"/>
      <w:marTop w:val="60"/>
      <w:marBottom w:val="60"/>
      <w:divBdr>
        <w:top w:val="none" w:sz="0" w:space="0" w:color="auto"/>
        <w:left w:val="none" w:sz="0" w:space="0" w:color="auto"/>
        <w:bottom w:val="none" w:sz="0" w:space="0" w:color="auto"/>
        <w:right w:val="none" w:sz="0" w:space="0" w:color="auto"/>
      </w:divBdr>
    </w:div>
    <w:div w:id="127164405">
      <w:marLeft w:val="0"/>
      <w:marRight w:val="0"/>
      <w:marTop w:val="60"/>
      <w:marBottom w:val="60"/>
      <w:divBdr>
        <w:top w:val="none" w:sz="0" w:space="0" w:color="auto"/>
        <w:left w:val="none" w:sz="0" w:space="0" w:color="auto"/>
        <w:bottom w:val="none" w:sz="0" w:space="0" w:color="auto"/>
        <w:right w:val="none" w:sz="0" w:space="0" w:color="auto"/>
      </w:divBdr>
    </w:div>
    <w:div w:id="128403552">
      <w:marLeft w:val="0"/>
      <w:marRight w:val="0"/>
      <w:marTop w:val="60"/>
      <w:marBottom w:val="60"/>
      <w:divBdr>
        <w:top w:val="none" w:sz="0" w:space="0" w:color="auto"/>
        <w:left w:val="none" w:sz="0" w:space="0" w:color="auto"/>
        <w:bottom w:val="none" w:sz="0" w:space="0" w:color="auto"/>
        <w:right w:val="none" w:sz="0" w:space="0" w:color="auto"/>
      </w:divBdr>
    </w:div>
    <w:div w:id="130247120">
      <w:marLeft w:val="0"/>
      <w:marRight w:val="0"/>
      <w:marTop w:val="160"/>
      <w:marBottom w:val="100"/>
      <w:divBdr>
        <w:top w:val="none" w:sz="0" w:space="0" w:color="auto"/>
        <w:left w:val="none" w:sz="0" w:space="0" w:color="auto"/>
        <w:bottom w:val="none" w:sz="0" w:space="0" w:color="auto"/>
        <w:right w:val="none" w:sz="0" w:space="0" w:color="auto"/>
      </w:divBdr>
      <w:divsChild>
        <w:div w:id="36661719">
          <w:marLeft w:val="0"/>
          <w:marRight w:val="0"/>
          <w:marTop w:val="0"/>
          <w:marBottom w:val="0"/>
          <w:divBdr>
            <w:top w:val="none" w:sz="0" w:space="0" w:color="auto"/>
            <w:left w:val="none" w:sz="0" w:space="0" w:color="auto"/>
            <w:bottom w:val="none" w:sz="0" w:space="0" w:color="auto"/>
            <w:right w:val="none" w:sz="0" w:space="0" w:color="auto"/>
          </w:divBdr>
        </w:div>
      </w:divsChild>
    </w:div>
    <w:div w:id="130365932">
      <w:marLeft w:val="0"/>
      <w:marRight w:val="0"/>
      <w:marTop w:val="180"/>
      <w:marBottom w:val="180"/>
      <w:divBdr>
        <w:top w:val="none" w:sz="0" w:space="0" w:color="auto"/>
        <w:left w:val="none" w:sz="0" w:space="0" w:color="auto"/>
        <w:bottom w:val="none" w:sz="0" w:space="0" w:color="auto"/>
        <w:right w:val="none" w:sz="0" w:space="0" w:color="auto"/>
      </w:divBdr>
    </w:div>
    <w:div w:id="132137817">
      <w:marLeft w:val="0"/>
      <w:marRight w:val="0"/>
      <w:marTop w:val="180"/>
      <w:marBottom w:val="180"/>
      <w:divBdr>
        <w:top w:val="none" w:sz="0" w:space="0" w:color="auto"/>
        <w:left w:val="none" w:sz="0" w:space="0" w:color="auto"/>
        <w:bottom w:val="none" w:sz="0" w:space="0" w:color="auto"/>
        <w:right w:val="none" w:sz="0" w:space="0" w:color="auto"/>
      </w:divBdr>
    </w:div>
    <w:div w:id="132648070">
      <w:marLeft w:val="0"/>
      <w:marRight w:val="0"/>
      <w:marTop w:val="0"/>
      <w:marBottom w:val="0"/>
      <w:divBdr>
        <w:top w:val="none" w:sz="0" w:space="0" w:color="auto"/>
        <w:left w:val="none" w:sz="0" w:space="0" w:color="auto"/>
        <w:bottom w:val="none" w:sz="0" w:space="0" w:color="auto"/>
        <w:right w:val="none" w:sz="0" w:space="0" w:color="auto"/>
      </w:divBdr>
    </w:div>
    <w:div w:id="132791442">
      <w:marLeft w:val="0"/>
      <w:marRight w:val="0"/>
      <w:marTop w:val="0"/>
      <w:marBottom w:val="0"/>
      <w:divBdr>
        <w:top w:val="none" w:sz="0" w:space="0" w:color="auto"/>
        <w:left w:val="none" w:sz="0" w:space="0" w:color="auto"/>
        <w:bottom w:val="none" w:sz="0" w:space="0" w:color="auto"/>
        <w:right w:val="none" w:sz="0" w:space="0" w:color="auto"/>
      </w:divBdr>
    </w:div>
    <w:div w:id="133332150">
      <w:marLeft w:val="0"/>
      <w:marRight w:val="0"/>
      <w:marTop w:val="180"/>
      <w:marBottom w:val="180"/>
      <w:divBdr>
        <w:top w:val="none" w:sz="0" w:space="0" w:color="auto"/>
        <w:left w:val="none" w:sz="0" w:space="0" w:color="auto"/>
        <w:bottom w:val="none" w:sz="0" w:space="0" w:color="auto"/>
        <w:right w:val="none" w:sz="0" w:space="0" w:color="auto"/>
      </w:divBdr>
    </w:div>
    <w:div w:id="133565465">
      <w:marLeft w:val="0"/>
      <w:marRight w:val="0"/>
      <w:marTop w:val="180"/>
      <w:marBottom w:val="180"/>
      <w:divBdr>
        <w:top w:val="none" w:sz="0" w:space="0" w:color="auto"/>
        <w:left w:val="none" w:sz="0" w:space="0" w:color="auto"/>
        <w:bottom w:val="none" w:sz="0" w:space="0" w:color="auto"/>
        <w:right w:val="none" w:sz="0" w:space="0" w:color="auto"/>
      </w:divBdr>
    </w:div>
    <w:div w:id="133914131">
      <w:marLeft w:val="0"/>
      <w:marRight w:val="0"/>
      <w:marTop w:val="0"/>
      <w:marBottom w:val="0"/>
      <w:divBdr>
        <w:top w:val="none" w:sz="0" w:space="0" w:color="auto"/>
        <w:left w:val="none" w:sz="0" w:space="0" w:color="auto"/>
        <w:bottom w:val="none" w:sz="0" w:space="0" w:color="auto"/>
        <w:right w:val="none" w:sz="0" w:space="0" w:color="auto"/>
      </w:divBdr>
      <w:divsChild>
        <w:div w:id="376702089">
          <w:marLeft w:val="0"/>
          <w:marRight w:val="0"/>
          <w:marTop w:val="180"/>
          <w:marBottom w:val="180"/>
          <w:divBdr>
            <w:top w:val="none" w:sz="0" w:space="0" w:color="auto"/>
            <w:left w:val="none" w:sz="0" w:space="0" w:color="auto"/>
            <w:bottom w:val="none" w:sz="0" w:space="0" w:color="auto"/>
            <w:right w:val="none" w:sz="0" w:space="0" w:color="auto"/>
          </w:divBdr>
        </w:div>
      </w:divsChild>
    </w:div>
    <w:div w:id="134026079">
      <w:marLeft w:val="0"/>
      <w:marRight w:val="0"/>
      <w:marTop w:val="0"/>
      <w:marBottom w:val="0"/>
      <w:divBdr>
        <w:top w:val="none" w:sz="0" w:space="0" w:color="auto"/>
        <w:left w:val="none" w:sz="0" w:space="0" w:color="auto"/>
        <w:bottom w:val="none" w:sz="0" w:space="0" w:color="auto"/>
        <w:right w:val="none" w:sz="0" w:space="0" w:color="auto"/>
      </w:divBdr>
      <w:divsChild>
        <w:div w:id="1541867204">
          <w:marLeft w:val="0"/>
          <w:marRight w:val="0"/>
          <w:marTop w:val="0"/>
          <w:marBottom w:val="0"/>
          <w:divBdr>
            <w:top w:val="none" w:sz="0" w:space="0" w:color="auto"/>
            <w:left w:val="none" w:sz="0" w:space="0" w:color="auto"/>
            <w:bottom w:val="none" w:sz="0" w:space="0" w:color="auto"/>
            <w:right w:val="none" w:sz="0" w:space="0" w:color="auto"/>
          </w:divBdr>
          <w:divsChild>
            <w:div w:id="4676261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566462">
      <w:marLeft w:val="0"/>
      <w:marRight w:val="0"/>
      <w:marTop w:val="0"/>
      <w:marBottom w:val="0"/>
      <w:divBdr>
        <w:top w:val="none" w:sz="0" w:space="0" w:color="auto"/>
        <w:left w:val="none" w:sz="0" w:space="0" w:color="auto"/>
        <w:bottom w:val="none" w:sz="0" w:space="0" w:color="auto"/>
        <w:right w:val="none" w:sz="0" w:space="0" w:color="auto"/>
      </w:divBdr>
      <w:divsChild>
        <w:div w:id="124586605">
          <w:marLeft w:val="0"/>
          <w:marRight w:val="0"/>
          <w:marTop w:val="180"/>
          <w:marBottom w:val="180"/>
          <w:divBdr>
            <w:top w:val="none" w:sz="0" w:space="0" w:color="auto"/>
            <w:left w:val="none" w:sz="0" w:space="0" w:color="auto"/>
            <w:bottom w:val="none" w:sz="0" w:space="0" w:color="auto"/>
            <w:right w:val="none" w:sz="0" w:space="0" w:color="auto"/>
          </w:divBdr>
        </w:div>
      </w:divsChild>
    </w:div>
    <w:div w:id="135876914">
      <w:marLeft w:val="0"/>
      <w:marRight w:val="0"/>
      <w:marTop w:val="180"/>
      <w:marBottom w:val="180"/>
      <w:divBdr>
        <w:top w:val="none" w:sz="0" w:space="0" w:color="auto"/>
        <w:left w:val="none" w:sz="0" w:space="0" w:color="auto"/>
        <w:bottom w:val="none" w:sz="0" w:space="0" w:color="auto"/>
        <w:right w:val="none" w:sz="0" w:space="0" w:color="auto"/>
      </w:divBdr>
    </w:div>
    <w:div w:id="137916749">
      <w:marLeft w:val="0"/>
      <w:marRight w:val="0"/>
      <w:marTop w:val="0"/>
      <w:marBottom w:val="0"/>
      <w:divBdr>
        <w:top w:val="none" w:sz="0" w:space="0" w:color="auto"/>
        <w:left w:val="none" w:sz="0" w:space="0" w:color="auto"/>
        <w:bottom w:val="none" w:sz="0" w:space="0" w:color="auto"/>
        <w:right w:val="none" w:sz="0" w:space="0" w:color="auto"/>
      </w:divBdr>
      <w:divsChild>
        <w:div w:id="673145239">
          <w:marLeft w:val="0"/>
          <w:marRight w:val="0"/>
          <w:marTop w:val="0"/>
          <w:marBottom w:val="0"/>
          <w:divBdr>
            <w:top w:val="none" w:sz="0" w:space="0" w:color="auto"/>
            <w:left w:val="none" w:sz="0" w:space="0" w:color="auto"/>
            <w:bottom w:val="none" w:sz="0" w:space="0" w:color="auto"/>
            <w:right w:val="none" w:sz="0" w:space="0" w:color="auto"/>
          </w:divBdr>
          <w:divsChild>
            <w:div w:id="5225509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696645">
      <w:marLeft w:val="0"/>
      <w:marRight w:val="0"/>
      <w:marTop w:val="180"/>
      <w:marBottom w:val="60"/>
      <w:divBdr>
        <w:top w:val="none" w:sz="0" w:space="0" w:color="auto"/>
        <w:left w:val="none" w:sz="0" w:space="0" w:color="auto"/>
        <w:bottom w:val="none" w:sz="0" w:space="0" w:color="auto"/>
        <w:right w:val="none" w:sz="0" w:space="0" w:color="auto"/>
      </w:divBdr>
    </w:div>
    <w:div w:id="141121369">
      <w:marLeft w:val="0"/>
      <w:marRight w:val="0"/>
      <w:marTop w:val="0"/>
      <w:marBottom w:val="0"/>
      <w:divBdr>
        <w:top w:val="none" w:sz="0" w:space="0" w:color="auto"/>
        <w:left w:val="none" w:sz="0" w:space="0" w:color="auto"/>
        <w:bottom w:val="none" w:sz="0" w:space="0" w:color="auto"/>
        <w:right w:val="none" w:sz="0" w:space="0" w:color="auto"/>
      </w:divBdr>
      <w:divsChild>
        <w:div w:id="137655368">
          <w:marLeft w:val="0"/>
          <w:marRight w:val="0"/>
          <w:marTop w:val="180"/>
          <w:marBottom w:val="180"/>
          <w:divBdr>
            <w:top w:val="none" w:sz="0" w:space="0" w:color="auto"/>
            <w:left w:val="none" w:sz="0" w:space="0" w:color="auto"/>
            <w:bottom w:val="none" w:sz="0" w:space="0" w:color="auto"/>
            <w:right w:val="none" w:sz="0" w:space="0" w:color="auto"/>
          </w:divBdr>
        </w:div>
      </w:divsChild>
    </w:div>
    <w:div w:id="146943808">
      <w:marLeft w:val="0"/>
      <w:marRight w:val="0"/>
      <w:marTop w:val="0"/>
      <w:marBottom w:val="0"/>
      <w:divBdr>
        <w:top w:val="none" w:sz="0" w:space="0" w:color="auto"/>
        <w:left w:val="none" w:sz="0" w:space="0" w:color="auto"/>
        <w:bottom w:val="none" w:sz="0" w:space="0" w:color="auto"/>
        <w:right w:val="none" w:sz="0" w:space="0" w:color="auto"/>
      </w:divBdr>
      <w:divsChild>
        <w:div w:id="310717613">
          <w:marLeft w:val="0"/>
          <w:marRight w:val="0"/>
          <w:marTop w:val="180"/>
          <w:marBottom w:val="180"/>
          <w:divBdr>
            <w:top w:val="none" w:sz="0" w:space="0" w:color="auto"/>
            <w:left w:val="none" w:sz="0" w:space="0" w:color="auto"/>
            <w:bottom w:val="none" w:sz="0" w:space="0" w:color="auto"/>
            <w:right w:val="none" w:sz="0" w:space="0" w:color="auto"/>
          </w:divBdr>
        </w:div>
      </w:divsChild>
    </w:div>
    <w:div w:id="147139737">
      <w:marLeft w:val="0"/>
      <w:marRight w:val="0"/>
      <w:marTop w:val="180"/>
      <w:marBottom w:val="180"/>
      <w:divBdr>
        <w:top w:val="none" w:sz="0" w:space="0" w:color="auto"/>
        <w:left w:val="none" w:sz="0" w:space="0" w:color="auto"/>
        <w:bottom w:val="none" w:sz="0" w:space="0" w:color="auto"/>
        <w:right w:val="none" w:sz="0" w:space="0" w:color="auto"/>
      </w:divBdr>
    </w:div>
    <w:div w:id="149249902">
      <w:marLeft w:val="0"/>
      <w:marRight w:val="0"/>
      <w:marTop w:val="180"/>
      <w:marBottom w:val="180"/>
      <w:divBdr>
        <w:top w:val="none" w:sz="0" w:space="0" w:color="auto"/>
        <w:left w:val="none" w:sz="0" w:space="0" w:color="auto"/>
        <w:bottom w:val="none" w:sz="0" w:space="0" w:color="auto"/>
        <w:right w:val="none" w:sz="0" w:space="0" w:color="auto"/>
      </w:divBdr>
    </w:div>
    <w:div w:id="150412238">
      <w:marLeft w:val="0"/>
      <w:marRight w:val="0"/>
      <w:marTop w:val="0"/>
      <w:marBottom w:val="0"/>
      <w:divBdr>
        <w:top w:val="none" w:sz="0" w:space="0" w:color="auto"/>
        <w:left w:val="none" w:sz="0" w:space="0" w:color="auto"/>
        <w:bottom w:val="none" w:sz="0" w:space="0" w:color="auto"/>
        <w:right w:val="none" w:sz="0" w:space="0" w:color="auto"/>
      </w:divBdr>
      <w:divsChild>
        <w:div w:id="1028095932">
          <w:marLeft w:val="0"/>
          <w:marRight w:val="0"/>
          <w:marTop w:val="0"/>
          <w:marBottom w:val="0"/>
          <w:divBdr>
            <w:top w:val="none" w:sz="0" w:space="0" w:color="auto"/>
            <w:left w:val="none" w:sz="0" w:space="0" w:color="auto"/>
            <w:bottom w:val="none" w:sz="0" w:space="0" w:color="auto"/>
            <w:right w:val="none" w:sz="0" w:space="0" w:color="auto"/>
          </w:divBdr>
          <w:divsChild>
            <w:div w:id="11901468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869605">
      <w:marLeft w:val="0"/>
      <w:marRight w:val="0"/>
      <w:marTop w:val="180"/>
      <w:marBottom w:val="180"/>
      <w:divBdr>
        <w:top w:val="none" w:sz="0" w:space="0" w:color="auto"/>
        <w:left w:val="none" w:sz="0" w:space="0" w:color="auto"/>
        <w:bottom w:val="none" w:sz="0" w:space="0" w:color="auto"/>
        <w:right w:val="none" w:sz="0" w:space="0" w:color="auto"/>
      </w:divBdr>
    </w:div>
    <w:div w:id="156042186">
      <w:marLeft w:val="0"/>
      <w:marRight w:val="0"/>
      <w:marTop w:val="0"/>
      <w:marBottom w:val="0"/>
      <w:divBdr>
        <w:top w:val="none" w:sz="0" w:space="0" w:color="auto"/>
        <w:left w:val="none" w:sz="0" w:space="0" w:color="auto"/>
        <w:bottom w:val="none" w:sz="0" w:space="0" w:color="auto"/>
        <w:right w:val="none" w:sz="0" w:space="0" w:color="auto"/>
      </w:divBdr>
    </w:div>
    <w:div w:id="156504181">
      <w:marLeft w:val="0"/>
      <w:marRight w:val="0"/>
      <w:marTop w:val="0"/>
      <w:marBottom w:val="0"/>
      <w:divBdr>
        <w:top w:val="none" w:sz="0" w:space="0" w:color="auto"/>
        <w:left w:val="none" w:sz="0" w:space="0" w:color="auto"/>
        <w:bottom w:val="none" w:sz="0" w:space="0" w:color="auto"/>
        <w:right w:val="none" w:sz="0" w:space="0" w:color="auto"/>
      </w:divBdr>
      <w:divsChild>
        <w:div w:id="201213770">
          <w:marLeft w:val="0"/>
          <w:marRight w:val="0"/>
          <w:marTop w:val="0"/>
          <w:marBottom w:val="0"/>
          <w:divBdr>
            <w:top w:val="none" w:sz="0" w:space="0" w:color="auto"/>
            <w:left w:val="none" w:sz="0" w:space="0" w:color="auto"/>
            <w:bottom w:val="none" w:sz="0" w:space="0" w:color="auto"/>
            <w:right w:val="none" w:sz="0" w:space="0" w:color="auto"/>
          </w:divBdr>
          <w:divsChild>
            <w:div w:id="10311506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918737">
      <w:marLeft w:val="0"/>
      <w:marRight w:val="0"/>
      <w:marTop w:val="100"/>
      <w:marBottom w:val="100"/>
      <w:divBdr>
        <w:top w:val="none" w:sz="0" w:space="0" w:color="auto"/>
        <w:left w:val="none" w:sz="0" w:space="0" w:color="auto"/>
        <w:bottom w:val="none" w:sz="0" w:space="0" w:color="auto"/>
        <w:right w:val="none" w:sz="0" w:space="0" w:color="auto"/>
      </w:divBdr>
      <w:divsChild>
        <w:div w:id="346952584">
          <w:marLeft w:val="0"/>
          <w:marRight w:val="0"/>
          <w:marTop w:val="0"/>
          <w:marBottom w:val="0"/>
          <w:divBdr>
            <w:top w:val="none" w:sz="0" w:space="0" w:color="auto"/>
            <w:left w:val="none" w:sz="0" w:space="0" w:color="auto"/>
            <w:bottom w:val="none" w:sz="0" w:space="0" w:color="auto"/>
            <w:right w:val="none" w:sz="0" w:space="0" w:color="auto"/>
          </w:divBdr>
        </w:div>
        <w:div w:id="1707220995">
          <w:marLeft w:val="0"/>
          <w:marRight w:val="0"/>
          <w:marTop w:val="0"/>
          <w:marBottom w:val="0"/>
          <w:divBdr>
            <w:top w:val="none" w:sz="0" w:space="0" w:color="auto"/>
            <w:left w:val="none" w:sz="0" w:space="0" w:color="auto"/>
            <w:bottom w:val="none" w:sz="0" w:space="0" w:color="auto"/>
            <w:right w:val="none" w:sz="0" w:space="0" w:color="auto"/>
          </w:divBdr>
        </w:div>
        <w:div w:id="890192015">
          <w:marLeft w:val="0"/>
          <w:marRight w:val="0"/>
          <w:marTop w:val="0"/>
          <w:marBottom w:val="0"/>
          <w:divBdr>
            <w:top w:val="none" w:sz="0" w:space="0" w:color="auto"/>
            <w:left w:val="none" w:sz="0" w:space="0" w:color="auto"/>
            <w:bottom w:val="none" w:sz="0" w:space="0" w:color="auto"/>
            <w:right w:val="none" w:sz="0" w:space="0" w:color="auto"/>
          </w:divBdr>
        </w:div>
        <w:div w:id="1278024175">
          <w:marLeft w:val="0"/>
          <w:marRight w:val="0"/>
          <w:marTop w:val="0"/>
          <w:marBottom w:val="0"/>
          <w:divBdr>
            <w:top w:val="none" w:sz="0" w:space="0" w:color="auto"/>
            <w:left w:val="none" w:sz="0" w:space="0" w:color="auto"/>
            <w:bottom w:val="none" w:sz="0" w:space="0" w:color="auto"/>
            <w:right w:val="none" w:sz="0" w:space="0" w:color="auto"/>
          </w:divBdr>
        </w:div>
        <w:div w:id="1750228006">
          <w:marLeft w:val="0"/>
          <w:marRight w:val="0"/>
          <w:marTop w:val="0"/>
          <w:marBottom w:val="0"/>
          <w:divBdr>
            <w:top w:val="none" w:sz="0" w:space="0" w:color="auto"/>
            <w:left w:val="none" w:sz="0" w:space="0" w:color="auto"/>
            <w:bottom w:val="none" w:sz="0" w:space="0" w:color="auto"/>
            <w:right w:val="none" w:sz="0" w:space="0" w:color="auto"/>
          </w:divBdr>
        </w:div>
      </w:divsChild>
    </w:div>
    <w:div w:id="160855052">
      <w:marLeft w:val="0"/>
      <w:marRight w:val="0"/>
      <w:marTop w:val="180"/>
      <w:marBottom w:val="180"/>
      <w:divBdr>
        <w:top w:val="none" w:sz="0" w:space="0" w:color="auto"/>
        <w:left w:val="none" w:sz="0" w:space="0" w:color="auto"/>
        <w:bottom w:val="none" w:sz="0" w:space="0" w:color="auto"/>
        <w:right w:val="none" w:sz="0" w:space="0" w:color="auto"/>
      </w:divBdr>
    </w:div>
    <w:div w:id="160972901">
      <w:marLeft w:val="0"/>
      <w:marRight w:val="0"/>
      <w:marTop w:val="0"/>
      <w:marBottom w:val="0"/>
      <w:divBdr>
        <w:top w:val="none" w:sz="0" w:space="0" w:color="auto"/>
        <w:left w:val="none" w:sz="0" w:space="0" w:color="auto"/>
        <w:bottom w:val="none" w:sz="0" w:space="0" w:color="auto"/>
        <w:right w:val="none" w:sz="0" w:space="0" w:color="auto"/>
      </w:divBdr>
    </w:div>
    <w:div w:id="161898257">
      <w:marLeft w:val="0"/>
      <w:marRight w:val="0"/>
      <w:marTop w:val="100"/>
      <w:marBottom w:val="100"/>
      <w:divBdr>
        <w:top w:val="none" w:sz="0" w:space="0" w:color="auto"/>
        <w:left w:val="none" w:sz="0" w:space="0" w:color="auto"/>
        <w:bottom w:val="none" w:sz="0" w:space="0" w:color="auto"/>
        <w:right w:val="none" w:sz="0" w:space="0" w:color="auto"/>
      </w:divBdr>
      <w:divsChild>
        <w:div w:id="138695340">
          <w:marLeft w:val="0"/>
          <w:marRight w:val="0"/>
          <w:marTop w:val="0"/>
          <w:marBottom w:val="0"/>
          <w:divBdr>
            <w:top w:val="none" w:sz="0" w:space="0" w:color="auto"/>
            <w:left w:val="none" w:sz="0" w:space="0" w:color="auto"/>
            <w:bottom w:val="none" w:sz="0" w:space="0" w:color="auto"/>
            <w:right w:val="none" w:sz="0" w:space="0" w:color="auto"/>
          </w:divBdr>
        </w:div>
        <w:div w:id="1144199667">
          <w:marLeft w:val="0"/>
          <w:marRight w:val="0"/>
          <w:marTop w:val="0"/>
          <w:marBottom w:val="0"/>
          <w:divBdr>
            <w:top w:val="none" w:sz="0" w:space="0" w:color="auto"/>
            <w:left w:val="none" w:sz="0" w:space="0" w:color="auto"/>
            <w:bottom w:val="none" w:sz="0" w:space="0" w:color="auto"/>
            <w:right w:val="none" w:sz="0" w:space="0" w:color="auto"/>
          </w:divBdr>
        </w:div>
        <w:div w:id="8651403">
          <w:marLeft w:val="0"/>
          <w:marRight w:val="0"/>
          <w:marTop w:val="0"/>
          <w:marBottom w:val="0"/>
          <w:divBdr>
            <w:top w:val="none" w:sz="0" w:space="0" w:color="auto"/>
            <w:left w:val="none" w:sz="0" w:space="0" w:color="auto"/>
            <w:bottom w:val="none" w:sz="0" w:space="0" w:color="auto"/>
            <w:right w:val="none" w:sz="0" w:space="0" w:color="auto"/>
          </w:divBdr>
        </w:div>
        <w:div w:id="501357839">
          <w:marLeft w:val="0"/>
          <w:marRight w:val="0"/>
          <w:marTop w:val="0"/>
          <w:marBottom w:val="0"/>
          <w:divBdr>
            <w:top w:val="none" w:sz="0" w:space="0" w:color="auto"/>
            <w:left w:val="none" w:sz="0" w:space="0" w:color="auto"/>
            <w:bottom w:val="none" w:sz="0" w:space="0" w:color="auto"/>
            <w:right w:val="none" w:sz="0" w:space="0" w:color="auto"/>
          </w:divBdr>
        </w:div>
      </w:divsChild>
    </w:div>
    <w:div w:id="163593630">
      <w:marLeft w:val="0"/>
      <w:marRight w:val="0"/>
      <w:marTop w:val="60"/>
      <w:marBottom w:val="60"/>
      <w:divBdr>
        <w:top w:val="none" w:sz="0" w:space="0" w:color="auto"/>
        <w:left w:val="none" w:sz="0" w:space="0" w:color="auto"/>
        <w:bottom w:val="none" w:sz="0" w:space="0" w:color="auto"/>
        <w:right w:val="none" w:sz="0" w:space="0" w:color="auto"/>
      </w:divBdr>
    </w:div>
    <w:div w:id="169413288">
      <w:marLeft w:val="0"/>
      <w:marRight w:val="0"/>
      <w:marTop w:val="0"/>
      <w:marBottom w:val="0"/>
      <w:divBdr>
        <w:top w:val="none" w:sz="0" w:space="0" w:color="auto"/>
        <w:left w:val="none" w:sz="0" w:space="0" w:color="auto"/>
        <w:bottom w:val="none" w:sz="0" w:space="0" w:color="auto"/>
        <w:right w:val="none" w:sz="0" w:space="0" w:color="auto"/>
      </w:divBdr>
      <w:divsChild>
        <w:div w:id="927155402">
          <w:marLeft w:val="0"/>
          <w:marRight w:val="0"/>
          <w:marTop w:val="0"/>
          <w:marBottom w:val="0"/>
          <w:divBdr>
            <w:top w:val="none" w:sz="0" w:space="0" w:color="auto"/>
            <w:left w:val="none" w:sz="0" w:space="0" w:color="auto"/>
            <w:bottom w:val="none" w:sz="0" w:space="0" w:color="auto"/>
            <w:right w:val="none" w:sz="0" w:space="0" w:color="auto"/>
          </w:divBdr>
          <w:divsChild>
            <w:div w:id="14838092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459196">
      <w:marLeft w:val="0"/>
      <w:marRight w:val="0"/>
      <w:marTop w:val="0"/>
      <w:marBottom w:val="0"/>
      <w:divBdr>
        <w:top w:val="none" w:sz="0" w:space="0" w:color="auto"/>
        <w:left w:val="none" w:sz="0" w:space="0" w:color="auto"/>
        <w:bottom w:val="none" w:sz="0" w:space="0" w:color="auto"/>
        <w:right w:val="none" w:sz="0" w:space="0" w:color="auto"/>
      </w:divBdr>
      <w:divsChild>
        <w:div w:id="656081133">
          <w:marLeft w:val="0"/>
          <w:marRight w:val="0"/>
          <w:marTop w:val="0"/>
          <w:marBottom w:val="0"/>
          <w:divBdr>
            <w:top w:val="none" w:sz="0" w:space="0" w:color="auto"/>
            <w:left w:val="none" w:sz="0" w:space="0" w:color="auto"/>
            <w:bottom w:val="none" w:sz="0" w:space="0" w:color="auto"/>
            <w:right w:val="none" w:sz="0" w:space="0" w:color="auto"/>
          </w:divBdr>
          <w:divsChild>
            <w:div w:id="12033228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113031">
      <w:marLeft w:val="0"/>
      <w:marRight w:val="0"/>
      <w:marTop w:val="0"/>
      <w:marBottom w:val="0"/>
      <w:divBdr>
        <w:top w:val="none" w:sz="0" w:space="0" w:color="auto"/>
        <w:left w:val="none" w:sz="0" w:space="0" w:color="auto"/>
        <w:bottom w:val="none" w:sz="0" w:space="0" w:color="auto"/>
        <w:right w:val="none" w:sz="0" w:space="0" w:color="auto"/>
      </w:divBdr>
      <w:divsChild>
        <w:div w:id="1666322443">
          <w:marLeft w:val="0"/>
          <w:marRight w:val="0"/>
          <w:marTop w:val="0"/>
          <w:marBottom w:val="0"/>
          <w:divBdr>
            <w:top w:val="none" w:sz="0" w:space="0" w:color="auto"/>
            <w:left w:val="none" w:sz="0" w:space="0" w:color="auto"/>
            <w:bottom w:val="none" w:sz="0" w:space="0" w:color="auto"/>
            <w:right w:val="none" w:sz="0" w:space="0" w:color="auto"/>
          </w:divBdr>
          <w:divsChild>
            <w:div w:id="1487904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574315">
      <w:marLeft w:val="0"/>
      <w:marRight w:val="0"/>
      <w:marTop w:val="180"/>
      <w:marBottom w:val="180"/>
      <w:divBdr>
        <w:top w:val="none" w:sz="0" w:space="0" w:color="auto"/>
        <w:left w:val="none" w:sz="0" w:space="0" w:color="auto"/>
        <w:bottom w:val="none" w:sz="0" w:space="0" w:color="auto"/>
        <w:right w:val="none" w:sz="0" w:space="0" w:color="auto"/>
      </w:divBdr>
    </w:div>
    <w:div w:id="173497479">
      <w:marLeft w:val="0"/>
      <w:marRight w:val="0"/>
      <w:marTop w:val="0"/>
      <w:marBottom w:val="0"/>
      <w:divBdr>
        <w:top w:val="none" w:sz="0" w:space="0" w:color="auto"/>
        <w:left w:val="none" w:sz="0" w:space="0" w:color="auto"/>
        <w:bottom w:val="none" w:sz="0" w:space="0" w:color="auto"/>
        <w:right w:val="none" w:sz="0" w:space="0" w:color="auto"/>
      </w:divBdr>
    </w:div>
    <w:div w:id="174535720">
      <w:marLeft w:val="0"/>
      <w:marRight w:val="0"/>
      <w:marTop w:val="180"/>
      <w:marBottom w:val="180"/>
      <w:divBdr>
        <w:top w:val="none" w:sz="0" w:space="0" w:color="auto"/>
        <w:left w:val="none" w:sz="0" w:space="0" w:color="auto"/>
        <w:bottom w:val="none" w:sz="0" w:space="0" w:color="auto"/>
        <w:right w:val="none" w:sz="0" w:space="0" w:color="auto"/>
      </w:divBdr>
    </w:div>
    <w:div w:id="176816338">
      <w:marLeft w:val="0"/>
      <w:marRight w:val="0"/>
      <w:marTop w:val="0"/>
      <w:marBottom w:val="0"/>
      <w:divBdr>
        <w:top w:val="none" w:sz="0" w:space="0" w:color="auto"/>
        <w:left w:val="none" w:sz="0" w:space="0" w:color="auto"/>
        <w:bottom w:val="none" w:sz="0" w:space="0" w:color="auto"/>
        <w:right w:val="none" w:sz="0" w:space="0" w:color="auto"/>
      </w:divBdr>
      <w:divsChild>
        <w:div w:id="1664313715">
          <w:marLeft w:val="0"/>
          <w:marRight w:val="0"/>
          <w:marTop w:val="180"/>
          <w:marBottom w:val="180"/>
          <w:divBdr>
            <w:top w:val="none" w:sz="0" w:space="0" w:color="auto"/>
            <w:left w:val="none" w:sz="0" w:space="0" w:color="auto"/>
            <w:bottom w:val="none" w:sz="0" w:space="0" w:color="auto"/>
            <w:right w:val="none" w:sz="0" w:space="0" w:color="auto"/>
          </w:divBdr>
        </w:div>
      </w:divsChild>
    </w:div>
    <w:div w:id="176967004">
      <w:marLeft w:val="0"/>
      <w:marRight w:val="0"/>
      <w:marTop w:val="0"/>
      <w:marBottom w:val="0"/>
      <w:divBdr>
        <w:top w:val="none" w:sz="0" w:space="0" w:color="auto"/>
        <w:left w:val="none" w:sz="0" w:space="0" w:color="auto"/>
        <w:bottom w:val="none" w:sz="0" w:space="0" w:color="auto"/>
        <w:right w:val="none" w:sz="0" w:space="0" w:color="auto"/>
      </w:divBdr>
      <w:divsChild>
        <w:div w:id="1709792026">
          <w:marLeft w:val="0"/>
          <w:marRight w:val="0"/>
          <w:marTop w:val="0"/>
          <w:marBottom w:val="0"/>
          <w:divBdr>
            <w:top w:val="none" w:sz="0" w:space="0" w:color="auto"/>
            <w:left w:val="none" w:sz="0" w:space="0" w:color="auto"/>
            <w:bottom w:val="none" w:sz="0" w:space="0" w:color="auto"/>
            <w:right w:val="none" w:sz="0" w:space="0" w:color="auto"/>
          </w:divBdr>
          <w:divsChild>
            <w:div w:id="5496559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700862">
      <w:marLeft w:val="0"/>
      <w:marRight w:val="0"/>
      <w:marTop w:val="180"/>
      <w:marBottom w:val="180"/>
      <w:divBdr>
        <w:top w:val="none" w:sz="0" w:space="0" w:color="auto"/>
        <w:left w:val="none" w:sz="0" w:space="0" w:color="auto"/>
        <w:bottom w:val="none" w:sz="0" w:space="0" w:color="auto"/>
        <w:right w:val="none" w:sz="0" w:space="0" w:color="auto"/>
      </w:divBdr>
    </w:div>
    <w:div w:id="177736611">
      <w:marLeft w:val="0"/>
      <w:marRight w:val="0"/>
      <w:marTop w:val="0"/>
      <w:marBottom w:val="0"/>
      <w:divBdr>
        <w:top w:val="none" w:sz="0" w:space="0" w:color="auto"/>
        <w:left w:val="none" w:sz="0" w:space="0" w:color="auto"/>
        <w:bottom w:val="none" w:sz="0" w:space="0" w:color="auto"/>
        <w:right w:val="none" w:sz="0" w:space="0" w:color="auto"/>
      </w:divBdr>
      <w:divsChild>
        <w:div w:id="779958903">
          <w:marLeft w:val="0"/>
          <w:marRight w:val="0"/>
          <w:marTop w:val="0"/>
          <w:marBottom w:val="0"/>
          <w:divBdr>
            <w:top w:val="none" w:sz="0" w:space="0" w:color="auto"/>
            <w:left w:val="none" w:sz="0" w:space="0" w:color="auto"/>
            <w:bottom w:val="none" w:sz="0" w:space="0" w:color="auto"/>
            <w:right w:val="none" w:sz="0" w:space="0" w:color="auto"/>
          </w:divBdr>
          <w:divsChild>
            <w:div w:id="9763727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815189">
      <w:marLeft w:val="0"/>
      <w:marRight w:val="0"/>
      <w:marTop w:val="180"/>
      <w:marBottom w:val="180"/>
      <w:divBdr>
        <w:top w:val="none" w:sz="0" w:space="0" w:color="auto"/>
        <w:left w:val="none" w:sz="0" w:space="0" w:color="auto"/>
        <w:bottom w:val="none" w:sz="0" w:space="0" w:color="auto"/>
        <w:right w:val="none" w:sz="0" w:space="0" w:color="auto"/>
      </w:divBdr>
    </w:div>
    <w:div w:id="178274319">
      <w:marLeft w:val="0"/>
      <w:marRight w:val="0"/>
      <w:marTop w:val="0"/>
      <w:marBottom w:val="0"/>
      <w:divBdr>
        <w:top w:val="none" w:sz="0" w:space="0" w:color="auto"/>
        <w:left w:val="none" w:sz="0" w:space="0" w:color="auto"/>
        <w:bottom w:val="none" w:sz="0" w:space="0" w:color="auto"/>
        <w:right w:val="none" w:sz="0" w:space="0" w:color="auto"/>
      </w:divBdr>
      <w:divsChild>
        <w:div w:id="2062439854">
          <w:marLeft w:val="0"/>
          <w:marRight w:val="0"/>
          <w:marTop w:val="0"/>
          <w:marBottom w:val="0"/>
          <w:divBdr>
            <w:top w:val="none" w:sz="0" w:space="0" w:color="auto"/>
            <w:left w:val="none" w:sz="0" w:space="0" w:color="auto"/>
            <w:bottom w:val="none" w:sz="0" w:space="0" w:color="auto"/>
            <w:right w:val="none" w:sz="0" w:space="0" w:color="auto"/>
          </w:divBdr>
          <w:divsChild>
            <w:div w:id="20465164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625961">
      <w:marLeft w:val="0"/>
      <w:marRight w:val="0"/>
      <w:marTop w:val="0"/>
      <w:marBottom w:val="0"/>
      <w:divBdr>
        <w:top w:val="none" w:sz="0" w:space="0" w:color="auto"/>
        <w:left w:val="none" w:sz="0" w:space="0" w:color="auto"/>
        <w:bottom w:val="none" w:sz="0" w:space="0" w:color="auto"/>
        <w:right w:val="none" w:sz="0" w:space="0" w:color="auto"/>
      </w:divBdr>
      <w:divsChild>
        <w:div w:id="172573124">
          <w:marLeft w:val="0"/>
          <w:marRight w:val="0"/>
          <w:marTop w:val="0"/>
          <w:marBottom w:val="0"/>
          <w:divBdr>
            <w:top w:val="none" w:sz="0" w:space="0" w:color="auto"/>
            <w:left w:val="none" w:sz="0" w:space="0" w:color="auto"/>
            <w:bottom w:val="none" w:sz="0" w:space="0" w:color="auto"/>
            <w:right w:val="none" w:sz="0" w:space="0" w:color="auto"/>
          </w:divBdr>
          <w:divsChild>
            <w:div w:id="12775674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779367">
      <w:marLeft w:val="0"/>
      <w:marRight w:val="0"/>
      <w:marTop w:val="60"/>
      <w:marBottom w:val="60"/>
      <w:divBdr>
        <w:top w:val="none" w:sz="0" w:space="0" w:color="auto"/>
        <w:left w:val="none" w:sz="0" w:space="0" w:color="auto"/>
        <w:bottom w:val="none" w:sz="0" w:space="0" w:color="auto"/>
        <w:right w:val="none" w:sz="0" w:space="0" w:color="auto"/>
      </w:divBdr>
    </w:div>
    <w:div w:id="182788904">
      <w:marLeft w:val="0"/>
      <w:marRight w:val="0"/>
      <w:marTop w:val="180"/>
      <w:marBottom w:val="180"/>
      <w:divBdr>
        <w:top w:val="none" w:sz="0" w:space="0" w:color="auto"/>
        <w:left w:val="none" w:sz="0" w:space="0" w:color="auto"/>
        <w:bottom w:val="none" w:sz="0" w:space="0" w:color="auto"/>
        <w:right w:val="none" w:sz="0" w:space="0" w:color="auto"/>
      </w:divBdr>
    </w:div>
    <w:div w:id="183440467">
      <w:marLeft w:val="0"/>
      <w:marRight w:val="0"/>
      <w:marTop w:val="100"/>
      <w:marBottom w:val="100"/>
      <w:divBdr>
        <w:top w:val="none" w:sz="0" w:space="0" w:color="auto"/>
        <w:left w:val="none" w:sz="0" w:space="0" w:color="auto"/>
        <w:bottom w:val="none" w:sz="0" w:space="0" w:color="auto"/>
        <w:right w:val="none" w:sz="0" w:space="0" w:color="auto"/>
      </w:divBdr>
      <w:divsChild>
        <w:div w:id="853031503">
          <w:marLeft w:val="0"/>
          <w:marRight w:val="0"/>
          <w:marTop w:val="0"/>
          <w:marBottom w:val="0"/>
          <w:divBdr>
            <w:top w:val="none" w:sz="0" w:space="0" w:color="auto"/>
            <w:left w:val="none" w:sz="0" w:space="0" w:color="auto"/>
            <w:bottom w:val="none" w:sz="0" w:space="0" w:color="auto"/>
            <w:right w:val="none" w:sz="0" w:space="0" w:color="auto"/>
          </w:divBdr>
        </w:div>
      </w:divsChild>
    </w:div>
    <w:div w:id="186451875">
      <w:marLeft w:val="0"/>
      <w:marRight w:val="0"/>
      <w:marTop w:val="0"/>
      <w:marBottom w:val="0"/>
      <w:divBdr>
        <w:top w:val="none" w:sz="0" w:space="0" w:color="auto"/>
        <w:left w:val="none" w:sz="0" w:space="0" w:color="auto"/>
        <w:bottom w:val="none" w:sz="0" w:space="0" w:color="auto"/>
        <w:right w:val="none" w:sz="0" w:space="0" w:color="auto"/>
      </w:divBdr>
      <w:divsChild>
        <w:div w:id="1780295423">
          <w:marLeft w:val="0"/>
          <w:marRight w:val="0"/>
          <w:marTop w:val="0"/>
          <w:marBottom w:val="0"/>
          <w:divBdr>
            <w:top w:val="none" w:sz="0" w:space="0" w:color="auto"/>
            <w:left w:val="none" w:sz="0" w:space="0" w:color="auto"/>
            <w:bottom w:val="none" w:sz="0" w:space="0" w:color="auto"/>
            <w:right w:val="none" w:sz="0" w:space="0" w:color="auto"/>
          </w:divBdr>
          <w:divsChild>
            <w:div w:id="19099202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060797">
      <w:marLeft w:val="0"/>
      <w:marRight w:val="0"/>
      <w:marTop w:val="180"/>
      <w:marBottom w:val="180"/>
      <w:divBdr>
        <w:top w:val="none" w:sz="0" w:space="0" w:color="auto"/>
        <w:left w:val="none" w:sz="0" w:space="0" w:color="auto"/>
        <w:bottom w:val="none" w:sz="0" w:space="0" w:color="auto"/>
        <w:right w:val="none" w:sz="0" w:space="0" w:color="auto"/>
      </w:divBdr>
    </w:div>
    <w:div w:id="189147048">
      <w:marLeft w:val="0"/>
      <w:marRight w:val="0"/>
      <w:marTop w:val="0"/>
      <w:marBottom w:val="0"/>
      <w:divBdr>
        <w:top w:val="none" w:sz="0" w:space="0" w:color="auto"/>
        <w:left w:val="none" w:sz="0" w:space="0" w:color="auto"/>
        <w:bottom w:val="none" w:sz="0" w:space="0" w:color="auto"/>
        <w:right w:val="none" w:sz="0" w:space="0" w:color="auto"/>
      </w:divBdr>
    </w:div>
    <w:div w:id="191577968">
      <w:marLeft w:val="0"/>
      <w:marRight w:val="0"/>
      <w:marTop w:val="180"/>
      <w:marBottom w:val="60"/>
      <w:divBdr>
        <w:top w:val="none" w:sz="0" w:space="0" w:color="auto"/>
        <w:left w:val="none" w:sz="0" w:space="0" w:color="auto"/>
        <w:bottom w:val="none" w:sz="0" w:space="0" w:color="auto"/>
        <w:right w:val="none" w:sz="0" w:space="0" w:color="auto"/>
      </w:divBdr>
    </w:div>
    <w:div w:id="191580859">
      <w:marLeft w:val="0"/>
      <w:marRight w:val="0"/>
      <w:marTop w:val="60"/>
      <w:marBottom w:val="60"/>
      <w:divBdr>
        <w:top w:val="none" w:sz="0" w:space="0" w:color="auto"/>
        <w:left w:val="none" w:sz="0" w:space="0" w:color="auto"/>
        <w:bottom w:val="none" w:sz="0" w:space="0" w:color="auto"/>
        <w:right w:val="none" w:sz="0" w:space="0" w:color="auto"/>
      </w:divBdr>
    </w:div>
    <w:div w:id="192807113">
      <w:marLeft w:val="0"/>
      <w:marRight w:val="0"/>
      <w:marTop w:val="0"/>
      <w:marBottom w:val="0"/>
      <w:divBdr>
        <w:top w:val="none" w:sz="0" w:space="0" w:color="auto"/>
        <w:left w:val="none" w:sz="0" w:space="0" w:color="auto"/>
        <w:bottom w:val="none" w:sz="0" w:space="0" w:color="auto"/>
        <w:right w:val="none" w:sz="0" w:space="0" w:color="auto"/>
      </w:divBdr>
    </w:div>
    <w:div w:id="194735907">
      <w:marLeft w:val="0"/>
      <w:marRight w:val="0"/>
      <w:marTop w:val="180"/>
      <w:marBottom w:val="180"/>
      <w:divBdr>
        <w:top w:val="none" w:sz="0" w:space="0" w:color="auto"/>
        <w:left w:val="none" w:sz="0" w:space="0" w:color="auto"/>
        <w:bottom w:val="none" w:sz="0" w:space="0" w:color="auto"/>
        <w:right w:val="none" w:sz="0" w:space="0" w:color="auto"/>
      </w:divBdr>
    </w:div>
    <w:div w:id="195700197">
      <w:marLeft w:val="0"/>
      <w:marRight w:val="0"/>
      <w:marTop w:val="180"/>
      <w:marBottom w:val="180"/>
      <w:divBdr>
        <w:top w:val="none" w:sz="0" w:space="0" w:color="auto"/>
        <w:left w:val="none" w:sz="0" w:space="0" w:color="auto"/>
        <w:bottom w:val="none" w:sz="0" w:space="0" w:color="auto"/>
        <w:right w:val="none" w:sz="0" w:space="0" w:color="auto"/>
      </w:divBdr>
    </w:div>
    <w:div w:id="195780587">
      <w:marLeft w:val="0"/>
      <w:marRight w:val="0"/>
      <w:marTop w:val="180"/>
      <w:marBottom w:val="180"/>
      <w:divBdr>
        <w:top w:val="none" w:sz="0" w:space="0" w:color="auto"/>
        <w:left w:val="none" w:sz="0" w:space="0" w:color="auto"/>
        <w:bottom w:val="none" w:sz="0" w:space="0" w:color="auto"/>
        <w:right w:val="none" w:sz="0" w:space="0" w:color="auto"/>
      </w:divBdr>
    </w:div>
    <w:div w:id="196284430">
      <w:marLeft w:val="0"/>
      <w:marRight w:val="0"/>
      <w:marTop w:val="100"/>
      <w:marBottom w:val="100"/>
      <w:divBdr>
        <w:top w:val="none" w:sz="0" w:space="0" w:color="auto"/>
        <w:left w:val="none" w:sz="0" w:space="0" w:color="auto"/>
        <w:bottom w:val="none" w:sz="0" w:space="0" w:color="auto"/>
        <w:right w:val="none" w:sz="0" w:space="0" w:color="auto"/>
      </w:divBdr>
    </w:div>
    <w:div w:id="196430146">
      <w:marLeft w:val="0"/>
      <w:marRight w:val="0"/>
      <w:marTop w:val="180"/>
      <w:marBottom w:val="180"/>
      <w:divBdr>
        <w:top w:val="none" w:sz="0" w:space="0" w:color="auto"/>
        <w:left w:val="none" w:sz="0" w:space="0" w:color="auto"/>
        <w:bottom w:val="none" w:sz="0" w:space="0" w:color="auto"/>
        <w:right w:val="none" w:sz="0" w:space="0" w:color="auto"/>
      </w:divBdr>
    </w:div>
    <w:div w:id="199824626">
      <w:marLeft w:val="0"/>
      <w:marRight w:val="0"/>
      <w:marTop w:val="180"/>
      <w:marBottom w:val="180"/>
      <w:divBdr>
        <w:top w:val="none" w:sz="0" w:space="0" w:color="auto"/>
        <w:left w:val="none" w:sz="0" w:space="0" w:color="auto"/>
        <w:bottom w:val="none" w:sz="0" w:space="0" w:color="auto"/>
        <w:right w:val="none" w:sz="0" w:space="0" w:color="auto"/>
      </w:divBdr>
    </w:div>
    <w:div w:id="207305589">
      <w:marLeft w:val="0"/>
      <w:marRight w:val="0"/>
      <w:marTop w:val="180"/>
      <w:marBottom w:val="180"/>
      <w:divBdr>
        <w:top w:val="none" w:sz="0" w:space="0" w:color="auto"/>
        <w:left w:val="none" w:sz="0" w:space="0" w:color="auto"/>
        <w:bottom w:val="none" w:sz="0" w:space="0" w:color="auto"/>
        <w:right w:val="none" w:sz="0" w:space="0" w:color="auto"/>
      </w:divBdr>
    </w:div>
    <w:div w:id="207842164">
      <w:marLeft w:val="0"/>
      <w:marRight w:val="0"/>
      <w:marTop w:val="180"/>
      <w:marBottom w:val="180"/>
      <w:divBdr>
        <w:top w:val="none" w:sz="0" w:space="0" w:color="auto"/>
        <w:left w:val="none" w:sz="0" w:space="0" w:color="auto"/>
        <w:bottom w:val="none" w:sz="0" w:space="0" w:color="auto"/>
        <w:right w:val="none" w:sz="0" w:space="0" w:color="auto"/>
      </w:divBdr>
    </w:div>
    <w:div w:id="209726071">
      <w:marLeft w:val="0"/>
      <w:marRight w:val="0"/>
      <w:marTop w:val="180"/>
      <w:marBottom w:val="180"/>
      <w:divBdr>
        <w:top w:val="none" w:sz="0" w:space="0" w:color="auto"/>
        <w:left w:val="none" w:sz="0" w:space="0" w:color="auto"/>
        <w:bottom w:val="none" w:sz="0" w:space="0" w:color="auto"/>
        <w:right w:val="none" w:sz="0" w:space="0" w:color="auto"/>
      </w:divBdr>
    </w:div>
    <w:div w:id="211425324">
      <w:marLeft w:val="0"/>
      <w:marRight w:val="0"/>
      <w:marTop w:val="0"/>
      <w:marBottom w:val="0"/>
      <w:divBdr>
        <w:top w:val="none" w:sz="0" w:space="0" w:color="auto"/>
        <w:left w:val="none" w:sz="0" w:space="0" w:color="auto"/>
        <w:bottom w:val="none" w:sz="0" w:space="0" w:color="auto"/>
        <w:right w:val="none" w:sz="0" w:space="0" w:color="auto"/>
      </w:divBdr>
    </w:div>
    <w:div w:id="212936003">
      <w:marLeft w:val="0"/>
      <w:marRight w:val="0"/>
      <w:marTop w:val="180"/>
      <w:marBottom w:val="180"/>
      <w:divBdr>
        <w:top w:val="none" w:sz="0" w:space="0" w:color="auto"/>
        <w:left w:val="none" w:sz="0" w:space="0" w:color="auto"/>
        <w:bottom w:val="none" w:sz="0" w:space="0" w:color="auto"/>
        <w:right w:val="none" w:sz="0" w:space="0" w:color="auto"/>
      </w:divBdr>
    </w:div>
    <w:div w:id="214237967">
      <w:marLeft w:val="0"/>
      <w:marRight w:val="0"/>
      <w:marTop w:val="60"/>
      <w:marBottom w:val="60"/>
      <w:divBdr>
        <w:top w:val="none" w:sz="0" w:space="0" w:color="auto"/>
        <w:left w:val="none" w:sz="0" w:space="0" w:color="auto"/>
        <w:bottom w:val="none" w:sz="0" w:space="0" w:color="auto"/>
        <w:right w:val="none" w:sz="0" w:space="0" w:color="auto"/>
      </w:divBdr>
    </w:div>
    <w:div w:id="214465898">
      <w:marLeft w:val="0"/>
      <w:marRight w:val="0"/>
      <w:marTop w:val="100"/>
      <w:marBottom w:val="100"/>
      <w:divBdr>
        <w:top w:val="none" w:sz="0" w:space="0" w:color="auto"/>
        <w:left w:val="none" w:sz="0" w:space="0" w:color="auto"/>
        <w:bottom w:val="none" w:sz="0" w:space="0" w:color="auto"/>
        <w:right w:val="none" w:sz="0" w:space="0" w:color="auto"/>
      </w:divBdr>
      <w:divsChild>
        <w:div w:id="1232733207">
          <w:marLeft w:val="0"/>
          <w:marRight w:val="0"/>
          <w:marTop w:val="0"/>
          <w:marBottom w:val="0"/>
          <w:divBdr>
            <w:top w:val="none" w:sz="0" w:space="0" w:color="auto"/>
            <w:left w:val="none" w:sz="0" w:space="0" w:color="auto"/>
            <w:bottom w:val="none" w:sz="0" w:space="0" w:color="auto"/>
            <w:right w:val="none" w:sz="0" w:space="0" w:color="auto"/>
          </w:divBdr>
        </w:div>
        <w:div w:id="2007174080">
          <w:marLeft w:val="0"/>
          <w:marRight w:val="0"/>
          <w:marTop w:val="0"/>
          <w:marBottom w:val="0"/>
          <w:divBdr>
            <w:top w:val="none" w:sz="0" w:space="0" w:color="auto"/>
            <w:left w:val="none" w:sz="0" w:space="0" w:color="auto"/>
            <w:bottom w:val="none" w:sz="0" w:space="0" w:color="auto"/>
            <w:right w:val="none" w:sz="0" w:space="0" w:color="auto"/>
          </w:divBdr>
        </w:div>
      </w:divsChild>
    </w:div>
    <w:div w:id="215817645">
      <w:marLeft w:val="0"/>
      <w:marRight w:val="0"/>
      <w:marTop w:val="60"/>
      <w:marBottom w:val="60"/>
      <w:divBdr>
        <w:top w:val="none" w:sz="0" w:space="0" w:color="auto"/>
        <w:left w:val="none" w:sz="0" w:space="0" w:color="auto"/>
        <w:bottom w:val="none" w:sz="0" w:space="0" w:color="auto"/>
        <w:right w:val="none" w:sz="0" w:space="0" w:color="auto"/>
      </w:divBdr>
    </w:div>
    <w:div w:id="217742837">
      <w:marLeft w:val="0"/>
      <w:marRight w:val="0"/>
      <w:marTop w:val="100"/>
      <w:marBottom w:val="100"/>
      <w:divBdr>
        <w:top w:val="none" w:sz="0" w:space="0" w:color="auto"/>
        <w:left w:val="none" w:sz="0" w:space="0" w:color="auto"/>
        <w:bottom w:val="none" w:sz="0" w:space="0" w:color="auto"/>
        <w:right w:val="none" w:sz="0" w:space="0" w:color="auto"/>
      </w:divBdr>
      <w:divsChild>
        <w:div w:id="1434667566">
          <w:marLeft w:val="0"/>
          <w:marRight w:val="0"/>
          <w:marTop w:val="0"/>
          <w:marBottom w:val="0"/>
          <w:divBdr>
            <w:top w:val="none" w:sz="0" w:space="0" w:color="auto"/>
            <w:left w:val="none" w:sz="0" w:space="0" w:color="auto"/>
            <w:bottom w:val="none" w:sz="0" w:space="0" w:color="auto"/>
            <w:right w:val="none" w:sz="0" w:space="0" w:color="auto"/>
          </w:divBdr>
        </w:div>
        <w:div w:id="1800494123">
          <w:marLeft w:val="0"/>
          <w:marRight w:val="0"/>
          <w:marTop w:val="0"/>
          <w:marBottom w:val="0"/>
          <w:divBdr>
            <w:top w:val="none" w:sz="0" w:space="0" w:color="auto"/>
            <w:left w:val="none" w:sz="0" w:space="0" w:color="auto"/>
            <w:bottom w:val="none" w:sz="0" w:space="0" w:color="auto"/>
            <w:right w:val="none" w:sz="0" w:space="0" w:color="auto"/>
          </w:divBdr>
        </w:div>
        <w:div w:id="1949043084">
          <w:marLeft w:val="0"/>
          <w:marRight w:val="0"/>
          <w:marTop w:val="0"/>
          <w:marBottom w:val="0"/>
          <w:divBdr>
            <w:top w:val="none" w:sz="0" w:space="0" w:color="auto"/>
            <w:left w:val="none" w:sz="0" w:space="0" w:color="auto"/>
            <w:bottom w:val="none" w:sz="0" w:space="0" w:color="auto"/>
            <w:right w:val="none" w:sz="0" w:space="0" w:color="auto"/>
          </w:divBdr>
        </w:div>
      </w:divsChild>
    </w:div>
    <w:div w:id="221644560">
      <w:marLeft w:val="0"/>
      <w:marRight w:val="0"/>
      <w:marTop w:val="60"/>
      <w:marBottom w:val="60"/>
      <w:divBdr>
        <w:top w:val="none" w:sz="0" w:space="0" w:color="auto"/>
        <w:left w:val="none" w:sz="0" w:space="0" w:color="auto"/>
        <w:bottom w:val="none" w:sz="0" w:space="0" w:color="auto"/>
        <w:right w:val="none" w:sz="0" w:space="0" w:color="auto"/>
      </w:divBdr>
    </w:div>
    <w:div w:id="224724876">
      <w:marLeft w:val="0"/>
      <w:marRight w:val="0"/>
      <w:marTop w:val="180"/>
      <w:marBottom w:val="180"/>
      <w:divBdr>
        <w:top w:val="none" w:sz="0" w:space="0" w:color="auto"/>
        <w:left w:val="none" w:sz="0" w:space="0" w:color="auto"/>
        <w:bottom w:val="none" w:sz="0" w:space="0" w:color="auto"/>
        <w:right w:val="none" w:sz="0" w:space="0" w:color="auto"/>
      </w:divBdr>
    </w:div>
    <w:div w:id="226576110">
      <w:marLeft w:val="0"/>
      <w:marRight w:val="0"/>
      <w:marTop w:val="0"/>
      <w:marBottom w:val="0"/>
      <w:divBdr>
        <w:top w:val="none" w:sz="0" w:space="0" w:color="auto"/>
        <w:left w:val="none" w:sz="0" w:space="0" w:color="auto"/>
        <w:bottom w:val="none" w:sz="0" w:space="0" w:color="auto"/>
        <w:right w:val="none" w:sz="0" w:space="0" w:color="auto"/>
      </w:divBdr>
    </w:div>
    <w:div w:id="229003402">
      <w:marLeft w:val="0"/>
      <w:marRight w:val="0"/>
      <w:marTop w:val="180"/>
      <w:marBottom w:val="180"/>
      <w:divBdr>
        <w:top w:val="none" w:sz="0" w:space="0" w:color="auto"/>
        <w:left w:val="none" w:sz="0" w:space="0" w:color="auto"/>
        <w:bottom w:val="none" w:sz="0" w:space="0" w:color="auto"/>
        <w:right w:val="none" w:sz="0" w:space="0" w:color="auto"/>
      </w:divBdr>
    </w:div>
    <w:div w:id="230316688">
      <w:marLeft w:val="0"/>
      <w:marRight w:val="0"/>
      <w:marTop w:val="100"/>
      <w:marBottom w:val="60"/>
      <w:divBdr>
        <w:top w:val="none" w:sz="0" w:space="0" w:color="auto"/>
        <w:left w:val="none" w:sz="0" w:space="0" w:color="auto"/>
        <w:bottom w:val="none" w:sz="0" w:space="0" w:color="auto"/>
        <w:right w:val="none" w:sz="0" w:space="0" w:color="auto"/>
      </w:divBdr>
      <w:divsChild>
        <w:div w:id="1381393354">
          <w:marLeft w:val="0"/>
          <w:marRight w:val="0"/>
          <w:marTop w:val="0"/>
          <w:marBottom w:val="0"/>
          <w:divBdr>
            <w:top w:val="none" w:sz="0" w:space="0" w:color="auto"/>
            <w:left w:val="none" w:sz="0" w:space="0" w:color="auto"/>
            <w:bottom w:val="none" w:sz="0" w:space="0" w:color="auto"/>
            <w:right w:val="none" w:sz="0" w:space="0" w:color="auto"/>
          </w:divBdr>
        </w:div>
        <w:div w:id="1694183816">
          <w:marLeft w:val="0"/>
          <w:marRight w:val="0"/>
          <w:marTop w:val="0"/>
          <w:marBottom w:val="0"/>
          <w:divBdr>
            <w:top w:val="none" w:sz="0" w:space="0" w:color="auto"/>
            <w:left w:val="none" w:sz="0" w:space="0" w:color="auto"/>
            <w:bottom w:val="none" w:sz="0" w:space="0" w:color="auto"/>
            <w:right w:val="none" w:sz="0" w:space="0" w:color="auto"/>
          </w:divBdr>
        </w:div>
        <w:div w:id="1269771990">
          <w:marLeft w:val="0"/>
          <w:marRight w:val="0"/>
          <w:marTop w:val="0"/>
          <w:marBottom w:val="0"/>
          <w:divBdr>
            <w:top w:val="none" w:sz="0" w:space="0" w:color="auto"/>
            <w:left w:val="none" w:sz="0" w:space="0" w:color="auto"/>
            <w:bottom w:val="none" w:sz="0" w:space="0" w:color="auto"/>
            <w:right w:val="none" w:sz="0" w:space="0" w:color="auto"/>
          </w:divBdr>
        </w:div>
        <w:div w:id="1783694146">
          <w:marLeft w:val="0"/>
          <w:marRight w:val="0"/>
          <w:marTop w:val="0"/>
          <w:marBottom w:val="0"/>
          <w:divBdr>
            <w:top w:val="none" w:sz="0" w:space="0" w:color="auto"/>
            <w:left w:val="none" w:sz="0" w:space="0" w:color="auto"/>
            <w:bottom w:val="none" w:sz="0" w:space="0" w:color="auto"/>
            <w:right w:val="none" w:sz="0" w:space="0" w:color="auto"/>
          </w:divBdr>
        </w:div>
        <w:div w:id="186993494">
          <w:marLeft w:val="0"/>
          <w:marRight w:val="0"/>
          <w:marTop w:val="0"/>
          <w:marBottom w:val="0"/>
          <w:divBdr>
            <w:top w:val="none" w:sz="0" w:space="0" w:color="auto"/>
            <w:left w:val="none" w:sz="0" w:space="0" w:color="auto"/>
            <w:bottom w:val="none" w:sz="0" w:space="0" w:color="auto"/>
            <w:right w:val="none" w:sz="0" w:space="0" w:color="auto"/>
          </w:divBdr>
        </w:div>
        <w:div w:id="808327669">
          <w:marLeft w:val="0"/>
          <w:marRight w:val="0"/>
          <w:marTop w:val="0"/>
          <w:marBottom w:val="0"/>
          <w:divBdr>
            <w:top w:val="none" w:sz="0" w:space="0" w:color="auto"/>
            <w:left w:val="none" w:sz="0" w:space="0" w:color="auto"/>
            <w:bottom w:val="none" w:sz="0" w:space="0" w:color="auto"/>
            <w:right w:val="none" w:sz="0" w:space="0" w:color="auto"/>
          </w:divBdr>
        </w:div>
        <w:div w:id="1742631181">
          <w:marLeft w:val="0"/>
          <w:marRight w:val="0"/>
          <w:marTop w:val="0"/>
          <w:marBottom w:val="0"/>
          <w:divBdr>
            <w:top w:val="none" w:sz="0" w:space="0" w:color="auto"/>
            <w:left w:val="none" w:sz="0" w:space="0" w:color="auto"/>
            <w:bottom w:val="none" w:sz="0" w:space="0" w:color="auto"/>
            <w:right w:val="none" w:sz="0" w:space="0" w:color="auto"/>
          </w:divBdr>
        </w:div>
        <w:div w:id="854808751">
          <w:marLeft w:val="0"/>
          <w:marRight w:val="0"/>
          <w:marTop w:val="0"/>
          <w:marBottom w:val="0"/>
          <w:divBdr>
            <w:top w:val="none" w:sz="0" w:space="0" w:color="auto"/>
            <w:left w:val="none" w:sz="0" w:space="0" w:color="auto"/>
            <w:bottom w:val="none" w:sz="0" w:space="0" w:color="auto"/>
            <w:right w:val="none" w:sz="0" w:space="0" w:color="auto"/>
          </w:divBdr>
        </w:div>
      </w:divsChild>
    </w:div>
    <w:div w:id="232207230">
      <w:marLeft w:val="0"/>
      <w:marRight w:val="0"/>
      <w:marTop w:val="180"/>
      <w:marBottom w:val="180"/>
      <w:divBdr>
        <w:top w:val="none" w:sz="0" w:space="0" w:color="auto"/>
        <w:left w:val="none" w:sz="0" w:space="0" w:color="auto"/>
        <w:bottom w:val="none" w:sz="0" w:space="0" w:color="auto"/>
        <w:right w:val="none" w:sz="0" w:space="0" w:color="auto"/>
      </w:divBdr>
    </w:div>
    <w:div w:id="232278657">
      <w:marLeft w:val="0"/>
      <w:marRight w:val="0"/>
      <w:marTop w:val="60"/>
      <w:marBottom w:val="60"/>
      <w:divBdr>
        <w:top w:val="none" w:sz="0" w:space="0" w:color="auto"/>
        <w:left w:val="none" w:sz="0" w:space="0" w:color="auto"/>
        <w:bottom w:val="none" w:sz="0" w:space="0" w:color="auto"/>
        <w:right w:val="none" w:sz="0" w:space="0" w:color="auto"/>
      </w:divBdr>
    </w:div>
    <w:div w:id="233862188">
      <w:marLeft w:val="0"/>
      <w:marRight w:val="0"/>
      <w:marTop w:val="60"/>
      <w:marBottom w:val="60"/>
      <w:divBdr>
        <w:top w:val="none" w:sz="0" w:space="0" w:color="auto"/>
        <w:left w:val="none" w:sz="0" w:space="0" w:color="auto"/>
        <w:bottom w:val="none" w:sz="0" w:space="0" w:color="auto"/>
        <w:right w:val="none" w:sz="0" w:space="0" w:color="auto"/>
      </w:divBdr>
    </w:div>
    <w:div w:id="237055902">
      <w:marLeft w:val="0"/>
      <w:marRight w:val="0"/>
      <w:marTop w:val="0"/>
      <w:marBottom w:val="0"/>
      <w:divBdr>
        <w:top w:val="none" w:sz="0" w:space="0" w:color="auto"/>
        <w:left w:val="none" w:sz="0" w:space="0" w:color="auto"/>
        <w:bottom w:val="none" w:sz="0" w:space="0" w:color="auto"/>
        <w:right w:val="none" w:sz="0" w:space="0" w:color="auto"/>
      </w:divBdr>
      <w:divsChild>
        <w:div w:id="1392341721">
          <w:marLeft w:val="0"/>
          <w:marRight w:val="0"/>
          <w:marTop w:val="0"/>
          <w:marBottom w:val="0"/>
          <w:divBdr>
            <w:top w:val="none" w:sz="0" w:space="0" w:color="auto"/>
            <w:left w:val="none" w:sz="0" w:space="0" w:color="auto"/>
            <w:bottom w:val="none" w:sz="0" w:space="0" w:color="auto"/>
            <w:right w:val="none" w:sz="0" w:space="0" w:color="auto"/>
          </w:divBdr>
          <w:divsChild>
            <w:div w:id="5495414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2302180">
      <w:marLeft w:val="0"/>
      <w:marRight w:val="0"/>
      <w:marTop w:val="180"/>
      <w:marBottom w:val="180"/>
      <w:divBdr>
        <w:top w:val="none" w:sz="0" w:space="0" w:color="auto"/>
        <w:left w:val="none" w:sz="0" w:space="0" w:color="auto"/>
        <w:bottom w:val="none" w:sz="0" w:space="0" w:color="auto"/>
        <w:right w:val="none" w:sz="0" w:space="0" w:color="auto"/>
      </w:divBdr>
    </w:div>
    <w:div w:id="243999127">
      <w:marLeft w:val="0"/>
      <w:marRight w:val="0"/>
      <w:marTop w:val="60"/>
      <w:marBottom w:val="60"/>
      <w:divBdr>
        <w:top w:val="none" w:sz="0" w:space="0" w:color="auto"/>
        <w:left w:val="none" w:sz="0" w:space="0" w:color="auto"/>
        <w:bottom w:val="none" w:sz="0" w:space="0" w:color="auto"/>
        <w:right w:val="none" w:sz="0" w:space="0" w:color="auto"/>
      </w:divBdr>
    </w:div>
    <w:div w:id="246115347">
      <w:marLeft w:val="0"/>
      <w:marRight w:val="0"/>
      <w:marTop w:val="100"/>
      <w:marBottom w:val="100"/>
      <w:divBdr>
        <w:top w:val="none" w:sz="0" w:space="0" w:color="auto"/>
        <w:left w:val="none" w:sz="0" w:space="0" w:color="auto"/>
        <w:bottom w:val="none" w:sz="0" w:space="0" w:color="auto"/>
        <w:right w:val="none" w:sz="0" w:space="0" w:color="auto"/>
      </w:divBdr>
      <w:divsChild>
        <w:div w:id="490676187">
          <w:marLeft w:val="0"/>
          <w:marRight w:val="0"/>
          <w:marTop w:val="0"/>
          <w:marBottom w:val="0"/>
          <w:divBdr>
            <w:top w:val="none" w:sz="0" w:space="0" w:color="auto"/>
            <w:left w:val="none" w:sz="0" w:space="0" w:color="auto"/>
            <w:bottom w:val="none" w:sz="0" w:space="0" w:color="auto"/>
            <w:right w:val="none" w:sz="0" w:space="0" w:color="auto"/>
          </w:divBdr>
        </w:div>
        <w:div w:id="568077007">
          <w:marLeft w:val="0"/>
          <w:marRight w:val="0"/>
          <w:marTop w:val="0"/>
          <w:marBottom w:val="0"/>
          <w:divBdr>
            <w:top w:val="none" w:sz="0" w:space="0" w:color="auto"/>
            <w:left w:val="none" w:sz="0" w:space="0" w:color="auto"/>
            <w:bottom w:val="none" w:sz="0" w:space="0" w:color="auto"/>
            <w:right w:val="none" w:sz="0" w:space="0" w:color="auto"/>
          </w:divBdr>
        </w:div>
        <w:div w:id="1428886424">
          <w:marLeft w:val="0"/>
          <w:marRight w:val="0"/>
          <w:marTop w:val="0"/>
          <w:marBottom w:val="0"/>
          <w:divBdr>
            <w:top w:val="none" w:sz="0" w:space="0" w:color="auto"/>
            <w:left w:val="none" w:sz="0" w:space="0" w:color="auto"/>
            <w:bottom w:val="none" w:sz="0" w:space="0" w:color="auto"/>
            <w:right w:val="none" w:sz="0" w:space="0" w:color="auto"/>
          </w:divBdr>
        </w:div>
        <w:div w:id="1078019574">
          <w:marLeft w:val="0"/>
          <w:marRight w:val="0"/>
          <w:marTop w:val="0"/>
          <w:marBottom w:val="0"/>
          <w:divBdr>
            <w:top w:val="none" w:sz="0" w:space="0" w:color="auto"/>
            <w:left w:val="none" w:sz="0" w:space="0" w:color="auto"/>
            <w:bottom w:val="none" w:sz="0" w:space="0" w:color="auto"/>
            <w:right w:val="none" w:sz="0" w:space="0" w:color="auto"/>
          </w:divBdr>
        </w:div>
        <w:div w:id="429593917">
          <w:marLeft w:val="0"/>
          <w:marRight w:val="0"/>
          <w:marTop w:val="0"/>
          <w:marBottom w:val="0"/>
          <w:divBdr>
            <w:top w:val="none" w:sz="0" w:space="0" w:color="auto"/>
            <w:left w:val="none" w:sz="0" w:space="0" w:color="auto"/>
            <w:bottom w:val="none" w:sz="0" w:space="0" w:color="auto"/>
            <w:right w:val="none" w:sz="0" w:space="0" w:color="auto"/>
          </w:divBdr>
        </w:div>
        <w:div w:id="1716470132">
          <w:marLeft w:val="0"/>
          <w:marRight w:val="0"/>
          <w:marTop w:val="0"/>
          <w:marBottom w:val="0"/>
          <w:divBdr>
            <w:top w:val="none" w:sz="0" w:space="0" w:color="auto"/>
            <w:left w:val="none" w:sz="0" w:space="0" w:color="auto"/>
            <w:bottom w:val="none" w:sz="0" w:space="0" w:color="auto"/>
            <w:right w:val="none" w:sz="0" w:space="0" w:color="auto"/>
          </w:divBdr>
        </w:div>
        <w:div w:id="521895428">
          <w:marLeft w:val="0"/>
          <w:marRight w:val="0"/>
          <w:marTop w:val="0"/>
          <w:marBottom w:val="0"/>
          <w:divBdr>
            <w:top w:val="none" w:sz="0" w:space="0" w:color="auto"/>
            <w:left w:val="none" w:sz="0" w:space="0" w:color="auto"/>
            <w:bottom w:val="none" w:sz="0" w:space="0" w:color="auto"/>
            <w:right w:val="none" w:sz="0" w:space="0" w:color="auto"/>
          </w:divBdr>
        </w:div>
      </w:divsChild>
    </w:div>
    <w:div w:id="249197465">
      <w:marLeft w:val="0"/>
      <w:marRight w:val="0"/>
      <w:marTop w:val="60"/>
      <w:marBottom w:val="60"/>
      <w:divBdr>
        <w:top w:val="none" w:sz="0" w:space="0" w:color="auto"/>
        <w:left w:val="none" w:sz="0" w:space="0" w:color="auto"/>
        <w:bottom w:val="none" w:sz="0" w:space="0" w:color="auto"/>
        <w:right w:val="none" w:sz="0" w:space="0" w:color="auto"/>
      </w:divBdr>
    </w:div>
    <w:div w:id="250546814">
      <w:marLeft w:val="0"/>
      <w:marRight w:val="0"/>
      <w:marTop w:val="180"/>
      <w:marBottom w:val="180"/>
      <w:divBdr>
        <w:top w:val="none" w:sz="0" w:space="0" w:color="auto"/>
        <w:left w:val="none" w:sz="0" w:space="0" w:color="auto"/>
        <w:bottom w:val="none" w:sz="0" w:space="0" w:color="auto"/>
        <w:right w:val="none" w:sz="0" w:space="0" w:color="auto"/>
      </w:divBdr>
    </w:div>
    <w:div w:id="250627799">
      <w:marLeft w:val="0"/>
      <w:marRight w:val="0"/>
      <w:marTop w:val="0"/>
      <w:marBottom w:val="0"/>
      <w:divBdr>
        <w:top w:val="none" w:sz="0" w:space="0" w:color="auto"/>
        <w:left w:val="none" w:sz="0" w:space="0" w:color="auto"/>
        <w:bottom w:val="none" w:sz="0" w:space="0" w:color="auto"/>
        <w:right w:val="none" w:sz="0" w:space="0" w:color="auto"/>
      </w:divBdr>
    </w:div>
    <w:div w:id="251164313">
      <w:marLeft w:val="0"/>
      <w:marRight w:val="0"/>
      <w:marTop w:val="180"/>
      <w:marBottom w:val="0"/>
      <w:divBdr>
        <w:top w:val="none" w:sz="0" w:space="0" w:color="auto"/>
        <w:left w:val="none" w:sz="0" w:space="0" w:color="auto"/>
        <w:bottom w:val="none" w:sz="0" w:space="0" w:color="auto"/>
        <w:right w:val="none" w:sz="0" w:space="0" w:color="auto"/>
      </w:divBdr>
    </w:div>
    <w:div w:id="251935526">
      <w:marLeft w:val="0"/>
      <w:marRight w:val="0"/>
      <w:marTop w:val="180"/>
      <w:marBottom w:val="180"/>
      <w:divBdr>
        <w:top w:val="none" w:sz="0" w:space="0" w:color="auto"/>
        <w:left w:val="none" w:sz="0" w:space="0" w:color="auto"/>
        <w:bottom w:val="none" w:sz="0" w:space="0" w:color="auto"/>
        <w:right w:val="none" w:sz="0" w:space="0" w:color="auto"/>
      </w:divBdr>
    </w:div>
    <w:div w:id="252788304">
      <w:marLeft w:val="0"/>
      <w:marRight w:val="0"/>
      <w:marTop w:val="0"/>
      <w:marBottom w:val="0"/>
      <w:divBdr>
        <w:top w:val="none" w:sz="0" w:space="0" w:color="auto"/>
        <w:left w:val="none" w:sz="0" w:space="0" w:color="auto"/>
        <w:bottom w:val="none" w:sz="0" w:space="0" w:color="auto"/>
        <w:right w:val="none" w:sz="0" w:space="0" w:color="auto"/>
      </w:divBdr>
      <w:divsChild>
        <w:div w:id="999575568">
          <w:marLeft w:val="0"/>
          <w:marRight w:val="0"/>
          <w:marTop w:val="180"/>
          <w:marBottom w:val="180"/>
          <w:divBdr>
            <w:top w:val="none" w:sz="0" w:space="0" w:color="auto"/>
            <w:left w:val="none" w:sz="0" w:space="0" w:color="auto"/>
            <w:bottom w:val="none" w:sz="0" w:space="0" w:color="auto"/>
            <w:right w:val="none" w:sz="0" w:space="0" w:color="auto"/>
          </w:divBdr>
        </w:div>
      </w:divsChild>
    </w:div>
    <w:div w:id="255485108">
      <w:marLeft w:val="0"/>
      <w:marRight w:val="0"/>
      <w:marTop w:val="180"/>
      <w:marBottom w:val="180"/>
      <w:divBdr>
        <w:top w:val="none" w:sz="0" w:space="0" w:color="auto"/>
        <w:left w:val="none" w:sz="0" w:space="0" w:color="auto"/>
        <w:bottom w:val="none" w:sz="0" w:space="0" w:color="auto"/>
        <w:right w:val="none" w:sz="0" w:space="0" w:color="auto"/>
      </w:divBdr>
    </w:div>
    <w:div w:id="258219769">
      <w:marLeft w:val="0"/>
      <w:marRight w:val="0"/>
      <w:marTop w:val="100"/>
      <w:marBottom w:val="100"/>
      <w:divBdr>
        <w:top w:val="none" w:sz="0" w:space="0" w:color="auto"/>
        <w:left w:val="none" w:sz="0" w:space="0" w:color="auto"/>
        <w:bottom w:val="none" w:sz="0" w:space="0" w:color="auto"/>
        <w:right w:val="none" w:sz="0" w:space="0" w:color="auto"/>
      </w:divBdr>
      <w:divsChild>
        <w:div w:id="333338232">
          <w:marLeft w:val="0"/>
          <w:marRight w:val="0"/>
          <w:marTop w:val="0"/>
          <w:marBottom w:val="0"/>
          <w:divBdr>
            <w:top w:val="none" w:sz="0" w:space="0" w:color="auto"/>
            <w:left w:val="none" w:sz="0" w:space="0" w:color="auto"/>
            <w:bottom w:val="none" w:sz="0" w:space="0" w:color="auto"/>
            <w:right w:val="none" w:sz="0" w:space="0" w:color="auto"/>
          </w:divBdr>
        </w:div>
      </w:divsChild>
    </w:div>
    <w:div w:id="261453233">
      <w:marLeft w:val="0"/>
      <w:marRight w:val="0"/>
      <w:marTop w:val="100"/>
      <w:marBottom w:val="100"/>
      <w:divBdr>
        <w:top w:val="none" w:sz="0" w:space="0" w:color="auto"/>
        <w:left w:val="none" w:sz="0" w:space="0" w:color="auto"/>
        <w:bottom w:val="none" w:sz="0" w:space="0" w:color="auto"/>
        <w:right w:val="none" w:sz="0" w:space="0" w:color="auto"/>
      </w:divBdr>
    </w:div>
    <w:div w:id="264575863">
      <w:marLeft w:val="0"/>
      <w:marRight w:val="0"/>
      <w:marTop w:val="0"/>
      <w:marBottom w:val="0"/>
      <w:divBdr>
        <w:top w:val="none" w:sz="0" w:space="0" w:color="auto"/>
        <w:left w:val="none" w:sz="0" w:space="0" w:color="auto"/>
        <w:bottom w:val="none" w:sz="0" w:space="0" w:color="auto"/>
        <w:right w:val="none" w:sz="0" w:space="0" w:color="auto"/>
      </w:divBdr>
    </w:div>
    <w:div w:id="267471460">
      <w:marLeft w:val="0"/>
      <w:marRight w:val="0"/>
      <w:marTop w:val="180"/>
      <w:marBottom w:val="180"/>
      <w:divBdr>
        <w:top w:val="none" w:sz="0" w:space="0" w:color="auto"/>
        <w:left w:val="none" w:sz="0" w:space="0" w:color="auto"/>
        <w:bottom w:val="none" w:sz="0" w:space="0" w:color="auto"/>
        <w:right w:val="none" w:sz="0" w:space="0" w:color="auto"/>
      </w:divBdr>
    </w:div>
    <w:div w:id="267785217">
      <w:marLeft w:val="0"/>
      <w:marRight w:val="0"/>
      <w:marTop w:val="0"/>
      <w:marBottom w:val="0"/>
      <w:divBdr>
        <w:top w:val="none" w:sz="0" w:space="0" w:color="auto"/>
        <w:left w:val="none" w:sz="0" w:space="0" w:color="auto"/>
        <w:bottom w:val="none" w:sz="0" w:space="0" w:color="auto"/>
        <w:right w:val="none" w:sz="0" w:space="0" w:color="auto"/>
      </w:divBdr>
      <w:divsChild>
        <w:div w:id="935595326">
          <w:marLeft w:val="0"/>
          <w:marRight w:val="0"/>
          <w:marTop w:val="0"/>
          <w:marBottom w:val="0"/>
          <w:divBdr>
            <w:top w:val="none" w:sz="0" w:space="0" w:color="auto"/>
            <w:left w:val="none" w:sz="0" w:space="0" w:color="auto"/>
            <w:bottom w:val="none" w:sz="0" w:space="0" w:color="auto"/>
            <w:right w:val="none" w:sz="0" w:space="0" w:color="auto"/>
          </w:divBdr>
          <w:divsChild>
            <w:div w:id="18523782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8318834">
      <w:marLeft w:val="0"/>
      <w:marRight w:val="0"/>
      <w:marTop w:val="100"/>
      <w:marBottom w:val="100"/>
      <w:divBdr>
        <w:top w:val="none" w:sz="0" w:space="0" w:color="auto"/>
        <w:left w:val="none" w:sz="0" w:space="0" w:color="auto"/>
        <w:bottom w:val="none" w:sz="0" w:space="0" w:color="auto"/>
        <w:right w:val="none" w:sz="0" w:space="0" w:color="auto"/>
      </w:divBdr>
      <w:divsChild>
        <w:div w:id="437258705">
          <w:marLeft w:val="0"/>
          <w:marRight w:val="0"/>
          <w:marTop w:val="0"/>
          <w:marBottom w:val="0"/>
          <w:divBdr>
            <w:top w:val="none" w:sz="0" w:space="0" w:color="auto"/>
            <w:left w:val="none" w:sz="0" w:space="0" w:color="auto"/>
            <w:bottom w:val="none" w:sz="0" w:space="0" w:color="auto"/>
            <w:right w:val="none" w:sz="0" w:space="0" w:color="auto"/>
          </w:divBdr>
        </w:div>
      </w:divsChild>
    </w:div>
    <w:div w:id="271401825">
      <w:marLeft w:val="0"/>
      <w:marRight w:val="0"/>
      <w:marTop w:val="180"/>
      <w:marBottom w:val="180"/>
      <w:divBdr>
        <w:top w:val="none" w:sz="0" w:space="0" w:color="auto"/>
        <w:left w:val="none" w:sz="0" w:space="0" w:color="auto"/>
        <w:bottom w:val="none" w:sz="0" w:space="0" w:color="auto"/>
        <w:right w:val="none" w:sz="0" w:space="0" w:color="auto"/>
      </w:divBdr>
    </w:div>
    <w:div w:id="273905288">
      <w:marLeft w:val="0"/>
      <w:marRight w:val="0"/>
      <w:marTop w:val="60"/>
      <w:marBottom w:val="60"/>
      <w:divBdr>
        <w:top w:val="none" w:sz="0" w:space="0" w:color="auto"/>
        <w:left w:val="none" w:sz="0" w:space="0" w:color="auto"/>
        <w:bottom w:val="none" w:sz="0" w:space="0" w:color="auto"/>
        <w:right w:val="none" w:sz="0" w:space="0" w:color="auto"/>
      </w:divBdr>
      <w:divsChild>
        <w:div w:id="1329135780">
          <w:marLeft w:val="0"/>
          <w:marRight w:val="0"/>
          <w:marTop w:val="0"/>
          <w:marBottom w:val="0"/>
          <w:divBdr>
            <w:top w:val="none" w:sz="0" w:space="0" w:color="auto"/>
            <w:left w:val="none" w:sz="0" w:space="0" w:color="auto"/>
            <w:bottom w:val="none" w:sz="0" w:space="0" w:color="auto"/>
            <w:right w:val="none" w:sz="0" w:space="0" w:color="auto"/>
          </w:divBdr>
        </w:div>
        <w:div w:id="200367716">
          <w:marLeft w:val="0"/>
          <w:marRight w:val="0"/>
          <w:marTop w:val="0"/>
          <w:marBottom w:val="0"/>
          <w:divBdr>
            <w:top w:val="none" w:sz="0" w:space="0" w:color="auto"/>
            <w:left w:val="none" w:sz="0" w:space="0" w:color="auto"/>
            <w:bottom w:val="none" w:sz="0" w:space="0" w:color="auto"/>
            <w:right w:val="none" w:sz="0" w:space="0" w:color="auto"/>
          </w:divBdr>
        </w:div>
        <w:div w:id="1403680301">
          <w:marLeft w:val="0"/>
          <w:marRight w:val="0"/>
          <w:marTop w:val="0"/>
          <w:marBottom w:val="0"/>
          <w:divBdr>
            <w:top w:val="none" w:sz="0" w:space="0" w:color="auto"/>
            <w:left w:val="none" w:sz="0" w:space="0" w:color="auto"/>
            <w:bottom w:val="none" w:sz="0" w:space="0" w:color="auto"/>
            <w:right w:val="none" w:sz="0" w:space="0" w:color="auto"/>
          </w:divBdr>
        </w:div>
      </w:divsChild>
    </w:div>
    <w:div w:id="274017755">
      <w:marLeft w:val="0"/>
      <w:marRight w:val="0"/>
      <w:marTop w:val="0"/>
      <w:marBottom w:val="0"/>
      <w:divBdr>
        <w:top w:val="none" w:sz="0" w:space="0" w:color="auto"/>
        <w:left w:val="none" w:sz="0" w:space="0" w:color="auto"/>
        <w:bottom w:val="none" w:sz="0" w:space="0" w:color="auto"/>
        <w:right w:val="none" w:sz="0" w:space="0" w:color="auto"/>
      </w:divBdr>
      <w:divsChild>
        <w:div w:id="768475957">
          <w:marLeft w:val="0"/>
          <w:marRight w:val="0"/>
          <w:marTop w:val="0"/>
          <w:marBottom w:val="0"/>
          <w:divBdr>
            <w:top w:val="none" w:sz="0" w:space="0" w:color="auto"/>
            <w:left w:val="none" w:sz="0" w:space="0" w:color="auto"/>
            <w:bottom w:val="none" w:sz="0" w:space="0" w:color="auto"/>
            <w:right w:val="none" w:sz="0" w:space="0" w:color="auto"/>
          </w:divBdr>
          <w:divsChild>
            <w:div w:id="11511680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5868702">
      <w:marLeft w:val="0"/>
      <w:marRight w:val="0"/>
      <w:marTop w:val="0"/>
      <w:marBottom w:val="0"/>
      <w:divBdr>
        <w:top w:val="none" w:sz="0" w:space="0" w:color="auto"/>
        <w:left w:val="none" w:sz="0" w:space="0" w:color="auto"/>
        <w:bottom w:val="none" w:sz="0" w:space="0" w:color="auto"/>
        <w:right w:val="none" w:sz="0" w:space="0" w:color="auto"/>
      </w:divBdr>
    </w:div>
    <w:div w:id="276184174">
      <w:marLeft w:val="0"/>
      <w:marRight w:val="0"/>
      <w:marTop w:val="180"/>
      <w:marBottom w:val="180"/>
      <w:divBdr>
        <w:top w:val="none" w:sz="0" w:space="0" w:color="auto"/>
        <w:left w:val="none" w:sz="0" w:space="0" w:color="auto"/>
        <w:bottom w:val="none" w:sz="0" w:space="0" w:color="auto"/>
        <w:right w:val="none" w:sz="0" w:space="0" w:color="auto"/>
      </w:divBdr>
    </w:div>
    <w:div w:id="277218755">
      <w:marLeft w:val="0"/>
      <w:marRight w:val="0"/>
      <w:marTop w:val="180"/>
      <w:marBottom w:val="180"/>
      <w:divBdr>
        <w:top w:val="none" w:sz="0" w:space="0" w:color="auto"/>
        <w:left w:val="none" w:sz="0" w:space="0" w:color="auto"/>
        <w:bottom w:val="none" w:sz="0" w:space="0" w:color="auto"/>
        <w:right w:val="none" w:sz="0" w:space="0" w:color="auto"/>
      </w:divBdr>
    </w:div>
    <w:div w:id="278414173">
      <w:marLeft w:val="0"/>
      <w:marRight w:val="0"/>
      <w:marTop w:val="60"/>
      <w:marBottom w:val="60"/>
      <w:divBdr>
        <w:top w:val="none" w:sz="0" w:space="0" w:color="auto"/>
        <w:left w:val="none" w:sz="0" w:space="0" w:color="auto"/>
        <w:bottom w:val="none" w:sz="0" w:space="0" w:color="auto"/>
        <w:right w:val="none" w:sz="0" w:space="0" w:color="auto"/>
      </w:divBdr>
    </w:div>
    <w:div w:id="278952850">
      <w:marLeft w:val="0"/>
      <w:marRight w:val="0"/>
      <w:marTop w:val="180"/>
      <w:marBottom w:val="180"/>
      <w:divBdr>
        <w:top w:val="none" w:sz="0" w:space="0" w:color="auto"/>
        <w:left w:val="none" w:sz="0" w:space="0" w:color="auto"/>
        <w:bottom w:val="none" w:sz="0" w:space="0" w:color="auto"/>
        <w:right w:val="none" w:sz="0" w:space="0" w:color="auto"/>
      </w:divBdr>
    </w:div>
    <w:div w:id="285090629">
      <w:marLeft w:val="0"/>
      <w:marRight w:val="0"/>
      <w:marTop w:val="180"/>
      <w:marBottom w:val="180"/>
      <w:divBdr>
        <w:top w:val="none" w:sz="0" w:space="0" w:color="auto"/>
        <w:left w:val="none" w:sz="0" w:space="0" w:color="auto"/>
        <w:bottom w:val="none" w:sz="0" w:space="0" w:color="auto"/>
        <w:right w:val="none" w:sz="0" w:space="0" w:color="auto"/>
      </w:divBdr>
    </w:div>
    <w:div w:id="291794096">
      <w:marLeft w:val="0"/>
      <w:marRight w:val="0"/>
      <w:marTop w:val="60"/>
      <w:marBottom w:val="60"/>
      <w:divBdr>
        <w:top w:val="none" w:sz="0" w:space="0" w:color="auto"/>
        <w:left w:val="none" w:sz="0" w:space="0" w:color="auto"/>
        <w:bottom w:val="none" w:sz="0" w:space="0" w:color="auto"/>
        <w:right w:val="none" w:sz="0" w:space="0" w:color="auto"/>
      </w:divBdr>
    </w:div>
    <w:div w:id="292490406">
      <w:marLeft w:val="0"/>
      <w:marRight w:val="0"/>
      <w:marTop w:val="100"/>
      <w:marBottom w:val="100"/>
      <w:divBdr>
        <w:top w:val="none" w:sz="0" w:space="0" w:color="auto"/>
        <w:left w:val="none" w:sz="0" w:space="0" w:color="auto"/>
        <w:bottom w:val="none" w:sz="0" w:space="0" w:color="auto"/>
        <w:right w:val="none" w:sz="0" w:space="0" w:color="auto"/>
      </w:divBdr>
      <w:divsChild>
        <w:div w:id="1835100326">
          <w:marLeft w:val="0"/>
          <w:marRight w:val="0"/>
          <w:marTop w:val="0"/>
          <w:marBottom w:val="0"/>
          <w:divBdr>
            <w:top w:val="none" w:sz="0" w:space="0" w:color="auto"/>
            <w:left w:val="none" w:sz="0" w:space="0" w:color="auto"/>
            <w:bottom w:val="none" w:sz="0" w:space="0" w:color="auto"/>
            <w:right w:val="none" w:sz="0" w:space="0" w:color="auto"/>
          </w:divBdr>
        </w:div>
        <w:div w:id="1617640896">
          <w:marLeft w:val="0"/>
          <w:marRight w:val="0"/>
          <w:marTop w:val="0"/>
          <w:marBottom w:val="0"/>
          <w:divBdr>
            <w:top w:val="none" w:sz="0" w:space="0" w:color="auto"/>
            <w:left w:val="none" w:sz="0" w:space="0" w:color="auto"/>
            <w:bottom w:val="none" w:sz="0" w:space="0" w:color="auto"/>
            <w:right w:val="none" w:sz="0" w:space="0" w:color="auto"/>
          </w:divBdr>
        </w:div>
        <w:div w:id="71775935">
          <w:marLeft w:val="0"/>
          <w:marRight w:val="0"/>
          <w:marTop w:val="0"/>
          <w:marBottom w:val="0"/>
          <w:divBdr>
            <w:top w:val="none" w:sz="0" w:space="0" w:color="auto"/>
            <w:left w:val="none" w:sz="0" w:space="0" w:color="auto"/>
            <w:bottom w:val="none" w:sz="0" w:space="0" w:color="auto"/>
            <w:right w:val="none" w:sz="0" w:space="0" w:color="auto"/>
          </w:divBdr>
        </w:div>
      </w:divsChild>
    </w:div>
    <w:div w:id="293562528">
      <w:marLeft w:val="0"/>
      <w:marRight w:val="0"/>
      <w:marTop w:val="0"/>
      <w:marBottom w:val="0"/>
      <w:divBdr>
        <w:top w:val="none" w:sz="0" w:space="0" w:color="auto"/>
        <w:left w:val="none" w:sz="0" w:space="0" w:color="auto"/>
        <w:bottom w:val="none" w:sz="0" w:space="0" w:color="auto"/>
        <w:right w:val="none" w:sz="0" w:space="0" w:color="auto"/>
      </w:divBdr>
      <w:divsChild>
        <w:div w:id="854540580">
          <w:marLeft w:val="0"/>
          <w:marRight w:val="0"/>
          <w:marTop w:val="0"/>
          <w:marBottom w:val="0"/>
          <w:divBdr>
            <w:top w:val="none" w:sz="0" w:space="0" w:color="auto"/>
            <w:left w:val="none" w:sz="0" w:space="0" w:color="auto"/>
            <w:bottom w:val="none" w:sz="0" w:space="0" w:color="auto"/>
            <w:right w:val="none" w:sz="0" w:space="0" w:color="auto"/>
          </w:divBdr>
          <w:divsChild>
            <w:div w:id="13747660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5530181">
      <w:marLeft w:val="0"/>
      <w:marRight w:val="0"/>
      <w:marTop w:val="180"/>
      <w:marBottom w:val="180"/>
      <w:divBdr>
        <w:top w:val="none" w:sz="0" w:space="0" w:color="auto"/>
        <w:left w:val="none" w:sz="0" w:space="0" w:color="auto"/>
        <w:bottom w:val="none" w:sz="0" w:space="0" w:color="auto"/>
        <w:right w:val="none" w:sz="0" w:space="0" w:color="auto"/>
      </w:divBdr>
    </w:div>
    <w:div w:id="297609434">
      <w:marLeft w:val="0"/>
      <w:marRight w:val="0"/>
      <w:marTop w:val="60"/>
      <w:marBottom w:val="60"/>
      <w:divBdr>
        <w:top w:val="none" w:sz="0" w:space="0" w:color="auto"/>
        <w:left w:val="none" w:sz="0" w:space="0" w:color="auto"/>
        <w:bottom w:val="none" w:sz="0" w:space="0" w:color="auto"/>
        <w:right w:val="none" w:sz="0" w:space="0" w:color="auto"/>
      </w:divBdr>
    </w:div>
    <w:div w:id="301883667">
      <w:marLeft w:val="0"/>
      <w:marRight w:val="0"/>
      <w:marTop w:val="180"/>
      <w:marBottom w:val="180"/>
      <w:divBdr>
        <w:top w:val="none" w:sz="0" w:space="0" w:color="auto"/>
        <w:left w:val="none" w:sz="0" w:space="0" w:color="auto"/>
        <w:bottom w:val="none" w:sz="0" w:space="0" w:color="auto"/>
        <w:right w:val="none" w:sz="0" w:space="0" w:color="auto"/>
      </w:divBdr>
    </w:div>
    <w:div w:id="302004273">
      <w:marLeft w:val="0"/>
      <w:marRight w:val="0"/>
      <w:marTop w:val="180"/>
      <w:marBottom w:val="180"/>
      <w:divBdr>
        <w:top w:val="none" w:sz="0" w:space="0" w:color="auto"/>
        <w:left w:val="none" w:sz="0" w:space="0" w:color="auto"/>
        <w:bottom w:val="none" w:sz="0" w:space="0" w:color="auto"/>
        <w:right w:val="none" w:sz="0" w:space="0" w:color="auto"/>
      </w:divBdr>
    </w:div>
    <w:div w:id="302083658">
      <w:marLeft w:val="0"/>
      <w:marRight w:val="0"/>
      <w:marTop w:val="180"/>
      <w:marBottom w:val="180"/>
      <w:divBdr>
        <w:top w:val="none" w:sz="0" w:space="0" w:color="auto"/>
        <w:left w:val="none" w:sz="0" w:space="0" w:color="auto"/>
        <w:bottom w:val="none" w:sz="0" w:space="0" w:color="auto"/>
        <w:right w:val="none" w:sz="0" w:space="0" w:color="auto"/>
      </w:divBdr>
    </w:div>
    <w:div w:id="302202362">
      <w:marLeft w:val="0"/>
      <w:marRight w:val="0"/>
      <w:marTop w:val="180"/>
      <w:marBottom w:val="180"/>
      <w:divBdr>
        <w:top w:val="none" w:sz="0" w:space="0" w:color="auto"/>
        <w:left w:val="none" w:sz="0" w:space="0" w:color="auto"/>
        <w:bottom w:val="none" w:sz="0" w:space="0" w:color="auto"/>
        <w:right w:val="none" w:sz="0" w:space="0" w:color="auto"/>
      </w:divBdr>
    </w:div>
    <w:div w:id="303118139">
      <w:marLeft w:val="0"/>
      <w:marRight w:val="0"/>
      <w:marTop w:val="60"/>
      <w:marBottom w:val="0"/>
      <w:divBdr>
        <w:top w:val="none" w:sz="0" w:space="0" w:color="auto"/>
        <w:left w:val="none" w:sz="0" w:space="0" w:color="auto"/>
        <w:bottom w:val="none" w:sz="0" w:space="0" w:color="auto"/>
        <w:right w:val="none" w:sz="0" w:space="0" w:color="auto"/>
      </w:divBdr>
    </w:div>
    <w:div w:id="303702658">
      <w:marLeft w:val="0"/>
      <w:marRight w:val="0"/>
      <w:marTop w:val="180"/>
      <w:marBottom w:val="180"/>
      <w:divBdr>
        <w:top w:val="none" w:sz="0" w:space="0" w:color="auto"/>
        <w:left w:val="none" w:sz="0" w:space="0" w:color="auto"/>
        <w:bottom w:val="none" w:sz="0" w:space="0" w:color="auto"/>
        <w:right w:val="none" w:sz="0" w:space="0" w:color="auto"/>
      </w:divBdr>
    </w:div>
    <w:div w:id="304049533">
      <w:marLeft w:val="0"/>
      <w:marRight w:val="0"/>
      <w:marTop w:val="60"/>
      <w:marBottom w:val="60"/>
      <w:divBdr>
        <w:top w:val="none" w:sz="0" w:space="0" w:color="auto"/>
        <w:left w:val="none" w:sz="0" w:space="0" w:color="auto"/>
        <w:bottom w:val="none" w:sz="0" w:space="0" w:color="auto"/>
        <w:right w:val="none" w:sz="0" w:space="0" w:color="auto"/>
      </w:divBdr>
    </w:div>
    <w:div w:id="308674914">
      <w:marLeft w:val="0"/>
      <w:marRight w:val="0"/>
      <w:marTop w:val="180"/>
      <w:marBottom w:val="60"/>
      <w:divBdr>
        <w:top w:val="none" w:sz="0" w:space="0" w:color="auto"/>
        <w:left w:val="none" w:sz="0" w:space="0" w:color="auto"/>
        <w:bottom w:val="none" w:sz="0" w:space="0" w:color="auto"/>
        <w:right w:val="none" w:sz="0" w:space="0" w:color="auto"/>
      </w:divBdr>
    </w:div>
    <w:div w:id="310061468">
      <w:marLeft w:val="0"/>
      <w:marRight w:val="0"/>
      <w:marTop w:val="180"/>
      <w:marBottom w:val="60"/>
      <w:divBdr>
        <w:top w:val="none" w:sz="0" w:space="0" w:color="auto"/>
        <w:left w:val="none" w:sz="0" w:space="0" w:color="auto"/>
        <w:bottom w:val="none" w:sz="0" w:space="0" w:color="auto"/>
        <w:right w:val="none" w:sz="0" w:space="0" w:color="auto"/>
      </w:divBdr>
    </w:div>
    <w:div w:id="313993688">
      <w:marLeft w:val="0"/>
      <w:marRight w:val="0"/>
      <w:marTop w:val="60"/>
      <w:marBottom w:val="60"/>
      <w:divBdr>
        <w:top w:val="none" w:sz="0" w:space="0" w:color="auto"/>
        <w:left w:val="none" w:sz="0" w:space="0" w:color="auto"/>
        <w:bottom w:val="none" w:sz="0" w:space="0" w:color="auto"/>
        <w:right w:val="none" w:sz="0" w:space="0" w:color="auto"/>
      </w:divBdr>
    </w:div>
    <w:div w:id="314145206">
      <w:marLeft w:val="0"/>
      <w:marRight w:val="0"/>
      <w:marTop w:val="100"/>
      <w:marBottom w:val="100"/>
      <w:divBdr>
        <w:top w:val="none" w:sz="0" w:space="0" w:color="auto"/>
        <w:left w:val="none" w:sz="0" w:space="0" w:color="auto"/>
        <w:bottom w:val="none" w:sz="0" w:space="0" w:color="auto"/>
        <w:right w:val="none" w:sz="0" w:space="0" w:color="auto"/>
      </w:divBdr>
      <w:divsChild>
        <w:div w:id="170340769">
          <w:marLeft w:val="0"/>
          <w:marRight w:val="0"/>
          <w:marTop w:val="0"/>
          <w:marBottom w:val="0"/>
          <w:divBdr>
            <w:top w:val="none" w:sz="0" w:space="0" w:color="auto"/>
            <w:left w:val="none" w:sz="0" w:space="0" w:color="auto"/>
            <w:bottom w:val="none" w:sz="0" w:space="0" w:color="auto"/>
            <w:right w:val="none" w:sz="0" w:space="0" w:color="auto"/>
          </w:divBdr>
        </w:div>
      </w:divsChild>
    </w:div>
    <w:div w:id="314800838">
      <w:marLeft w:val="0"/>
      <w:marRight w:val="0"/>
      <w:marTop w:val="180"/>
      <w:marBottom w:val="180"/>
      <w:divBdr>
        <w:top w:val="none" w:sz="0" w:space="0" w:color="auto"/>
        <w:left w:val="none" w:sz="0" w:space="0" w:color="auto"/>
        <w:bottom w:val="none" w:sz="0" w:space="0" w:color="auto"/>
        <w:right w:val="none" w:sz="0" w:space="0" w:color="auto"/>
      </w:divBdr>
    </w:div>
    <w:div w:id="315770418">
      <w:marLeft w:val="0"/>
      <w:marRight w:val="0"/>
      <w:marTop w:val="60"/>
      <w:marBottom w:val="60"/>
      <w:divBdr>
        <w:top w:val="none" w:sz="0" w:space="0" w:color="auto"/>
        <w:left w:val="none" w:sz="0" w:space="0" w:color="auto"/>
        <w:bottom w:val="none" w:sz="0" w:space="0" w:color="auto"/>
        <w:right w:val="none" w:sz="0" w:space="0" w:color="auto"/>
      </w:divBdr>
      <w:divsChild>
        <w:div w:id="1335498938">
          <w:marLeft w:val="0"/>
          <w:marRight w:val="0"/>
          <w:marTop w:val="0"/>
          <w:marBottom w:val="0"/>
          <w:divBdr>
            <w:top w:val="none" w:sz="0" w:space="0" w:color="auto"/>
            <w:left w:val="none" w:sz="0" w:space="0" w:color="auto"/>
            <w:bottom w:val="none" w:sz="0" w:space="0" w:color="auto"/>
            <w:right w:val="none" w:sz="0" w:space="0" w:color="auto"/>
          </w:divBdr>
        </w:div>
        <w:div w:id="522281238">
          <w:marLeft w:val="0"/>
          <w:marRight w:val="0"/>
          <w:marTop w:val="0"/>
          <w:marBottom w:val="0"/>
          <w:divBdr>
            <w:top w:val="none" w:sz="0" w:space="0" w:color="auto"/>
            <w:left w:val="none" w:sz="0" w:space="0" w:color="auto"/>
            <w:bottom w:val="none" w:sz="0" w:space="0" w:color="auto"/>
            <w:right w:val="none" w:sz="0" w:space="0" w:color="auto"/>
          </w:divBdr>
        </w:div>
        <w:div w:id="966665399">
          <w:marLeft w:val="0"/>
          <w:marRight w:val="0"/>
          <w:marTop w:val="0"/>
          <w:marBottom w:val="0"/>
          <w:divBdr>
            <w:top w:val="none" w:sz="0" w:space="0" w:color="auto"/>
            <w:left w:val="none" w:sz="0" w:space="0" w:color="auto"/>
            <w:bottom w:val="none" w:sz="0" w:space="0" w:color="auto"/>
            <w:right w:val="none" w:sz="0" w:space="0" w:color="auto"/>
          </w:divBdr>
        </w:div>
        <w:div w:id="413087408">
          <w:marLeft w:val="0"/>
          <w:marRight w:val="0"/>
          <w:marTop w:val="0"/>
          <w:marBottom w:val="0"/>
          <w:divBdr>
            <w:top w:val="none" w:sz="0" w:space="0" w:color="auto"/>
            <w:left w:val="none" w:sz="0" w:space="0" w:color="auto"/>
            <w:bottom w:val="none" w:sz="0" w:space="0" w:color="auto"/>
            <w:right w:val="none" w:sz="0" w:space="0" w:color="auto"/>
          </w:divBdr>
        </w:div>
        <w:div w:id="589852832">
          <w:marLeft w:val="0"/>
          <w:marRight w:val="0"/>
          <w:marTop w:val="0"/>
          <w:marBottom w:val="0"/>
          <w:divBdr>
            <w:top w:val="none" w:sz="0" w:space="0" w:color="auto"/>
            <w:left w:val="none" w:sz="0" w:space="0" w:color="auto"/>
            <w:bottom w:val="none" w:sz="0" w:space="0" w:color="auto"/>
            <w:right w:val="none" w:sz="0" w:space="0" w:color="auto"/>
          </w:divBdr>
        </w:div>
        <w:div w:id="1582327075">
          <w:marLeft w:val="0"/>
          <w:marRight w:val="0"/>
          <w:marTop w:val="0"/>
          <w:marBottom w:val="0"/>
          <w:divBdr>
            <w:top w:val="none" w:sz="0" w:space="0" w:color="auto"/>
            <w:left w:val="none" w:sz="0" w:space="0" w:color="auto"/>
            <w:bottom w:val="none" w:sz="0" w:space="0" w:color="auto"/>
            <w:right w:val="none" w:sz="0" w:space="0" w:color="auto"/>
          </w:divBdr>
        </w:div>
        <w:div w:id="230578185">
          <w:marLeft w:val="0"/>
          <w:marRight w:val="0"/>
          <w:marTop w:val="0"/>
          <w:marBottom w:val="0"/>
          <w:divBdr>
            <w:top w:val="none" w:sz="0" w:space="0" w:color="auto"/>
            <w:left w:val="none" w:sz="0" w:space="0" w:color="auto"/>
            <w:bottom w:val="none" w:sz="0" w:space="0" w:color="auto"/>
            <w:right w:val="none" w:sz="0" w:space="0" w:color="auto"/>
          </w:divBdr>
        </w:div>
        <w:div w:id="1840583523">
          <w:marLeft w:val="0"/>
          <w:marRight w:val="0"/>
          <w:marTop w:val="0"/>
          <w:marBottom w:val="0"/>
          <w:divBdr>
            <w:top w:val="none" w:sz="0" w:space="0" w:color="auto"/>
            <w:left w:val="none" w:sz="0" w:space="0" w:color="auto"/>
            <w:bottom w:val="none" w:sz="0" w:space="0" w:color="auto"/>
            <w:right w:val="none" w:sz="0" w:space="0" w:color="auto"/>
          </w:divBdr>
        </w:div>
        <w:div w:id="1411611389">
          <w:marLeft w:val="0"/>
          <w:marRight w:val="0"/>
          <w:marTop w:val="0"/>
          <w:marBottom w:val="0"/>
          <w:divBdr>
            <w:top w:val="none" w:sz="0" w:space="0" w:color="auto"/>
            <w:left w:val="none" w:sz="0" w:space="0" w:color="auto"/>
            <w:bottom w:val="none" w:sz="0" w:space="0" w:color="auto"/>
            <w:right w:val="none" w:sz="0" w:space="0" w:color="auto"/>
          </w:divBdr>
        </w:div>
      </w:divsChild>
    </w:div>
    <w:div w:id="316570346">
      <w:marLeft w:val="0"/>
      <w:marRight w:val="0"/>
      <w:marTop w:val="60"/>
      <w:marBottom w:val="60"/>
      <w:divBdr>
        <w:top w:val="none" w:sz="0" w:space="0" w:color="auto"/>
        <w:left w:val="none" w:sz="0" w:space="0" w:color="auto"/>
        <w:bottom w:val="none" w:sz="0" w:space="0" w:color="auto"/>
        <w:right w:val="none" w:sz="0" w:space="0" w:color="auto"/>
      </w:divBdr>
    </w:div>
    <w:div w:id="320084280">
      <w:marLeft w:val="0"/>
      <w:marRight w:val="0"/>
      <w:marTop w:val="0"/>
      <w:marBottom w:val="0"/>
      <w:divBdr>
        <w:top w:val="none" w:sz="0" w:space="0" w:color="auto"/>
        <w:left w:val="none" w:sz="0" w:space="0" w:color="auto"/>
        <w:bottom w:val="none" w:sz="0" w:space="0" w:color="auto"/>
        <w:right w:val="none" w:sz="0" w:space="0" w:color="auto"/>
      </w:divBdr>
    </w:div>
    <w:div w:id="320543316">
      <w:marLeft w:val="0"/>
      <w:marRight w:val="0"/>
      <w:marTop w:val="60"/>
      <w:marBottom w:val="60"/>
      <w:divBdr>
        <w:top w:val="none" w:sz="0" w:space="0" w:color="auto"/>
        <w:left w:val="none" w:sz="0" w:space="0" w:color="auto"/>
        <w:bottom w:val="none" w:sz="0" w:space="0" w:color="auto"/>
        <w:right w:val="none" w:sz="0" w:space="0" w:color="auto"/>
      </w:divBdr>
    </w:div>
    <w:div w:id="321280866">
      <w:marLeft w:val="0"/>
      <w:marRight w:val="0"/>
      <w:marTop w:val="180"/>
      <w:marBottom w:val="180"/>
      <w:divBdr>
        <w:top w:val="none" w:sz="0" w:space="0" w:color="auto"/>
        <w:left w:val="none" w:sz="0" w:space="0" w:color="auto"/>
        <w:bottom w:val="none" w:sz="0" w:space="0" w:color="auto"/>
        <w:right w:val="none" w:sz="0" w:space="0" w:color="auto"/>
      </w:divBdr>
    </w:div>
    <w:div w:id="322047307">
      <w:marLeft w:val="0"/>
      <w:marRight w:val="0"/>
      <w:marTop w:val="0"/>
      <w:marBottom w:val="0"/>
      <w:divBdr>
        <w:top w:val="none" w:sz="0" w:space="0" w:color="auto"/>
        <w:left w:val="none" w:sz="0" w:space="0" w:color="auto"/>
        <w:bottom w:val="none" w:sz="0" w:space="0" w:color="auto"/>
        <w:right w:val="none" w:sz="0" w:space="0" w:color="auto"/>
      </w:divBdr>
      <w:divsChild>
        <w:div w:id="1235050897">
          <w:marLeft w:val="0"/>
          <w:marRight w:val="0"/>
          <w:marTop w:val="0"/>
          <w:marBottom w:val="0"/>
          <w:divBdr>
            <w:top w:val="none" w:sz="0" w:space="0" w:color="auto"/>
            <w:left w:val="none" w:sz="0" w:space="0" w:color="auto"/>
            <w:bottom w:val="none" w:sz="0" w:space="0" w:color="auto"/>
            <w:right w:val="none" w:sz="0" w:space="0" w:color="auto"/>
          </w:divBdr>
          <w:divsChild>
            <w:div w:id="20160274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9137011">
      <w:marLeft w:val="0"/>
      <w:marRight w:val="0"/>
      <w:marTop w:val="180"/>
      <w:marBottom w:val="180"/>
      <w:divBdr>
        <w:top w:val="none" w:sz="0" w:space="0" w:color="auto"/>
        <w:left w:val="none" w:sz="0" w:space="0" w:color="auto"/>
        <w:bottom w:val="none" w:sz="0" w:space="0" w:color="auto"/>
        <w:right w:val="none" w:sz="0" w:space="0" w:color="auto"/>
      </w:divBdr>
    </w:div>
    <w:div w:id="331416691">
      <w:marLeft w:val="0"/>
      <w:marRight w:val="0"/>
      <w:marTop w:val="180"/>
      <w:marBottom w:val="60"/>
      <w:divBdr>
        <w:top w:val="none" w:sz="0" w:space="0" w:color="auto"/>
        <w:left w:val="none" w:sz="0" w:space="0" w:color="auto"/>
        <w:bottom w:val="none" w:sz="0" w:space="0" w:color="auto"/>
        <w:right w:val="none" w:sz="0" w:space="0" w:color="auto"/>
      </w:divBdr>
    </w:div>
    <w:div w:id="331688061">
      <w:marLeft w:val="0"/>
      <w:marRight w:val="0"/>
      <w:marTop w:val="180"/>
      <w:marBottom w:val="180"/>
      <w:divBdr>
        <w:top w:val="none" w:sz="0" w:space="0" w:color="auto"/>
        <w:left w:val="none" w:sz="0" w:space="0" w:color="auto"/>
        <w:bottom w:val="none" w:sz="0" w:space="0" w:color="auto"/>
        <w:right w:val="none" w:sz="0" w:space="0" w:color="auto"/>
      </w:divBdr>
    </w:div>
    <w:div w:id="335110331">
      <w:marLeft w:val="0"/>
      <w:marRight w:val="0"/>
      <w:marTop w:val="180"/>
      <w:marBottom w:val="180"/>
      <w:divBdr>
        <w:top w:val="none" w:sz="0" w:space="0" w:color="auto"/>
        <w:left w:val="none" w:sz="0" w:space="0" w:color="auto"/>
        <w:bottom w:val="none" w:sz="0" w:space="0" w:color="auto"/>
        <w:right w:val="none" w:sz="0" w:space="0" w:color="auto"/>
      </w:divBdr>
    </w:div>
    <w:div w:id="335766536">
      <w:marLeft w:val="0"/>
      <w:marRight w:val="0"/>
      <w:marTop w:val="180"/>
      <w:marBottom w:val="180"/>
      <w:divBdr>
        <w:top w:val="none" w:sz="0" w:space="0" w:color="auto"/>
        <w:left w:val="none" w:sz="0" w:space="0" w:color="auto"/>
        <w:bottom w:val="none" w:sz="0" w:space="0" w:color="auto"/>
        <w:right w:val="none" w:sz="0" w:space="0" w:color="auto"/>
      </w:divBdr>
    </w:div>
    <w:div w:id="336348069">
      <w:marLeft w:val="0"/>
      <w:marRight w:val="0"/>
      <w:marTop w:val="180"/>
      <w:marBottom w:val="180"/>
      <w:divBdr>
        <w:top w:val="none" w:sz="0" w:space="0" w:color="auto"/>
        <w:left w:val="none" w:sz="0" w:space="0" w:color="auto"/>
        <w:bottom w:val="none" w:sz="0" w:space="0" w:color="auto"/>
        <w:right w:val="none" w:sz="0" w:space="0" w:color="auto"/>
      </w:divBdr>
    </w:div>
    <w:div w:id="338239104">
      <w:marLeft w:val="0"/>
      <w:marRight w:val="0"/>
      <w:marTop w:val="60"/>
      <w:marBottom w:val="60"/>
      <w:divBdr>
        <w:top w:val="none" w:sz="0" w:space="0" w:color="auto"/>
        <w:left w:val="none" w:sz="0" w:space="0" w:color="auto"/>
        <w:bottom w:val="none" w:sz="0" w:space="0" w:color="auto"/>
        <w:right w:val="none" w:sz="0" w:space="0" w:color="auto"/>
      </w:divBdr>
    </w:div>
    <w:div w:id="342325647">
      <w:marLeft w:val="0"/>
      <w:marRight w:val="0"/>
      <w:marTop w:val="180"/>
      <w:marBottom w:val="180"/>
      <w:divBdr>
        <w:top w:val="none" w:sz="0" w:space="0" w:color="auto"/>
        <w:left w:val="none" w:sz="0" w:space="0" w:color="auto"/>
        <w:bottom w:val="none" w:sz="0" w:space="0" w:color="auto"/>
        <w:right w:val="none" w:sz="0" w:space="0" w:color="auto"/>
      </w:divBdr>
    </w:div>
    <w:div w:id="343240377">
      <w:marLeft w:val="0"/>
      <w:marRight w:val="0"/>
      <w:marTop w:val="100"/>
      <w:marBottom w:val="100"/>
      <w:divBdr>
        <w:top w:val="none" w:sz="0" w:space="0" w:color="auto"/>
        <w:left w:val="none" w:sz="0" w:space="0" w:color="auto"/>
        <w:bottom w:val="none" w:sz="0" w:space="0" w:color="auto"/>
        <w:right w:val="none" w:sz="0" w:space="0" w:color="auto"/>
      </w:divBdr>
      <w:divsChild>
        <w:div w:id="1699118703">
          <w:marLeft w:val="0"/>
          <w:marRight w:val="0"/>
          <w:marTop w:val="0"/>
          <w:marBottom w:val="0"/>
          <w:divBdr>
            <w:top w:val="none" w:sz="0" w:space="0" w:color="auto"/>
            <w:left w:val="none" w:sz="0" w:space="0" w:color="auto"/>
            <w:bottom w:val="none" w:sz="0" w:space="0" w:color="auto"/>
            <w:right w:val="none" w:sz="0" w:space="0" w:color="auto"/>
          </w:divBdr>
        </w:div>
      </w:divsChild>
    </w:div>
    <w:div w:id="345136916">
      <w:marLeft w:val="0"/>
      <w:marRight w:val="0"/>
      <w:marTop w:val="180"/>
      <w:marBottom w:val="180"/>
      <w:divBdr>
        <w:top w:val="none" w:sz="0" w:space="0" w:color="auto"/>
        <w:left w:val="none" w:sz="0" w:space="0" w:color="auto"/>
        <w:bottom w:val="none" w:sz="0" w:space="0" w:color="auto"/>
        <w:right w:val="none" w:sz="0" w:space="0" w:color="auto"/>
      </w:divBdr>
    </w:div>
    <w:div w:id="345524882">
      <w:marLeft w:val="0"/>
      <w:marRight w:val="0"/>
      <w:marTop w:val="60"/>
      <w:marBottom w:val="60"/>
      <w:divBdr>
        <w:top w:val="none" w:sz="0" w:space="0" w:color="auto"/>
        <w:left w:val="none" w:sz="0" w:space="0" w:color="auto"/>
        <w:bottom w:val="none" w:sz="0" w:space="0" w:color="auto"/>
        <w:right w:val="none" w:sz="0" w:space="0" w:color="auto"/>
      </w:divBdr>
    </w:div>
    <w:div w:id="348994034">
      <w:marLeft w:val="0"/>
      <w:marRight w:val="0"/>
      <w:marTop w:val="180"/>
      <w:marBottom w:val="180"/>
      <w:divBdr>
        <w:top w:val="none" w:sz="0" w:space="0" w:color="auto"/>
        <w:left w:val="none" w:sz="0" w:space="0" w:color="auto"/>
        <w:bottom w:val="none" w:sz="0" w:space="0" w:color="auto"/>
        <w:right w:val="none" w:sz="0" w:space="0" w:color="auto"/>
      </w:divBdr>
    </w:div>
    <w:div w:id="351540342">
      <w:marLeft w:val="0"/>
      <w:marRight w:val="0"/>
      <w:marTop w:val="180"/>
      <w:marBottom w:val="180"/>
      <w:divBdr>
        <w:top w:val="none" w:sz="0" w:space="0" w:color="auto"/>
        <w:left w:val="none" w:sz="0" w:space="0" w:color="auto"/>
        <w:bottom w:val="none" w:sz="0" w:space="0" w:color="auto"/>
        <w:right w:val="none" w:sz="0" w:space="0" w:color="auto"/>
      </w:divBdr>
    </w:div>
    <w:div w:id="353042535">
      <w:marLeft w:val="0"/>
      <w:marRight w:val="0"/>
      <w:marTop w:val="180"/>
      <w:marBottom w:val="180"/>
      <w:divBdr>
        <w:top w:val="none" w:sz="0" w:space="0" w:color="auto"/>
        <w:left w:val="none" w:sz="0" w:space="0" w:color="auto"/>
        <w:bottom w:val="none" w:sz="0" w:space="0" w:color="auto"/>
        <w:right w:val="none" w:sz="0" w:space="0" w:color="auto"/>
      </w:divBdr>
    </w:div>
    <w:div w:id="354892960">
      <w:marLeft w:val="0"/>
      <w:marRight w:val="0"/>
      <w:marTop w:val="0"/>
      <w:marBottom w:val="0"/>
      <w:divBdr>
        <w:top w:val="none" w:sz="0" w:space="0" w:color="auto"/>
        <w:left w:val="none" w:sz="0" w:space="0" w:color="auto"/>
        <w:bottom w:val="none" w:sz="0" w:space="0" w:color="auto"/>
        <w:right w:val="none" w:sz="0" w:space="0" w:color="auto"/>
      </w:divBdr>
      <w:divsChild>
        <w:div w:id="1266183696">
          <w:marLeft w:val="0"/>
          <w:marRight w:val="0"/>
          <w:marTop w:val="0"/>
          <w:marBottom w:val="0"/>
          <w:divBdr>
            <w:top w:val="none" w:sz="0" w:space="0" w:color="auto"/>
            <w:left w:val="none" w:sz="0" w:space="0" w:color="auto"/>
            <w:bottom w:val="none" w:sz="0" w:space="0" w:color="auto"/>
            <w:right w:val="none" w:sz="0" w:space="0" w:color="auto"/>
          </w:divBdr>
          <w:divsChild>
            <w:div w:id="12513073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5086434">
      <w:marLeft w:val="0"/>
      <w:marRight w:val="0"/>
      <w:marTop w:val="180"/>
      <w:marBottom w:val="180"/>
      <w:divBdr>
        <w:top w:val="none" w:sz="0" w:space="0" w:color="auto"/>
        <w:left w:val="none" w:sz="0" w:space="0" w:color="auto"/>
        <w:bottom w:val="none" w:sz="0" w:space="0" w:color="auto"/>
        <w:right w:val="none" w:sz="0" w:space="0" w:color="auto"/>
      </w:divBdr>
    </w:div>
    <w:div w:id="357586303">
      <w:marLeft w:val="0"/>
      <w:marRight w:val="0"/>
      <w:marTop w:val="0"/>
      <w:marBottom w:val="0"/>
      <w:divBdr>
        <w:top w:val="none" w:sz="0" w:space="0" w:color="auto"/>
        <w:left w:val="none" w:sz="0" w:space="0" w:color="auto"/>
        <w:bottom w:val="none" w:sz="0" w:space="0" w:color="auto"/>
        <w:right w:val="none" w:sz="0" w:space="0" w:color="auto"/>
      </w:divBdr>
      <w:divsChild>
        <w:div w:id="418913836">
          <w:marLeft w:val="0"/>
          <w:marRight w:val="0"/>
          <w:marTop w:val="0"/>
          <w:marBottom w:val="0"/>
          <w:divBdr>
            <w:top w:val="none" w:sz="0" w:space="0" w:color="auto"/>
            <w:left w:val="none" w:sz="0" w:space="0" w:color="auto"/>
            <w:bottom w:val="none" w:sz="0" w:space="0" w:color="auto"/>
            <w:right w:val="none" w:sz="0" w:space="0" w:color="auto"/>
          </w:divBdr>
          <w:divsChild>
            <w:div w:id="9604981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64599458">
      <w:marLeft w:val="0"/>
      <w:marRight w:val="0"/>
      <w:marTop w:val="180"/>
      <w:marBottom w:val="180"/>
      <w:divBdr>
        <w:top w:val="none" w:sz="0" w:space="0" w:color="auto"/>
        <w:left w:val="none" w:sz="0" w:space="0" w:color="auto"/>
        <w:bottom w:val="none" w:sz="0" w:space="0" w:color="auto"/>
        <w:right w:val="none" w:sz="0" w:space="0" w:color="auto"/>
      </w:divBdr>
    </w:div>
    <w:div w:id="365982124">
      <w:marLeft w:val="0"/>
      <w:marRight w:val="0"/>
      <w:marTop w:val="180"/>
      <w:marBottom w:val="180"/>
      <w:divBdr>
        <w:top w:val="none" w:sz="0" w:space="0" w:color="auto"/>
        <w:left w:val="none" w:sz="0" w:space="0" w:color="auto"/>
        <w:bottom w:val="none" w:sz="0" w:space="0" w:color="auto"/>
        <w:right w:val="none" w:sz="0" w:space="0" w:color="auto"/>
      </w:divBdr>
    </w:div>
    <w:div w:id="366417572">
      <w:marLeft w:val="0"/>
      <w:marRight w:val="0"/>
      <w:marTop w:val="180"/>
      <w:marBottom w:val="180"/>
      <w:divBdr>
        <w:top w:val="none" w:sz="0" w:space="0" w:color="auto"/>
        <w:left w:val="none" w:sz="0" w:space="0" w:color="auto"/>
        <w:bottom w:val="none" w:sz="0" w:space="0" w:color="auto"/>
        <w:right w:val="none" w:sz="0" w:space="0" w:color="auto"/>
      </w:divBdr>
    </w:div>
    <w:div w:id="370812839">
      <w:marLeft w:val="0"/>
      <w:marRight w:val="0"/>
      <w:marTop w:val="180"/>
      <w:marBottom w:val="180"/>
      <w:divBdr>
        <w:top w:val="none" w:sz="0" w:space="0" w:color="auto"/>
        <w:left w:val="none" w:sz="0" w:space="0" w:color="auto"/>
        <w:bottom w:val="none" w:sz="0" w:space="0" w:color="auto"/>
        <w:right w:val="none" w:sz="0" w:space="0" w:color="auto"/>
      </w:divBdr>
    </w:div>
    <w:div w:id="371150264">
      <w:marLeft w:val="0"/>
      <w:marRight w:val="0"/>
      <w:marTop w:val="180"/>
      <w:marBottom w:val="180"/>
      <w:divBdr>
        <w:top w:val="none" w:sz="0" w:space="0" w:color="auto"/>
        <w:left w:val="none" w:sz="0" w:space="0" w:color="auto"/>
        <w:bottom w:val="none" w:sz="0" w:space="0" w:color="auto"/>
        <w:right w:val="none" w:sz="0" w:space="0" w:color="auto"/>
      </w:divBdr>
    </w:div>
    <w:div w:id="374080690">
      <w:marLeft w:val="0"/>
      <w:marRight w:val="0"/>
      <w:marTop w:val="180"/>
      <w:marBottom w:val="180"/>
      <w:divBdr>
        <w:top w:val="none" w:sz="0" w:space="0" w:color="auto"/>
        <w:left w:val="none" w:sz="0" w:space="0" w:color="auto"/>
        <w:bottom w:val="none" w:sz="0" w:space="0" w:color="auto"/>
        <w:right w:val="none" w:sz="0" w:space="0" w:color="auto"/>
      </w:divBdr>
    </w:div>
    <w:div w:id="374234309">
      <w:marLeft w:val="0"/>
      <w:marRight w:val="0"/>
      <w:marTop w:val="180"/>
      <w:marBottom w:val="180"/>
      <w:divBdr>
        <w:top w:val="none" w:sz="0" w:space="0" w:color="auto"/>
        <w:left w:val="none" w:sz="0" w:space="0" w:color="auto"/>
        <w:bottom w:val="none" w:sz="0" w:space="0" w:color="auto"/>
        <w:right w:val="none" w:sz="0" w:space="0" w:color="auto"/>
      </w:divBdr>
    </w:div>
    <w:div w:id="374432627">
      <w:marLeft w:val="0"/>
      <w:marRight w:val="0"/>
      <w:marTop w:val="180"/>
      <w:marBottom w:val="180"/>
      <w:divBdr>
        <w:top w:val="none" w:sz="0" w:space="0" w:color="auto"/>
        <w:left w:val="none" w:sz="0" w:space="0" w:color="auto"/>
        <w:bottom w:val="none" w:sz="0" w:space="0" w:color="auto"/>
        <w:right w:val="none" w:sz="0" w:space="0" w:color="auto"/>
      </w:divBdr>
    </w:div>
    <w:div w:id="376199192">
      <w:marLeft w:val="0"/>
      <w:marRight w:val="0"/>
      <w:marTop w:val="60"/>
      <w:marBottom w:val="60"/>
      <w:divBdr>
        <w:top w:val="none" w:sz="0" w:space="0" w:color="auto"/>
        <w:left w:val="none" w:sz="0" w:space="0" w:color="auto"/>
        <w:bottom w:val="none" w:sz="0" w:space="0" w:color="auto"/>
        <w:right w:val="none" w:sz="0" w:space="0" w:color="auto"/>
      </w:divBdr>
    </w:div>
    <w:div w:id="379285977">
      <w:marLeft w:val="0"/>
      <w:marRight w:val="0"/>
      <w:marTop w:val="180"/>
      <w:marBottom w:val="60"/>
      <w:divBdr>
        <w:top w:val="none" w:sz="0" w:space="0" w:color="auto"/>
        <w:left w:val="none" w:sz="0" w:space="0" w:color="auto"/>
        <w:bottom w:val="none" w:sz="0" w:space="0" w:color="auto"/>
        <w:right w:val="none" w:sz="0" w:space="0" w:color="auto"/>
      </w:divBdr>
    </w:div>
    <w:div w:id="380325425">
      <w:marLeft w:val="0"/>
      <w:marRight w:val="0"/>
      <w:marTop w:val="180"/>
      <w:marBottom w:val="180"/>
      <w:divBdr>
        <w:top w:val="none" w:sz="0" w:space="0" w:color="auto"/>
        <w:left w:val="none" w:sz="0" w:space="0" w:color="auto"/>
        <w:bottom w:val="none" w:sz="0" w:space="0" w:color="auto"/>
        <w:right w:val="none" w:sz="0" w:space="0" w:color="auto"/>
      </w:divBdr>
    </w:div>
    <w:div w:id="381829550">
      <w:marLeft w:val="0"/>
      <w:marRight w:val="0"/>
      <w:marTop w:val="180"/>
      <w:marBottom w:val="180"/>
      <w:divBdr>
        <w:top w:val="none" w:sz="0" w:space="0" w:color="auto"/>
        <w:left w:val="none" w:sz="0" w:space="0" w:color="auto"/>
        <w:bottom w:val="none" w:sz="0" w:space="0" w:color="auto"/>
        <w:right w:val="none" w:sz="0" w:space="0" w:color="auto"/>
      </w:divBdr>
    </w:div>
    <w:div w:id="382295327">
      <w:marLeft w:val="0"/>
      <w:marRight w:val="0"/>
      <w:marTop w:val="180"/>
      <w:marBottom w:val="180"/>
      <w:divBdr>
        <w:top w:val="none" w:sz="0" w:space="0" w:color="auto"/>
        <w:left w:val="none" w:sz="0" w:space="0" w:color="auto"/>
        <w:bottom w:val="none" w:sz="0" w:space="0" w:color="auto"/>
        <w:right w:val="none" w:sz="0" w:space="0" w:color="auto"/>
      </w:divBdr>
    </w:div>
    <w:div w:id="382564812">
      <w:marLeft w:val="0"/>
      <w:marRight w:val="0"/>
      <w:marTop w:val="180"/>
      <w:marBottom w:val="180"/>
      <w:divBdr>
        <w:top w:val="none" w:sz="0" w:space="0" w:color="auto"/>
        <w:left w:val="none" w:sz="0" w:space="0" w:color="auto"/>
        <w:bottom w:val="none" w:sz="0" w:space="0" w:color="auto"/>
        <w:right w:val="none" w:sz="0" w:space="0" w:color="auto"/>
      </w:divBdr>
    </w:div>
    <w:div w:id="384262086">
      <w:marLeft w:val="0"/>
      <w:marRight w:val="0"/>
      <w:marTop w:val="60"/>
      <w:marBottom w:val="60"/>
      <w:divBdr>
        <w:top w:val="none" w:sz="0" w:space="0" w:color="auto"/>
        <w:left w:val="none" w:sz="0" w:space="0" w:color="auto"/>
        <w:bottom w:val="none" w:sz="0" w:space="0" w:color="auto"/>
        <w:right w:val="none" w:sz="0" w:space="0" w:color="auto"/>
      </w:divBdr>
      <w:divsChild>
        <w:div w:id="1358114637">
          <w:marLeft w:val="0"/>
          <w:marRight w:val="0"/>
          <w:marTop w:val="0"/>
          <w:marBottom w:val="0"/>
          <w:divBdr>
            <w:top w:val="none" w:sz="0" w:space="0" w:color="auto"/>
            <w:left w:val="none" w:sz="0" w:space="0" w:color="auto"/>
            <w:bottom w:val="none" w:sz="0" w:space="0" w:color="auto"/>
            <w:right w:val="none" w:sz="0" w:space="0" w:color="auto"/>
          </w:divBdr>
        </w:div>
        <w:div w:id="938945513">
          <w:marLeft w:val="0"/>
          <w:marRight w:val="0"/>
          <w:marTop w:val="0"/>
          <w:marBottom w:val="0"/>
          <w:divBdr>
            <w:top w:val="none" w:sz="0" w:space="0" w:color="auto"/>
            <w:left w:val="none" w:sz="0" w:space="0" w:color="auto"/>
            <w:bottom w:val="none" w:sz="0" w:space="0" w:color="auto"/>
            <w:right w:val="none" w:sz="0" w:space="0" w:color="auto"/>
          </w:divBdr>
        </w:div>
        <w:div w:id="816528789">
          <w:marLeft w:val="0"/>
          <w:marRight w:val="0"/>
          <w:marTop w:val="0"/>
          <w:marBottom w:val="0"/>
          <w:divBdr>
            <w:top w:val="none" w:sz="0" w:space="0" w:color="auto"/>
            <w:left w:val="none" w:sz="0" w:space="0" w:color="auto"/>
            <w:bottom w:val="none" w:sz="0" w:space="0" w:color="auto"/>
            <w:right w:val="none" w:sz="0" w:space="0" w:color="auto"/>
          </w:divBdr>
        </w:div>
        <w:div w:id="395320958">
          <w:marLeft w:val="0"/>
          <w:marRight w:val="0"/>
          <w:marTop w:val="0"/>
          <w:marBottom w:val="0"/>
          <w:divBdr>
            <w:top w:val="none" w:sz="0" w:space="0" w:color="auto"/>
            <w:left w:val="none" w:sz="0" w:space="0" w:color="auto"/>
            <w:bottom w:val="none" w:sz="0" w:space="0" w:color="auto"/>
            <w:right w:val="none" w:sz="0" w:space="0" w:color="auto"/>
          </w:divBdr>
        </w:div>
        <w:div w:id="1361593370">
          <w:marLeft w:val="0"/>
          <w:marRight w:val="0"/>
          <w:marTop w:val="0"/>
          <w:marBottom w:val="0"/>
          <w:divBdr>
            <w:top w:val="none" w:sz="0" w:space="0" w:color="auto"/>
            <w:left w:val="none" w:sz="0" w:space="0" w:color="auto"/>
            <w:bottom w:val="none" w:sz="0" w:space="0" w:color="auto"/>
            <w:right w:val="none" w:sz="0" w:space="0" w:color="auto"/>
          </w:divBdr>
        </w:div>
        <w:div w:id="1136070050">
          <w:marLeft w:val="0"/>
          <w:marRight w:val="0"/>
          <w:marTop w:val="0"/>
          <w:marBottom w:val="0"/>
          <w:divBdr>
            <w:top w:val="none" w:sz="0" w:space="0" w:color="auto"/>
            <w:left w:val="none" w:sz="0" w:space="0" w:color="auto"/>
            <w:bottom w:val="none" w:sz="0" w:space="0" w:color="auto"/>
            <w:right w:val="none" w:sz="0" w:space="0" w:color="auto"/>
          </w:divBdr>
        </w:div>
      </w:divsChild>
    </w:div>
    <w:div w:id="385877840">
      <w:marLeft w:val="0"/>
      <w:marRight w:val="0"/>
      <w:marTop w:val="180"/>
      <w:marBottom w:val="180"/>
      <w:divBdr>
        <w:top w:val="none" w:sz="0" w:space="0" w:color="auto"/>
        <w:left w:val="none" w:sz="0" w:space="0" w:color="auto"/>
        <w:bottom w:val="none" w:sz="0" w:space="0" w:color="auto"/>
        <w:right w:val="none" w:sz="0" w:space="0" w:color="auto"/>
      </w:divBdr>
    </w:div>
    <w:div w:id="386077561">
      <w:marLeft w:val="0"/>
      <w:marRight w:val="0"/>
      <w:marTop w:val="0"/>
      <w:marBottom w:val="0"/>
      <w:divBdr>
        <w:top w:val="none" w:sz="0" w:space="0" w:color="auto"/>
        <w:left w:val="none" w:sz="0" w:space="0" w:color="auto"/>
        <w:bottom w:val="none" w:sz="0" w:space="0" w:color="auto"/>
        <w:right w:val="none" w:sz="0" w:space="0" w:color="auto"/>
      </w:divBdr>
      <w:divsChild>
        <w:div w:id="505754328">
          <w:marLeft w:val="0"/>
          <w:marRight w:val="0"/>
          <w:marTop w:val="180"/>
          <w:marBottom w:val="180"/>
          <w:divBdr>
            <w:top w:val="none" w:sz="0" w:space="0" w:color="auto"/>
            <w:left w:val="none" w:sz="0" w:space="0" w:color="auto"/>
            <w:bottom w:val="none" w:sz="0" w:space="0" w:color="auto"/>
            <w:right w:val="none" w:sz="0" w:space="0" w:color="auto"/>
          </w:divBdr>
        </w:div>
      </w:divsChild>
    </w:div>
    <w:div w:id="386416724">
      <w:marLeft w:val="0"/>
      <w:marRight w:val="0"/>
      <w:marTop w:val="180"/>
      <w:marBottom w:val="180"/>
      <w:divBdr>
        <w:top w:val="none" w:sz="0" w:space="0" w:color="auto"/>
        <w:left w:val="none" w:sz="0" w:space="0" w:color="auto"/>
        <w:bottom w:val="none" w:sz="0" w:space="0" w:color="auto"/>
        <w:right w:val="none" w:sz="0" w:space="0" w:color="auto"/>
      </w:divBdr>
    </w:div>
    <w:div w:id="386533413">
      <w:marLeft w:val="0"/>
      <w:marRight w:val="0"/>
      <w:marTop w:val="0"/>
      <w:marBottom w:val="0"/>
      <w:divBdr>
        <w:top w:val="none" w:sz="0" w:space="0" w:color="auto"/>
        <w:left w:val="none" w:sz="0" w:space="0" w:color="auto"/>
        <w:bottom w:val="none" w:sz="0" w:space="0" w:color="auto"/>
        <w:right w:val="none" w:sz="0" w:space="0" w:color="auto"/>
      </w:divBdr>
    </w:div>
    <w:div w:id="388695120">
      <w:marLeft w:val="0"/>
      <w:marRight w:val="0"/>
      <w:marTop w:val="180"/>
      <w:marBottom w:val="180"/>
      <w:divBdr>
        <w:top w:val="none" w:sz="0" w:space="0" w:color="auto"/>
        <w:left w:val="none" w:sz="0" w:space="0" w:color="auto"/>
        <w:bottom w:val="none" w:sz="0" w:space="0" w:color="auto"/>
        <w:right w:val="none" w:sz="0" w:space="0" w:color="auto"/>
      </w:divBdr>
    </w:div>
    <w:div w:id="389157602">
      <w:marLeft w:val="0"/>
      <w:marRight w:val="0"/>
      <w:marTop w:val="180"/>
      <w:marBottom w:val="180"/>
      <w:divBdr>
        <w:top w:val="none" w:sz="0" w:space="0" w:color="auto"/>
        <w:left w:val="none" w:sz="0" w:space="0" w:color="auto"/>
        <w:bottom w:val="none" w:sz="0" w:space="0" w:color="auto"/>
        <w:right w:val="none" w:sz="0" w:space="0" w:color="auto"/>
      </w:divBdr>
    </w:div>
    <w:div w:id="389421893">
      <w:marLeft w:val="0"/>
      <w:marRight w:val="0"/>
      <w:marTop w:val="60"/>
      <w:marBottom w:val="60"/>
      <w:divBdr>
        <w:top w:val="none" w:sz="0" w:space="0" w:color="auto"/>
        <w:left w:val="none" w:sz="0" w:space="0" w:color="auto"/>
        <w:bottom w:val="none" w:sz="0" w:space="0" w:color="auto"/>
        <w:right w:val="none" w:sz="0" w:space="0" w:color="auto"/>
      </w:divBdr>
    </w:div>
    <w:div w:id="390346815">
      <w:marLeft w:val="0"/>
      <w:marRight w:val="0"/>
      <w:marTop w:val="180"/>
      <w:marBottom w:val="180"/>
      <w:divBdr>
        <w:top w:val="none" w:sz="0" w:space="0" w:color="auto"/>
        <w:left w:val="none" w:sz="0" w:space="0" w:color="auto"/>
        <w:bottom w:val="none" w:sz="0" w:space="0" w:color="auto"/>
        <w:right w:val="none" w:sz="0" w:space="0" w:color="auto"/>
      </w:divBdr>
    </w:div>
    <w:div w:id="392044519">
      <w:marLeft w:val="0"/>
      <w:marRight w:val="0"/>
      <w:marTop w:val="180"/>
      <w:marBottom w:val="180"/>
      <w:divBdr>
        <w:top w:val="none" w:sz="0" w:space="0" w:color="auto"/>
        <w:left w:val="none" w:sz="0" w:space="0" w:color="auto"/>
        <w:bottom w:val="none" w:sz="0" w:space="0" w:color="auto"/>
        <w:right w:val="none" w:sz="0" w:space="0" w:color="auto"/>
      </w:divBdr>
    </w:div>
    <w:div w:id="392700049">
      <w:marLeft w:val="0"/>
      <w:marRight w:val="0"/>
      <w:marTop w:val="180"/>
      <w:marBottom w:val="180"/>
      <w:divBdr>
        <w:top w:val="none" w:sz="0" w:space="0" w:color="auto"/>
        <w:left w:val="none" w:sz="0" w:space="0" w:color="auto"/>
        <w:bottom w:val="none" w:sz="0" w:space="0" w:color="auto"/>
        <w:right w:val="none" w:sz="0" w:space="0" w:color="auto"/>
      </w:divBdr>
    </w:div>
    <w:div w:id="393160543">
      <w:marLeft w:val="0"/>
      <w:marRight w:val="0"/>
      <w:marTop w:val="0"/>
      <w:marBottom w:val="0"/>
      <w:divBdr>
        <w:top w:val="none" w:sz="0" w:space="0" w:color="auto"/>
        <w:left w:val="none" w:sz="0" w:space="0" w:color="auto"/>
        <w:bottom w:val="none" w:sz="0" w:space="0" w:color="auto"/>
        <w:right w:val="none" w:sz="0" w:space="0" w:color="auto"/>
      </w:divBdr>
    </w:div>
    <w:div w:id="394163705">
      <w:marLeft w:val="0"/>
      <w:marRight w:val="0"/>
      <w:marTop w:val="60"/>
      <w:marBottom w:val="60"/>
      <w:divBdr>
        <w:top w:val="none" w:sz="0" w:space="0" w:color="auto"/>
        <w:left w:val="none" w:sz="0" w:space="0" w:color="auto"/>
        <w:bottom w:val="none" w:sz="0" w:space="0" w:color="auto"/>
        <w:right w:val="none" w:sz="0" w:space="0" w:color="auto"/>
      </w:divBdr>
    </w:div>
    <w:div w:id="394426685">
      <w:marLeft w:val="0"/>
      <w:marRight w:val="0"/>
      <w:marTop w:val="180"/>
      <w:marBottom w:val="60"/>
      <w:divBdr>
        <w:top w:val="none" w:sz="0" w:space="0" w:color="auto"/>
        <w:left w:val="none" w:sz="0" w:space="0" w:color="auto"/>
        <w:bottom w:val="none" w:sz="0" w:space="0" w:color="auto"/>
        <w:right w:val="none" w:sz="0" w:space="0" w:color="auto"/>
      </w:divBdr>
    </w:div>
    <w:div w:id="395323509">
      <w:marLeft w:val="0"/>
      <w:marRight w:val="0"/>
      <w:marTop w:val="180"/>
      <w:marBottom w:val="180"/>
      <w:divBdr>
        <w:top w:val="none" w:sz="0" w:space="0" w:color="auto"/>
        <w:left w:val="none" w:sz="0" w:space="0" w:color="auto"/>
        <w:bottom w:val="none" w:sz="0" w:space="0" w:color="auto"/>
        <w:right w:val="none" w:sz="0" w:space="0" w:color="auto"/>
      </w:divBdr>
    </w:div>
    <w:div w:id="399794229">
      <w:marLeft w:val="0"/>
      <w:marRight w:val="0"/>
      <w:marTop w:val="180"/>
      <w:marBottom w:val="180"/>
      <w:divBdr>
        <w:top w:val="none" w:sz="0" w:space="0" w:color="auto"/>
        <w:left w:val="none" w:sz="0" w:space="0" w:color="auto"/>
        <w:bottom w:val="none" w:sz="0" w:space="0" w:color="auto"/>
        <w:right w:val="none" w:sz="0" w:space="0" w:color="auto"/>
      </w:divBdr>
    </w:div>
    <w:div w:id="400979152">
      <w:marLeft w:val="0"/>
      <w:marRight w:val="0"/>
      <w:marTop w:val="180"/>
      <w:marBottom w:val="180"/>
      <w:divBdr>
        <w:top w:val="none" w:sz="0" w:space="0" w:color="auto"/>
        <w:left w:val="none" w:sz="0" w:space="0" w:color="auto"/>
        <w:bottom w:val="none" w:sz="0" w:space="0" w:color="auto"/>
        <w:right w:val="none" w:sz="0" w:space="0" w:color="auto"/>
      </w:divBdr>
    </w:div>
    <w:div w:id="406266704">
      <w:marLeft w:val="0"/>
      <w:marRight w:val="0"/>
      <w:marTop w:val="60"/>
      <w:marBottom w:val="60"/>
      <w:divBdr>
        <w:top w:val="none" w:sz="0" w:space="0" w:color="auto"/>
        <w:left w:val="none" w:sz="0" w:space="0" w:color="auto"/>
        <w:bottom w:val="none" w:sz="0" w:space="0" w:color="auto"/>
        <w:right w:val="none" w:sz="0" w:space="0" w:color="auto"/>
      </w:divBdr>
    </w:div>
    <w:div w:id="406420235">
      <w:marLeft w:val="0"/>
      <w:marRight w:val="0"/>
      <w:marTop w:val="0"/>
      <w:marBottom w:val="0"/>
      <w:divBdr>
        <w:top w:val="none" w:sz="0" w:space="0" w:color="auto"/>
        <w:left w:val="none" w:sz="0" w:space="0" w:color="auto"/>
        <w:bottom w:val="none" w:sz="0" w:space="0" w:color="auto"/>
        <w:right w:val="none" w:sz="0" w:space="0" w:color="auto"/>
      </w:divBdr>
      <w:divsChild>
        <w:div w:id="1788545896">
          <w:marLeft w:val="0"/>
          <w:marRight w:val="0"/>
          <w:marTop w:val="0"/>
          <w:marBottom w:val="0"/>
          <w:divBdr>
            <w:top w:val="none" w:sz="0" w:space="0" w:color="auto"/>
            <w:left w:val="none" w:sz="0" w:space="0" w:color="auto"/>
            <w:bottom w:val="none" w:sz="0" w:space="0" w:color="auto"/>
            <w:right w:val="none" w:sz="0" w:space="0" w:color="auto"/>
          </w:divBdr>
          <w:divsChild>
            <w:div w:id="5019703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6728759">
      <w:marLeft w:val="0"/>
      <w:marRight w:val="0"/>
      <w:marTop w:val="0"/>
      <w:marBottom w:val="0"/>
      <w:divBdr>
        <w:top w:val="none" w:sz="0" w:space="0" w:color="auto"/>
        <w:left w:val="none" w:sz="0" w:space="0" w:color="auto"/>
        <w:bottom w:val="none" w:sz="0" w:space="0" w:color="auto"/>
        <w:right w:val="none" w:sz="0" w:space="0" w:color="auto"/>
      </w:divBdr>
      <w:divsChild>
        <w:div w:id="24139999">
          <w:marLeft w:val="0"/>
          <w:marRight w:val="0"/>
          <w:marTop w:val="180"/>
          <w:marBottom w:val="180"/>
          <w:divBdr>
            <w:top w:val="none" w:sz="0" w:space="0" w:color="auto"/>
            <w:left w:val="none" w:sz="0" w:space="0" w:color="auto"/>
            <w:bottom w:val="none" w:sz="0" w:space="0" w:color="auto"/>
            <w:right w:val="none" w:sz="0" w:space="0" w:color="auto"/>
          </w:divBdr>
        </w:div>
      </w:divsChild>
    </w:div>
    <w:div w:id="409037253">
      <w:marLeft w:val="0"/>
      <w:marRight w:val="0"/>
      <w:marTop w:val="60"/>
      <w:marBottom w:val="60"/>
      <w:divBdr>
        <w:top w:val="none" w:sz="0" w:space="0" w:color="auto"/>
        <w:left w:val="none" w:sz="0" w:space="0" w:color="auto"/>
        <w:bottom w:val="none" w:sz="0" w:space="0" w:color="auto"/>
        <w:right w:val="none" w:sz="0" w:space="0" w:color="auto"/>
      </w:divBdr>
    </w:div>
    <w:div w:id="411051119">
      <w:marLeft w:val="0"/>
      <w:marRight w:val="0"/>
      <w:marTop w:val="0"/>
      <w:marBottom w:val="0"/>
      <w:divBdr>
        <w:top w:val="none" w:sz="0" w:space="0" w:color="auto"/>
        <w:left w:val="none" w:sz="0" w:space="0" w:color="auto"/>
        <w:bottom w:val="none" w:sz="0" w:space="0" w:color="auto"/>
        <w:right w:val="none" w:sz="0" w:space="0" w:color="auto"/>
      </w:divBdr>
    </w:div>
    <w:div w:id="411198675">
      <w:marLeft w:val="0"/>
      <w:marRight w:val="0"/>
      <w:marTop w:val="180"/>
      <w:marBottom w:val="60"/>
      <w:divBdr>
        <w:top w:val="none" w:sz="0" w:space="0" w:color="auto"/>
        <w:left w:val="none" w:sz="0" w:space="0" w:color="auto"/>
        <w:bottom w:val="none" w:sz="0" w:space="0" w:color="auto"/>
        <w:right w:val="none" w:sz="0" w:space="0" w:color="auto"/>
      </w:divBdr>
    </w:div>
    <w:div w:id="411775309">
      <w:marLeft w:val="0"/>
      <w:marRight w:val="0"/>
      <w:marTop w:val="180"/>
      <w:marBottom w:val="180"/>
      <w:divBdr>
        <w:top w:val="none" w:sz="0" w:space="0" w:color="auto"/>
        <w:left w:val="none" w:sz="0" w:space="0" w:color="auto"/>
        <w:bottom w:val="none" w:sz="0" w:space="0" w:color="auto"/>
        <w:right w:val="none" w:sz="0" w:space="0" w:color="auto"/>
      </w:divBdr>
    </w:div>
    <w:div w:id="412095576">
      <w:marLeft w:val="0"/>
      <w:marRight w:val="0"/>
      <w:marTop w:val="0"/>
      <w:marBottom w:val="0"/>
      <w:divBdr>
        <w:top w:val="none" w:sz="0" w:space="0" w:color="auto"/>
        <w:left w:val="none" w:sz="0" w:space="0" w:color="auto"/>
        <w:bottom w:val="none" w:sz="0" w:space="0" w:color="auto"/>
        <w:right w:val="none" w:sz="0" w:space="0" w:color="auto"/>
      </w:divBdr>
    </w:div>
    <w:div w:id="413286685">
      <w:marLeft w:val="0"/>
      <w:marRight w:val="0"/>
      <w:marTop w:val="180"/>
      <w:marBottom w:val="180"/>
      <w:divBdr>
        <w:top w:val="none" w:sz="0" w:space="0" w:color="auto"/>
        <w:left w:val="none" w:sz="0" w:space="0" w:color="auto"/>
        <w:bottom w:val="none" w:sz="0" w:space="0" w:color="auto"/>
        <w:right w:val="none" w:sz="0" w:space="0" w:color="auto"/>
      </w:divBdr>
    </w:div>
    <w:div w:id="413405941">
      <w:marLeft w:val="0"/>
      <w:marRight w:val="0"/>
      <w:marTop w:val="0"/>
      <w:marBottom w:val="0"/>
      <w:divBdr>
        <w:top w:val="none" w:sz="0" w:space="0" w:color="auto"/>
        <w:left w:val="none" w:sz="0" w:space="0" w:color="auto"/>
        <w:bottom w:val="none" w:sz="0" w:space="0" w:color="auto"/>
        <w:right w:val="none" w:sz="0" w:space="0" w:color="auto"/>
      </w:divBdr>
      <w:divsChild>
        <w:div w:id="1705668039">
          <w:marLeft w:val="0"/>
          <w:marRight w:val="0"/>
          <w:marTop w:val="0"/>
          <w:marBottom w:val="0"/>
          <w:divBdr>
            <w:top w:val="none" w:sz="0" w:space="0" w:color="auto"/>
            <w:left w:val="none" w:sz="0" w:space="0" w:color="auto"/>
            <w:bottom w:val="none" w:sz="0" w:space="0" w:color="auto"/>
            <w:right w:val="none" w:sz="0" w:space="0" w:color="auto"/>
          </w:divBdr>
          <w:divsChild>
            <w:div w:id="12457953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3551216">
      <w:marLeft w:val="0"/>
      <w:marRight w:val="0"/>
      <w:marTop w:val="180"/>
      <w:marBottom w:val="180"/>
      <w:divBdr>
        <w:top w:val="none" w:sz="0" w:space="0" w:color="auto"/>
        <w:left w:val="none" w:sz="0" w:space="0" w:color="auto"/>
        <w:bottom w:val="none" w:sz="0" w:space="0" w:color="auto"/>
        <w:right w:val="none" w:sz="0" w:space="0" w:color="auto"/>
      </w:divBdr>
    </w:div>
    <w:div w:id="414740369">
      <w:marLeft w:val="0"/>
      <w:marRight w:val="0"/>
      <w:marTop w:val="0"/>
      <w:marBottom w:val="0"/>
      <w:divBdr>
        <w:top w:val="none" w:sz="0" w:space="0" w:color="auto"/>
        <w:left w:val="none" w:sz="0" w:space="0" w:color="auto"/>
        <w:bottom w:val="none" w:sz="0" w:space="0" w:color="auto"/>
        <w:right w:val="none" w:sz="0" w:space="0" w:color="auto"/>
      </w:divBdr>
      <w:divsChild>
        <w:div w:id="1899437469">
          <w:marLeft w:val="0"/>
          <w:marRight w:val="0"/>
          <w:marTop w:val="0"/>
          <w:marBottom w:val="0"/>
          <w:divBdr>
            <w:top w:val="none" w:sz="0" w:space="0" w:color="auto"/>
            <w:left w:val="none" w:sz="0" w:space="0" w:color="auto"/>
            <w:bottom w:val="none" w:sz="0" w:space="0" w:color="auto"/>
            <w:right w:val="none" w:sz="0" w:space="0" w:color="auto"/>
          </w:divBdr>
          <w:divsChild>
            <w:div w:id="6169840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5329440">
      <w:marLeft w:val="0"/>
      <w:marRight w:val="0"/>
      <w:marTop w:val="100"/>
      <w:marBottom w:val="100"/>
      <w:divBdr>
        <w:top w:val="none" w:sz="0" w:space="0" w:color="auto"/>
        <w:left w:val="none" w:sz="0" w:space="0" w:color="auto"/>
        <w:bottom w:val="none" w:sz="0" w:space="0" w:color="auto"/>
        <w:right w:val="none" w:sz="0" w:space="0" w:color="auto"/>
      </w:divBdr>
    </w:div>
    <w:div w:id="419758577">
      <w:marLeft w:val="0"/>
      <w:marRight w:val="0"/>
      <w:marTop w:val="0"/>
      <w:marBottom w:val="0"/>
      <w:divBdr>
        <w:top w:val="none" w:sz="0" w:space="0" w:color="auto"/>
        <w:left w:val="none" w:sz="0" w:space="0" w:color="auto"/>
        <w:bottom w:val="none" w:sz="0" w:space="0" w:color="auto"/>
        <w:right w:val="none" w:sz="0" w:space="0" w:color="auto"/>
      </w:divBdr>
      <w:divsChild>
        <w:div w:id="611281795">
          <w:marLeft w:val="0"/>
          <w:marRight w:val="0"/>
          <w:marTop w:val="0"/>
          <w:marBottom w:val="0"/>
          <w:divBdr>
            <w:top w:val="none" w:sz="0" w:space="0" w:color="auto"/>
            <w:left w:val="none" w:sz="0" w:space="0" w:color="auto"/>
            <w:bottom w:val="none" w:sz="0" w:space="0" w:color="auto"/>
            <w:right w:val="none" w:sz="0" w:space="0" w:color="auto"/>
          </w:divBdr>
          <w:divsChild>
            <w:div w:id="10854898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1876713">
      <w:marLeft w:val="0"/>
      <w:marRight w:val="0"/>
      <w:marTop w:val="100"/>
      <w:marBottom w:val="100"/>
      <w:divBdr>
        <w:top w:val="none" w:sz="0" w:space="0" w:color="auto"/>
        <w:left w:val="none" w:sz="0" w:space="0" w:color="auto"/>
        <w:bottom w:val="none" w:sz="0" w:space="0" w:color="auto"/>
        <w:right w:val="none" w:sz="0" w:space="0" w:color="auto"/>
      </w:divBdr>
      <w:divsChild>
        <w:div w:id="461656258">
          <w:marLeft w:val="0"/>
          <w:marRight w:val="0"/>
          <w:marTop w:val="0"/>
          <w:marBottom w:val="0"/>
          <w:divBdr>
            <w:top w:val="none" w:sz="0" w:space="0" w:color="auto"/>
            <w:left w:val="none" w:sz="0" w:space="0" w:color="auto"/>
            <w:bottom w:val="none" w:sz="0" w:space="0" w:color="auto"/>
            <w:right w:val="none" w:sz="0" w:space="0" w:color="auto"/>
          </w:divBdr>
        </w:div>
        <w:div w:id="1075936358">
          <w:marLeft w:val="0"/>
          <w:marRight w:val="0"/>
          <w:marTop w:val="0"/>
          <w:marBottom w:val="0"/>
          <w:divBdr>
            <w:top w:val="none" w:sz="0" w:space="0" w:color="auto"/>
            <w:left w:val="none" w:sz="0" w:space="0" w:color="auto"/>
            <w:bottom w:val="none" w:sz="0" w:space="0" w:color="auto"/>
            <w:right w:val="none" w:sz="0" w:space="0" w:color="auto"/>
          </w:divBdr>
        </w:div>
      </w:divsChild>
    </w:div>
    <w:div w:id="422722140">
      <w:marLeft w:val="0"/>
      <w:marRight w:val="0"/>
      <w:marTop w:val="180"/>
      <w:marBottom w:val="180"/>
      <w:divBdr>
        <w:top w:val="none" w:sz="0" w:space="0" w:color="auto"/>
        <w:left w:val="none" w:sz="0" w:space="0" w:color="auto"/>
        <w:bottom w:val="none" w:sz="0" w:space="0" w:color="auto"/>
        <w:right w:val="none" w:sz="0" w:space="0" w:color="auto"/>
      </w:divBdr>
    </w:div>
    <w:div w:id="423458468">
      <w:marLeft w:val="0"/>
      <w:marRight w:val="0"/>
      <w:marTop w:val="0"/>
      <w:marBottom w:val="0"/>
      <w:divBdr>
        <w:top w:val="none" w:sz="0" w:space="0" w:color="auto"/>
        <w:left w:val="none" w:sz="0" w:space="0" w:color="auto"/>
        <w:bottom w:val="none" w:sz="0" w:space="0" w:color="auto"/>
        <w:right w:val="none" w:sz="0" w:space="0" w:color="auto"/>
      </w:divBdr>
      <w:divsChild>
        <w:div w:id="743066650">
          <w:marLeft w:val="0"/>
          <w:marRight w:val="0"/>
          <w:marTop w:val="0"/>
          <w:marBottom w:val="0"/>
          <w:divBdr>
            <w:top w:val="none" w:sz="0" w:space="0" w:color="auto"/>
            <w:left w:val="none" w:sz="0" w:space="0" w:color="auto"/>
            <w:bottom w:val="none" w:sz="0" w:space="0" w:color="auto"/>
            <w:right w:val="none" w:sz="0" w:space="0" w:color="auto"/>
          </w:divBdr>
          <w:divsChild>
            <w:div w:id="5354303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3460541">
      <w:marLeft w:val="0"/>
      <w:marRight w:val="0"/>
      <w:marTop w:val="180"/>
      <w:marBottom w:val="60"/>
      <w:divBdr>
        <w:top w:val="none" w:sz="0" w:space="0" w:color="auto"/>
        <w:left w:val="none" w:sz="0" w:space="0" w:color="auto"/>
        <w:bottom w:val="none" w:sz="0" w:space="0" w:color="auto"/>
        <w:right w:val="none" w:sz="0" w:space="0" w:color="auto"/>
      </w:divBdr>
    </w:div>
    <w:div w:id="424114586">
      <w:marLeft w:val="0"/>
      <w:marRight w:val="0"/>
      <w:marTop w:val="180"/>
      <w:marBottom w:val="180"/>
      <w:divBdr>
        <w:top w:val="none" w:sz="0" w:space="0" w:color="auto"/>
        <w:left w:val="none" w:sz="0" w:space="0" w:color="auto"/>
        <w:bottom w:val="none" w:sz="0" w:space="0" w:color="auto"/>
        <w:right w:val="none" w:sz="0" w:space="0" w:color="auto"/>
      </w:divBdr>
    </w:div>
    <w:div w:id="425270423">
      <w:marLeft w:val="0"/>
      <w:marRight w:val="0"/>
      <w:marTop w:val="60"/>
      <w:marBottom w:val="60"/>
      <w:divBdr>
        <w:top w:val="none" w:sz="0" w:space="0" w:color="auto"/>
        <w:left w:val="none" w:sz="0" w:space="0" w:color="auto"/>
        <w:bottom w:val="none" w:sz="0" w:space="0" w:color="auto"/>
        <w:right w:val="none" w:sz="0" w:space="0" w:color="auto"/>
      </w:divBdr>
    </w:div>
    <w:div w:id="428426673">
      <w:marLeft w:val="0"/>
      <w:marRight w:val="0"/>
      <w:marTop w:val="180"/>
      <w:marBottom w:val="180"/>
      <w:divBdr>
        <w:top w:val="none" w:sz="0" w:space="0" w:color="auto"/>
        <w:left w:val="none" w:sz="0" w:space="0" w:color="auto"/>
        <w:bottom w:val="none" w:sz="0" w:space="0" w:color="auto"/>
        <w:right w:val="none" w:sz="0" w:space="0" w:color="auto"/>
      </w:divBdr>
    </w:div>
    <w:div w:id="429854413">
      <w:marLeft w:val="0"/>
      <w:marRight w:val="0"/>
      <w:marTop w:val="180"/>
      <w:marBottom w:val="60"/>
      <w:divBdr>
        <w:top w:val="none" w:sz="0" w:space="0" w:color="auto"/>
        <w:left w:val="none" w:sz="0" w:space="0" w:color="auto"/>
        <w:bottom w:val="none" w:sz="0" w:space="0" w:color="auto"/>
        <w:right w:val="none" w:sz="0" w:space="0" w:color="auto"/>
      </w:divBdr>
    </w:div>
    <w:div w:id="436021705">
      <w:marLeft w:val="0"/>
      <w:marRight w:val="0"/>
      <w:marTop w:val="0"/>
      <w:marBottom w:val="0"/>
      <w:divBdr>
        <w:top w:val="none" w:sz="0" w:space="0" w:color="auto"/>
        <w:left w:val="none" w:sz="0" w:space="0" w:color="auto"/>
        <w:bottom w:val="none" w:sz="0" w:space="0" w:color="auto"/>
        <w:right w:val="none" w:sz="0" w:space="0" w:color="auto"/>
      </w:divBdr>
      <w:divsChild>
        <w:div w:id="739598283">
          <w:marLeft w:val="0"/>
          <w:marRight w:val="0"/>
          <w:marTop w:val="0"/>
          <w:marBottom w:val="0"/>
          <w:divBdr>
            <w:top w:val="none" w:sz="0" w:space="0" w:color="auto"/>
            <w:left w:val="none" w:sz="0" w:space="0" w:color="auto"/>
            <w:bottom w:val="none" w:sz="0" w:space="0" w:color="auto"/>
            <w:right w:val="none" w:sz="0" w:space="0" w:color="auto"/>
          </w:divBdr>
          <w:divsChild>
            <w:div w:id="15443194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9103100">
      <w:marLeft w:val="0"/>
      <w:marRight w:val="0"/>
      <w:marTop w:val="180"/>
      <w:marBottom w:val="180"/>
      <w:divBdr>
        <w:top w:val="none" w:sz="0" w:space="0" w:color="auto"/>
        <w:left w:val="none" w:sz="0" w:space="0" w:color="auto"/>
        <w:bottom w:val="none" w:sz="0" w:space="0" w:color="auto"/>
        <w:right w:val="none" w:sz="0" w:space="0" w:color="auto"/>
      </w:divBdr>
    </w:div>
    <w:div w:id="439449351">
      <w:marLeft w:val="0"/>
      <w:marRight w:val="0"/>
      <w:marTop w:val="180"/>
      <w:marBottom w:val="180"/>
      <w:divBdr>
        <w:top w:val="none" w:sz="0" w:space="0" w:color="auto"/>
        <w:left w:val="none" w:sz="0" w:space="0" w:color="auto"/>
        <w:bottom w:val="none" w:sz="0" w:space="0" w:color="auto"/>
        <w:right w:val="none" w:sz="0" w:space="0" w:color="auto"/>
      </w:divBdr>
    </w:div>
    <w:div w:id="439574065">
      <w:marLeft w:val="0"/>
      <w:marRight w:val="0"/>
      <w:marTop w:val="0"/>
      <w:marBottom w:val="0"/>
      <w:divBdr>
        <w:top w:val="none" w:sz="0" w:space="0" w:color="auto"/>
        <w:left w:val="none" w:sz="0" w:space="0" w:color="auto"/>
        <w:bottom w:val="none" w:sz="0" w:space="0" w:color="auto"/>
        <w:right w:val="none" w:sz="0" w:space="0" w:color="auto"/>
      </w:divBdr>
    </w:div>
    <w:div w:id="439647353">
      <w:marLeft w:val="0"/>
      <w:marRight w:val="0"/>
      <w:marTop w:val="180"/>
      <w:marBottom w:val="180"/>
      <w:divBdr>
        <w:top w:val="none" w:sz="0" w:space="0" w:color="auto"/>
        <w:left w:val="none" w:sz="0" w:space="0" w:color="auto"/>
        <w:bottom w:val="none" w:sz="0" w:space="0" w:color="auto"/>
        <w:right w:val="none" w:sz="0" w:space="0" w:color="auto"/>
      </w:divBdr>
    </w:div>
    <w:div w:id="440300614">
      <w:marLeft w:val="0"/>
      <w:marRight w:val="0"/>
      <w:marTop w:val="0"/>
      <w:marBottom w:val="0"/>
      <w:divBdr>
        <w:top w:val="none" w:sz="0" w:space="0" w:color="auto"/>
        <w:left w:val="none" w:sz="0" w:space="0" w:color="auto"/>
        <w:bottom w:val="none" w:sz="0" w:space="0" w:color="auto"/>
        <w:right w:val="none" w:sz="0" w:space="0" w:color="auto"/>
      </w:divBdr>
    </w:div>
    <w:div w:id="445121119">
      <w:marLeft w:val="0"/>
      <w:marRight w:val="0"/>
      <w:marTop w:val="180"/>
      <w:marBottom w:val="60"/>
      <w:divBdr>
        <w:top w:val="none" w:sz="0" w:space="0" w:color="auto"/>
        <w:left w:val="none" w:sz="0" w:space="0" w:color="auto"/>
        <w:bottom w:val="none" w:sz="0" w:space="0" w:color="auto"/>
        <w:right w:val="none" w:sz="0" w:space="0" w:color="auto"/>
      </w:divBdr>
    </w:div>
    <w:div w:id="447816210">
      <w:marLeft w:val="0"/>
      <w:marRight w:val="0"/>
      <w:marTop w:val="0"/>
      <w:marBottom w:val="0"/>
      <w:divBdr>
        <w:top w:val="none" w:sz="0" w:space="0" w:color="auto"/>
        <w:left w:val="none" w:sz="0" w:space="0" w:color="auto"/>
        <w:bottom w:val="none" w:sz="0" w:space="0" w:color="auto"/>
        <w:right w:val="none" w:sz="0" w:space="0" w:color="auto"/>
      </w:divBdr>
      <w:divsChild>
        <w:div w:id="949320940">
          <w:marLeft w:val="0"/>
          <w:marRight w:val="0"/>
          <w:marTop w:val="0"/>
          <w:marBottom w:val="0"/>
          <w:divBdr>
            <w:top w:val="none" w:sz="0" w:space="0" w:color="auto"/>
            <w:left w:val="none" w:sz="0" w:space="0" w:color="auto"/>
            <w:bottom w:val="none" w:sz="0" w:space="0" w:color="auto"/>
            <w:right w:val="none" w:sz="0" w:space="0" w:color="auto"/>
          </w:divBdr>
          <w:divsChild>
            <w:div w:id="3821703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0049008">
      <w:marLeft w:val="0"/>
      <w:marRight w:val="0"/>
      <w:marTop w:val="180"/>
      <w:marBottom w:val="180"/>
      <w:divBdr>
        <w:top w:val="none" w:sz="0" w:space="0" w:color="auto"/>
        <w:left w:val="none" w:sz="0" w:space="0" w:color="auto"/>
        <w:bottom w:val="none" w:sz="0" w:space="0" w:color="auto"/>
        <w:right w:val="none" w:sz="0" w:space="0" w:color="auto"/>
      </w:divBdr>
    </w:div>
    <w:div w:id="450318071">
      <w:marLeft w:val="0"/>
      <w:marRight w:val="0"/>
      <w:marTop w:val="60"/>
      <w:marBottom w:val="60"/>
      <w:divBdr>
        <w:top w:val="none" w:sz="0" w:space="0" w:color="auto"/>
        <w:left w:val="none" w:sz="0" w:space="0" w:color="auto"/>
        <w:bottom w:val="none" w:sz="0" w:space="0" w:color="auto"/>
        <w:right w:val="none" w:sz="0" w:space="0" w:color="auto"/>
      </w:divBdr>
    </w:div>
    <w:div w:id="451479909">
      <w:marLeft w:val="0"/>
      <w:marRight w:val="0"/>
      <w:marTop w:val="100"/>
      <w:marBottom w:val="0"/>
      <w:divBdr>
        <w:top w:val="none" w:sz="0" w:space="0" w:color="auto"/>
        <w:left w:val="none" w:sz="0" w:space="0" w:color="auto"/>
        <w:bottom w:val="none" w:sz="0" w:space="0" w:color="auto"/>
        <w:right w:val="none" w:sz="0" w:space="0" w:color="auto"/>
      </w:divBdr>
    </w:div>
    <w:div w:id="452016418">
      <w:marLeft w:val="0"/>
      <w:marRight w:val="0"/>
      <w:marTop w:val="180"/>
      <w:marBottom w:val="180"/>
      <w:divBdr>
        <w:top w:val="none" w:sz="0" w:space="0" w:color="auto"/>
        <w:left w:val="none" w:sz="0" w:space="0" w:color="auto"/>
        <w:bottom w:val="none" w:sz="0" w:space="0" w:color="auto"/>
        <w:right w:val="none" w:sz="0" w:space="0" w:color="auto"/>
      </w:divBdr>
    </w:div>
    <w:div w:id="452141247">
      <w:marLeft w:val="0"/>
      <w:marRight w:val="0"/>
      <w:marTop w:val="180"/>
      <w:marBottom w:val="180"/>
      <w:divBdr>
        <w:top w:val="none" w:sz="0" w:space="0" w:color="auto"/>
        <w:left w:val="none" w:sz="0" w:space="0" w:color="auto"/>
        <w:bottom w:val="none" w:sz="0" w:space="0" w:color="auto"/>
        <w:right w:val="none" w:sz="0" w:space="0" w:color="auto"/>
      </w:divBdr>
    </w:div>
    <w:div w:id="452871737">
      <w:marLeft w:val="0"/>
      <w:marRight w:val="0"/>
      <w:marTop w:val="180"/>
      <w:marBottom w:val="180"/>
      <w:divBdr>
        <w:top w:val="none" w:sz="0" w:space="0" w:color="auto"/>
        <w:left w:val="none" w:sz="0" w:space="0" w:color="auto"/>
        <w:bottom w:val="none" w:sz="0" w:space="0" w:color="auto"/>
        <w:right w:val="none" w:sz="0" w:space="0" w:color="auto"/>
      </w:divBdr>
    </w:div>
    <w:div w:id="453058927">
      <w:marLeft w:val="0"/>
      <w:marRight w:val="0"/>
      <w:marTop w:val="100"/>
      <w:marBottom w:val="100"/>
      <w:divBdr>
        <w:top w:val="none" w:sz="0" w:space="0" w:color="auto"/>
        <w:left w:val="none" w:sz="0" w:space="0" w:color="auto"/>
        <w:bottom w:val="none" w:sz="0" w:space="0" w:color="auto"/>
        <w:right w:val="none" w:sz="0" w:space="0" w:color="auto"/>
      </w:divBdr>
    </w:div>
    <w:div w:id="454911735">
      <w:marLeft w:val="0"/>
      <w:marRight w:val="0"/>
      <w:marTop w:val="180"/>
      <w:marBottom w:val="180"/>
      <w:divBdr>
        <w:top w:val="none" w:sz="0" w:space="0" w:color="auto"/>
        <w:left w:val="none" w:sz="0" w:space="0" w:color="auto"/>
        <w:bottom w:val="none" w:sz="0" w:space="0" w:color="auto"/>
        <w:right w:val="none" w:sz="0" w:space="0" w:color="auto"/>
      </w:divBdr>
    </w:div>
    <w:div w:id="459761369">
      <w:marLeft w:val="0"/>
      <w:marRight w:val="0"/>
      <w:marTop w:val="0"/>
      <w:marBottom w:val="0"/>
      <w:divBdr>
        <w:top w:val="none" w:sz="0" w:space="0" w:color="auto"/>
        <w:left w:val="none" w:sz="0" w:space="0" w:color="auto"/>
        <w:bottom w:val="none" w:sz="0" w:space="0" w:color="auto"/>
        <w:right w:val="none" w:sz="0" w:space="0" w:color="auto"/>
      </w:divBdr>
      <w:divsChild>
        <w:div w:id="1009218972">
          <w:marLeft w:val="0"/>
          <w:marRight w:val="0"/>
          <w:marTop w:val="180"/>
          <w:marBottom w:val="180"/>
          <w:divBdr>
            <w:top w:val="none" w:sz="0" w:space="0" w:color="auto"/>
            <w:left w:val="none" w:sz="0" w:space="0" w:color="auto"/>
            <w:bottom w:val="none" w:sz="0" w:space="0" w:color="auto"/>
            <w:right w:val="none" w:sz="0" w:space="0" w:color="auto"/>
          </w:divBdr>
        </w:div>
      </w:divsChild>
    </w:div>
    <w:div w:id="461844723">
      <w:marLeft w:val="0"/>
      <w:marRight w:val="0"/>
      <w:marTop w:val="180"/>
      <w:marBottom w:val="180"/>
      <w:divBdr>
        <w:top w:val="none" w:sz="0" w:space="0" w:color="auto"/>
        <w:left w:val="none" w:sz="0" w:space="0" w:color="auto"/>
        <w:bottom w:val="none" w:sz="0" w:space="0" w:color="auto"/>
        <w:right w:val="none" w:sz="0" w:space="0" w:color="auto"/>
      </w:divBdr>
    </w:div>
    <w:div w:id="465244109">
      <w:marLeft w:val="0"/>
      <w:marRight w:val="0"/>
      <w:marTop w:val="180"/>
      <w:marBottom w:val="180"/>
      <w:divBdr>
        <w:top w:val="none" w:sz="0" w:space="0" w:color="auto"/>
        <w:left w:val="none" w:sz="0" w:space="0" w:color="auto"/>
        <w:bottom w:val="none" w:sz="0" w:space="0" w:color="auto"/>
        <w:right w:val="none" w:sz="0" w:space="0" w:color="auto"/>
      </w:divBdr>
    </w:div>
    <w:div w:id="466817490">
      <w:marLeft w:val="0"/>
      <w:marRight w:val="0"/>
      <w:marTop w:val="60"/>
      <w:marBottom w:val="60"/>
      <w:divBdr>
        <w:top w:val="none" w:sz="0" w:space="0" w:color="auto"/>
        <w:left w:val="none" w:sz="0" w:space="0" w:color="auto"/>
        <w:bottom w:val="none" w:sz="0" w:space="0" w:color="auto"/>
        <w:right w:val="none" w:sz="0" w:space="0" w:color="auto"/>
      </w:divBdr>
    </w:div>
    <w:div w:id="467090296">
      <w:marLeft w:val="0"/>
      <w:marRight w:val="0"/>
      <w:marTop w:val="180"/>
      <w:marBottom w:val="0"/>
      <w:divBdr>
        <w:top w:val="none" w:sz="0" w:space="0" w:color="auto"/>
        <w:left w:val="none" w:sz="0" w:space="0" w:color="auto"/>
        <w:bottom w:val="none" w:sz="0" w:space="0" w:color="auto"/>
        <w:right w:val="none" w:sz="0" w:space="0" w:color="auto"/>
      </w:divBdr>
    </w:div>
    <w:div w:id="467356928">
      <w:marLeft w:val="0"/>
      <w:marRight w:val="0"/>
      <w:marTop w:val="180"/>
      <w:marBottom w:val="180"/>
      <w:divBdr>
        <w:top w:val="none" w:sz="0" w:space="0" w:color="auto"/>
        <w:left w:val="none" w:sz="0" w:space="0" w:color="auto"/>
        <w:bottom w:val="none" w:sz="0" w:space="0" w:color="auto"/>
        <w:right w:val="none" w:sz="0" w:space="0" w:color="auto"/>
      </w:divBdr>
    </w:div>
    <w:div w:id="469635815">
      <w:marLeft w:val="0"/>
      <w:marRight w:val="0"/>
      <w:marTop w:val="60"/>
      <w:marBottom w:val="60"/>
      <w:divBdr>
        <w:top w:val="none" w:sz="0" w:space="0" w:color="auto"/>
        <w:left w:val="none" w:sz="0" w:space="0" w:color="auto"/>
        <w:bottom w:val="none" w:sz="0" w:space="0" w:color="auto"/>
        <w:right w:val="none" w:sz="0" w:space="0" w:color="auto"/>
      </w:divBdr>
    </w:div>
    <w:div w:id="470024729">
      <w:marLeft w:val="0"/>
      <w:marRight w:val="0"/>
      <w:marTop w:val="180"/>
      <w:marBottom w:val="180"/>
      <w:divBdr>
        <w:top w:val="none" w:sz="0" w:space="0" w:color="auto"/>
        <w:left w:val="none" w:sz="0" w:space="0" w:color="auto"/>
        <w:bottom w:val="none" w:sz="0" w:space="0" w:color="auto"/>
        <w:right w:val="none" w:sz="0" w:space="0" w:color="auto"/>
      </w:divBdr>
    </w:div>
    <w:div w:id="471484306">
      <w:marLeft w:val="0"/>
      <w:marRight w:val="0"/>
      <w:marTop w:val="100"/>
      <w:marBottom w:val="100"/>
      <w:divBdr>
        <w:top w:val="none" w:sz="0" w:space="0" w:color="auto"/>
        <w:left w:val="none" w:sz="0" w:space="0" w:color="auto"/>
        <w:bottom w:val="none" w:sz="0" w:space="0" w:color="auto"/>
        <w:right w:val="none" w:sz="0" w:space="0" w:color="auto"/>
      </w:divBdr>
    </w:div>
    <w:div w:id="471599700">
      <w:marLeft w:val="0"/>
      <w:marRight w:val="0"/>
      <w:marTop w:val="180"/>
      <w:marBottom w:val="180"/>
      <w:divBdr>
        <w:top w:val="none" w:sz="0" w:space="0" w:color="auto"/>
        <w:left w:val="none" w:sz="0" w:space="0" w:color="auto"/>
        <w:bottom w:val="none" w:sz="0" w:space="0" w:color="auto"/>
        <w:right w:val="none" w:sz="0" w:space="0" w:color="auto"/>
      </w:divBdr>
    </w:div>
    <w:div w:id="472915610">
      <w:marLeft w:val="0"/>
      <w:marRight w:val="0"/>
      <w:marTop w:val="180"/>
      <w:marBottom w:val="180"/>
      <w:divBdr>
        <w:top w:val="none" w:sz="0" w:space="0" w:color="auto"/>
        <w:left w:val="none" w:sz="0" w:space="0" w:color="auto"/>
        <w:bottom w:val="none" w:sz="0" w:space="0" w:color="auto"/>
        <w:right w:val="none" w:sz="0" w:space="0" w:color="auto"/>
      </w:divBdr>
    </w:div>
    <w:div w:id="473330661">
      <w:marLeft w:val="0"/>
      <w:marRight w:val="0"/>
      <w:marTop w:val="180"/>
      <w:marBottom w:val="180"/>
      <w:divBdr>
        <w:top w:val="none" w:sz="0" w:space="0" w:color="auto"/>
        <w:left w:val="none" w:sz="0" w:space="0" w:color="auto"/>
        <w:bottom w:val="none" w:sz="0" w:space="0" w:color="auto"/>
        <w:right w:val="none" w:sz="0" w:space="0" w:color="auto"/>
      </w:divBdr>
    </w:div>
    <w:div w:id="474294159">
      <w:marLeft w:val="0"/>
      <w:marRight w:val="0"/>
      <w:marTop w:val="60"/>
      <w:marBottom w:val="60"/>
      <w:divBdr>
        <w:top w:val="none" w:sz="0" w:space="0" w:color="auto"/>
        <w:left w:val="none" w:sz="0" w:space="0" w:color="auto"/>
        <w:bottom w:val="none" w:sz="0" w:space="0" w:color="auto"/>
        <w:right w:val="none" w:sz="0" w:space="0" w:color="auto"/>
      </w:divBdr>
    </w:div>
    <w:div w:id="474298668">
      <w:marLeft w:val="0"/>
      <w:marRight w:val="0"/>
      <w:marTop w:val="0"/>
      <w:marBottom w:val="0"/>
      <w:divBdr>
        <w:top w:val="none" w:sz="0" w:space="0" w:color="auto"/>
        <w:left w:val="none" w:sz="0" w:space="0" w:color="auto"/>
        <w:bottom w:val="none" w:sz="0" w:space="0" w:color="auto"/>
        <w:right w:val="none" w:sz="0" w:space="0" w:color="auto"/>
      </w:divBdr>
      <w:divsChild>
        <w:div w:id="867179776">
          <w:marLeft w:val="0"/>
          <w:marRight w:val="0"/>
          <w:marTop w:val="180"/>
          <w:marBottom w:val="180"/>
          <w:divBdr>
            <w:top w:val="none" w:sz="0" w:space="0" w:color="auto"/>
            <w:left w:val="none" w:sz="0" w:space="0" w:color="auto"/>
            <w:bottom w:val="none" w:sz="0" w:space="0" w:color="auto"/>
            <w:right w:val="none" w:sz="0" w:space="0" w:color="auto"/>
          </w:divBdr>
        </w:div>
      </w:divsChild>
    </w:div>
    <w:div w:id="474378678">
      <w:marLeft w:val="0"/>
      <w:marRight w:val="0"/>
      <w:marTop w:val="180"/>
      <w:marBottom w:val="180"/>
      <w:divBdr>
        <w:top w:val="none" w:sz="0" w:space="0" w:color="auto"/>
        <w:left w:val="none" w:sz="0" w:space="0" w:color="auto"/>
        <w:bottom w:val="none" w:sz="0" w:space="0" w:color="auto"/>
        <w:right w:val="none" w:sz="0" w:space="0" w:color="auto"/>
      </w:divBdr>
    </w:div>
    <w:div w:id="476995871">
      <w:marLeft w:val="0"/>
      <w:marRight w:val="0"/>
      <w:marTop w:val="180"/>
      <w:marBottom w:val="180"/>
      <w:divBdr>
        <w:top w:val="none" w:sz="0" w:space="0" w:color="auto"/>
        <w:left w:val="none" w:sz="0" w:space="0" w:color="auto"/>
        <w:bottom w:val="none" w:sz="0" w:space="0" w:color="auto"/>
        <w:right w:val="none" w:sz="0" w:space="0" w:color="auto"/>
      </w:divBdr>
    </w:div>
    <w:div w:id="479542475">
      <w:marLeft w:val="0"/>
      <w:marRight w:val="0"/>
      <w:marTop w:val="180"/>
      <w:marBottom w:val="180"/>
      <w:divBdr>
        <w:top w:val="none" w:sz="0" w:space="0" w:color="auto"/>
        <w:left w:val="none" w:sz="0" w:space="0" w:color="auto"/>
        <w:bottom w:val="none" w:sz="0" w:space="0" w:color="auto"/>
        <w:right w:val="none" w:sz="0" w:space="0" w:color="auto"/>
      </w:divBdr>
    </w:div>
    <w:div w:id="479545882">
      <w:marLeft w:val="0"/>
      <w:marRight w:val="0"/>
      <w:marTop w:val="180"/>
      <w:marBottom w:val="180"/>
      <w:divBdr>
        <w:top w:val="none" w:sz="0" w:space="0" w:color="auto"/>
        <w:left w:val="none" w:sz="0" w:space="0" w:color="auto"/>
        <w:bottom w:val="none" w:sz="0" w:space="0" w:color="auto"/>
        <w:right w:val="none" w:sz="0" w:space="0" w:color="auto"/>
      </w:divBdr>
    </w:div>
    <w:div w:id="484393037">
      <w:marLeft w:val="0"/>
      <w:marRight w:val="0"/>
      <w:marTop w:val="180"/>
      <w:marBottom w:val="180"/>
      <w:divBdr>
        <w:top w:val="none" w:sz="0" w:space="0" w:color="auto"/>
        <w:left w:val="none" w:sz="0" w:space="0" w:color="auto"/>
        <w:bottom w:val="none" w:sz="0" w:space="0" w:color="auto"/>
        <w:right w:val="none" w:sz="0" w:space="0" w:color="auto"/>
      </w:divBdr>
    </w:div>
    <w:div w:id="484398081">
      <w:marLeft w:val="0"/>
      <w:marRight w:val="0"/>
      <w:marTop w:val="0"/>
      <w:marBottom w:val="0"/>
      <w:divBdr>
        <w:top w:val="none" w:sz="0" w:space="0" w:color="auto"/>
        <w:left w:val="none" w:sz="0" w:space="0" w:color="auto"/>
        <w:bottom w:val="none" w:sz="0" w:space="0" w:color="auto"/>
        <w:right w:val="none" w:sz="0" w:space="0" w:color="auto"/>
      </w:divBdr>
      <w:divsChild>
        <w:div w:id="1192038729">
          <w:marLeft w:val="0"/>
          <w:marRight w:val="0"/>
          <w:marTop w:val="0"/>
          <w:marBottom w:val="0"/>
          <w:divBdr>
            <w:top w:val="none" w:sz="0" w:space="0" w:color="auto"/>
            <w:left w:val="none" w:sz="0" w:space="0" w:color="auto"/>
            <w:bottom w:val="none" w:sz="0" w:space="0" w:color="auto"/>
            <w:right w:val="none" w:sz="0" w:space="0" w:color="auto"/>
          </w:divBdr>
          <w:divsChild>
            <w:div w:id="15322590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6628746">
      <w:marLeft w:val="0"/>
      <w:marRight w:val="0"/>
      <w:marTop w:val="180"/>
      <w:marBottom w:val="60"/>
      <w:divBdr>
        <w:top w:val="none" w:sz="0" w:space="0" w:color="auto"/>
        <w:left w:val="none" w:sz="0" w:space="0" w:color="auto"/>
        <w:bottom w:val="none" w:sz="0" w:space="0" w:color="auto"/>
        <w:right w:val="none" w:sz="0" w:space="0" w:color="auto"/>
      </w:divBdr>
    </w:div>
    <w:div w:id="489562915">
      <w:marLeft w:val="0"/>
      <w:marRight w:val="0"/>
      <w:marTop w:val="180"/>
      <w:marBottom w:val="180"/>
      <w:divBdr>
        <w:top w:val="none" w:sz="0" w:space="0" w:color="auto"/>
        <w:left w:val="none" w:sz="0" w:space="0" w:color="auto"/>
        <w:bottom w:val="none" w:sz="0" w:space="0" w:color="auto"/>
        <w:right w:val="none" w:sz="0" w:space="0" w:color="auto"/>
      </w:divBdr>
    </w:div>
    <w:div w:id="491068834">
      <w:marLeft w:val="0"/>
      <w:marRight w:val="0"/>
      <w:marTop w:val="180"/>
      <w:marBottom w:val="180"/>
      <w:divBdr>
        <w:top w:val="none" w:sz="0" w:space="0" w:color="auto"/>
        <w:left w:val="none" w:sz="0" w:space="0" w:color="auto"/>
        <w:bottom w:val="none" w:sz="0" w:space="0" w:color="auto"/>
        <w:right w:val="none" w:sz="0" w:space="0" w:color="auto"/>
      </w:divBdr>
    </w:div>
    <w:div w:id="491259307">
      <w:marLeft w:val="0"/>
      <w:marRight w:val="0"/>
      <w:marTop w:val="60"/>
      <w:marBottom w:val="60"/>
      <w:divBdr>
        <w:top w:val="none" w:sz="0" w:space="0" w:color="auto"/>
        <w:left w:val="none" w:sz="0" w:space="0" w:color="auto"/>
        <w:bottom w:val="none" w:sz="0" w:space="0" w:color="auto"/>
        <w:right w:val="none" w:sz="0" w:space="0" w:color="auto"/>
      </w:divBdr>
    </w:div>
    <w:div w:id="491331661">
      <w:marLeft w:val="0"/>
      <w:marRight w:val="0"/>
      <w:marTop w:val="0"/>
      <w:marBottom w:val="0"/>
      <w:divBdr>
        <w:top w:val="none" w:sz="0" w:space="0" w:color="auto"/>
        <w:left w:val="none" w:sz="0" w:space="0" w:color="auto"/>
        <w:bottom w:val="none" w:sz="0" w:space="0" w:color="auto"/>
        <w:right w:val="none" w:sz="0" w:space="0" w:color="auto"/>
      </w:divBdr>
      <w:divsChild>
        <w:div w:id="221986024">
          <w:marLeft w:val="0"/>
          <w:marRight w:val="0"/>
          <w:marTop w:val="0"/>
          <w:marBottom w:val="0"/>
          <w:divBdr>
            <w:top w:val="none" w:sz="0" w:space="0" w:color="auto"/>
            <w:left w:val="none" w:sz="0" w:space="0" w:color="auto"/>
            <w:bottom w:val="none" w:sz="0" w:space="0" w:color="auto"/>
            <w:right w:val="none" w:sz="0" w:space="0" w:color="auto"/>
          </w:divBdr>
          <w:divsChild>
            <w:div w:id="8959695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3883463">
      <w:marLeft w:val="0"/>
      <w:marRight w:val="0"/>
      <w:marTop w:val="180"/>
      <w:marBottom w:val="180"/>
      <w:divBdr>
        <w:top w:val="none" w:sz="0" w:space="0" w:color="auto"/>
        <w:left w:val="none" w:sz="0" w:space="0" w:color="auto"/>
        <w:bottom w:val="none" w:sz="0" w:space="0" w:color="auto"/>
        <w:right w:val="none" w:sz="0" w:space="0" w:color="auto"/>
      </w:divBdr>
    </w:div>
    <w:div w:id="494301948">
      <w:marLeft w:val="0"/>
      <w:marRight w:val="0"/>
      <w:marTop w:val="60"/>
      <w:marBottom w:val="60"/>
      <w:divBdr>
        <w:top w:val="none" w:sz="0" w:space="0" w:color="auto"/>
        <w:left w:val="none" w:sz="0" w:space="0" w:color="auto"/>
        <w:bottom w:val="none" w:sz="0" w:space="0" w:color="auto"/>
        <w:right w:val="none" w:sz="0" w:space="0" w:color="auto"/>
      </w:divBdr>
    </w:div>
    <w:div w:id="494615852">
      <w:marLeft w:val="0"/>
      <w:marRight w:val="0"/>
      <w:marTop w:val="60"/>
      <w:marBottom w:val="0"/>
      <w:divBdr>
        <w:top w:val="none" w:sz="0" w:space="0" w:color="auto"/>
        <w:left w:val="none" w:sz="0" w:space="0" w:color="auto"/>
        <w:bottom w:val="none" w:sz="0" w:space="0" w:color="auto"/>
        <w:right w:val="none" w:sz="0" w:space="0" w:color="auto"/>
      </w:divBdr>
    </w:div>
    <w:div w:id="498152393">
      <w:marLeft w:val="0"/>
      <w:marRight w:val="0"/>
      <w:marTop w:val="180"/>
      <w:marBottom w:val="180"/>
      <w:divBdr>
        <w:top w:val="none" w:sz="0" w:space="0" w:color="auto"/>
        <w:left w:val="none" w:sz="0" w:space="0" w:color="auto"/>
        <w:bottom w:val="none" w:sz="0" w:space="0" w:color="auto"/>
        <w:right w:val="none" w:sz="0" w:space="0" w:color="auto"/>
      </w:divBdr>
    </w:div>
    <w:div w:id="498932619">
      <w:marLeft w:val="0"/>
      <w:marRight w:val="0"/>
      <w:marTop w:val="180"/>
      <w:marBottom w:val="180"/>
      <w:divBdr>
        <w:top w:val="none" w:sz="0" w:space="0" w:color="auto"/>
        <w:left w:val="none" w:sz="0" w:space="0" w:color="auto"/>
        <w:bottom w:val="none" w:sz="0" w:space="0" w:color="auto"/>
        <w:right w:val="none" w:sz="0" w:space="0" w:color="auto"/>
      </w:divBdr>
    </w:div>
    <w:div w:id="502476858">
      <w:marLeft w:val="0"/>
      <w:marRight w:val="0"/>
      <w:marTop w:val="0"/>
      <w:marBottom w:val="0"/>
      <w:divBdr>
        <w:top w:val="none" w:sz="0" w:space="0" w:color="auto"/>
        <w:left w:val="none" w:sz="0" w:space="0" w:color="auto"/>
        <w:bottom w:val="none" w:sz="0" w:space="0" w:color="auto"/>
        <w:right w:val="none" w:sz="0" w:space="0" w:color="auto"/>
      </w:divBdr>
      <w:divsChild>
        <w:div w:id="1699238915">
          <w:marLeft w:val="0"/>
          <w:marRight w:val="0"/>
          <w:marTop w:val="180"/>
          <w:marBottom w:val="180"/>
          <w:divBdr>
            <w:top w:val="none" w:sz="0" w:space="0" w:color="auto"/>
            <w:left w:val="none" w:sz="0" w:space="0" w:color="auto"/>
            <w:bottom w:val="none" w:sz="0" w:space="0" w:color="auto"/>
            <w:right w:val="none" w:sz="0" w:space="0" w:color="auto"/>
          </w:divBdr>
        </w:div>
      </w:divsChild>
    </w:div>
    <w:div w:id="505052433">
      <w:marLeft w:val="0"/>
      <w:marRight w:val="0"/>
      <w:marTop w:val="180"/>
      <w:marBottom w:val="180"/>
      <w:divBdr>
        <w:top w:val="none" w:sz="0" w:space="0" w:color="auto"/>
        <w:left w:val="none" w:sz="0" w:space="0" w:color="auto"/>
        <w:bottom w:val="none" w:sz="0" w:space="0" w:color="auto"/>
        <w:right w:val="none" w:sz="0" w:space="0" w:color="auto"/>
      </w:divBdr>
    </w:div>
    <w:div w:id="505632634">
      <w:marLeft w:val="0"/>
      <w:marRight w:val="0"/>
      <w:marTop w:val="180"/>
      <w:marBottom w:val="180"/>
      <w:divBdr>
        <w:top w:val="none" w:sz="0" w:space="0" w:color="auto"/>
        <w:left w:val="none" w:sz="0" w:space="0" w:color="auto"/>
        <w:bottom w:val="none" w:sz="0" w:space="0" w:color="auto"/>
        <w:right w:val="none" w:sz="0" w:space="0" w:color="auto"/>
      </w:divBdr>
    </w:div>
    <w:div w:id="506360310">
      <w:marLeft w:val="0"/>
      <w:marRight w:val="0"/>
      <w:marTop w:val="60"/>
      <w:marBottom w:val="60"/>
      <w:divBdr>
        <w:top w:val="none" w:sz="0" w:space="0" w:color="auto"/>
        <w:left w:val="none" w:sz="0" w:space="0" w:color="auto"/>
        <w:bottom w:val="none" w:sz="0" w:space="0" w:color="auto"/>
        <w:right w:val="none" w:sz="0" w:space="0" w:color="auto"/>
      </w:divBdr>
    </w:div>
    <w:div w:id="509562589">
      <w:marLeft w:val="0"/>
      <w:marRight w:val="0"/>
      <w:marTop w:val="180"/>
      <w:marBottom w:val="180"/>
      <w:divBdr>
        <w:top w:val="none" w:sz="0" w:space="0" w:color="auto"/>
        <w:left w:val="none" w:sz="0" w:space="0" w:color="auto"/>
        <w:bottom w:val="none" w:sz="0" w:space="0" w:color="auto"/>
        <w:right w:val="none" w:sz="0" w:space="0" w:color="auto"/>
      </w:divBdr>
    </w:div>
    <w:div w:id="510072393">
      <w:marLeft w:val="0"/>
      <w:marRight w:val="0"/>
      <w:marTop w:val="180"/>
      <w:marBottom w:val="180"/>
      <w:divBdr>
        <w:top w:val="none" w:sz="0" w:space="0" w:color="auto"/>
        <w:left w:val="none" w:sz="0" w:space="0" w:color="auto"/>
        <w:bottom w:val="none" w:sz="0" w:space="0" w:color="auto"/>
        <w:right w:val="none" w:sz="0" w:space="0" w:color="auto"/>
      </w:divBdr>
    </w:div>
    <w:div w:id="510948512">
      <w:marLeft w:val="0"/>
      <w:marRight w:val="0"/>
      <w:marTop w:val="180"/>
      <w:marBottom w:val="180"/>
      <w:divBdr>
        <w:top w:val="none" w:sz="0" w:space="0" w:color="auto"/>
        <w:left w:val="none" w:sz="0" w:space="0" w:color="auto"/>
        <w:bottom w:val="none" w:sz="0" w:space="0" w:color="auto"/>
        <w:right w:val="none" w:sz="0" w:space="0" w:color="auto"/>
      </w:divBdr>
    </w:div>
    <w:div w:id="511071590">
      <w:marLeft w:val="0"/>
      <w:marRight w:val="0"/>
      <w:marTop w:val="180"/>
      <w:marBottom w:val="180"/>
      <w:divBdr>
        <w:top w:val="none" w:sz="0" w:space="0" w:color="auto"/>
        <w:left w:val="none" w:sz="0" w:space="0" w:color="auto"/>
        <w:bottom w:val="none" w:sz="0" w:space="0" w:color="auto"/>
        <w:right w:val="none" w:sz="0" w:space="0" w:color="auto"/>
      </w:divBdr>
    </w:div>
    <w:div w:id="511916053">
      <w:marLeft w:val="0"/>
      <w:marRight w:val="0"/>
      <w:marTop w:val="180"/>
      <w:marBottom w:val="180"/>
      <w:divBdr>
        <w:top w:val="none" w:sz="0" w:space="0" w:color="auto"/>
        <w:left w:val="none" w:sz="0" w:space="0" w:color="auto"/>
        <w:bottom w:val="none" w:sz="0" w:space="0" w:color="auto"/>
        <w:right w:val="none" w:sz="0" w:space="0" w:color="auto"/>
      </w:divBdr>
    </w:div>
    <w:div w:id="512183305">
      <w:marLeft w:val="0"/>
      <w:marRight w:val="0"/>
      <w:marTop w:val="180"/>
      <w:marBottom w:val="180"/>
      <w:divBdr>
        <w:top w:val="none" w:sz="0" w:space="0" w:color="auto"/>
        <w:left w:val="none" w:sz="0" w:space="0" w:color="auto"/>
        <w:bottom w:val="none" w:sz="0" w:space="0" w:color="auto"/>
        <w:right w:val="none" w:sz="0" w:space="0" w:color="auto"/>
      </w:divBdr>
    </w:div>
    <w:div w:id="513308108">
      <w:marLeft w:val="0"/>
      <w:marRight w:val="0"/>
      <w:marTop w:val="180"/>
      <w:marBottom w:val="180"/>
      <w:divBdr>
        <w:top w:val="none" w:sz="0" w:space="0" w:color="auto"/>
        <w:left w:val="none" w:sz="0" w:space="0" w:color="auto"/>
        <w:bottom w:val="none" w:sz="0" w:space="0" w:color="auto"/>
        <w:right w:val="none" w:sz="0" w:space="0" w:color="auto"/>
      </w:divBdr>
    </w:div>
    <w:div w:id="513421329">
      <w:marLeft w:val="0"/>
      <w:marRight w:val="0"/>
      <w:marTop w:val="60"/>
      <w:marBottom w:val="60"/>
      <w:divBdr>
        <w:top w:val="none" w:sz="0" w:space="0" w:color="auto"/>
        <w:left w:val="none" w:sz="0" w:space="0" w:color="auto"/>
        <w:bottom w:val="none" w:sz="0" w:space="0" w:color="auto"/>
        <w:right w:val="none" w:sz="0" w:space="0" w:color="auto"/>
      </w:divBdr>
    </w:div>
    <w:div w:id="513610847">
      <w:marLeft w:val="0"/>
      <w:marRight w:val="0"/>
      <w:marTop w:val="60"/>
      <w:marBottom w:val="60"/>
      <w:divBdr>
        <w:top w:val="none" w:sz="0" w:space="0" w:color="auto"/>
        <w:left w:val="none" w:sz="0" w:space="0" w:color="auto"/>
        <w:bottom w:val="none" w:sz="0" w:space="0" w:color="auto"/>
        <w:right w:val="none" w:sz="0" w:space="0" w:color="auto"/>
      </w:divBdr>
    </w:div>
    <w:div w:id="515848775">
      <w:marLeft w:val="0"/>
      <w:marRight w:val="0"/>
      <w:marTop w:val="0"/>
      <w:marBottom w:val="0"/>
      <w:divBdr>
        <w:top w:val="none" w:sz="0" w:space="0" w:color="auto"/>
        <w:left w:val="none" w:sz="0" w:space="0" w:color="auto"/>
        <w:bottom w:val="none" w:sz="0" w:space="0" w:color="auto"/>
        <w:right w:val="none" w:sz="0" w:space="0" w:color="auto"/>
      </w:divBdr>
    </w:div>
    <w:div w:id="516818361">
      <w:marLeft w:val="0"/>
      <w:marRight w:val="0"/>
      <w:marTop w:val="180"/>
      <w:marBottom w:val="60"/>
      <w:divBdr>
        <w:top w:val="none" w:sz="0" w:space="0" w:color="auto"/>
        <w:left w:val="none" w:sz="0" w:space="0" w:color="auto"/>
        <w:bottom w:val="none" w:sz="0" w:space="0" w:color="auto"/>
        <w:right w:val="none" w:sz="0" w:space="0" w:color="auto"/>
      </w:divBdr>
    </w:div>
    <w:div w:id="517354624">
      <w:marLeft w:val="0"/>
      <w:marRight w:val="0"/>
      <w:marTop w:val="0"/>
      <w:marBottom w:val="0"/>
      <w:divBdr>
        <w:top w:val="none" w:sz="0" w:space="0" w:color="auto"/>
        <w:left w:val="none" w:sz="0" w:space="0" w:color="auto"/>
        <w:bottom w:val="none" w:sz="0" w:space="0" w:color="auto"/>
        <w:right w:val="none" w:sz="0" w:space="0" w:color="auto"/>
      </w:divBdr>
      <w:divsChild>
        <w:div w:id="158235951">
          <w:marLeft w:val="0"/>
          <w:marRight w:val="0"/>
          <w:marTop w:val="0"/>
          <w:marBottom w:val="0"/>
          <w:divBdr>
            <w:top w:val="none" w:sz="0" w:space="0" w:color="auto"/>
            <w:left w:val="none" w:sz="0" w:space="0" w:color="auto"/>
            <w:bottom w:val="none" w:sz="0" w:space="0" w:color="auto"/>
            <w:right w:val="none" w:sz="0" w:space="0" w:color="auto"/>
          </w:divBdr>
          <w:divsChild>
            <w:div w:id="17734282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7736718">
      <w:marLeft w:val="0"/>
      <w:marRight w:val="0"/>
      <w:marTop w:val="60"/>
      <w:marBottom w:val="60"/>
      <w:divBdr>
        <w:top w:val="none" w:sz="0" w:space="0" w:color="auto"/>
        <w:left w:val="none" w:sz="0" w:space="0" w:color="auto"/>
        <w:bottom w:val="none" w:sz="0" w:space="0" w:color="auto"/>
        <w:right w:val="none" w:sz="0" w:space="0" w:color="auto"/>
      </w:divBdr>
    </w:div>
    <w:div w:id="518859750">
      <w:marLeft w:val="0"/>
      <w:marRight w:val="0"/>
      <w:marTop w:val="180"/>
      <w:marBottom w:val="180"/>
      <w:divBdr>
        <w:top w:val="none" w:sz="0" w:space="0" w:color="auto"/>
        <w:left w:val="none" w:sz="0" w:space="0" w:color="auto"/>
        <w:bottom w:val="none" w:sz="0" w:space="0" w:color="auto"/>
        <w:right w:val="none" w:sz="0" w:space="0" w:color="auto"/>
      </w:divBdr>
    </w:div>
    <w:div w:id="519591165">
      <w:marLeft w:val="0"/>
      <w:marRight w:val="0"/>
      <w:marTop w:val="0"/>
      <w:marBottom w:val="0"/>
      <w:divBdr>
        <w:top w:val="none" w:sz="0" w:space="0" w:color="auto"/>
        <w:left w:val="none" w:sz="0" w:space="0" w:color="auto"/>
        <w:bottom w:val="none" w:sz="0" w:space="0" w:color="auto"/>
        <w:right w:val="none" w:sz="0" w:space="0" w:color="auto"/>
      </w:divBdr>
    </w:div>
    <w:div w:id="522020402">
      <w:marLeft w:val="0"/>
      <w:marRight w:val="0"/>
      <w:marTop w:val="0"/>
      <w:marBottom w:val="0"/>
      <w:divBdr>
        <w:top w:val="none" w:sz="0" w:space="0" w:color="auto"/>
        <w:left w:val="none" w:sz="0" w:space="0" w:color="auto"/>
        <w:bottom w:val="none" w:sz="0" w:space="0" w:color="auto"/>
        <w:right w:val="none" w:sz="0" w:space="0" w:color="auto"/>
      </w:divBdr>
      <w:divsChild>
        <w:div w:id="146166901">
          <w:marLeft w:val="0"/>
          <w:marRight w:val="0"/>
          <w:marTop w:val="0"/>
          <w:marBottom w:val="0"/>
          <w:divBdr>
            <w:top w:val="none" w:sz="0" w:space="0" w:color="auto"/>
            <w:left w:val="none" w:sz="0" w:space="0" w:color="auto"/>
            <w:bottom w:val="none" w:sz="0" w:space="0" w:color="auto"/>
            <w:right w:val="none" w:sz="0" w:space="0" w:color="auto"/>
          </w:divBdr>
          <w:divsChild>
            <w:div w:id="17232110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2283039">
      <w:marLeft w:val="0"/>
      <w:marRight w:val="0"/>
      <w:marTop w:val="180"/>
      <w:marBottom w:val="180"/>
      <w:divBdr>
        <w:top w:val="none" w:sz="0" w:space="0" w:color="auto"/>
        <w:left w:val="none" w:sz="0" w:space="0" w:color="auto"/>
        <w:bottom w:val="none" w:sz="0" w:space="0" w:color="auto"/>
        <w:right w:val="none" w:sz="0" w:space="0" w:color="auto"/>
      </w:divBdr>
    </w:div>
    <w:div w:id="522323569">
      <w:marLeft w:val="0"/>
      <w:marRight w:val="0"/>
      <w:marTop w:val="180"/>
      <w:marBottom w:val="180"/>
      <w:divBdr>
        <w:top w:val="none" w:sz="0" w:space="0" w:color="auto"/>
        <w:left w:val="none" w:sz="0" w:space="0" w:color="auto"/>
        <w:bottom w:val="none" w:sz="0" w:space="0" w:color="auto"/>
        <w:right w:val="none" w:sz="0" w:space="0" w:color="auto"/>
      </w:divBdr>
    </w:div>
    <w:div w:id="522403758">
      <w:marLeft w:val="0"/>
      <w:marRight w:val="0"/>
      <w:marTop w:val="60"/>
      <w:marBottom w:val="60"/>
      <w:divBdr>
        <w:top w:val="none" w:sz="0" w:space="0" w:color="auto"/>
        <w:left w:val="none" w:sz="0" w:space="0" w:color="auto"/>
        <w:bottom w:val="none" w:sz="0" w:space="0" w:color="auto"/>
        <w:right w:val="none" w:sz="0" w:space="0" w:color="auto"/>
      </w:divBdr>
    </w:div>
    <w:div w:id="524100137">
      <w:marLeft w:val="0"/>
      <w:marRight w:val="0"/>
      <w:marTop w:val="60"/>
      <w:marBottom w:val="60"/>
      <w:divBdr>
        <w:top w:val="none" w:sz="0" w:space="0" w:color="auto"/>
        <w:left w:val="none" w:sz="0" w:space="0" w:color="auto"/>
        <w:bottom w:val="none" w:sz="0" w:space="0" w:color="auto"/>
        <w:right w:val="none" w:sz="0" w:space="0" w:color="auto"/>
      </w:divBdr>
    </w:div>
    <w:div w:id="525485433">
      <w:marLeft w:val="0"/>
      <w:marRight w:val="0"/>
      <w:marTop w:val="0"/>
      <w:marBottom w:val="0"/>
      <w:divBdr>
        <w:top w:val="none" w:sz="0" w:space="0" w:color="auto"/>
        <w:left w:val="none" w:sz="0" w:space="0" w:color="auto"/>
        <w:bottom w:val="none" w:sz="0" w:space="0" w:color="auto"/>
        <w:right w:val="none" w:sz="0" w:space="0" w:color="auto"/>
      </w:divBdr>
      <w:divsChild>
        <w:div w:id="672269446">
          <w:marLeft w:val="0"/>
          <w:marRight w:val="0"/>
          <w:marTop w:val="0"/>
          <w:marBottom w:val="0"/>
          <w:divBdr>
            <w:top w:val="none" w:sz="0" w:space="0" w:color="auto"/>
            <w:left w:val="none" w:sz="0" w:space="0" w:color="auto"/>
            <w:bottom w:val="none" w:sz="0" w:space="0" w:color="auto"/>
            <w:right w:val="none" w:sz="0" w:space="0" w:color="auto"/>
          </w:divBdr>
          <w:divsChild>
            <w:div w:id="10230173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5682836">
      <w:marLeft w:val="0"/>
      <w:marRight w:val="0"/>
      <w:marTop w:val="180"/>
      <w:marBottom w:val="180"/>
      <w:divBdr>
        <w:top w:val="none" w:sz="0" w:space="0" w:color="auto"/>
        <w:left w:val="none" w:sz="0" w:space="0" w:color="auto"/>
        <w:bottom w:val="none" w:sz="0" w:space="0" w:color="auto"/>
        <w:right w:val="none" w:sz="0" w:space="0" w:color="auto"/>
      </w:divBdr>
    </w:div>
    <w:div w:id="526022234">
      <w:marLeft w:val="0"/>
      <w:marRight w:val="0"/>
      <w:marTop w:val="180"/>
      <w:marBottom w:val="180"/>
      <w:divBdr>
        <w:top w:val="none" w:sz="0" w:space="0" w:color="auto"/>
        <w:left w:val="none" w:sz="0" w:space="0" w:color="auto"/>
        <w:bottom w:val="none" w:sz="0" w:space="0" w:color="auto"/>
        <w:right w:val="none" w:sz="0" w:space="0" w:color="auto"/>
      </w:divBdr>
    </w:div>
    <w:div w:id="529490348">
      <w:marLeft w:val="0"/>
      <w:marRight w:val="0"/>
      <w:marTop w:val="60"/>
      <w:marBottom w:val="60"/>
      <w:divBdr>
        <w:top w:val="none" w:sz="0" w:space="0" w:color="auto"/>
        <w:left w:val="none" w:sz="0" w:space="0" w:color="auto"/>
        <w:bottom w:val="none" w:sz="0" w:space="0" w:color="auto"/>
        <w:right w:val="none" w:sz="0" w:space="0" w:color="auto"/>
      </w:divBdr>
    </w:div>
    <w:div w:id="529757556">
      <w:marLeft w:val="0"/>
      <w:marRight w:val="0"/>
      <w:marTop w:val="180"/>
      <w:marBottom w:val="180"/>
      <w:divBdr>
        <w:top w:val="none" w:sz="0" w:space="0" w:color="auto"/>
        <w:left w:val="none" w:sz="0" w:space="0" w:color="auto"/>
        <w:bottom w:val="none" w:sz="0" w:space="0" w:color="auto"/>
        <w:right w:val="none" w:sz="0" w:space="0" w:color="auto"/>
      </w:divBdr>
    </w:div>
    <w:div w:id="534082952">
      <w:marLeft w:val="0"/>
      <w:marRight w:val="0"/>
      <w:marTop w:val="0"/>
      <w:marBottom w:val="0"/>
      <w:divBdr>
        <w:top w:val="none" w:sz="0" w:space="0" w:color="auto"/>
        <w:left w:val="none" w:sz="0" w:space="0" w:color="auto"/>
        <w:bottom w:val="none" w:sz="0" w:space="0" w:color="auto"/>
        <w:right w:val="none" w:sz="0" w:space="0" w:color="auto"/>
      </w:divBdr>
      <w:divsChild>
        <w:div w:id="1269195657">
          <w:marLeft w:val="0"/>
          <w:marRight w:val="0"/>
          <w:marTop w:val="0"/>
          <w:marBottom w:val="0"/>
          <w:divBdr>
            <w:top w:val="none" w:sz="0" w:space="0" w:color="auto"/>
            <w:left w:val="none" w:sz="0" w:space="0" w:color="auto"/>
            <w:bottom w:val="none" w:sz="0" w:space="0" w:color="auto"/>
            <w:right w:val="none" w:sz="0" w:space="0" w:color="auto"/>
          </w:divBdr>
          <w:divsChild>
            <w:div w:id="17909774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34512559">
      <w:marLeft w:val="0"/>
      <w:marRight w:val="0"/>
      <w:marTop w:val="180"/>
      <w:marBottom w:val="180"/>
      <w:divBdr>
        <w:top w:val="none" w:sz="0" w:space="0" w:color="auto"/>
        <w:left w:val="none" w:sz="0" w:space="0" w:color="auto"/>
        <w:bottom w:val="none" w:sz="0" w:space="0" w:color="auto"/>
        <w:right w:val="none" w:sz="0" w:space="0" w:color="auto"/>
      </w:divBdr>
    </w:div>
    <w:div w:id="534930894">
      <w:marLeft w:val="0"/>
      <w:marRight w:val="0"/>
      <w:marTop w:val="180"/>
      <w:marBottom w:val="180"/>
      <w:divBdr>
        <w:top w:val="none" w:sz="0" w:space="0" w:color="auto"/>
        <w:left w:val="none" w:sz="0" w:space="0" w:color="auto"/>
        <w:bottom w:val="none" w:sz="0" w:space="0" w:color="auto"/>
        <w:right w:val="none" w:sz="0" w:space="0" w:color="auto"/>
      </w:divBdr>
    </w:div>
    <w:div w:id="535898657">
      <w:marLeft w:val="0"/>
      <w:marRight w:val="0"/>
      <w:marTop w:val="60"/>
      <w:marBottom w:val="60"/>
      <w:divBdr>
        <w:top w:val="none" w:sz="0" w:space="0" w:color="auto"/>
        <w:left w:val="none" w:sz="0" w:space="0" w:color="auto"/>
        <w:bottom w:val="none" w:sz="0" w:space="0" w:color="auto"/>
        <w:right w:val="none" w:sz="0" w:space="0" w:color="auto"/>
      </w:divBdr>
    </w:div>
    <w:div w:id="537399619">
      <w:marLeft w:val="0"/>
      <w:marRight w:val="0"/>
      <w:marTop w:val="100"/>
      <w:marBottom w:val="100"/>
      <w:divBdr>
        <w:top w:val="none" w:sz="0" w:space="0" w:color="auto"/>
        <w:left w:val="none" w:sz="0" w:space="0" w:color="auto"/>
        <w:bottom w:val="none" w:sz="0" w:space="0" w:color="auto"/>
        <w:right w:val="none" w:sz="0" w:space="0" w:color="auto"/>
      </w:divBdr>
      <w:divsChild>
        <w:div w:id="1428843321">
          <w:marLeft w:val="0"/>
          <w:marRight w:val="0"/>
          <w:marTop w:val="0"/>
          <w:marBottom w:val="0"/>
          <w:divBdr>
            <w:top w:val="none" w:sz="0" w:space="0" w:color="auto"/>
            <w:left w:val="none" w:sz="0" w:space="0" w:color="auto"/>
            <w:bottom w:val="none" w:sz="0" w:space="0" w:color="auto"/>
            <w:right w:val="none" w:sz="0" w:space="0" w:color="auto"/>
          </w:divBdr>
        </w:div>
        <w:div w:id="566190819">
          <w:marLeft w:val="0"/>
          <w:marRight w:val="0"/>
          <w:marTop w:val="0"/>
          <w:marBottom w:val="0"/>
          <w:divBdr>
            <w:top w:val="none" w:sz="0" w:space="0" w:color="auto"/>
            <w:left w:val="none" w:sz="0" w:space="0" w:color="auto"/>
            <w:bottom w:val="none" w:sz="0" w:space="0" w:color="auto"/>
            <w:right w:val="none" w:sz="0" w:space="0" w:color="auto"/>
          </w:divBdr>
        </w:div>
        <w:div w:id="834343702">
          <w:marLeft w:val="0"/>
          <w:marRight w:val="0"/>
          <w:marTop w:val="0"/>
          <w:marBottom w:val="0"/>
          <w:divBdr>
            <w:top w:val="none" w:sz="0" w:space="0" w:color="auto"/>
            <w:left w:val="none" w:sz="0" w:space="0" w:color="auto"/>
            <w:bottom w:val="none" w:sz="0" w:space="0" w:color="auto"/>
            <w:right w:val="none" w:sz="0" w:space="0" w:color="auto"/>
          </w:divBdr>
        </w:div>
        <w:div w:id="1133861997">
          <w:marLeft w:val="0"/>
          <w:marRight w:val="0"/>
          <w:marTop w:val="0"/>
          <w:marBottom w:val="0"/>
          <w:divBdr>
            <w:top w:val="none" w:sz="0" w:space="0" w:color="auto"/>
            <w:left w:val="none" w:sz="0" w:space="0" w:color="auto"/>
            <w:bottom w:val="none" w:sz="0" w:space="0" w:color="auto"/>
            <w:right w:val="none" w:sz="0" w:space="0" w:color="auto"/>
          </w:divBdr>
        </w:div>
        <w:div w:id="1845508326">
          <w:marLeft w:val="0"/>
          <w:marRight w:val="0"/>
          <w:marTop w:val="0"/>
          <w:marBottom w:val="0"/>
          <w:divBdr>
            <w:top w:val="none" w:sz="0" w:space="0" w:color="auto"/>
            <w:left w:val="none" w:sz="0" w:space="0" w:color="auto"/>
            <w:bottom w:val="none" w:sz="0" w:space="0" w:color="auto"/>
            <w:right w:val="none" w:sz="0" w:space="0" w:color="auto"/>
          </w:divBdr>
        </w:div>
      </w:divsChild>
    </w:div>
    <w:div w:id="537472952">
      <w:marLeft w:val="0"/>
      <w:marRight w:val="0"/>
      <w:marTop w:val="180"/>
      <w:marBottom w:val="180"/>
      <w:divBdr>
        <w:top w:val="none" w:sz="0" w:space="0" w:color="auto"/>
        <w:left w:val="none" w:sz="0" w:space="0" w:color="auto"/>
        <w:bottom w:val="none" w:sz="0" w:space="0" w:color="auto"/>
        <w:right w:val="none" w:sz="0" w:space="0" w:color="auto"/>
      </w:divBdr>
    </w:div>
    <w:div w:id="538595150">
      <w:marLeft w:val="0"/>
      <w:marRight w:val="0"/>
      <w:marTop w:val="60"/>
      <w:marBottom w:val="60"/>
      <w:divBdr>
        <w:top w:val="none" w:sz="0" w:space="0" w:color="auto"/>
        <w:left w:val="none" w:sz="0" w:space="0" w:color="auto"/>
        <w:bottom w:val="none" w:sz="0" w:space="0" w:color="auto"/>
        <w:right w:val="none" w:sz="0" w:space="0" w:color="auto"/>
      </w:divBdr>
    </w:div>
    <w:div w:id="542329494">
      <w:marLeft w:val="0"/>
      <w:marRight w:val="0"/>
      <w:marTop w:val="180"/>
      <w:marBottom w:val="180"/>
      <w:divBdr>
        <w:top w:val="none" w:sz="0" w:space="0" w:color="auto"/>
        <w:left w:val="none" w:sz="0" w:space="0" w:color="auto"/>
        <w:bottom w:val="none" w:sz="0" w:space="0" w:color="auto"/>
        <w:right w:val="none" w:sz="0" w:space="0" w:color="auto"/>
      </w:divBdr>
    </w:div>
    <w:div w:id="542642402">
      <w:marLeft w:val="0"/>
      <w:marRight w:val="0"/>
      <w:marTop w:val="60"/>
      <w:marBottom w:val="60"/>
      <w:divBdr>
        <w:top w:val="none" w:sz="0" w:space="0" w:color="auto"/>
        <w:left w:val="none" w:sz="0" w:space="0" w:color="auto"/>
        <w:bottom w:val="none" w:sz="0" w:space="0" w:color="auto"/>
        <w:right w:val="none" w:sz="0" w:space="0" w:color="auto"/>
      </w:divBdr>
    </w:div>
    <w:div w:id="543834740">
      <w:marLeft w:val="0"/>
      <w:marRight w:val="0"/>
      <w:marTop w:val="180"/>
      <w:marBottom w:val="180"/>
      <w:divBdr>
        <w:top w:val="none" w:sz="0" w:space="0" w:color="auto"/>
        <w:left w:val="none" w:sz="0" w:space="0" w:color="auto"/>
        <w:bottom w:val="none" w:sz="0" w:space="0" w:color="auto"/>
        <w:right w:val="none" w:sz="0" w:space="0" w:color="auto"/>
      </w:divBdr>
    </w:div>
    <w:div w:id="544566506">
      <w:marLeft w:val="0"/>
      <w:marRight w:val="0"/>
      <w:marTop w:val="60"/>
      <w:marBottom w:val="60"/>
      <w:divBdr>
        <w:top w:val="none" w:sz="0" w:space="0" w:color="auto"/>
        <w:left w:val="none" w:sz="0" w:space="0" w:color="auto"/>
        <w:bottom w:val="none" w:sz="0" w:space="0" w:color="auto"/>
        <w:right w:val="none" w:sz="0" w:space="0" w:color="auto"/>
      </w:divBdr>
    </w:div>
    <w:div w:id="548953346">
      <w:marLeft w:val="0"/>
      <w:marRight w:val="0"/>
      <w:marTop w:val="180"/>
      <w:marBottom w:val="60"/>
      <w:divBdr>
        <w:top w:val="none" w:sz="0" w:space="0" w:color="auto"/>
        <w:left w:val="none" w:sz="0" w:space="0" w:color="auto"/>
        <w:bottom w:val="none" w:sz="0" w:space="0" w:color="auto"/>
        <w:right w:val="none" w:sz="0" w:space="0" w:color="auto"/>
      </w:divBdr>
    </w:div>
    <w:div w:id="549418927">
      <w:marLeft w:val="0"/>
      <w:marRight w:val="0"/>
      <w:marTop w:val="0"/>
      <w:marBottom w:val="0"/>
      <w:divBdr>
        <w:top w:val="none" w:sz="0" w:space="0" w:color="auto"/>
        <w:left w:val="none" w:sz="0" w:space="0" w:color="auto"/>
        <w:bottom w:val="none" w:sz="0" w:space="0" w:color="auto"/>
        <w:right w:val="none" w:sz="0" w:space="0" w:color="auto"/>
      </w:divBdr>
    </w:div>
    <w:div w:id="550576920">
      <w:marLeft w:val="0"/>
      <w:marRight w:val="0"/>
      <w:marTop w:val="60"/>
      <w:marBottom w:val="60"/>
      <w:divBdr>
        <w:top w:val="none" w:sz="0" w:space="0" w:color="auto"/>
        <w:left w:val="none" w:sz="0" w:space="0" w:color="auto"/>
        <w:bottom w:val="none" w:sz="0" w:space="0" w:color="auto"/>
        <w:right w:val="none" w:sz="0" w:space="0" w:color="auto"/>
      </w:divBdr>
    </w:div>
    <w:div w:id="551380708">
      <w:marLeft w:val="0"/>
      <w:marRight w:val="0"/>
      <w:marTop w:val="0"/>
      <w:marBottom w:val="0"/>
      <w:divBdr>
        <w:top w:val="none" w:sz="0" w:space="0" w:color="auto"/>
        <w:left w:val="none" w:sz="0" w:space="0" w:color="auto"/>
        <w:bottom w:val="none" w:sz="0" w:space="0" w:color="auto"/>
        <w:right w:val="none" w:sz="0" w:space="0" w:color="auto"/>
      </w:divBdr>
    </w:div>
    <w:div w:id="551622888">
      <w:marLeft w:val="0"/>
      <w:marRight w:val="0"/>
      <w:marTop w:val="180"/>
      <w:marBottom w:val="180"/>
      <w:divBdr>
        <w:top w:val="none" w:sz="0" w:space="0" w:color="auto"/>
        <w:left w:val="none" w:sz="0" w:space="0" w:color="auto"/>
        <w:bottom w:val="none" w:sz="0" w:space="0" w:color="auto"/>
        <w:right w:val="none" w:sz="0" w:space="0" w:color="auto"/>
      </w:divBdr>
    </w:div>
    <w:div w:id="551693098">
      <w:marLeft w:val="0"/>
      <w:marRight w:val="0"/>
      <w:marTop w:val="180"/>
      <w:marBottom w:val="180"/>
      <w:divBdr>
        <w:top w:val="none" w:sz="0" w:space="0" w:color="auto"/>
        <w:left w:val="none" w:sz="0" w:space="0" w:color="auto"/>
        <w:bottom w:val="none" w:sz="0" w:space="0" w:color="auto"/>
        <w:right w:val="none" w:sz="0" w:space="0" w:color="auto"/>
      </w:divBdr>
    </w:div>
    <w:div w:id="552473868">
      <w:marLeft w:val="0"/>
      <w:marRight w:val="0"/>
      <w:marTop w:val="180"/>
      <w:marBottom w:val="180"/>
      <w:divBdr>
        <w:top w:val="none" w:sz="0" w:space="0" w:color="auto"/>
        <w:left w:val="none" w:sz="0" w:space="0" w:color="auto"/>
        <w:bottom w:val="none" w:sz="0" w:space="0" w:color="auto"/>
        <w:right w:val="none" w:sz="0" w:space="0" w:color="auto"/>
      </w:divBdr>
    </w:div>
    <w:div w:id="556554516">
      <w:marLeft w:val="0"/>
      <w:marRight w:val="0"/>
      <w:marTop w:val="60"/>
      <w:marBottom w:val="60"/>
      <w:divBdr>
        <w:top w:val="none" w:sz="0" w:space="0" w:color="auto"/>
        <w:left w:val="none" w:sz="0" w:space="0" w:color="auto"/>
        <w:bottom w:val="none" w:sz="0" w:space="0" w:color="auto"/>
        <w:right w:val="none" w:sz="0" w:space="0" w:color="auto"/>
      </w:divBdr>
    </w:div>
    <w:div w:id="559562961">
      <w:marLeft w:val="0"/>
      <w:marRight w:val="0"/>
      <w:marTop w:val="240"/>
      <w:marBottom w:val="180"/>
      <w:divBdr>
        <w:top w:val="none" w:sz="0" w:space="0" w:color="auto"/>
        <w:left w:val="none" w:sz="0" w:space="0" w:color="auto"/>
        <w:bottom w:val="none" w:sz="0" w:space="0" w:color="auto"/>
        <w:right w:val="none" w:sz="0" w:space="0" w:color="auto"/>
      </w:divBdr>
    </w:div>
    <w:div w:id="560989512">
      <w:marLeft w:val="0"/>
      <w:marRight w:val="0"/>
      <w:marTop w:val="180"/>
      <w:marBottom w:val="180"/>
      <w:divBdr>
        <w:top w:val="none" w:sz="0" w:space="0" w:color="auto"/>
        <w:left w:val="none" w:sz="0" w:space="0" w:color="auto"/>
        <w:bottom w:val="none" w:sz="0" w:space="0" w:color="auto"/>
        <w:right w:val="none" w:sz="0" w:space="0" w:color="auto"/>
      </w:divBdr>
    </w:div>
    <w:div w:id="561142501">
      <w:marLeft w:val="0"/>
      <w:marRight w:val="0"/>
      <w:marTop w:val="60"/>
      <w:marBottom w:val="60"/>
      <w:divBdr>
        <w:top w:val="none" w:sz="0" w:space="0" w:color="auto"/>
        <w:left w:val="none" w:sz="0" w:space="0" w:color="auto"/>
        <w:bottom w:val="none" w:sz="0" w:space="0" w:color="auto"/>
        <w:right w:val="none" w:sz="0" w:space="0" w:color="auto"/>
      </w:divBdr>
    </w:div>
    <w:div w:id="565602497">
      <w:marLeft w:val="0"/>
      <w:marRight w:val="0"/>
      <w:marTop w:val="180"/>
      <w:marBottom w:val="180"/>
      <w:divBdr>
        <w:top w:val="none" w:sz="0" w:space="0" w:color="auto"/>
        <w:left w:val="none" w:sz="0" w:space="0" w:color="auto"/>
        <w:bottom w:val="none" w:sz="0" w:space="0" w:color="auto"/>
        <w:right w:val="none" w:sz="0" w:space="0" w:color="auto"/>
      </w:divBdr>
    </w:div>
    <w:div w:id="565799005">
      <w:marLeft w:val="0"/>
      <w:marRight w:val="0"/>
      <w:marTop w:val="180"/>
      <w:marBottom w:val="180"/>
      <w:divBdr>
        <w:top w:val="none" w:sz="0" w:space="0" w:color="auto"/>
        <w:left w:val="none" w:sz="0" w:space="0" w:color="auto"/>
        <w:bottom w:val="none" w:sz="0" w:space="0" w:color="auto"/>
        <w:right w:val="none" w:sz="0" w:space="0" w:color="auto"/>
      </w:divBdr>
    </w:div>
    <w:div w:id="569003813">
      <w:marLeft w:val="0"/>
      <w:marRight w:val="0"/>
      <w:marTop w:val="100"/>
      <w:marBottom w:val="100"/>
      <w:divBdr>
        <w:top w:val="none" w:sz="0" w:space="0" w:color="auto"/>
        <w:left w:val="none" w:sz="0" w:space="0" w:color="auto"/>
        <w:bottom w:val="none" w:sz="0" w:space="0" w:color="auto"/>
        <w:right w:val="none" w:sz="0" w:space="0" w:color="auto"/>
      </w:divBdr>
    </w:div>
    <w:div w:id="570233242">
      <w:marLeft w:val="0"/>
      <w:marRight w:val="0"/>
      <w:marTop w:val="180"/>
      <w:marBottom w:val="60"/>
      <w:divBdr>
        <w:top w:val="none" w:sz="0" w:space="0" w:color="auto"/>
        <w:left w:val="none" w:sz="0" w:space="0" w:color="auto"/>
        <w:bottom w:val="none" w:sz="0" w:space="0" w:color="auto"/>
        <w:right w:val="none" w:sz="0" w:space="0" w:color="auto"/>
      </w:divBdr>
    </w:div>
    <w:div w:id="572396174">
      <w:marLeft w:val="0"/>
      <w:marRight w:val="0"/>
      <w:marTop w:val="180"/>
      <w:marBottom w:val="180"/>
      <w:divBdr>
        <w:top w:val="none" w:sz="0" w:space="0" w:color="auto"/>
        <w:left w:val="none" w:sz="0" w:space="0" w:color="auto"/>
        <w:bottom w:val="none" w:sz="0" w:space="0" w:color="auto"/>
        <w:right w:val="none" w:sz="0" w:space="0" w:color="auto"/>
      </w:divBdr>
    </w:div>
    <w:div w:id="576018114">
      <w:marLeft w:val="0"/>
      <w:marRight w:val="0"/>
      <w:marTop w:val="100"/>
      <w:marBottom w:val="100"/>
      <w:divBdr>
        <w:top w:val="none" w:sz="0" w:space="0" w:color="auto"/>
        <w:left w:val="none" w:sz="0" w:space="0" w:color="auto"/>
        <w:bottom w:val="none" w:sz="0" w:space="0" w:color="auto"/>
        <w:right w:val="none" w:sz="0" w:space="0" w:color="auto"/>
      </w:divBdr>
    </w:div>
    <w:div w:id="578255241">
      <w:marLeft w:val="0"/>
      <w:marRight w:val="0"/>
      <w:marTop w:val="180"/>
      <w:marBottom w:val="180"/>
      <w:divBdr>
        <w:top w:val="none" w:sz="0" w:space="0" w:color="auto"/>
        <w:left w:val="none" w:sz="0" w:space="0" w:color="auto"/>
        <w:bottom w:val="none" w:sz="0" w:space="0" w:color="auto"/>
        <w:right w:val="none" w:sz="0" w:space="0" w:color="auto"/>
      </w:divBdr>
    </w:div>
    <w:div w:id="579948340">
      <w:marLeft w:val="0"/>
      <w:marRight w:val="0"/>
      <w:marTop w:val="180"/>
      <w:marBottom w:val="180"/>
      <w:divBdr>
        <w:top w:val="none" w:sz="0" w:space="0" w:color="auto"/>
        <w:left w:val="none" w:sz="0" w:space="0" w:color="auto"/>
        <w:bottom w:val="none" w:sz="0" w:space="0" w:color="auto"/>
        <w:right w:val="none" w:sz="0" w:space="0" w:color="auto"/>
      </w:divBdr>
    </w:div>
    <w:div w:id="582027328">
      <w:marLeft w:val="0"/>
      <w:marRight w:val="0"/>
      <w:marTop w:val="0"/>
      <w:marBottom w:val="0"/>
      <w:divBdr>
        <w:top w:val="none" w:sz="0" w:space="0" w:color="auto"/>
        <w:left w:val="none" w:sz="0" w:space="0" w:color="auto"/>
        <w:bottom w:val="none" w:sz="0" w:space="0" w:color="auto"/>
        <w:right w:val="none" w:sz="0" w:space="0" w:color="auto"/>
      </w:divBdr>
      <w:divsChild>
        <w:div w:id="341468842">
          <w:marLeft w:val="0"/>
          <w:marRight w:val="0"/>
          <w:marTop w:val="180"/>
          <w:marBottom w:val="180"/>
          <w:divBdr>
            <w:top w:val="none" w:sz="0" w:space="0" w:color="auto"/>
            <w:left w:val="none" w:sz="0" w:space="0" w:color="auto"/>
            <w:bottom w:val="none" w:sz="0" w:space="0" w:color="auto"/>
            <w:right w:val="none" w:sz="0" w:space="0" w:color="auto"/>
          </w:divBdr>
        </w:div>
      </w:divsChild>
    </w:div>
    <w:div w:id="585187782">
      <w:marLeft w:val="0"/>
      <w:marRight w:val="0"/>
      <w:marTop w:val="0"/>
      <w:marBottom w:val="0"/>
      <w:divBdr>
        <w:top w:val="none" w:sz="0" w:space="0" w:color="auto"/>
        <w:left w:val="none" w:sz="0" w:space="0" w:color="auto"/>
        <w:bottom w:val="none" w:sz="0" w:space="0" w:color="auto"/>
        <w:right w:val="none" w:sz="0" w:space="0" w:color="auto"/>
      </w:divBdr>
      <w:divsChild>
        <w:div w:id="2054650576">
          <w:marLeft w:val="0"/>
          <w:marRight w:val="0"/>
          <w:marTop w:val="0"/>
          <w:marBottom w:val="0"/>
          <w:divBdr>
            <w:top w:val="none" w:sz="0" w:space="0" w:color="auto"/>
            <w:left w:val="none" w:sz="0" w:space="0" w:color="auto"/>
            <w:bottom w:val="none" w:sz="0" w:space="0" w:color="auto"/>
            <w:right w:val="none" w:sz="0" w:space="0" w:color="auto"/>
          </w:divBdr>
          <w:divsChild>
            <w:div w:id="6576087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7271981">
      <w:marLeft w:val="0"/>
      <w:marRight w:val="0"/>
      <w:marTop w:val="100"/>
      <w:marBottom w:val="100"/>
      <w:divBdr>
        <w:top w:val="none" w:sz="0" w:space="0" w:color="auto"/>
        <w:left w:val="none" w:sz="0" w:space="0" w:color="auto"/>
        <w:bottom w:val="none" w:sz="0" w:space="0" w:color="auto"/>
        <w:right w:val="none" w:sz="0" w:space="0" w:color="auto"/>
      </w:divBdr>
    </w:div>
    <w:div w:id="588932243">
      <w:marLeft w:val="0"/>
      <w:marRight w:val="0"/>
      <w:marTop w:val="180"/>
      <w:marBottom w:val="60"/>
      <w:divBdr>
        <w:top w:val="none" w:sz="0" w:space="0" w:color="auto"/>
        <w:left w:val="none" w:sz="0" w:space="0" w:color="auto"/>
        <w:bottom w:val="none" w:sz="0" w:space="0" w:color="auto"/>
        <w:right w:val="none" w:sz="0" w:space="0" w:color="auto"/>
      </w:divBdr>
    </w:div>
    <w:div w:id="588975299">
      <w:marLeft w:val="0"/>
      <w:marRight w:val="0"/>
      <w:marTop w:val="180"/>
      <w:marBottom w:val="180"/>
      <w:divBdr>
        <w:top w:val="none" w:sz="0" w:space="0" w:color="auto"/>
        <w:left w:val="none" w:sz="0" w:space="0" w:color="auto"/>
        <w:bottom w:val="none" w:sz="0" w:space="0" w:color="auto"/>
        <w:right w:val="none" w:sz="0" w:space="0" w:color="auto"/>
      </w:divBdr>
    </w:div>
    <w:div w:id="589580849">
      <w:marLeft w:val="0"/>
      <w:marRight w:val="0"/>
      <w:marTop w:val="180"/>
      <w:marBottom w:val="180"/>
      <w:divBdr>
        <w:top w:val="none" w:sz="0" w:space="0" w:color="auto"/>
        <w:left w:val="none" w:sz="0" w:space="0" w:color="auto"/>
        <w:bottom w:val="none" w:sz="0" w:space="0" w:color="auto"/>
        <w:right w:val="none" w:sz="0" w:space="0" w:color="auto"/>
      </w:divBdr>
    </w:div>
    <w:div w:id="591013473">
      <w:marLeft w:val="0"/>
      <w:marRight w:val="0"/>
      <w:marTop w:val="180"/>
      <w:marBottom w:val="180"/>
      <w:divBdr>
        <w:top w:val="none" w:sz="0" w:space="0" w:color="auto"/>
        <w:left w:val="none" w:sz="0" w:space="0" w:color="auto"/>
        <w:bottom w:val="none" w:sz="0" w:space="0" w:color="auto"/>
        <w:right w:val="none" w:sz="0" w:space="0" w:color="auto"/>
      </w:divBdr>
    </w:div>
    <w:div w:id="591937222">
      <w:marLeft w:val="0"/>
      <w:marRight w:val="0"/>
      <w:marTop w:val="180"/>
      <w:marBottom w:val="180"/>
      <w:divBdr>
        <w:top w:val="none" w:sz="0" w:space="0" w:color="auto"/>
        <w:left w:val="none" w:sz="0" w:space="0" w:color="auto"/>
        <w:bottom w:val="none" w:sz="0" w:space="0" w:color="auto"/>
        <w:right w:val="none" w:sz="0" w:space="0" w:color="auto"/>
      </w:divBdr>
    </w:div>
    <w:div w:id="594557595">
      <w:marLeft w:val="0"/>
      <w:marRight w:val="0"/>
      <w:marTop w:val="180"/>
      <w:marBottom w:val="180"/>
      <w:divBdr>
        <w:top w:val="none" w:sz="0" w:space="0" w:color="auto"/>
        <w:left w:val="none" w:sz="0" w:space="0" w:color="auto"/>
        <w:bottom w:val="none" w:sz="0" w:space="0" w:color="auto"/>
        <w:right w:val="none" w:sz="0" w:space="0" w:color="auto"/>
      </w:divBdr>
    </w:div>
    <w:div w:id="597832799">
      <w:marLeft w:val="0"/>
      <w:marRight w:val="0"/>
      <w:marTop w:val="180"/>
      <w:marBottom w:val="180"/>
      <w:divBdr>
        <w:top w:val="none" w:sz="0" w:space="0" w:color="auto"/>
        <w:left w:val="none" w:sz="0" w:space="0" w:color="auto"/>
        <w:bottom w:val="none" w:sz="0" w:space="0" w:color="auto"/>
        <w:right w:val="none" w:sz="0" w:space="0" w:color="auto"/>
      </w:divBdr>
    </w:div>
    <w:div w:id="597982667">
      <w:marLeft w:val="0"/>
      <w:marRight w:val="0"/>
      <w:marTop w:val="60"/>
      <w:marBottom w:val="60"/>
      <w:divBdr>
        <w:top w:val="none" w:sz="0" w:space="0" w:color="auto"/>
        <w:left w:val="none" w:sz="0" w:space="0" w:color="auto"/>
        <w:bottom w:val="none" w:sz="0" w:space="0" w:color="auto"/>
        <w:right w:val="none" w:sz="0" w:space="0" w:color="auto"/>
      </w:divBdr>
    </w:div>
    <w:div w:id="598178725">
      <w:marLeft w:val="0"/>
      <w:marRight w:val="0"/>
      <w:marTop w:val="0"/>
      <w:marBottom w:val="180"/>
      <w:divBdr>
        <w:top w:val="none" w:sz="0" w:space="0" w:color="auto"/>
        <w:left w:val="none" w:sz="0" w:space="0" w:color="auto"/>
        <w:bottom w:val="none" w:sz="0" w:space="0" w:color="auto"/>
        <w:right w:val="none" w:sz="0" w:space="0" w:color="auto"/>
      </w:divBdr>
    </w:div>
    <w:div w:id="598417493">
      <w:marLeft w:val="0"/>
      <w:marRight w:val="0"/>
      <w:marTop w:val="180"/>
      <w:marBottom w:val="180"/>
      <w:divBdr>
        <w:top w:val="none" w:sz="0" w:space="0" w:color="auto"/>
        <w:left w:val="none" w:sz="0" w:space="0" w:color="auto"/>
        <w:bottom w:val="none" w:sz="0" w:space="0" w:color="auto"/>
        <w:right w:val="none" w:sz="0" w:space="0" w:color="auto"/>
      </w:divBdr>
    </w:div>
    <w:div w:id="598608999">
      <w:marLeft w:val="0"/>
      <w:marRight w:val="0"/>
      <w:marTop w:val="180"/>
      <w:marBottom w:val="180"/>
      <w:divBdr>
        <w:top w:val="none" w:sz="0" w:space="0" w:color="auto"/>
        <w:left w:val="none" w:sz="0" w:space="0" w:color="auto"/>
        <w:bottom w:val="none" w:sz="0" w:space="0" w:color="auto"/>
        <w:right w:val="none" w:sz="0" w:space="0" w:color="auto"/>
      </w:divBdr>
    </w:div>
    <w:div w:id="599224141">
      <w:marLeft w:val="0"/>
      <w:marRight w:val="0"/>
      <w:marTop w:val="180"/>
      <w:marBottom w:val="60"/>
      <w:divBdr>
        <w:top w:val="none" w:sz="0" w:space="0" w:color="auto"/>
        <w:left w:val="none" w:sz="0" w:space="0" w:color="auto"/>
        <w:bottom w:val="none" w:sz="0" w:space="0" w:color="auto"/>
        <w:right w:val="none" w:sz="0" w:space="0" w:color="auto"/>
      </w:divBdr>
    </w:div>
    <w:div w:id="600727153">
      <w:marLeft w:val="0"/>
      <w:marRight w:val="0"/>
      <w:marTop w:val="180"/>
      <w:marBottom w:val="180"/>
      <w:divBdr>
        <w:top w:val="none" w:sz="0" w:space="0" w:color="auto"/>
        <w:left w:val="none" w:sz="0" w:space="0" w:color="auto"/>
        <w:bottom w:val="none" w:sz="0" w:space="0" w:color="auto"/>
        <w:right w:val="none" w:sz="0" w:space="0" w:color="auto"/>
      </w:divBdr>
    </w:div>
    <w:div w:id="602492888">
      <w:marLeft w:val="0"/>
      <w:marRight w:val="0"/>
      <w:marTop w:val="0"/>
      <w:marBottom w:val="0"/>
      <w:divBdr>
        <w:top w:val="none" w:sz="0" w:space="0" w:color="auto"/>
        <w:left w:val="none" w:sz="0" w:space="0" w:color="auto"/>
        <w:bottom w:val="none" w:sz="0" w:space="0" w:color="auto"/>
        <w:right w:val="none" w:sz="0" w:space="0" w:color="auto"/>
      </w:divBdr>
      <w:divsChild>
        <w:div w:id="1257135101">
          <w:marLeft w:val="0"/>
          <w:marRight w:val="0"/>
          <w:marTop w:val="180"/>
          <w:marBottom w:val="180"/>
          <w:divBdr>
            <w:top w:val="none" w:sz="0" w:space="0" w:color="auto"/>
            <w:left w:val="none" w:sz="0" w:space="0" w:color="auto"/>
            <w:bottom w:val="none" w:sz="0" w:space="0" w:color="auto"/>
            <w:right w:val="none" w:sz="0" w:space="0" w:color="auto"/>
          </w:divBdr>
        </w:div>
      </w:divsChild>
    </w:div>
    <w:div w:id="602495777">
      <w:marLeft w:val="0"/>
      <w:marRight w:val="0"/>
      <w:marTop w:val="180"/>
      <w:marBottom w:val="180"/>
      <w:divBdr>
        <w:top w:val="none" w:sz="0" w:space="0" w:color="auto"/>
        <w:left w:val="none" w:sz="0" w:space="0" w:color="auto"/>
        <w:bottom w:val="none" w:sz="0" w:space="0" w:color="auto"/>
        <w:right w:val="none" w:sz="0" w:space="0" w:color="auto"/>
      </w:divBdr>
    </w:div>
    <w:div w:id="602567615">
      <w:marLeft w:val="0"/>
      <w:marRight w:val="0"/>
      <w:marTop w:val="180"/>
      <w:marBottom w:val="180"/>
      <w:divBdr>
        <w:top w:val="none" w:sz="0" w:space="0" w:color="auto"/>
        <w:left w:val="none" w:sz="0" w:space="0" w:color="auto"/>
        <w:bottom w:val="none" w:sz="0" w:space="0" w:color="auto"/>
        <w:right w:val="none" w:sz="0" w:space="0" w:color="auto"/>
      </w:divBdr>
    </w:div>
    <w:div w:id="604310065">
      <w:marLeft w:val="0"/>
      <w:marRight w:val="0"/>
      <w:marTop w:val="60"/>
      <w:marBottom w:val="60"/>
      <w:divBdr>
        <w:top w:val="none" w:sz="0" w:space="0" w:color="auto"/>
        <w:left w:val="none" w:sz="0" w:space="0" w:color="auto"/>
        <w:bottom w:val="none" w:sz="0" w:space="0" w:color="auto"/>
        <w:right w:val="none" w:sz="0" w:space="0" w:color="auto"/>
      </w:divBdr>
    </w:div>
    <w:div w:id="604388692">
      <w:marLeft w:val="0"/>
      <w:marRight w:val="0"/>
      <w:marTop w:val="180"/>
      <w:marBottom w:val="180"/>
      <w:divBdr>
        <w:top w:val="none" w:sz="0" w:space="0" w:color="auto"/>
        <w:left w:val="none" w:sz="0" w:space="0" w:color="auto"/>
        <w:bottom w:val="none" w:sz="0" w:space="0" w:color="auto"/>
        <w:right w:val="none" w:sz="0" w:space="0" w:color="auto"/>
      </w:divBdr>
    </w:div>
    <w:div w:id="604536347">
      <w:marLeft w:val="0"/>
      <w:marRight w:val="0"/>
      <w:marTop w:val="60"/>
      <w:marBottom w:val="60"/>
      <w:divBdr>
        <w:top w:val="none" w:sz="0" w:space="0" w:color="auto"/>
        <w:left w:val="none" w:sz="0" w:space="0" w:color="auto"/>
        <w:bottom w:val="none" w:sz="0" w:space="0" w:color="auto"/>
        <w:right w:val="none" w:sz="0" w:space="0" w:color="auto"/>
      </w:divBdr>
    </w:div>
    <w:div w:id="608780548">
      <w:marLeft w:val="0"/>
      <w:marRight w:val="0"/>
      <w:marTop w:val="180"/>
      <w:marBottom w:val="180"/>
      <w:divBdr>
        <w:top w:val="none" w:sz="0" w:space="0" w:color="auto"/>
        <w:left w:val="none" w:sz="0" w:space="0" w:color="auto"/>
        <w:bottom w:val="none" w:sz="0" w:space="0" w:color="auto"/>
        <w:right w:val="none" w:sz="0" w:space="0" w:color="auto"/>
      </w:divBdr>
    </w:div>
    <w:div w:id="611205606">
      <w:marLeft w:val="0"/>
      <w:marRight w:val="0"/>
      <w:marTop w:val="180"/>
      <w:marBottom w:val="180"/>
      <w:divBdr>
        <w:top w:val="none" w:sz="0" w:space="0" w:color="auto"/>
        <w:left w:val="none" w:sz="0" w:space="0" w:color="auto"/>
        <w:bottom w:val="none" w:sz="0" w:space="0" w:color="auto"/>
        <w:right w:val="none" w:sz="0" w:space="0" w:color="auto"/>
      </w:divBdr>
    </w:div>
    <w:div w:id="611745029">
      <w:marLeft w:val="0"/>
      <w:marRight w:val="0"/>
      <w:marTop w:val="180"/>
      <w:marBottom w:val="180"/>
      <w:divBdr>
        <w:top w:val="none" w:sz="0" w:space="0" w:color="auto"/>
        <w:left w:val="none" w:sz="0" w:space="0" w:color="auto"/>
        <w:bottom w:val="none" w:sz="0" w:space="0" w:color="auto"/>
        <w:right w:val="none" w:sz="0" w:space="0" w:color="auto"/>
      </w:divBdr>
    </w:div>
    <w:div w:id="612320867">
      <w:marLeft w:val="0"/>
      <w:marRight w:val="0"/>
      <w:marTop w:val="60"/>
      <w:marBottom w:val="60"/>
      <w:divBdr>
        <w:top w:val="none" w:sz="0" w:space="0" w:color="auto"/>
        <w:left w:val="none" w:sz="0" w:space="0" w:color="auto"/>
        <w:bottom w:val="none" w:sz="0" w:space="0" w:color="auto"/>
        <w:right w:val="none" w:sz="0" w:space="0" w:color="auto"/>
      </w:divBdr>
    </w:div>
    <w:div w:id="615916317">
      <w:marLeft w:val="0"/>
      <w:marRight w:val="0"/>
      <w:marTop w:val="60"/>
      <w:marBottom w:val="60"/>
      <w:divBdr>
        <w:top w:val="none" w:sz="0" w:space="0" w:color="auto"/>
        <w:left w:val="none" w:sz="0" w:space="0" w:color="auto"/>
        <w:bottom w:val="none" w:sz="0" w:space="0" w:color="auto"/>
        <w:right w:val="none" w:sz="0" w:space="0" w:color="auto"/>
      </w:divBdr>
    </w:div>
    <w:div w:id="618218882">
      <w:marLeft w:val="0"/>
      <w:marRight w:val="0"/>
      <w:marTop w:val="180"/>
      <w:marBottom w:val="180"/>
      <w:divBdr>
        <w:top w:val="none" w:sz="0" w:space="0" w:color="auto"/>
        <w:left w:val="none" w:sz="0" w:space="0" w:color="auto"/>
        <w:bottom w:val="none" w:sz="0" w:space="0" w:color="auto"/>
        <w:right w:val="none" w:sz="0" w:space="0" w:color="auto"/>
      </w:divBdr>
    </w:div>
    <w:div w:id="618536482">
      <w:marLeft w:val="0"/>
      <w:marRight w:val="0"/>
      <w:marTop w:val="180"/>
      <w:marBottom w:val="100"/>
      <w:divBdr>
        <w:top w:val="none" w:sz="0" w:space="0" w:color="auto"/>
        <w:left w:val="none" w:sz="0" w:space="0" w:color="auto"/>
        <w:bottom w:val="none" w:sz="0" w:space="0" w:color="auto"/>
        <w:right w:val="none" w:sz="0" w:space="0" w:color="auto"/>
      </w:divBdr>
      <w:divsChild>
        <w:div w:id="1831411632">
          <w:marLeft w:val="0"/>
          <w:marRight w:val="0"/>
          <w:marTop w:val="180"/>
          <w:marBottom w:val="0"/>
          <w:divBdr>
            <w:top w:val="none" w:sz="0" w:space="0" w:color="auto"/>
            <w:left w:val="none" w:sz="0" w:space="0" w:color="auto"/>
            <w:bottom w:val="none" w:sz="0" w:space="0" w:color="auto"/>
            <w:right w:val="none" w:sz="0" w:space="0" w:color="auto"/>
          </w:divBdr>
        </w:div>
      </w:divsChild>
    </w:div>
    <w:div w:id="621569016">
      <w:marLeft w:val="0"/>
      <w:marRight w:val="0"/>
      <w:marTop w:val="0"/>
      <w:marBottom w:val="0"/>
      <w:divBdr>
        <w:top w:val="none" w:sz="0" w:space="0" w:color="auto"/>
        <w:left w:val="none" w:sz="0" w:space="0" w:color="auto"/>
        <w:bottom w:val="none" w:sz="0" w:space="0" w:color="auto"/>
        <w:right w:val="none" w:sz="0" w:space="0" w:color="auto"/>
      </w:divBdr>
    </w:div>
    <w:div w:id="622688415">
      <w:marLeft w:val="0"/>
      <w:marRight w:val="0"/>
      <w:marTop w:val="180"/>
      <w:marBottom w:val="180"/>
      <w:divBdr>
        <w:top w:val="none" w:sz="0" w:space="0" w:color="auto"/>
        <w:left w:val="none" w:sz="0" w:space="0" w:color="auto"/>
        <w:bottom w:val="none" w:sz="0" w:space="0" w:color="auto"/>
        <w:right w:val="none" w:sz="0" w:space="0" w:color="auto"/>
      </w:divBdr>
    </w:div>
    <w:div w:id="623540831">
      <w:marLeft w:val="0"/>
      <w:marRight w:val="0"/>
      <w:marTop w:val="0"/>
      <w:marBottom w:val="0"/>
      <w:divBdr>
        <w:top w:val="none" w:sz="0" w:space="0" w:color="auto"/>
        <w:left w:val="none" w:sz="0" w:space="0" w:color="auto"/>
        <w:bottom w:val="none" w:sz="0" w:space="0" w:color="auto"/>
        <w:right w:val="none" w:sz="0" w:space="0" w:color="auto"/>
      </w:divBdr>
      <w:divsChild>
        <w:div w:id="1450736169">
          <w:marLeft w:val="0"/>
          <w:marRight w:val="0"/>
          <w:marTop w:val="0"/>
          <w:marBottom w:val="0"/>
          <w:divBdr>
            <w:top w:val="none" w:sz="0" w:space="0" w:color="auto"/>
            <w:left w:val="none" w:sz="0" w:space="0" w:color="auto"/>
            <w:bottom w:val="none" w:sz="0" w:space="0" w:color="auto"/>
            <w:right w:val="none" w:sz="0" w:space="0" w:color="auto"/>
          </w:divBdr>
          <w:divsChild>
            <w:div w:id="7160515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3971483">
      <w:marLeft w:val="0"/>
      <w:marRight w:val="0"/>
      <w:marTop w:val="180"/>
      <w:marBottom w:val="180"/>
      <w:divBdr>
        <w:top w:val="none" w:sz="0" w:space="0" w:color="auto"/>
        <w:left w:val="none" w:sz="0" w:space="0" w:color="auto"/>
        <w:bottom w:val="none" w:sz="0" w:space="0" w:color="auto"/>
        <w:right w:val="none" w:sz="0" w:space="0" w:color="auto"/>
      </w:divBdr>
    </w:div>
    <w:div w:id="624233654">
      <w:marLeft w:val="0"/>
      <w:marRight w:val="0"/>
      <w:marTop w:val="60"/>
      <w:marBottom w:val="60"/>
      <w:divBdr>
        <w:top w:val="none" w:sz="0" w:space="0" w:color="auto"/>
        <w:left w:val="none" w:sz="0" w:space="0" w:color="auto"/>
        <w:bottom w:val="none" w:sz="0" w:space="0" w:color="auto"/>
        <w:right w:val="none" w:sz="0" w:space="0" w:color="auto"/>
      </w:divBdr>
    </w:div>
    <w:div w:id="624897303">
      <w:marLeft w:val="0"/>
      <w:marRight w:val="0"/>
      <w:marTop w:val="60"/>
      <w:marBottom w:val="60"/>
      <w:divBdr>
        <w:top w:val="none" w:sz="0" w:space="0" w:color="auto"/>
        <w:left w:val="none" w:sz="0" w:space="0" w:color="auto"/>
        <w:bottom w:val="none" w:sz="0" w:space="0" w:color="auto"/>
        <w:right w:val="none" w:sz="0" w:space="0" w:color="auto"/>
      </w:divBdr>
    </w:div>
    <w:div w:id="625620542">
      <w:marLeft w:val="0"/>
      <w:marRight w:val="0"/>
      <w:marTop w:val="100"/>
      <w:marBottom w:val="100"/>
      <w:divBdr>
        <w:top w:val="none" w:sz="0" w:space="0" w:color="auto"/>
        <w:left w:val="none" w:sz="0" w:space="0" w:color="auto"/>
        <w:bottom w:val="none" w:sz="0" w:space="0" w:color="auto"/>
        <w:right w:val="none" w:sz="0" w:space="0" w:color="auto"/>
      </w:divBdr>
      <w:divsChild>
        <w:div w:id="1447693843">
          <w:marLeft w:val="0"/>
          <w:marRight w:val="0"/>
          <w:marTop w:val="0"/>
          <w:marBottom w:val="0"/>
          <w:divBdr>
            <w:top w:val="none" w:sz="0" w:space="0" w:color="auto"/>
            <w:left w:val="none" w:sz="0" w:space="0" w:color="auto"/>
            <w:bottom w:val="none" w:sz="0" w:space="0" w:color="auto"/>
            <w:right w:val="none" w:sz="0" w:space="0" w:color="auto"/>
          </w:divBdr>
        </w:div>
        <w:div w:id="1834836466">
          <w:marLeft w:val="0"/>
          <w:marRight w:val="0"/>
          <w:marTop w:val="0"/>
          <w:marBottom w:val="0"/>
          <w:divBdr>
            <w:top w:val="none" w:sz="0" w:space="0" w:color="auto"/>
            <w:left w:val="none" w:sz="0" w:space="0" w:color="auto"/>
            <w:bottom w:val="none" w:sz="0" w:space="0" w:color="auto"/>
            <w:right w:val="none" w:sz="0" w:space="0" w:color="auto"/>
          </w:divBdr>
        </w:div>
      </w:divsChild>
    </w:div>
    <w:div w:id="627395504">
      <w:marLeft w:val="0"/>
      <w:marRight w:val="0"/>
      <w:marTop w:val="60"/>
      <w:marBottom w:val="0"/>
      <w:divBdr>
        <w:top w:val="none" w:sz="0" w:space="0" w:color="auto"/>
        <w:left w:val="none" w:sz="0" w:space="0" w:color="auto"/>
        <w:bottom w:val="none" w:sz="0" w:space="0" w:color="auto"/>
        <w:right w:val="none" w:sz="0" w:space="0" w:color="auto"/>
      </w:divBdr>
    </w:div>
    <w:div w:id="628512387">
      <w:marLeft w:val="0"/>
      <w:marRight w:val="0"/>
      <w:marTop w:val="180"/>
      <w:marBottom w:val="180"/>
      <w:divBdr>
        <w:top w:val="none" w:sz="0" w:space="0" w:color="auto"/>
        <w:left w:val="none" w:sz="0" w:space="0" w:color="auto"/>
        <w:bottom w:val="none" w:sz="0" w:space="0" w:color="auto"/>
        <w:right w:val="none" w:sz="0" w:space="0" w:color="auto"/>
      </w:divBdr>
    </w:div>
    <w:div w:id="629407866">
      <w:marLeft w:val="0"/>
      <w:marRight w:val="0"/>
      <w:marTop w:val="60"/>
      <w:marBottom w:val="60"/>
      <w:divBdr>
        <w:top w:val="none" w:sz="0" w:space="0" w:color="auto"/>
        <w:left w:val="none" w:sz="0" w:space="0" w:color="auto"/>
        <w:bottom w:val="none" w:sz="0" w:space="0" w:color="auto"/>
        <w:right w:val="none" w:sz="0" w:space="0" w:color="auto"/>
      </w:divBdr>
    </w:div>
    <w:div w:id="630016174">
      <w:marLeft w:val="0"/>
      <w:marRight w:val="0"/>
      <w:marTop w:val="180"/>
      <w:marBottom w:val="180"/>
      <w:divBdr>
        <w:top w:val="none" w:sz="0" w:space="0" w:color="auto"/>
        <w:left w:val="none" w:sz="0" w:space="0" w:color="auto"/>
        <w:bottom w:val="none" w:sz="0" w:space="0" w:color="auto"/>
        <w:right w:val="none" w:sz="0" w:space="0" w:color="auto"/>
      </w:divBdr>
    </w:div>
    <w:div w:id="630552633">
      <w:marLeft w:val="0"/>
      <w:marRight w:val="0"/>
      <w:marTop w:val="0"/>
      <w:marBottom w:val="0"/>
      <w:divBdr>
        <w:top w:val="none" w:sz="0" w:space="0" w:color="auto"/>
        <w:left w:val="none" w:sz="0" w:space="0" w:color="auto"/>
        <w:bottom w:val="none" w:sz="0" w:space="0" w:color="auto"/>
        <w:right w:val="none" w:sz="0" w:space="0" w:color="auto"/>
      </w:divBdr>
    </w:div>
    <w:div w:id="631331473">
      <w:marLeft w:val="0"/>
      <w:marRight w:val="0"/>
      <w:marTop w:val="100"/>
      <w:marBottom w:val="100"/>
      <w:divBdr>
        <w:top w:val="none" w:sz="0" w:space="0" w:color="auto"/>
        <w:left w:val="none" w:sz="0" w:space="0" w:color="auto"/>
        <w:bottom w:val="none" w:sz="0" w:space="0" w:color="auto"/>
        <w:right w:val="none" w:sz="0" w:space="0" w:color="auto"/>
      </w:divBdr>
    </w:div>
    <w:div w:id="632249925">
      <w:marLeft w:val="0"/>
      <w:marRight w:val="0"/>
      <w:marTop w:val="180"/>
      <w:marBottom w:val="180"/>
      <w:divBdr>
        <w:top w:val="none" w:sz="0" w:space="0" w:color="auto"/>
        <w:left w:val="none" w:sz="0" w:space="0" w:color="auto"/>
        <w:bottom w:val="none" w:sz="0" w:space="0" w:color="auto"/>
        <w:right w:val="none" w:sz="0" w:space="0" w:color="auto"/>
      </w:divBdr>
    </w:div>
    <w:div w:id="634144720">
      <w:marLeft w:val="0"/>
      <w:marRight w:val="0"/>
      <w:marTop w:val="0"/>
      <w:marBottom w:val="0"/>
      <w:divBdr>
        <w:top w:val="none" w:sz="0" w:space="0" w:color="auto"/>
        <w:left w:val="none" w:sz="0" w:space="0" w:color="auto"/>
        <w:bottom w:val="none" w:sz="0" w:space="0" w:color="auto"/>
        <w:right w:val="none" w:sz="0" w:space="0" w:color="auto"/>
      </w:divBdr>
      <w:divsChild>
        <w:div w:id="25522278">
          <w:marLeft w:val="0"/>
          <w:marRight w:val="0"/>
          <w:marTop w:val="180"/>
          <w:marBottom w:val="180"/>
          <w:divBdr>
            <w:top w:val="none" w:sz="0" w:space="0" w:color="auto"/>
            <w:left w:val="none" w:sz="0" w:space="0" w:color="auto"/>
            <w:bottom w:val="none" w:sz="0" w:space="0" w:color="auto"/>
            <w:right w:val="none" w:sz="0" w:space="0" w:color="auto"/>
          </w:divBdr>
        </w:div>
      </w:divsChild>
    </w:div>
    <w:div w:id="637995224">
      <w:marLeft w:val="0"/>
      <w:marRight w:val="0"/>
      <w:marTop w:val="0"/>
      <w:marBottom w:val="0"/>
      <w:divBdr>
        <w:top w:val="none" w:sz="0" w:space="0" w:color="auto"/>
        <w:left w:val="none" w:sz="0" w:space="0" w:color="auto"/>
        <w:bottom w:val="none" w:sz="0" w:space="0" w:color="auto"/>
        <w:right w:val="none" w:sz="0" w:space="0" w:color="auto"/>
      </w:divBdr>
    </w:div>
    <w:div w:id="638152858">
      <w:marLeft w:val="0"/>
      <w:marRight w:val="0"/>
      <w:marTop w:val="180"/>
      <w:marBottom w:val="180"/>
      <w:divBdr>
        <w:top w:val="none" w:sz="0" w:space="0" w:color="auto"/>
        <w:left w:val="none" w:sz="0" w:space="0" w:color="auto"/>
        <w:bottom w:val="none" w:sz="0" w:space="0" w:color="auto"/>
        <w:right w:val="none" w:sz="0" w:space="0" w:color="auto"/>
      </w:divBdr>
    </w:div>
    <w:div w:id="639772392">
      <w:marLeft w:val="0"/>
      <w:marRight w:val="0"/>
      <w:marTop w:val="180"/>
      <w:marBottom w:val="180"/>
      <w:divBdr>
        <w:top w:val="none" w:sz="0" w:space="0" w:color="auto"/>
        <w:left w:val="none" w:sz="0" w:space="0" w:color="auto"/>
        <w:bottom w:val="none" w:sz="0" w:space="0" w:color="auto"/>
        <w:right w:val="none" w:sz="0" w:space="0" w:color="auto"/>
      </w:divBdr>
    </w:div>
    <w:div w:id="640767379">
      <w:marLeft w:val="0"/>
      <w:marRight w:val="0"/>
      <w:marTop w:val="180"/>
      <w:marBottom w:val="180"/>
      <w:divBdr>
        <w:top w:val="none" w:sz="0" w:space="0" w:color="auto"/>
        <w:left w:val="none" w:sz="0" w:space="0" w:color="auto"/>
        <w:bottom w:val="none" w:sz="0" w:space="0" w:color="auto"/>
        <w:right w:val="none" w:sz="0" w:space="0" w:color="auto"/>
      </w:divBdr>
    </w:div>
    <w:div w:id="641468038">
      <w:marLeft w:val="0"/>
      <w:marRight w:val="0"/>
      <w:marTop w:val="60"/>
      <w:marBottom w:val="60"/>
      <w:divBdr>
        <w:top w:val="none" w:sz="0" w:space="0" w:color="auto"/>
        <w:left w:val="none" w:sz="0" w:space="0" w:color="auto"/>
        <w:bottom w:val="none" w:sz="0" w:space="0" w:color="auto"/>
        <w:right w:val="none" w:sz="0" w:space="0" w:color="auto"/>
      </w:divBdr>
    </w:div>
    <w:div w:id="641815680">
      <w:marLeft w:val="0"/>
      <w:marRight w:val="0"/>
      <w:marTop w:val="180"/>
      <w:marBottom w:val="180"/>
      <w:divBdr>
        <w:top w:val="none" w:sz="0" w:space="0" w:color="auto"/>
        <w:left w:val="none" w:sz="0" w:space="0" w:color="auto"/>
        <w:bottom w:val="none" w:sz="0" w:space="0" w:color="auto"/>
        <w:right w:val="none" w:sz="0" w:space="0" w:color="auto"/>
      </w:divBdr>
    </w:div>
    <w:div w:id="641885955">
      <w:marLeft w:val="0"/>
      <w:marRight w:val="0"/>
      <w:marTop w:val="180"/>
      <w:marBottom w:val="180"/>
      <w:divBdr>
        <w:top w:val="none" w:sz="0" w:space="0" w:color="auto"/>
        <w:left w:val="none" w:sz="0" w:space="0" w:color="auto"/>
        <w:bottom w:val="none" w:sz="0" w:space="0" w:color="auto"/>
        <w:right w:val="none" w:sz="0" w:space="0" w:color="auto"/>
      </w:divBdr>
    </w:div>
    <w:div w:id="642808686">
      <w:marLeft w:val="0"/>
      <w:marRight w:val="0"/>
      <w:marTop w:val="0"/>
      <w:marBottom w:val="0"/>
      <w:divBdr>
        <w:top w:val="none" w:sz="0" w:space="0" w:color="auto"/>
        <w:left w:val="none" w:sz="0" w:space="0" w:color="auto"/>
        <w:bottom w:val="none" w:sz="0" w:space="0" w:color="auto"/>
        <w:right w:val="none" w:sz="0" w:space="0" w:color="auto"/>
      </w:divBdr>
      <w:divsChild>
        <w:div w:id="80219728">
          <w:marLeft w:val="0"/>
          <w:marRight w:val="0"/>
          <w:marTop w:val="0"/>
          <w:marBottom w:val="0"/>
          <w:divBdr>
            <w:top w:val="none" w:sz="0" w:space="0" w:color="auto"/>
            <w:left w:val="none" w:sz="0" w:space="0" w:color="auto"/>
            <w:bottom w:val="none" w:sz="0" w:space="0" w:color="auto"/>
            <w:right w:val="none" w:sz="0" w:space="0" w:color="auto"/>
          </w:divBdr>
          <w:divsChild>
            <w:div w:id="675788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4041932">
      <w:marLeft w:val="0"/>
      <w:marRight w:val="0"/>
      <w:marTop w:val="60"/>
      <w:marBottom w:val="60"/>
      <w:divBdr>
        <w:top w:val="none" w:sz="0" w:space="0" w:color="auto"/>
        <w:left w:val="none" w:sz="0" w:space="0" w:color="auto"/>
        <w:bottom w:val="none" w:sz="0" w:space="0" w:color="auto"/>
        <w:right w:val="none" w:sz="0" w:space="0" w:color="auto"/>
      </w:divBdr>
    </w:div>
    <w:div w:id="644091672">
      <w:marLeft w:val="0"/>
      <w:marRight w:val="0"/>
      <w:marTop w:val="60"/>
      <w:marBottom w:val="60"/>
      <w:divBdr>
        <w:top w:val="none" w:sz="0" w:space="0" w:color="auto"/>
        <w:left w:val="none" w:sz="0" w:space="0" w:color="auto"/>
        <w:bottom w:val="none" w:sz="0" w:space="0" w:color="auto"/>
        <w:right w:val="none" w:sz="0" w:space="0" w:color="auto"/>
      </w:divBdr>
    </w:div>
    <w:div w:id="644092625">
      <w:marLeft w:val="0"/>
      <w:marRight w:val="0"/>
      <w:marTop w:val="180"/>
      <w:marBottom w:val="180"/>
      <w:divBdr>
        <w:top w:val="none" w:sz="0" w:space="0" w:color="auto"/>
        <w:left w:val="none" w:sz="0" w:space="0" w:color="auto"/>
        <w:bottom w:val="none" w:sz="0" w:space="0" w:color="auto"/>
        <w:right w:val="none" w:sz="0" w:space="0" w:color="auto"/>
      </w:divBdr>
    </w:div>
    <w:div w:id="644505023">
      <w:marLeft w:val="0"/>
      <w:marRight w:val="0"/>
      <w:marTop w:val="180"/>
      <w:marBottom w:val="180"/>
      <w:divBdr>
        <w:top w:val="none" w:sz="0" w:space="0" w:color="auto"/>
        <w:left w:val="none" w:sz="0" w:space="0" w:color="auto"/>
        <w:bottom w:val="none" w:sz="0" w:space="0" w:color="auto"/>
        <w:right w:val="none" w:sz="0" w:space="0" w:color="auto"/>
      </w:divBdr>
    </w:div>
    <w:div w:id="644698326">
      <w:marLeft w:val="0"/>
      <w:marRight w:val="0"/>
      <w:marTop w:val="180"/>
      <w:marBottom w:val="180"/>
      <w:divBdr>
        <w:top w:val="none" w:sz="0" w:space="0" w:color="auto"/>
        <w:left w:val="none" w:sz="0" w:space="0" w:color="auto"/>
        <w:bottom w:val="none" w:sz="0" w:space="0" w:color="auto"/>
        <w:right w:val="none" w:sz="0" w:space="0" w:color="auto"/>
      </w:divBdr>
    </w:div>
    <w:div w:id="648898976">
      <w:marLeft w:val="0"/>
      <w:marRight w:val="0"/>
      <w:marTop w:val="180"/>
      <w:marBottom w:val="180"/>
      <w:divBdr>
        <w:top w:val="none" w:sz="0" w:space="0" w:color="auto"/>
        <w:left w:val="none" w:sz="0" w:space="0" w:color="auto"/>
        <w:bottom w:val="none" w:sz="0" w:space="0" w:color="auto"/>
        <w:right w:val="none" w:sz="0" w:space="0" w:color="auto"/>
      </w:divBdr>
    </w:div>
    <w:div w:id="651368007">
      <w:marLeft w:val="0"/>
      <w:marRight w:val="0"/>
      <w:marTop w:val="180"/>
      <w:marBottom w:val="180"/>
      <w:divBdr>
        <w:top w:val="none" w:sz="0" w:space="0" w:color="auto"/>
        <w:left w:val="none" w:sz="0" w:space="0" w:color="auto"/>
        <w:bottom w:val="none" w:sz="0" w:space="0" w:color="auto"/>
        <w:right w:val="none" w:sz="0" w:space="0" w:color="auto"/>
      </w:divBdr>
    </w:div>
    <w:div w:id="651562133">
      <w:marLeft w:val="0"/>
      <w:marRight w:val="0"/>
      <w:marTop w:val="60"/>
      <w:marBottom w:val="60"/>
      <w:divBdr>
        <w:top w:val="none" w:sz="0" w:space="0" w:color="auto"/>
        <w:left w:val="none" w:sz="0" w:space="0" w:color="auto"/>
        <w:bottom w:val="none" w:sz="0" w:space="0" w:color="auto"/>
        <w:right w:val="none" w:sz="0" w:space="0" w:color="auto"/>
      </w:divBdr>
    </w:div>
    <w:div w:id="653921018">
      <w:marLeft w:val="0"/>
      <w:marRight w:val="0"/>
      <w:marTop w:val="60"/>
      <w:marBottom w:val="60"/>
      <w:divBdr>
        <w:top w:val="none" w:sz="0" w:space="0" w:color="auto"/>
        <w:left w:val="none" w:sz="0" w:space="0" w:color="auto"/>
        <w:bottom w:val="none" w:sz="0" w:space="0" w:color="auto"/>
        <w:right w:val="none" w:sz="0" w:space="0" w:color="auto"/>
      </w:divBdr>
    </w:div>
    <w:div w:id="654143550">
      <w:marLeft w:val="0"/>
      <w:marRight w:val="0"/>
      <w:marTop w:val="60"/>
      <w:marBottom w:val="60"/>
      <w:divBdr>
        <w:top w:val="none" w:sz="0" w:space="0" w:color="auto"/>
        <w:left w:val="none" w:sz="0" w:space="0" w:color="auto"/>
        <w:bottom w:val="none" w:sz="0" w:space="0" w:color="auto"/>
        <w:right w:val="none" w:sz="0" w:space="0" w:color="auto"/>
      </w:divBdr>
      <w:divsChild>
        <w:div w:id="357896412">
          <w:marLeft w:val="0"/>
          <w:marRight w:val="0"/>
          <w:marTop w:val="0"/>
          <w:marBottom w:val="0"/>
          <w:divBdr>
            <w:top w:val="none" w:sz="0" w:space="0" w:color="auto"/>
            <w:left w:val="none" w:sz="0" w:space="0" w:color="auto"/>
            <w:bottom w:val="none" w:sz="0" w:space="0" w:color="auto"/>
            <w:right w:val="none" w:sz="0" w:space="0" w:color="auto"/>
          </w:divBdr>
        </w:div>
      </w:divsChild>
    </w:div>
    <w:div w:id="654987864">
      <w:marLeft w:val="0"/>
      <w:marRight w:val="0"/>
      <w:marTop w:val="0"/>
      <w:marBottom w:val="0"/>
      <w:divBdr>
        <w:top w:val="none" w:sz="0" w:space="0" w:color="auto"/>
        <w:left w:val="none" w:sz="0" w:space="0" w:color="auto"/>
        <w:bottom w:val="none" w:sz="0" w:space="0" w:color="auto"/>
        <w:right w:val="none" w:sz="0" w:space="0" w:color="auto"/>
      </w:divBdr>
    </w:div>
    <w:div w:id="655694387">
      <w:marLeft w:val="0"/>
      <w:marRight w:val="0"/>
      <w:marTop w:val="180"/>
      <w:marBottom w:val="180"/>
      <w:divBdr>
        <w:top w:val="none" w:sz="0" w:space="0" w:color="auto"/>
        <w:left w:val="none" w:sz="0" w:space="0" w:color="auto"/>
        <w:bottom w:val="none" w:sz="0" w:space="0" w:color="auto"/>
        <w:right w:val="none" w:sz="0" w:space="0" w:color="auto"/>
      </w:divBdr>
    </w:div>
    <w:div w:id="655770272">
      <w:marLeft w:val="0"/>
      <w:marRight w:val="0"/>
      <w:marTop w:val="0"/>
      <w:marBottom w:val="0"/>
      <w:divBdr>
        <w:top w:val="none" w:sz="0" w:space="0" w:color="auto"/>
        <w:left w:val="none" w:sz="0" w:space="0" w:color="auto"/>
        <w:bottom w:val="none" w:sz="0" w:space="0" w:color="auto"/>
        <w:right w:val="none" w:sz="0" w:space="0" w:color="auto"/>
      </w:divBdr>
    </w:div>
    <w:div w:id="655954237">
      <w:marLeft w:val="0"/>
      <w:marRight w:val="0"/>
      <w:marTop w:val="180"/>
      <w:marBottom w:val="180"/>
      <w:divBdr>
        <w:top w:val="none" w:sz="0" w:space="0" w:color="auto"/>
        <w:left w:val="none" w:sz="0" w:space="0" w:color="auto"/>
        <w:bottom w:val="none" w:sz="0" w:space="0" w:color="auto"/>
        <w:right w:val="none" w:sz="0" w:space="0" w:color="auto"/>
      </w:divBdr>
    </w:div>
    <w:div w:id="659507817">
      <w:marLeft w:val="0"/>
      <w:marRight w:val="0"/>
      <w:marTop w:val="180"/>
      <w:marBottom w:val="180"/>
      <w:divBdr>
        <w:top w:val="none" w:sz="0" w:space="0" w:color="auto"/>
        <w:left w:val="none" w:sz="0" w:space="0" w:color="auto"/>
        <w:bottom w:val="none" w:sz="0" w:space="0" w:color="auto"/>
        <w:right w:val="none" w:sz="0" w:space="0" w:color="auto"/>
      </w:divBdr>
    </w:div>
    <w:div w:id="662978156">
      <w:marLeft w:val="0"/>
      <w:marRight w:val="0"/>
      <w:marTop w:val="180"/>
      <w:marBottom w:val="180"/>
      <w:divBdr>
        <w:top w:val="none" w:sz="0" w:space="0" w:color="auto"/>
        <w:left w:val="none" w:sz="0" w:space="0" w:color="auto"/>
        <w:bottom w:val="none" w:sz="0" w:space="0" w:color="auto"/>
        <w:right w:val="none" w:sz="0" w:space="0" w:color="auto"/>
      </w:divBdr>
    </w:div>
    <w:div w:id="663433083">
      <w:marLeft w:val="0"/>
      <w:marRight w:val="0"/>
      <w:marTop w:val="180"/>
      <w:marBottom w:val="180"/>
      <w:divBdr>
        <w:top w:val="none" w:sz="0" w:space="0" w:color="auto"/>
        <w:left w:val="none" w:sz="0" w:space="0" w:color="auto"/>
        <w:bottom w:val="none" w:sz="0" w:space="0" w:color="auto"/>
        <w:right w:val="none" w:sz="0" w:space="0" w:color="auto"/>
      </w:divBdr>
    </w:div>
    <w:div w:id="663439686">
      <w:marLeft w:val="0"/>
      <w:marRight w:val="0"/>
      <w:marTop w:val="180"/>
      <w:marBottom w:val="180"/>
      <w:divBdr>
        <w:top w:val="none" w:sz="0" w:space="0" w:color="auto"/>
        <w:left w:val="none" w:sz="0" w:space="0" w:color="auto"/>
        <w:bottom w:val="none" w:sz="0" w:space="0" w:color="auto"/>
        <w:right w:val="none" w:sz="0" w:space="0" w:color="auto"/>
      </w:divBdr>
    </w:div>
    <w:div w:id="664283130">
      <w:marLeft w:val="0"/>
      <w:marRight w:val="0"/>
      <w:marTop w:val="180"/>
      <w:marBottom w:val="180"/>
      <w:divBdr>
        <w:top w:val="none" w:sz="0" w:space="0" w:color="auto"/>
        <w:left w:val="none" w:sz="0" w:space="0" w:color="auto"/>
        <w:bottom w:val="none" w:sz="0" w:space="0" w:color="auto"/>
        <w:right w:val="none" w:sz="0" w:space="0" w:color="auto"/>
      </w:divBdr>
    </w:div>
    <w:div w:id="664555548">
      <w:marLeft w:val="0"/>
      <w:marRight w:val="0"/>
      <w:marTop w:val="180"/>
      <w:marBottom w:val="180"/>
      <w:divBdr>
        <w:top w:val="none" w:sz="0" w:space="0" w:color="auto"/>
        <w:left w:val="none" w:sz="0" w:space="0" w:color="auto"/>
        <w:bottom w:val="none" w:sz="0" w:space="0" w:color="auto"/>
        <w:right w:val="none" w:sz="0" w:space="0" w:color="auto"/>
      </w:divBdr>
    </w:div>
    <w:div w:id="667174243">
      <w:marLeft w:val="0"/>
      <w:marRight w:val="0"/>
      <w:marTop w:val="180"/>
      <w:marBottom w:val="180"/>
      <w:divBdr>
        <w:top w:val="none" w:sz="0" w:space="0" w:color="auto"/>
        <w:left w:val="none" w:sz="0" w:space="0" w:color="auto"/>
        <w:bottom w:val="none" w:sz="0" w:space="0" w:color="auto"/>
        <w:right w:val="none" w:sz="0" w:space="0" w:color="auto"/>
      </w:divBdr>
    </w:div>
    <w:div w:id="669678916">
      <w:marLeft w:val="0"/>
      <w:marRight w:val="0"/>
      <w:marTop w:val="180"/>
      <w:marBottom w:val="180"/>
      <w:divBdr>
        <w:top w:val="none" w:sz="0" w:space="0" w:color="auto"/>
        <w:left w:val="none" w:sz="0" w:space="0" w:color="auto"/>
        <w:bottom w:val="none" w:sz="0" w:space="0" w:color="auto"/>
        <w:right w:val="none" w:sz="0" w:space="0" w:color="auto"/>
      </w:divBdr>
    </w:div>
    <w:div w:id="669874126">
      <w:marLeft w:val="0"/>
      <w:marRight w:val="0"/>
      <w:marTop w:val="60"/>
      <w:marBottom w:val="60"/>
      <w:divBdr>
        <w:top w:val="none" w:sz="0" w:space="0" w:color="auto"/>
        <w:left w:val="none" w:sz="0" w:space="0" w:color="auto"/>
        <w:bottom w:val="none" w:sz="0" w:space="0" w:color="auto"/>
        <w:right w:val="none" w:sz="0" w:space="0" w:color="auto"/>
      </w:divBdr>
      <w:divsChild>
        <w:div w:id="318537230">
          <w:marLeft w:val="0"/>
          <w:marRight w:val="0"/>
          <w:marTop w:val="0"/>
          <w:marBottom w:val="0"/>
          <w:divBdr>
            <w:top w:val="none" w:sz="0" w:space="0" w:color="auto"/>
            <w:left w:val="none" w:sz="0" w:space="0" w:color="auto"/>
            <w:bottom w:val="none" w:sz="0" w:space="0" w:color="auto"/>
            <w:right w:val="none" w:sz="0" w:space="0" w:color="auto"/>
          </w:divBdr>
        </w:div>
        <w:div w:id="245193610">
          <w:marLeft w:val="0"/>
          <w:marRight w:val="0"/>
          <w:marTop w:val="0"/>
          <w:marBottom w:val="0"/>
          <w:divBdr>
            <w:top w:val="none" w:sz="0" w:space="0" w:color="auto"/>
            <w:left w:val="none" w:sz="0" w:space="0" w:color="auto"/>
            <w:bottom w:val="none" w:sz="0" w:space="0" w:color="auto"/>
            <w:right w:val="none" w:sz="0" w:space="0" w:color="auto"/>
          </w:divBdr>
        </w:div>
        <w:div w:id="1865941032">
          <w:marLeft w:val="0"/>
          <w:marRight w:val="0"/>
          <w:marTop w:val="0"/>
          <w:marBottom w:val="0"/>
          <w:divBdr>
            <w:top w:val="none" w:sz="0" w:space="0" w:color="auto"/>
            <w:left w:val="none" w:sz="0" w:space="0" w:color="auto"/>
            <w:bottom w:val="none" w:sz="0" w:space="0" w:color="auto"/>
            <w:right w:val="none" w:sz="0" w:space="0" w:color="auto"/>
          </w:divBdr>
        </w:div>
      </w:divsChild>
    </w:div>
    <w:div w:id="675041435">
      <w:marLeft w:val="0"/>
      <w:marRight w:val="0"/>
      <w:marTop w:val="180"/>
      <w:marBottom w:val="180"/>
      <w:divBdr>
        <w:top w:val="none" w:sz="0" w:space="0" w:color="auto"/>
        <w:left w:val="none" w:sz="0" w:space="0" w:color="auto"/>
        <w:bottom w:val="none" w:sz="0" w:space="0" w:color="auto"/>
        <w:right w:val="none" w:sz="0" w:space="0" w:color="auto"/>
      </w:divBdr>
    </w:div>
    <w:div w:id="675882651">
      <w:marLeft w:val="0"/>
      <w:marRight w:val="0"/>
      <w:marTop w:val="180"/>
      <w:marBottom w:val="180"/>
      <w:divBdr>
        <w:top w:val="none" w:sz="0" w:space="0" w:color="auto"/>
        <w:left w:val="none" w:sz="0" w:space="0" w:color="auto"/>
        <w:bottom w:val="none" w:sz="0" w:space="0" w:color="auto"/>
        <w:right w:val="none" w:sz="0" w:space="0" w:color="auto"/>
      </w:divBdr>
    </w:div>
    <w:div w:id="676348771">
      <w:marLeft w:val="0"/>
      <w:marRight w:val="0"/>
      <w:marTop w:val="100"/>
      <w:marBottom w:val="100"/>
      <w:divBdr>
        <w:top w:val="none" w:sz="0" w:space="0" w:color="auto"/>
        <w:left w:val="none" w:sz="0" w:space="0" w:color="auto"/>
        <w:bottom w:val="none" w:sz="0" w:space="0" w:color="auto"/>
        <w:right w:val="none" w:sz="0" w:space="0" w:color="auto"/>
      </w:divBdr>
      <w:divsChild>
        <w:div w:id="303506006">
          <w:marLeft w:val="0"/>
          <w:marRight w:val="0"/>
          <w:marTop w:val="0"/>
          <w:marBottom w:val="0"/>
          <w:divBdr>
            <w:top w:val="none" w:sz="0" w:space="0" w:color="auto"/>
            <w:left w:val="none" w:sz="0" w:space="0" w:color="auto"/>
            <w:bottom w:val="none" w:sz="0" w:space="0" w:color="auto"/>
            <w:right w:val="none" w:sz="0" w:space="0" w:color="auto"/>
          </w:divBdr>
        </w:div>
        <w:div w:id="1030643983">
          <w:marLeft w:val="0"/>
          <w:marRight w:val="0"/>
          <w:marTop w:val="0"/>
          <w:marBottom w:val="0"/>
          <w:divBdr>
            <w:top w:val="none" w:sz="0" w:space="0" w:color="auto"/>
            <w:left w:val="none" w:sz="0" w:space="0" w:color="auto"/>
            <w:bottom w:val="none" w:sz="0" w:space="0" w:color="auto"/>
            <w:right w:val="none" w:sz="0" w:space="0" w:color="auto"/>
          </w:divBdr>
        </w:div>
      </w:divsChild>
    </w:div>
    <w:div w:id="676537652">
      <w:marLeft w:val="0"/>
      <w:marRight w:val="0"/>
      <w:marTop w:val="60"/>
      <w:marBottom w:val="60"/>
      <w:divBdr>
        <w:top w:val="none" w:sz="0" w:space="0" w:color="auto"/>
        <w:left w:val="none" w:sz="0" w:space="0" w:color="auto"/>
        <w:bottom w:val="none" w:sz="0" w:space="0" w:color="auto"/>
        <w:right w:val="none" w:sz="0" w:space="0" w:color="auto"/>
      </w:divBdr>
    </w:div>
    <w:div w:id="677005381">
      <w:marLeft w:val="0"/>
      <w:marRight w:val="0"/>
      <w:marTop w:val="60"/>
      <w:marBottom w:val="60"/>
      <w:divBdr>
        <w:top w:val="none" w:sz="0" w:space="0" w:color="auto"/>
        <w:left w:val="none" w:sz="0" w:space="0" w:color="auto"/>
        <w:bottom w:val="none" w:sz="0" w:space="0" w:color="auto"/>
        <w:right w:val="none" w:sz="0" w:space="0" w:color="auto"/>
      </w:divBdr>
    </w:div>
    <w:div w:id="682127308">
      <w:marLeft w:val="0"/>
      <w:marRight w:val="0"/>
      <w:marTop w:val="100"/>
      <w:marBottom w:val="100"/>
      <w:divBdr>
        <w:top w:val="none" w:sz="0" w:space="0" w:color="auto"/>
        <w:left w:val="none" w:sz="0" w:space="0" w:color="auto"/>
        <w:bottom w:val="none" w:sz="0" w:space="0" w:color="auto"/>
        <w:right w:val="none" w:sz="0" w:space="0" w:color="auto"/>
      </w:divBdr>
      <w:divsChild>
        <w:div w:id="992367425">
          <w:marLeft w:val="0"/>
          <w:marRight w:val="0"/>
          <w:marTop w:val="0"/>
          <w:marBottom w:val="0"/>
          <w:divBdr>
            <w:top w:val="none" w:sz="0" w:space="0" w:color="auto"/>
            <w:left w:val="none" w:sz="0" w:space="0" w:color="auto"/>
            <w:bottom w:val="none" w:sz="0" w:space="0" w:color="auto"/>
            <w:right w:val="none" w:sz="0" w:space="0" w:color="auto"/>
          </w:divBdr>
        </w:div>
        <w:div w:id="2022272633">
          <w:marLeft w:val="0"/>
          <w:marRight w:val="0"/>
          <w:marTop w:val="0"/>
          <w:marBottom w:val="0"/>
          <w:divBdr>
            <w:top w:val="none" w:sz="0" w:space="0" w:color="auto"/>
            <w:left w:val="none" w:sz="0" w:space="0" w:color="auto"/>
            <w:bottom w:val="none" w:sz="0" w:space="0" w:color="auto"/>
            <w:right w:val="none" w:sz="0" w:space="0" w:color="auto"/>
          </w:divBdr>
        </w:div>
        <w:div w:id="1164930543">
          <w:marLeft w:val="0"/>
          <w:marRight w:val="0"/>
          <w:marTop w:val="0"/>
          <w:marBottom w:val="0"/>
          <w:divBdr>
            <w:top w:val="none" w:sz="0" w:space="0" w:color="auto"/>
            <w:left w:val="none" w:sz="0" w:space="0" w:color="auto"/>
            <w:bottom w:val="none" w:sz="0" w:space="0" w:color="auto"/>
            <w:right w:val="none" w:sz="0" w:space="0" w:color="auto"/>
          </w:divBdr>
        </w:div>
        <w:div w:id="515117770">
          <w:marLeft w:val="0"/>
          <w:marRight w:val="0"/>
          <w:marTop w:val="0"/>
          <w:marBottom w:val="0"/>
          <w:divBdr>
            <w:top w:val="none" w:sz="0" w:space="0" w:color="auto"/>
            <w:left w:val="none" w:sz="0" w:space="0" w:color="auto"/>
            <w:bottom w:val="none" w:sz="0" w:space="0" w:color="auto"/>
            <w:right w:val="none" w:sz="0" w:space="0" w:color="auto"/>
          </w:divBdr>
        </w:div>
        <w:div w:id="1375042524">
          <w:marLeft w:val="0"/>
          <w:marRight w:val="0"/>
          <w:marTop w:val="0"/>
          <w:marBottom w:val="0"/>
          <w:divBdr>
            <w:top w:val="none" w:sz="0" w:space="0" w:color="auto"/>
            <w:left w:val="none" w:sz="0" w:space="0" w:color="auto"/>
            <w:bottom w:val="none" w:sz="0" w:space="0" w:color="auto"/>
            <w:right w:val="none" w:sz="0" w:space="0" w:color="auto"/>
          </w:divBdr>
        </w:div>
        <w:div w:id="1485706322">
          <w:marLeft w:val="0"/>
          <w:marRight w:val="0"/>
          <w:marTop w:val="0"/>
          <w:marBottom w:val="0"/>
          <w:divBdr>
            <w:top w:val="none" w:sz="0" w:space="0" w:color="auto"/>
            <w:left w:val="none" w:sz="0" w:space="0" w:color="auto"/>
            <w:bottom w:val="none" w:sz="0" w:space="0" w:color="auto"/>
            <w:right w:val="none" w:sz="0" w:space="0" w:color="auto"/>
          </w:divBdr>
        </w:div>
        <w:div w:id="307900222">
          <w:marLeft w:val="0"/>
          <w:marRight w:val="0"/>
          <w:marTop w:val="0"/>
          <w:marBottom w:val="0"/>
          <w:divBdr>
            <w:top w:val="none" w:sz="0" w:space="0" w:color="auto"/>
            <w:left w:val="none" w:sz="0" w:space="0" w:color="auto"/>
            <w:bottom w:val="none" w:sz="0" w:space="0" w:color="auto"/>
            <w:right w:val="none" w:sz="0" w:space="0" w:color="auto"/>
          </w:divBdr>
        </w:div>
        <w:div w:id="1820608736">
          <w:marLeft w:val="0"/>
          <w:marRight w:val="0"/>
          <w:marTop w:val="0"/>
          <w:marBottom w:val="0"/>
          <w:divBdr>
            <w:top w:val="none" w:sz="0" w:space="0" w:color="auto"/>
            <w:left w:val="none" w:sz="0" w:space="0" w:color="auto"/>
            <w:bottom w:val="none" w:sz="0" w:space="0" w:color="auto"/>
            <w:right w:val="none" w:sz="0" w:space="0" w:color="auto"/>
          </w:divBdr>
        </w:div>
        <w:div w:id="1256552541">
          <w:marLeft w:val="0"/>
          <w:marRight w:val="0"/>
          <w:marTop w:val="0"/>
          <w:marBottom w:val="0"/>
          <w:divBdr>
            <w:top w:val="none" w:sz="0" w:space="0" w:color="auto"/>
            <w:left w:val="none" w:sz="0" w:space="0" w:color="auto"/>
            <w:bottom w:val="none" w:sz="0" w:space="0" w:color="auto"/>
            <w:right w:val="none" w:sz="0" w:space="0" w:color="auto"/>
          </w:divBdr>
        </w:div>
        <w:div w:id="1000354505">
          <w:marLeft w:val="0"/>
          <w:marRight w:val="0"/>
          <w:marTop w:val="0"/>
          <w:marBottom w:val="0"/>
          <w:divBdr>
            <w:top w:val="none" w:sz="0" w:space="0" w:color="auto"/>
            <w:left w:val="none" w:sz="0" w:space="0" w:color="auto"/>
            <w:bottom w:val="none" w:sz="0" w:space="0" w:color="auto"/>
            <w:right w:val="none" w:sz="0" w:space="0" w:color="auto"/>
          </w:divBdr>
        </w:div>
        <w:div w:id="1421372048">
          <w:marLeft w:val="0"/>
          <w:marRight w:val="0"/>
          <w:marTop w:val="0"/>
          <w:marBottom w:val="0"/>
          <w:divBdr>
            <w:top w:val="none" w:sz="0" w:space="0" w:color="auto"/>
            <w:left w:val="none" w:sz="0" w:space="0" w:color="auto"/>
            <w:bottom w:val="none" w:sz="0" w:space="0" w:color="auto"/>
            <w:right w:val="none" w:sz="0" w:space="0" w:color="auto"/>
          </w:divBdr>
        </w:div>
        <w:div w:id="1214195805">
          <w:marLeft w:val="0"/>
          <w:marRight w:val="0"/>
          <w:marTop w:val="0"/>
          <w:marBottom w:val="0"/>
          <w:divBdr>
            <w:top w:val="none" w:sz="0" w:space="0" w:color="auto"/>
            <w:left w:val="none" w:sz="0" w:space="0" w:color="auto"/>
            <w:bottom w:val="none" w:sz="0" w:space="0" w:color="auto"/>
            <w:right w:val="none" w:sz="0" w:space="0" w:color="auto"/>
          </w:divBdr>
        </w:div>
        <w:div w:id="180777171">
          <w:marLeft w:val="0"/>
          <w:marRight w:val="0"/>
          <w:marTop w:val="0"/>
          <w:marBottom w:val="0"/>
          <w:divBdr>
            <w:top w:val="none" w:sz="0" w:space="0" w:color="auto"/>
            <w:left w:val="none" w:sz="0" w:space="0" w:color="auto"/>
            <w:bottom w:val="none" w:sz="0" w:space="0" w:color="auto"/>
            <w:right w:val="none" w:sz="0" w:space="0" w:color="auto"/>
          </w:divBdr>
        </w:div>
        <w:div w:id="5138937">
          <w:marLeft w:val="0"/>
          <w:marRight w:val="0"/>
          <w:marTop w:val="0"/>
          <w:marBottom w:val="0"/>
          <w:divBdr>
            <w:top w:val="none" w:sz="0" w:space="0" w:color="auto"/>
            <w:left w:val="none" w:sz="0" w:space="0" w:color="auto"/>
            <w:bottom w:val="none" w:sz="0" w:space="0" w:color="auto"/>
            <w:right w:val="none" w:sz="0" w:space="0" w:color="auto"/>
          </w:divBdr>
        </w:div>
        <w:div w:id="440035725">
          <w:marLeft w:val="0"/>
          <w:marRight w:val="0"/>
          <w:marTop w:val="0"/>
          <w:marBottom w:val="0"/>
          <w:divBdr>
            <w:top w:val="none" w:sz="0" w:space="0" w:color="auto"/>
            <w:left w:val="none" w:sz="0" w:space="0" w:color="auto"/>
            <w:bottom w:val="none" w:sz="0" w:space="0" w:color="auto"/>
            <w:right w:val="none" w:sz="0" w:space="0" w:color="auto"/>
          </w:divBdr>
        </w:div>
        <w:div w:id="1994750749">
          <w:marLeft w:val="0"/>
          <w:marRight w:val="0"/>
          <w:marTop w:val="0"/>
          <w:marBottom w:val="0"/>
          <w:divBdr>
            <w:top w:val="none" w:sz="0" w:space="0" w:color="auto"/>
            <w:left w:val="none" w:sz="0" w:space="0" w:color="auto"/>
            <w:bottom w:val="none" w:sz="0" w:space="0" w:color="auto"/>
            <w:right w:val="none" w:sz="0" w:space="0" w:color="auto"/>
          </w:divBdr>
        </w:div>
      </w:divsChild>
    </w:div>
    <w:div w:id="682321073">
      <w:marLeft w:val="0"/>
      <w:marRight w:val="0"/>
      <w:marTop w:val="180"/>
      <w:marBottom w:val="180"/>
      <w:divBdr>
        <w:top w:val="none" w:sz="0" w:space="0" w:color="auto"/>
        <w:left w:val="none" w:sz="0" w:space="0" w:color="auto"/>
        <w:bottom w:val="none" w:sz="0" w:space="0" w:color="auto"/>
        <w:right w:val="none" w:sz="0" w:space="0" w:color="auto"/>
      </w:divBdr>
    </w:div>
    <w:div w:id="682324702">
      <w:marLeft w:val="0"/>
      <w:marRight w:val="0"/>
      <w:marTop w:val="0"/>
      <w:marBottom w:val="0"/>
      <w:divBdr>
        <w:top w:val="none" w:sz="0" w:space="0" w:color="auto"/>
        <w:left w:val="none" w:sz="0" w:space="0" w:color="auto"/>
        <w:bottom w:val="none" w:sz="0" w:space="0" w:color="auto"/>
        <w:right w:val="none" w:sz="0" w:space="0" w:color="auto"/>
      </w:divBdr>
      <w:divsChild>
        <w:div w:id="683747986">
          <w:marLeft w:val="0"/>
          <w:marRight w:val="0"/>
          <w:marTop w:val="180"/>
          <w:marBottom w:val="180"/>
          <w:divBdr>
            <w:top w:val="none" w:sz="0" w:space="0" w:color="auto"/>
            <w:left w:val="none" w:sz="0" w:space="0" w:color="auto"/>
            <w:bottom w:val="none" w:sz="0" w:space="0" w:color="auto"/>
            <w:right w:val="none" w:sz="0" w:space="0" w:color="auto"/>
          </w:divBdr>
        </w:div>
      </w:divsChild>
    </w:div>
    <w:div w:id="685860865">
      <w:marLeft w:val="0"/>
      <w:marRight w:val="0"/>
      <w:marTop w:val="60"/>
      <w:marBottom w:val="180"/>
      <w:divBdr>
        <w:top w:val="none" w:sz="0" w:space="0" w:color="auto"/>
        <w:left w:val="none" w:sz="0" w:space="0" w:color="auto"/>
        <w:bottom w:val="none" w:sz="0" w:space="0" w:color="auto"/>
        <w:right w:val="none" w:sz="0" w:space="0" w:color="auto"/>
      </w:divBdr>
    </w:div>
    <w:div w:id="686717680">
      <w:marLeft w:val="0"/>
      <w:marRight w:val="0"/>
      <w:marTop w:val="60"/>
      <w:marBottom w:val="60"/>
      <w:divBdr>
        <w:top w:val="none" w:sz="0" w:space="0" w:color="auto"/>
        <w:left w:val="none" w:sz="0" w:space="0" w:color="auto"/>
        <w:bottom w:val="none" w:sz="0" w:space="0" w:color="auto"/>
        <w:right w:val="none" w:sz="0" w:space="0" w:color="auto"/>
      </w:divBdr>
    </w:div>
    <w:div w:id="686834640">
      <w:marLeft w:val="0"/>
      <w:marRight w:val="0"/>
      <w:marTop w:val="180"/>
      <w:marBottom w:val="180"/>
      <w:divBdr>
        <w:top w:val="none" w:sz="0" w:space="0" w:color="auto"/>
        <w:left w:val="none" w:sz="0" w:space="0" w:color="auto"/>
        <w:bottom w:val="none" w:sz="0" w:space="0" w:color="auto"/>
        <w:right w:val="none" w:sz="0" w:space="0" w:color="auto"/>
      </w:divBdr>
    </w:div>
    <w:div w:id="686978247">
      <w:marLeft w:val="0"/>
      <w:marRight w:val="0"/>
      <w:marTop w:val="180"/>
      <w:marBottom w:val="180"/>
      <w:divBdr>
        <w:top w:val="none" w:sz="0" w:space="0" w:color="auto"/>
        <w:left w:val="none" w:sz="0" w:space="0" w:color="auto"/>
        <w:bottom w:val="none" w:sz="0" w:space="0" w:color="auto"/>
        <w:right w:val="none" w:sz="0" w:space="0" w:color="auto"/>
      </w:divBdr>
    </w:div>
    <w:div w:id="688683935">
      <w:marLeft w:val="0"/>
      <w:marRight w:val="0"/>
      <w:marTop w:val="0"/>
      <w:marBottom w:val="0"/>
      <w:divBdr>
        <w:top w:val="none" w:sz="0" w:space="0" w:color="auto"/>
        <w:left w:val="none" w:sz="0" w:space="0" w:color="auto"/>
        <w:bottom w:val="none" w:sz="0" w:space="0" w:color="auto"/>
        <w:right w:val="none" w:sz="0" w:space="0" w:color="auto"/>
      </w:divBdr>
    </w:div>
    <w:div w:id="689111749">
      <w:marLeft w:val="0"/>
      <w:marRight w:val="0"/>
      <w:marTop w:val="180"/>
      <w:marBottom w:val="180"/>
      <w:divBdr>
        <w:top w:val="none" w:sz="0" w:space="0" w:color="auto"/>
        <w:left w:val="none" w:sz="0" w:space="0" w:color="auto"/>
        <w:bottom w:val="none" w:sz="0" w:space="0" w:color="auto"/>
        <w:right w:val="none" w:sz="0" w:space="0" w:color="auto"/>
      </w:divBdr>
    </w:div>
    <w:div w:id="689334280">
      <w:marLeft w:val="0"/>
      <w:marRight w:val="0"/>
      <w:marTop w:val="60"/>
      <w:marBottom w:val="60"/>
      <w:divBdr>
        <w:top w:val="none" w:sz="0" w:space="0" w:color="auto"/>
        <w:left w:val="none" w:sz="0" w:space="0" w:color="auto"/>
        <w:bottom w:val="none" w:sz="0" w:space="0" w:color="auto"/>
        <w:right w:val="none" w:sz="0" w:space="0" w:color="auto"/>
      </w:divBdr>
    </w:div>
    <w:div w:id="693768863">
      <w:marLeft w:val="0"/>
      <w:marRight w:val="0"/>
      <w:marTop w:val="60"/>
      <w:marBottom w:val="60"/>
      <w:divBdr>
        <w:top w:val="none" w:sz="0" w:space="0" w:color="auto"/>
        <w:left w:val="none" w:sz="0" w:space="0" w:color="auto"/>
        <w:bottom w:val="none" w:sz="0" w:space="0" w:color="auto"/>
        <w:right w:val="none" w:sz="0" w:space="0" w:color="auto"/>
      </w:divBdr>
    </w:div>
    <w:div w:id="693965875">
      <w:marLeft w:val="0"/>
      <w:marRight w:val="0"/>
      <w:marTop w:val="180"/>
      <w:marBottom w:val="180"/>
      <w:divBdr>
        <w:top w:val="none" w:sz="0" w:space="0" w:color="auto"/>
        <w:left w:val="none" w:sz="0" w:space="0" w:color="auto"/>
        <w:bottom w:val="none" w:sz="0" w:space="0" w:color="auto"/>
        <w:right w:val="none" w:sz="0" w:space="0" w:color="auto"/>
      </w:divBdr>
    </w:div>
    <w:div w:id="699548139">
      <w:marLeft w:val="0"/>
      <w:marRight w:val="0"/>
      <w:marTop w:val="180"/>
      <w:marBottom w:val="180"/>
      <w:divBdr>
        <w:top w:val="none" w:sz="0" w:space="0" w:color="auto"/>
        <w:left w:val="none" w:sz="0" w:space="0" w:color="auto"/>
        <w:bottom w:val="none" w:sz="0" w:space="0" w:color="auto"/>
        <w:right w:val="none" w:sz="0" w:space="0" w:color="auto"/>
      </w:divBdr>
    </w:div>
    <w:div w:id="699934042">
      <w:marLeft w:val="0"/>
      <w:marRight w:val="0"/>
      <w:marTop w:val="180"/>
      <w:marBottom w:val="180"/>
      <w:divBdr>
        <w:top w:val="none" w:sz="0" w:space="0" w:color="auto"/>
        <w:left w:val="none" w:sz="0" w:space="0" w:color="auto"/>
        <w:bottom w:val="none" w:sz="0" w:space="0" w:color="auto"/>
        <w:right w:val="none" w:sz="0" w:space="0" w:color="auto"/>
      </w:divBdr>
    </w:div>
    <w:div w:id="699936010">
      <w:marLeft w:val="0"/>
      <w:marRight w:val="0"/>
      <w:marTop w:val="180"/>
      <w:marBottom w:val="180"/>
      <w:divBdr>
        <w:top w:val="none" w:sz="0" w:space="0" w:color="auto"/>
        <w:left w:val="none" w:sz="0" w:space="0" w:color="auto"/>
        <w:bottom w:val="none" w:sz="0" w:space="0" w:color="auto"/>
        <w:right w:val="none" w:sz="0" w:space="0" w:color="auto"/>
      </w:divBdr>
    </w:div>
    <w:div w:id="704259883">
      <w:marLeft w:val="0"/>
      <w:marRight w:val="0"/>
      <w:marTop w:val="60"/>
      <w:marBottom w:val="60"/>
      <w:divBdr>
        <w:top w:val="none" w:sz="0" w:space="0" w:color="auto"/>
        <w:left w:val="none" w:sz="0" w:space="0" w:color="auto"/>
        <w:bottom w:val="none" w:sz="0" w:space="0" w:color="auto"/>
        <w:right w:val="none" w:sz="0" w:space="0" w:color="auto"/>
      </w:divBdr>
    </w:div>
    <w:div w:id="705443585">
      <w:marLeft w:val="0"/>
      <w:marRight w:val="0"/>
      <w:marTop w:val="180"/>
      <w:marBottom w:val="180"/>
      <w:divBdr>
        <w:top w:val="none" w:sz="0" w:space="0" w:color="auto"/>
        <w:left w:val="none" w:sz="0" w:space="0" w:color="auto"/>
        <w:bottom w:val="none" w:sz="0" w:space="0" w:color="auto"/>
        <w:right w:val="none" w:sz="0" w:space="0" w:color="auto"/>
      </w:divBdr>
    </w:div>
    <w:div w:id="705520259">
      <w:marLeft w:val="0"/>
      <w:marRight w:val="0"/>
      <w:marTop w:val="180"/>
      <w:marBottom w:val="180"/>
      <w:divBdr>
        <w:top w:val="none" w:sz="0" w:space="0" w:color="auto"/>
        <w:left w:val="none" w:sz="0" w:space="0" w:color="auto"/>
        <w:bottom w:val="none" w:sz="0" w:space="0" w:color="auto"/>
        <w:right w:val="none" w:sz="0" w:space="0" w:color="auto"/>
      </w:divBdr>
    </w:div>
    <w:div w:id="707221567">
      <w:marLeft w:val="0"/>
      <w:marRight w:val="0"/>
      <w:marTop w:val="180"/>
      <w:marBottom w:val="180"/>
      <w:divBdr>
        <w:top w:val="none" w:sz="0" w:space="0" w:color="auto"/>
        <w:left w:val="none" w:sz="0" w:space="0" w:color="auto"/>
        <w:bottom w:val="none" w:sz="0" w:space="0" w:color="auto"/>
        <w:right w:val="none" w:sz="0" w:space="0" w:color="auto"/>
      </w:divBdr>
    </w:div>
    <w:div w:id="707340091">
      <w:marLeft w:val="0"/>
      <w:marRight w:val="0"/>
      <w:marTop w:val="180"/>
      <w:marBottom w:val="180"/>
      <w:divBdr>
        <w:top w:val="none" w:sz="0" w:space="0" w:color="auto"/>
        <w:left w:val="none" w:sz="0" w:space="0" w:color="auto"/>
        <w:bottom w:val="none" w:sz="0" w:space="0" w:color="auto"/>
        <w:right w:val="none" w:sz="0" w:space="0" w:color="auto"/>
      </w:divBdr>
    </w:div>
    <w:div w:id="709499321">
      <w:marLeft w:val="0"/>
      <w:marRight w:val="0"/>
      <w:marTop w:val="180"/>
      <w:marBottom w:val="180"/>
      <w:divBdr>
        <w:top w:val="none" w:sz="0" w:space="0" w:color="auto"/>
        <w:left w:val="none" w:sz="0" w:space="0" w:color="auto"/>
        <w:bottom w:val="none" w:sz="0" w:space="0" w:color="auto"/>
        <w:right w:val="none" w:sz="0" w:space="0" w:color="auto"/>
      </w:divBdr>
    </w:div>
    <w:div w:id="709956670">
      <w:marLeft w:val="0"/>
      <w:marRight w:val="0"/>
      <w:marTop w:val="180"/>
      <w:marBottom w:val="180"/>
      <w:divBdr>
        <w:top w:val="none" w:sz="0" w:space="0" w:color="auto"/>
        <w:left w:val="none" w:sz="0" w:space="0" w:color="auto"/>
        <w:bottom w:val="none" w:sz="0" w:space="0" w:color="auto"/>
        <w:right w:val="none" w:sz="0" w:space="0" w:color="auto"/>
      </w:divBdr>
    </w:div>
    <w:div w:id="710224602">
      <w:marLeft w:val="0"/>
      <w:marRight w:val="0"/>
      <w:marTop w:val="180"/>
      <w:marBottom w:val="180"/>
      <w:divBdr>
        <w:top w:val="none" w:sz="0" w:space="0" w:color="auto"/>
        <w:left w:val="none" w:sz="0" w:space="0" w:color="auto"/>
        <w:bottom w:val="none" w:sz="0" w:space="0" w:color="auto"/>
        <w:right w:val="none" w:sz="0" w:space="0" w:color="auto"/>
      </w:divBdr>
    </w:div>
    <w:div w:id="713238005">
      <w:marLeft w:val="0"/>
      <w:marRight w:val="0"/>
      <w:marTop w:val="100"/>
      <w:marBottom w:val="100"/>
      <w:divBdr>
        <w:top w:val="none" w:sz="0" w:space="0" w:color="auto"/>
        <w:left w:val="none" w:sz="0" w:space="0" w:color="auto"/>
        <w:bottom w:val="none" w:sz="0" w:space="0" w:color="auto"/>
        <w:right w:val="none" w:sz="0" w:space="0" w:color="auto"/>
      </w:divBdr>
      <w:divsChild>
        <w:div w:id="1414815480">
          <w:marLeft w:val="0"/>
          <w:marRight w:val="0"/>
          <w:marTop w:val="0"/>
          <w:marBottom w:val="0"/>
          <w:divBdr>
            <w:top w:val="none" w:sz="0" w:space="0" w:color="auto"/>
            <w:left w:val="none" w:sz="0" w:space="0" w:color="auto"/>
            <w:bottom w:val="none" w:sz="0" w:space="0" w:color="auto"/>
            <w:right w:val="none" w:sz="0" w:space="0" w:color="auto"/>
          </w:divBdr>
        </w:div>
        <w:div w:id="1974358861">
          <w:marLeft w:val="0"/>
          <w:marRight w:val="0"/>
          <w:marTop w:val="0"/>
          <w:marBottom w:val="0"/>
          <w:divBdr>
            <w:top w:val="none" w:sz="0" w:space="0" w:color="auto"/>
            <w:left w:val="none" w:sz="0" w:space="0" w:color="auto"/>
            <w:bottom w:val="none" w:sz="0" w:space="0" w:color="auto"/>
            <w:right w:val="none" w:sz="0" w:space="0" w:color="auto"/>
          </w:divBdr>
        </w:div>
        <w:div w:id="1102997363">
          <w:marLeft w:val="0"/>
          <w:marRight w:val="0"/>
          <w:marTop w:val="0"/>
          <w:marBottom w:val="0"/>
          <w:divBdr>
            <w:top w:val="none" w:sz="0" w:space="0" w:color="auto"/>
            <w:left w:val="none" w:sz="0" w:space="0" w:color="auto"/>
            <w:bottom w:val="none" w:sz="0" w:space="0" w:color="auto"/>
            <w:right w:val="none" w:sz="0" w:space="0" w:color="auto"/>
          </w:divBdr>
        </w:div>
        <w:div w:id="1417242896">
          <w:marLeft w:val="0"/>
          <w:marRight w:val="0"/>
          <w:marTop w:val="0"/>
          <w:marBottom w:val="0"/>
          <w:divBdr>
            <w:top w:val="none" w:sz="0" w:space="0" w:color="auto"/>
            <w:left w:val="none" w:sz="0" w:space="0" w:color="auto"/>
            <w:bottom w:val="none" w:sz="0" w:space="0" w:color="auto"/>
            <w:right w:val="none" w:sz="0" w:space="0" w:color="auto"/>
          </w:divBdr>
        </w:div>
        <w:div w:id="561327416">
          <w:marLeft w:val="0"/>
          <w:marRight w:val="0"/>
          <w:marTop w:val="0"/>
          <w:marBottom w:val="0"/>
          <w:divBdr>
            <w:top w:val="none" w:sz="0" w:space="0" w:color="auto"/>
            <w:left w:val="none" w:sz="0" w:space="0" w:color="auto"/>
            <w:bottom w:val="none" w:sz="0" w:space="0" w:color="auto"/>
            <w:right w:val="none" w:sz="0" w:space="0" w:color="auto"/>
          </w:divBdr>
        </w:div>
        <w:div w:id="1460958071">
          <w:marLeft w:val="0"/>
          <w:marRight w:val="0"/>
          <w:marTop w:val="0"/>
          <w:marBottom w:val="0"/>
          <w:divBdr>
            <w:top w:val="none" w:sz="0" w:space="0" w:color="auto"/>
            <w:left w:val="none" w:sz="0" w:space="0" w:color="auto"/>
            <w:bottom w:val="none" w:sz="0" w:space="0" w:color="auto"/>
            <w:right w:val="none" w:sz="0" w:space="0" w:color="auto"/>
          </w:divBdr>
        </w:div>
        <w:div w:id="1073624341">
          <w:marLeft w:val="0"/>
          <w:marRight w:val="0"/>
          <w:marTop w:val="0"/>
          <w:marBottom w:val="0"/>
          <w:divBdr>
            <w:top w:val="none" w:sz="0" w:space="0" w:color="auto"/>
            <w:left w:val="none" w:sz="0" w:space="0" w:color="auto"/>
            <w:bottom w:val="none" w:sz="0" w:space="0" w:color="auto"/>
            <w:right w:val="none" w:sz="0" w:space="0" w:color="auto"/>
          </w:divBdr>
        </w:div>
        <w:div w:id="285505643">
          <w:marLeft w:val="0"/>
          <w:marRight w:val="0"/>
          <w:marTop w:val="0"/>
          <w:marBottom w:val="0"/>
          <w:divBdr>
            <w:top w:val="none" w:sz="0" w:space="0" w:color="auto"/>
            <w:left w:val="none" w:sz="0" w:space="0" w:color="auto"/>
            <w:bottom w:val="none" w:sz="0" w:space="0" w:color="auto"/>
            <w:right w:val="none" w:sz="0" w:space="0" w:color="auto"/>
          </w:divBdr>
        </w:div>
        <w:div w:id="972710936">
          <w:marLeft w:val="0"/>
          <w:marRight w:val="0"/>
          <w:marTop w:val="0"/>
          <w:marBottom w:val="0"/>
          <w:divBdr>
            <w:top w:val="none" w:sz="0" w:space="0" w:color="auto"/>
            <w:left w:val="none" w:sz="0" w:space="0" w:color="auto"/>
            <w:bottom w:val="none" w:sz="0" w:space="0" w:color="auto"/>
            <w:right w:val="none" w:sz="0" w:space="0" w:color="auto"/>
          </w:divBdr>
        </w:div>
        <w:div w:id="271132057">
          <w:marLeft w:val="0"/>
          <w:marRight w:val="0"/>
          <w:marTop w:val="0"/>
          <w:marBottom w:val="0"/>
          <w:divBdr>
            <w:top w:val="none" w:sz="0" w:space="0" w:color="auto"/>
            <w:left w:val="none" w:sz="0" w:space="0" w:color="auto"/>
            <w:bottom w:val="none" w:sz="0" w:space="0" w:color="auto"/>
            <w:right w:val="none" w:sz="0" w:space="0" w:color="auto"/>
          </w:divBdr>
        </w:div>
        <w:div w:id="1606763424">
          <w:marLeft w:val="0"/>
          <w:marRight w:val="0"/>
          <w:marTop w:val="0"/>
          <w:marBottom w:val="0"/>
          <w:divBdr>
            <w:top w:val="none" w:sz="0" w:space="0" w:color="auto"/>
            <w:left w:val="none" w:sz="0" w:space="0" w:color="auto"/>
            <w:bottom w:val="none" w:sz="0" w:space="0" w:color="auto"/>
            <w:right w:val="none" w:sz="0" w:space="0" w:color="auto"/>
          </w:divBdr>
        </w:div>
        <w:div w:id="1726561215">
          <w:marLeft w:val="0"/>
          <w:marRight w:val="0"/>
          <w:marTop w:val="0"/>
          <w:marBottom w:val="0"/>
          <w:divBdr>
            <w:top w:val="none" w:sz="0" w:space="0" w:color="auto"/>
            <w:left w:val="none" w:sz="0" w:space="0" w:color="auto"/>
            <w:bottom w:val="none" w:sz="0" w:space="0" w:color="auto"/>
            <w:right w:val="none" w:sz="0" w:space="0" w:color="auto"/>
          </w:divBdr>
        </w:div>
        <w:div w:id="745148553">
          <w:marLeft w:val="0"/>
          <w:marRight w:val="0"/>
          <w:marTop w:val="0"/>
          <w:marBottom w:val="0"/>
          <w:divBdr>
            <w:top w:val="none" w:sz="0" w:space="0" w:color="auto"/>
            <w:left w:val="none" w:sz="0" w:space="0" w:color="auto"/>
            <w:bottom w:val="none" w:sz="0" w:space="0" w:color="auto"/>
            <w:right w:val="none" w:sz="0" w:space="0" w:color="auto"/>
          </w:divBdr>
        </w:div>
        <w:div w:id="1762678198">
          <w:marLeft w:val="0"/>
          <w:marRight w:val="0"/>
          <w:marTop w:val="0"/>
          <w:marBottom w:val="0"/>
          <w:divBdr>
            <w:top w:val="none" w:sz="0" w:space="0" w:color="auto"/>
            <w:left w:val="none" w:sz="0" w:space="0" w:color="auto"/>
            <w:bottom w:val="none" w:sz="0" w:space="0" w:color="auto"/>
            <w:right w:val="none" w:sz="0" w:space="0" w:color="auto"/>
          </w:divBdr>
        </w:div>
        <w:div w:id="1188252578">
          <w:marLeft w:val="0"/>
          <w:marRight w:val="0"/>
          <w:marTop w:val="0"/>
          <w:marBottom w:val="0"/>
          <w:divBdr>
            <w:top w:val="none" w:sz="0" w:space="0" w:color="auto"/>
            <w:left w:val="none" w:sz="0" w:space="0" w:color="auto"/>
            <w:bottom w:val="none" w:sz="0" w:space="0" w:color="auto"/>
            <w:right w:val="none" w:sz="0" w:space="0" w:color="auto"/>
          </w:divBdr>
        </w:div>
      </w:divsChild>
    </w:div>
    <w:div w:id="713579700">
      <w:marLeft w:val="0"/>
      <w:marRight w:val="0"/>
      <w:marTop w:val="0"/>
      <w:marBottom w:val="0"/>
      <w:divBdr>
        <w:top w:val="none" w:sz="0" w:space="0" w:color="auto"/>
        <w:left w:val="none" w:sz="0" w:space="0" w:color="auto"/>
        <w:bottom w:val="none" w:sz="0" w:space="0" w:color="auto"/>
        <w:right w:val="none" w:sz="0" w:space="0" w:color="auto"/>
      </w:divBdr>
      <w:divsChild>
        <w:div w:id="1457333909">
          <w:marLeft w:val="0"/>
          <w:marRight w:val="0"/>
          <w:marTop w:val="0"/>
          <w:marBottom w:val="0"/>
          <w:divBdr>
            <w:top w:val="none" w:sz="0" w:space="0" w:color="auto"/>
            <w:left w:val="none" w:sz="0" w:space="0" w:color="auto"/>
            <w:bottom w:val="none" w:sz="0" w:space="0" w:color="auto"/>
            <w:right w:val="none" w:sz="0" w:space="0" w:color="auto"/>
          </w:divBdr>
          <w:divsChild>
            <w:div w:id="16924900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7047952">
      <w:marLeft w:val="0"/>
      <w:marRight w:val="0"/>
      <w:marTop w:val="60"/>
      <w:marBottom w:val="60"/>
      <w:divBdr>
        <w:top w:val="none" w:sz="0" w:space="0" w:color="auto"/>
        <w:left w:val="none" w:sz="0" w:space="0" w:color="auto"/>
        <w:bottom w:val="none" w:sz="0" w:space="0" w:color="auto"/>
        <w:right w:val="none" w:sz="0" w:space="0" w:color="auto"/>
      </w:divBdr>
    </w:div>
    <w:div w:id="717169859">
      <w:marLeft w:val="0"/>
      <w:marRight w:val="0"/>
      <w:marTop w:val="100"/>
      <w:marBottom w:val="180"/>
      <w:divBdr>
        <w:top w:val="none" w:sz="0" w:space="0" w:color="auto"/>
        <w:left w:val="none" w:sz="0" w:space="0" w:color="auto"/>
        <w:bottom w:val="none" w:sz="0" w:space="0" w:color="auto"/>
        <w:right w:val="none" w:sz="0" w:space="0" w:color="auto"/>
      </w:divBdr>
    </w:div>
    <w:div w:id="717900322">
      <w:marLeft w:val="0"/>
      <w:marRight w:val="0"/>
      <w:marTop w:val="0"/>
      <w:marBottom w:val="0"/>
      <w:divBdr>
        <w:top w:val="none" w:sz="0" w:space="0" w:color="auto"/>
        <w:left w:val="none" w:sz="0" w:space="0" w:color="auto"/>
        <w:bottom w:val="none" w:sz="0" w:space="0" w:color="auto"/>
        <w:right w:val="none" w:sz="0" w:space="0" w:color="auto"/>
      </w:divBdr>
      <w:divsChild>
        <w:div w:id="1203790989">
          <w:marLeft w:val="0"/>
          <w:marRight w:val="0"/>
          <w:marTop w:val="0"/>
          <w:marBottom w:val="0"/>
          <w:divBdr>
            <w:top w:val="none" w:sz="0" w:space="0" w:color="auto"/>
            <w:left w:val="none" w:sz="0" w:space="0" w:color="auto"/>
            <w:bottom w:val="none" w:sz="0" w:space="0" w:color="auto"/>
            <w:right w:val="none" w:sz="0" w:space="0" w:color="auto"/>
          </w:divBdr>
          <w:divsChild>
            <w:div w:id="6928072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8438201">
      <w:marLeft w:val="0"/>
      <w:marRight w:val="0"/>
      <w:marTop w:val="180"/>
      <w:marBottom w:val="180"/>
      <w:divBdr>
        <w:top w:val="none" w:sz="0" w:space="0" w:color="auto"/>
        <w:left w:val="none" w:sz="0" w:space="0" w:color="auto"/>
        <w:bottom w:val="none" w:sz="0" w:space="0" w:color="auto"/>
        <w:right w:val="none" w:sz="0" w:space="0" w:color="auto"/>
      </w:divBdr>
    </w:div>
    <w:div w:id="719477287">
      <w:marLeft w:val="0"/>
      <w:marRight w:val="0"/>
      <w:marTop w:val="60"/>
      <w:marBottom w:val="60"/>
      <w:divBdr>
        <w:top w:val="none" w:sz="0" w:space="0" w:color="auto"/>
        <w:left w:val="none" w:sz="0" w:space="0" w:color="auto"/>
        <w:bottom w:val="none" w:sz="0" w:space="0" w:color="auto"/>
        <w:right w:val="none" w:sz="0" w:space="0" w:color="auto"/>
      </w:divBdr>
    </w:div>
    <w:div w:id="719593936">
      <w:marLeft w:val="0"/>
      <w:marRight w:val="0"/>
      <w:marTop w:val="60"/>
      <w:marBottom w:val="60"/>
      <w:divBdr>
        <w:top w:val="none" w:sz="0" w:space="0" w:color="auto"/>
        <w:left w:val="none" w:sz="0" w:space="0" w:color="auto"/>
        <w:bottom w:val="none" w:sz="0" w:space="0" w:color="auto"/>
        <w:right w:val="none" w:sz="0" w:space="0" w:color="auto"/>
      </w:divBdr>
    </w:div>
    <w:div w:id="719980613">
      <w:marLeft w:val="0"/>
      <w:marRight w:val="0"/>
      <w:marTop w:val="180"/>
      <w:marBottom w:val="180"/>
      <w:divBdr>
        <w:top w:val="none" w:sz="0" w:space="0" w:color="auto"/>
        <w:left w:val="none" w:sz="0" w:space="0" w:color="auto"/>
        <w:bottom w:val="none" w:sz="0" w:space="0" w:color="auto"/>
        <w:right w:val="none" w:sz="0" w:space="0" w:color="auto"/>
      </w:divBdr>
    </w:div>
    <w:div w:id="721490623">
      <w:marLeft w:val="0"/>
      <w:marRight w:val="0"/>
      <w:marTop w:val="180"/>
      <w:marBottom w:val="0"/>
      <w:divBdr>
        <w:top w:val="none" w:sz="0" w:space="0" w:color="auto"/>
        <w:left w:val="none" w:sz="0" w:space="0" w:color="auto"/>
        <w:bottom w:val="none" w:sz="0" w:space="0" w:color="auto"/>
        <w:right w:val="none" w:sz="0" w:space="0" w:color="auto"/>
      </w:divBdr>
    </w:div>
    <w:div w:id="721906724">
      <w:marLeft w:val="0"/>
      <w:marRight w:val="0"/>
      <w:marTop w:val="180"/>
      <w:marBottom w:val="180"/>
      <w:divBdr>
        <w:top w:val="none" w:sz="0" w:space="0" w:color="auto"/>
        <w:left w:val="none" w:sz="0" w:space="0" w:color="auto"/>
        <w:bottom w:val="none" w:sz="0" w:space="0" w:color="auto"/>
        <w:right w:val="none" w:sz="0" w:space="0" w:color="auto"/>
      </w:divBdr>
    </w:div>
    <w:div w:id="722676011">
      <w:marLeft w:val="0"/>
      <w:marRight w:val="0"/>
      <w:marTop w:val="180"/>
      <w:marBottom w:val="180"/>
      <w:divBdr>
        <w:top w:val="none" w:sz="0" w:space="0" w:color="auto"/>
        <w:left w:val="none" w:sz="0" w:space="0" w:color="auto"/>
        <w:bottom w:val="none" w:sz="0" w:space="0" w:color="auto"/>
        <w:right w:val="none" w:sz="0" w:space="0" w:color="auto"/>
      </w:divBdr>
    </w:div>
    <w:div w:id="725837945">
      <w:marLeft w:val="0"/>
      <w:marRight w:val="0"/>
      <w:marTop w:val="180"/>
      <w:marBottom w:val="0"/>
      <w:divBdr>
        <w:top w:val="none" w:sz="0" w:space="0" w:color="auto"/>
        <w:left w:val="none" w:sz="0" w:space="0" w:color="auto"/>
        <w:bottom w:val="none" w:sz="0" w:space="0" w:color="auto"/>
        <w:right w:val="none" w:sz="0" w:space="0" w:color="auto"/>
      </w:divBdr>
    </w:div>
    <w:div w:id="726227411">
      <w:marLeft w:val="0"/>
      <w:marRight w:val="0"/>
      <w:marTop w:val="180"/>
      <w:marBottom w:val="180"/>
      <w:divBdr>
        <w:top w:val="none" w:sz="0" w:space="0" w:color="auto"/>
        <w:left w:val="none" w:sz="0" w:space="0" w:color="auto"/>
        <w:bottom w:val="none" w:sz="0" w:space="0" w:color="auto"/>
        <w:right w:val="none" w:sz="0" w:space="0" w:color="auto"/>
      </w:divBdr>
    </w:div>
    <w:div w:id="727997323">
      <w:marLeft w:val="0"/>
      <w:marRight w:val="0"/>
      <w:marTop w:val="0"/>
      <w:marBottom w:val="0"/>
      <w:divBdr>
        <w:top w:val="none" w:sz="0" w:space="0" w:color="auto"/>
        <w:left w:val="none" w:sz="0" w:space="0" w:color="auto"/>
        <w:bottom w:val="none" w:sz="0" w:space="0" w:color="auto"/>
        <w:right w:val="none" w:sz="0" w:space="0" w:color="auto"/>
      </w:divBdr>
      <w:divsChild>
        <w:div w:id="1635335257">
          <w:marLeft w:val="0"/>
          <w:marRight w:val="0"/>
          <w:marTop w:val="0"/>
          <w:marBottom w:val="0"/>
          <w:divBdr>
            <w:top w:val="none" w:sz="0" w:space="0" w:color="auto"/>
            <w:left w:val="none" w:sz="0" w:space="0" w:color="auto"/>
            <w:bottom w:val="none" w:sz="0" w:space="0" w:color="auto"/>
            <w:right w:val="none" w:sz="0" w:space="0" w:color="auto"/>
          </w:divBdr>
          <w:divsChild>
            <w:div w:id="19474937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9814873">
      <w:marLeft w:val="0"/>
      <w:marRight w:val="0"/>
      <w:marTop w:val="180"/>
      <w:marBottom w:val="180"/>
      <w:divBdr>
        <w:top w:val="none" w:sz="0" w:space="0" w:color="auto"/>
        <w:left w:val="none" w:sz="0" w:space="0" w:color="auto"/>
        <w:bottom w:val="none" w:sz="0" w:space="0" w:color="auto"/>
        <w:right w:val="none" w:sz="0" w:space="0" w:color="auto"/>
      </w:divBdr>
    </w:div>
    <w:div w:id="732309525">
      <w:marLeft w:val="0"/>
      <w:marRight w:val="0"/>
      <w:marTop w:val="180"/>
      <w:marBottom w:val="180"/>
      <w:divBdr>
        <w:top w:val="none" w:sz="0" w:space="0" w:color="auto"/>
        <w:left w:val="none" w:sz="0" w:space="0" w:color="auto"/>
        <w:bottom w:val="none" w:sz="0" w:space="0" w:color="auto"/>
        <w:right w:val="none" w:sz="0" w:space="0" w:color="auto"/>
      </w:divBdr>
    </w:div>
    <w:div w:id="732312368">
      <w:marLeft w:val="0"/>
      <w:marRight w:val="0"/>
      <w:marTop w:val="60"/>
      <w:marBottom w:val="60"/>
      <w:divBdr>
        <w:top w:val="none" w:sz="0" w:space="0" w:color="auto"/>
        <w:left w:val="none" w:sz="0" w:space="0" w:color="auto"/>
        <w:bottom w:val="none" w:sz="0" w:space="0" w:color="auto"/>
        <w:right w:val="none" w:sz="0" w:space="0" w:color="auto"/>
      </w:divBdr>
    </w:div>
    <w:div w:id="733939844">
      <w:marLeft w:val="0"/>
      <w:marRight w:val="0"/>
      <w:marTop w:val="60"/>
      <w:marBottom w:val="60"/>
      <w:divBdr>
        <w:top w:val="none" w:sz="0" w:space="0" w:color="auto"/>
        <w:left w:val="none" w:sz="0" w:space="0" w:color="auto"/>
        <w:bottom w:val="none" w:sz="0" w:space="0" w:color="auto"/>
        <w:right w:val="none" w:sz="0" w:space="0" w:color="auto"/>
      </w:divBdr>
    </w:div>
    <w:div w:id="737214971">
      <w:marLeft w:val="0"/>
      <w:marRight w:val="0"/>
      <w:marTop w:val="180"/>
      <w:marBottom w:val="180"/>
      <w:divBdr>
        <w:top w:val="none" w:sz="0" w:space="0" w:color="auto"/>
        <w:left w:val="none" w:sz="0" w:space="0" w:color="auto"/>
        <w:bottom w:val="none" w:sz="0" w:space="0" w:color="auto"/>
        <w:right w:val="none" w:sz="0" w:space="0" w:color="auto"/>
      </w:divBdr>
    </w:div>
    <w:div w:id="737242945">
      <w:marLeft w:val="0"/>
      <w:marRight w:val="0"/>
      <w:marTop w:val="180"/>
      <w:marBottom w:val="180"/>
      <w:divBdr>
        <w:top w:val="none" w:sz="0" w:space="0" w:color="auto"/>
        <w:left w:val="none" w:sz="0" w:space="0" w:color="auto"/>
        <w:bottom w:val="none" w:sz="0" w:space="0" w:color="auto"/>
        <w:right w:val="none" w:sz="0" w:space="0" w:color="auto"/>
      </w:divBdr>
    </w:div>
    <w:div w:id="737555199">
      <w:marLeft w:val="0"/>
      <w:marRight w:val="0"/>
      <w:marTop w:val="180"/>
      <w:marBottom w:val="180"/>
      <w:divBdr>
        <w:top w:val="none" w:sz="0" w:space="0" w:color="auto"/>
        <w:left w:val="none" w:sz="0" w:space="0" w:color="auto"/>
        <w:bottom w:val="none" w:sz="0" w:space="0" w:color="auto"/>
        <w:right w:val="none" w:sz="0" w:space="0" w:color="auto"/>
      </w:divBdr>
    </w:div>
    <w:div w:id="738945771">
      <w:marLeft w:val="0"/>
      <w:marRight w:val="0"/>
      <w:marTop w:val="180"/>
      <w:marBottom w:val="180"/>
      <w:divBdr>
        <w:top w:val="none" w:sz="0" w:space="0" w:color="auto"/>
        <w:left w:val="none" w:sz="0" w:space="0" w:color="auto"/>
        <w:bottom w:val="none" w:sz="0" w:space="0" w:color="auto"/>
        <w:right w:val="none" w:sz="0" w:space="0" w:color="auto"/>
      </w:divBdr>
    </w:div>
    <w:div w:id="739643000">
      <w:marLeft w:val="0"/>
      <w:marRight w:val="0"/>
      <w:marTop w:val="180"/>
      <w:marBottom w:val="60"/>
      <w:divBdr>
        <w:top w:val="none" w:sz="0" w:space="0" w:color="auto"/>
        <w:left w:val="none" w:sz="0" w:space="0" w:color="auto"/>
        <w:bottom w:val="none" w:sz="0" w:space="0" w:color="auto"/>
        <w:right w:val="none" w:sz="0" w:space="0" w:color="auto"/>
      </w:divBdr>
    </w:div>
    <w:div w:id="740640568">
      <w:marLeft w:val="0"/>
      <w:marRight w:val="0"/>
      <w:marTop w:val="60"/>
      <w:marBottom w:val="60"/>
      <w:divBdr>
        <w:top w:val="none" w:sz="0" w:space="0" w:color="auto"/>
        <w:left w:val="none" w:sz="0" w:space="0" w:color="auto"/>
        <w:bottom w:val="none" w:sz="0" w:space="0" w:color="auto"/>
        <w:right w:val="none" w:sz="0" w:space="0" w:color="auto"/>
      </w:divBdr>
    </w:div>
    <w:div w:id="742994343">
      <w:marLeft w:val="0"/>
      <w:marRight w:val="0"/>
      <w:marTop w:val="0"/>
      <w:marBottom w:val="0"/>
      <w:divBdr>
        <w:top w:val="none" w:sz="0" w:space="0" w:color="auto"/>
        <w:left w:val="none" w:sz="0" w:space="0" w:color="auto"/>
        <w:bottom w:val="none" w:sz="0" w:space="0" w:color="auto"/>
        <w:right w:val="none" w:sz="0" w:space="0" w:color="auto"/>
      </w:divBdr>
      <w:divsChild>
        <w:div w:id="1509559028">
          <w:marLeft w:val="0"/>
          <w:marRight w:val="0"/>
          <w:marTop w:val="180"/>
          <w:marBottom w:val="180"/>
          <w:divBdr>
            <w:top w:val="none" w:sz="0" w:space="0" w:color="auto"/>
            <w:left w:val="none" w:sz="0" w:space="0" w:color="auto"/>
            <w:bottom w:val="none" w:sz="0" w:space="0" w:color="auto"/>
            <w:right w:val="none" w:sz="0" w:space="0" w:color="auto"/>
          </w:divBdr>
        </w:div>
      </w:divsChild>
    </w:div>
    <w:div w:id="743573858">
      <w:marLeft w:val="0"/>
      <w:marRight w:val="0"/>
      <w:marTop w:val="0"/>
      <w:marBottom w:val="0"/>
      <w:divBdr>
        <w:top w:val="none" w:sz="0" w:space="0" w:color="auto"/>
        <w:left w:val="none" w:sz="0" w:space="0" w:color="auto"/>
        <w:bottom w:val="none" w:sz="0" w:space="0" w:color="auto"/>
        <w:right w:val="none" w:sz="0" w:space="0" w:color="auto"/>
      </w:divBdr>
      <w:divsChild>
        <w:div w:id="1508448219">
          <w:marLeft w:val="0"/>
          <w:marRight w:val="0"/>
          <w:marTop w:val="0"/>
          <w:marBottom w:val="0"/>
          <w:divBdr>
            <w:top w:val="none" w:sz="0" w:space="0" w:color="auto"/>
            <w:left w:val="none" w:sz="0" w:space="0" w:color="auto"/>
            <w:bottom w:val="none" w:sz="0" w:space="0" w:color="auto"/>
            <w:right w:val="none" w:sz="0" w:space="0" w:color="auto"/>
          </w:divBdr>
          <w:divsChild>
            <w:div w:id="14069933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0007959">
      <w:marLeft w:val="0"/>
      <w:marRight w:val="0"/>
      <w:marTop w:val="60"/>
      <w:marBottom w:val="60"/>
      <w:divBdr>
        <w:top w:val="none" w:sz="0" w:space="0" w:color="auto"/>
        <w:left w:val="none" w:sz="0" w:space="0" w:color="auto"/>
        <w:bottom w:val="none" w:sz="0" w:space="0" w:color="auto"/>
        <w:right w:val="none" w:sz="0" w:space="0" w:color="auto"/>
      </w:divBdr>
    </w:div>
    <w:div w:id="751901778">
      <w:marLeft w:val="0"/>
      <w:marRight w:val="0"/>
      <w:marTop w:val="0"/>
      <w:marBottom w:val="0"/>
      <w:divBdr>
        <w:top w:val="none" w:sz="0" w:space="0" w:color="auto"/>
        <w:left w:val="none" w:sz="0" w:space="0" w:color="auto"/>
        <w:bottom w:val="none" w:sz="0" w:space="0" w:color="auto"/>
        <w:right w:val="none" w:sz="0" w:space="0" w:color="auto"/>
      </w:divBdr>
      <w:divsChild>
        <w:div w:id="620576250">
          <w:marLeft w:val="0"/>
          <w:marRight w:val="0"/>
          <w:marTop w:val="180"/>
          <w:marBottom w:val="180"/>
          <w:divBdr>
            <w:top w:val="none" w:sz="0" w:space="0" w:color="auto"/>
            <w:left w:val="none" w:sz="0" w:space="0" w:color="auto"/>
            <w:bottom w:val="none" w:sz="0" w:space="0" w:color="auto"/>
            <w:right w:val="none" w:sz="0" w:space="0" w:color="auto"/>
          </w:divBdr>
        </w:div>
      </w:divsChild>
    </w:div>
    <w:div w:id="752513237">
      <w:marLeft w:val="0"/>
      <w:marRight w:val="0"/>
      <w:marTop w:val="180"/>
      <w:marBottom w:val="180"/>
      <w:divBdr>
        <w:top w:val="none" w:sz="0" w:space="0" w:color="auto"/>
        <w:left w:val="none" w:sz="0" w:space="0" w:color="auto"/>
        <w:bottom w:val="none" w:sz="0" w:space="0" w:color="auto"/>
        <w:right w:val="none" w:sz="0" w:space="0" w:color="auto"/>
      </w:divBdr>
    </w:div>
    <w:div w:id="752698828">
      <w:marLeft w:val="0"/>
      <w:marRight w:val="0"/>
      <w:marTop w:val="0"/>
      <w:marBottom w:val="0"/>
      <w:divBdr>
        <w:top w:val="none" w:sz="0" w:space="0" w:color="auto"/>
        <w:left w:val="none" w:sz="0" w:space="0" w:color="auto"/>
        <w:bottom w:val="none" w:sz="0" w:space="0" w:color="auto"/>
        <w:right w:val="none" w:sz="0" w:space="0" w:color="auto"/>
      </w:divBdr>
      <w:divsChild>
        <w:div w:id="1840385029">
          <w:marLeft w:val="0"/>
          <w:marRight w:val="0"/>
          <w:marTop w:val="180"/>
          <w:marBottom w:val="180"/>
          <w:divBdr>
            <w:top w:val="none" w:sz="0" w:space="0" w:color="auto"/>
            <w:left w:val="none" w:sz="0" w:space="0" w:color="auto"/>
            <w:bottom w:val="none" w:sz="0" w:space="0" w:color="auto"/>
            <w:right w:val="none" w:sz="0" w:space="0" w:color="auto"/>
          </w:divBdr>
        </w:div>
      </w:divsChild>
    </w:div>
    <w:div w:id="752824202">
      <w:marLeft w:val="0"/>
      <w:marRight w:val="0"/>
      <w:marTop w:val="60"/>
      <w:marBottom w:val="60"/>
      <w:divBdr>
        <w:top w:val="none" w:sz="0" w:space="0" w:color="auto"/>
        <w:left w:val="none" w:sz="0" w:space="0" w:color="auto"/>
        <w:bottom w:val="none" w:sz="0" w:space="0" w:color="auto"/>
        <w:right w:val="none" w:sz="0" w:space="0" w:color="auto"/>
      </w:divBdr>
    </w:div>
    <w:div w:id="754135990">
      <w:marLeft w:val="0"/>
      <w:marRight w:val="0"/>
      <w:marTop w:val="180"/>
      <w:marBottom w:val="180"/>
      <w:divBdr>
        <w:top w:val="none" w:sz="0" w:space="0" w:color="auto"/>
        <w:left w:val="none" w:sz="0" w:space="0" w:color="auto"/>
        <w:bottom w:val="none" w:sz="0" w:space="0" w:color="auto"/>
        <w:right w:val="none" w:sz="0" w:space="0" w:color="auto"/>
      </w:divBdr>
    </w:div>
    <w:div w:id="754279920">
      <w:marLeft w:val="0"/>
      <w:marRight w:val="0"/>
      <w:marTop w:val="180"/>
      <w:marBottom w:val="180"/>
      <w:divBdr>
        <w:top w:val="none" w:sz="0" w:space="0" w:color="auto"/>
        <w:left w:val="none" w:sz="0" w:space="0" w:color="auto"/>
        <w:bottom w:val="none" w:sz="0" w:space="0" w:color="auto"/>
        <w:right w:val="none" w:sz="0" w:space="0" w:color="auto"/>
      </w:divBdr>
    </w:div>
    <w:div w:id="757872240">
      <w:marLeft w:val="0"/>
      <w:marRight w:val="0"/>
      <w:marTop w:val="100"/>
      <w:marBottom w:val="180"/>
      <w:divBdr>
        <w:top w:val="none" w:sz="0" w:space="0" w:color="auto"/>
        <w:left w:val="none" w:sz="0" w:space="0" w:color="auto"/>
        <w:bottom w:val="none" w:sz="0" w:space="0" w:color="auto"/>
        <w:right w:val="none" w:sz="0" w:space="0" w:color="auto"/>
      </w:divBdr>
    </w:div>
    <w:div w:id="759644384">
      <w:marLeft w:val="0"/>
      <w:marRight w:val="0"/>
      <w:marTop w:val="60"/>
      <w:marBottom w:val="60"/>
      <w:divBdr>
        <w:top w:val="none" w:sz="0" w:space="0" w:color="auto"/>
        <w:left w:val="none" w:sz="0" w:space="0" w:color="auto"/>
        <w:bottom w:val="none" w:sz="0" w:space="0" w:color="auto"/>
        <w:right w:val="none" w:sz="0" w:space="0" w:color="auto"/>
      </w:divBdr>
    </w:div>
    <w:div w:id="767196042">
      <w:marLeft w:val="0"/>
      <w:marRight w:val="0"/>
      <w:marTop w:val="60"/>
      <w:marBottom w:val="60"/>
      <w:divBdr>
        <w:top w:val="none" w:sz="0" w:space="0" w:color="auto"/>
        <w:left w:val="none" w:sz="0" w:space="0" w:color="auto"/>
        <w:bottom w:val="none" w:sz="0" w:space="0" w:color="auto"/>
        <w:right w:val="none" w:sz="0" w:space="0" w:color="auto"/>
      </w:divBdr>
    </w:div>
    <w:div w:id="767387662">
      <w:marLeft w:val="0"/>
      <w:marRight w:val="0"/>
      <w:marTop w:val="180"/>
      <w:marBottom w:val="180"/>
      <w:divBdr>
        <w:top w:val="none" w:sz="0" w:space="0" w:color="auto"/>
        <w:left w:val="none" w:sz="0" w:space="0" w:color="auto"/>
        <w:bottom w:val="none" w:sz="0" w:space="0" w:color="auto"/>
        <w:right w:val="none" w:sz="0" w:space="0" w:color="auto"/>
      </w:divBdr>
    </w:div>
    <w:div w:id="769158389">
      <w:marLeft w:val="0"/>
      <w:marRight w:val="0"/>
      <w:marTop w:val="0"/>
      <w:marBottom w:val="0"/>
      <w:divBdr>
        <w:top w:val="none" w:sz="0" w:space="0" w:color="auto"/>
        <w:left w:val="none" w:sz="0" w:space="0" w:color="auto"/>
        <w:bottom w:val="none" w:sz="0" w:space="0" w:color="auto"/>
        <w:right w:val="none" w:sz="0" w:space="0" w:color="auto"/>
      </w:divBdr>
    </w:div>
    <w:div w:id="769277011">
      <w:marLeft w:val="0"/>
      <w:marRight w:val="0"/>
      <w:marTop w:val="180"/>
      <w:marBottom w:val="60"/>
      <w:divBdr>
        <w:top w:val="none" w:sz="0" w:space="0" w:color="auto"/>
        <w:left w:val="none" w:sz="0" w:space="0" w:color="auto"/>
        <w:bottom w:val="none" w:sz="0" w:space="0" w:color="auto"/>
        <w:right w:val="none" w:sz="0" w:space="0" w:color="auto"/>
      </w:divBdr>
    </w:div>
    <w:div w:id="769348893">
      <w:marLeft w:val="0"/>
      <w:marRight w:val="0"/>
      <w:marTop w:val="180"/>
      <w:marBottom w:val="180"/>
      <w:divBdr>
        <w:top w:val="none" w:sz="0" w:space="0" w:color="auto"/>
        <w:left w:val="none" w:sz="0" w:space="0" w:color="auto"/>
        <w:bottom w:val="none" w:sz="0" w:space="0" w:color="auto"/>
        <w:right w:val="none" w:sz="0" w:space="0" w:color="auto"/>
      </w:divBdr>
    </w:div>
    <w:div w:id="769470689">
      <w:marLeft w:val="0"/>
      <w:marRight w:val="0"/>
      <w:marTop w:val="180"/>
      <w:marBottom w:val="180"/>
      <w:divBdr>
        <w:top w:val="none" w:sz="0" w:space="0" w:color="auto"/>
        <w:left w:val="none" w:sz="0" w:space="0" w:color="auto"/>
        <w:bottom w:val="none" w:sz="0" w:space="0" w:color="auto"/>
        <w:right w:val="none" w:sz="0" w:space="0" w:color="auto"/>
      </w:divBdr>
    </w:div>
    <w:div w:id="770010182">
      <w:marLeft w:val="0"/>
      <w:marRight w:val="0"/>
      <w:marTop w:val="60"/>
      <w:marBottom w:val="60"/>
      <w:divBdr>
        <w:top w:val="none" w:sz="0" w:space="0" w:color="auto"/>
        <w:left w:val="none" w:sz="0" w:space="0" w:color="auto"/>
        <w:bottom w:val="none" w:sz="0" w:space="0" w:color="auto"/>
        <w:right w:val="none" w:sz="0" w:space="0" w:color="auto"/>
      </w:divBdr>
    </w:div>
    <w:div w:id="771242457">
      <w:marLeft w:val="0"/>
      <w:marRight w:val="0"/>
      <w:marTop w:val="180"/>
      <w:marBottom w:val="180"/>
      <w:divBdr>
        <w:top w:val="none" w:sz="0" w:space="0" w:color="auto"/>
        <w:left w:val="none" w:sz="0" w:space="0" w:color="auto"/>
        <w:bottom w:val="none" w:sz="0" w:space="0" w:color="auto"/>
        <w:right w:val="none" w:sz="0" w:space="0" w:color="auto"/>
      </w:divBdr>
    </w:div>
    <w:div w:id="774832495">
      <w:marLeft w:val="0"/>
      <w:marRight w:val="0"/>
      <w:marTop w:val="0"/>
      <w:marBottom w:val="0"/>
      <w:divBdr>
        <w:top w:val="none" w:sz="0" w:space="0" w:color="auto"/>
        <w:left w:val="none" w:sz="0" w:space="0" w:color="auto"/>
        <w:bottom w:val="none" w:sz="0" w:space="0" w:color="auto"/>
        <w:right w:val="none" w:sz="0" w:space="0" w:color="auto"/>
      </w:divBdr>
      <w:divsChild>
        <w:div w:id="1549101642">
          <w:marLeft w:val="0"/>
          <w:marRight w:val="0"/>
          <w:marTop w:val="0"/>
          <w:marBottom w:val="0"/>
          <w:divBdr>
            <w:top w:val="none" w:sz="0" w:space="0" w:color="auto"/>
            <w:left w:val="none" w:sz="0" w:space="0" w:color="auto"/>
            <w:bottom w:val="none" w:sz="0" w:space="0" w:color="auto"/>
            <w:right w:val="none" w:sz="0" w:space="0" w:color="auto"/>
          </w:divBdr>
          <w:divsChild>
            <w:div w:id="884279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5441984">
      <w:marLeft w:val="0"/>
      <w:marRight w:val="0"/>
      <w:marTop w:val="180"/>
      <w:marBottom w:val="180"/>
      <w:divBdr>
        <w:top w:val="none" w:sz="0" w:space="0" w:color="auto"/>
        <w:left w:val="none" w:sz="0" w:space="0" w:color="auto"/>
        <w:bottom w:val="none" w:sz="0" w:space="0" w:color="auto"/>
        <w:right w:val="none" w:sz="0" w:space="0" w:color="auto"/>
      </w:divBdr>
    </w:div>
    <w:div w:id="775754878">
      <w:marLeft w:val="0"/>
      <w:marRight w:val="0"/>
      <w:marTop w:val="180"/>
      <w:marBottom w:val="180"/>
      <w:divBdr>
        <w:top w:val="none" w:sz="0" w:space="0" w:color="auto"/>
        <w:left w:val="none" w:sz="0" w:space="0" w:color="auto"/>
        <w:bottom w:val="none" w:sz="0" w:space="0" w:color="auto"/>
        <w:right w:val="none" w:sz="0" w:space="0" w:color="auto"/>
      </w:divBdr>
    </w:div>
    <w:div w:id="778916037">
      <w:marLeft w:val="0"/>
      <w:marRight w:val="0"/>
      <w:marTop w:val="0"/>
      <w:marBottom w:val="0"/>
      <w:divBdr>
        <w:top w:val="none" w:sz="0" w:space="0" w:color="auto"/>
        <w:left w:val="none" w:sz="0" w:space="0" w:color="auto"/>
        <w:bottom w:val="none" w:sz="0" w:space="0" w:color="auto"/>
        <w:right w:val="none" w:sz="0" w:space="0" w:color="auto"/>
      </w:divBdr>
      <w:divsChild>
        <w:div w:id="1089346396">
          <w:marLeft w:val="0"/>
          <w:marRight w:val="0"/>
          <w:marTop w:val="180"/>
          <w:marBottom w:val="180"/>
          <w:divBdr>
            <w:top w:val="none" w:sz="0" w:space="0" w:color="auto"/>
            <w:left w:val="none" w:sz="0" w:space="0" w:color="auto"/>
            <w:bottom w:val="none" w:sz="0" w:space="0" w:color="auto"/>
            <w:right w:val="none" w:sz="0" w:space="0" w:color="auto"/>
          </w:divBdr>
        </w:div>
      </w:divsChild>
    </w:div>
    <w:div w:id="778917889">
      <w:marLeft w:val="0"/>
      <w:marRight w:val="0"/>
      <w:marTop w:val="180"/>
      <w:marBottom w:val="180"/>
      <w:divBdr>
        <w:top w:val="none" w:sz="0" w:space="0" w:color="auto"/>
        <w:left w:val="none" w:sz="0" w:space="0" w:color="auto"/>
        <w:bottom w:val="none" w:sz="0" w:space="0" w:color="auto"/>
        <w:right w:val="none" w:sz="0" w:space="0" w:color="auto"/>
      </w:divBdr>
    </w:div>
    <w:div w:id="780106495">
      <w:marLeft w:val="0"/>
      <w:marRight w:val="0"/>
      <w:marTop w:val="180"/>
      <w:marBottom w:val="180"/>
      <w:divBdr>
        <w:top w:val="none" w:sz="0" w:space="0" w:color="auto"/>
        <w:left w:val="none" w:sz="0" w:space="0" w:color="auto"/>
        <w:bottom w:val="none" w:sz="0" w:space="0" w:color="auto"/>
        <w:right w:val="none" w:sz="0" w:space="0" w:color="auto"/>
      </w:divBdr>
    </w:div>
    <w:div w:id="783964922">
      <w:marLeft w:val="0"/>
      <w:marRight w:val="0"/>
      <w:marTop w:val="0"/>
      <w:marBottom w:val="0"/>
      <w:divBdr>
        <w:top w:val="none" w:sz="0" w:space="0" w:color="auto"/>
        <w:left w:val="none" w:sz="0" w:space="0" w:color="auto"/>
        <w:bottom w:val="none" w:sz="0" w:space="0" w:color="auto"/>
        <w:right w:val="none" w:sz="0" w:space="0" w:color="auto"/>
      </w:divBdr>
      <w:divsChild>
        <w:div w:id="1102334065">
          <w:marLeft w:val="0"/>
          <w:marRight w:val="0"/>
          <w:marTop w:val="0"/>
          <w:marBottom w:val="0"/>
          <w:divBdr>
            <w:top w:val="none" w:sz="0" w:space="0" w:color="auto"/>
            <w:left w:val="none" w:sz="0" w:space="0" w:color="auto"/>
            <w:bottom w:val="none" w:sz="0" w:space="0" w:color="auto"/>
            <w:right w:val="none" w:sz="0" w:space="0" w:color="auto"/>
          </w:divBdr>
          <w:divsChild>
            <w:div w:id="13380723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4891207">
      <w:marLeft w:val="0"/>
      <w:marRight w:val="0"/>
      <w:marTop w:val="180"/>
      <w:marBottom w:val="180"/>
      <w:divBdr>
        <w:top w:val="none" w:sz="0" w:space="0" w:color="auto"/>
        <w:left w:val="none" w:sz="0" w:space="0" w:color="auto"/>
        <w:bottom w:val="none" w:sz="0" w:space="0" w:color="auto"/>
        <w:right w:val="none" w:sz="0" w:space="0" w:color="auto"/>
      </w:divBdr>
    </w:div>
    <w:div w:id="785926779">
      <w:marLeft w:val="0"/>
      <w:marRight w:val="0"/>
      <w:marTop w:val="180"/>
      <w:marBottom w:val="180"/>
      <w:divBdr>
        <w:top w:val="none" w:sz="0" w:space="0" w:color="auto"/>
        <w:left w:val="none" w:sz="0" w:space="0" w:color="auto"/>
        <w:bottom w:val="none" w:sz="0" w:space="0" w:color="auto"/>
        <w:right w:val="none" w:sz="0" w:space="0" w:color="auto"/>
      </w:divBdr>
    </w:div>
    <w:div w:id="788353677">
      <w:marLeft w:val="0"/>
      <w:marRight w:val="0"/>
      <w:marTop w:val="180"/>
      <w:marBottom w:val="180"/>
      <w:divBdr>
        <w:top w:val="none" w:sz="0" w:space="0" w:color="auto"/>
        <w:left w:val="none" w:sz="0" w:space="0" w:color="auto"/>
        <w:bottom w:val="none" w:sz="0" w:space="0" w:color="auto"/>
        <w:right w:val="none" w:sz="0" w:space="0" w:color="auto"/>
      </w:divBdr>
    </w:div>
    <w:div w:id="789129477">
      <w:marLeft w:val="0"/>
      <w:marRight w:val="0"/>
      <w:marTop w:val="100"/>
      <w:marBottom w:val="100"/>
      <w:divBdr>
        <w:top w:val="none" w:sz="0" w:space="0" w:color="auto"/>
        <w:left w:val="none" w:sz="0" w:space="0" w:color="auto"/>
        <w:bottom w:val="none" w:sz="0" w:space="0" w:color="auto"/>
        <w:right w:val="none" w:sz="0" w:space="0" w:color="auto"/>
      </w:divBdr>
      <w:divsChild>
        <w:div w:id="184372150">
          <w:marLeft w:val="0"/>
          <w:marRight w:val="0"/>
          <w:marTop w:val="0"/>
          <w:marBottom w:val="0"/>
          <w:divBdr>
            <w:top w:val="none" w:sz="0" w:space="0" w:color="auto"/>
            <w:left w:val="none" w:sz="0" w:space="0" w:color="auto"/>
            <w:bottom w:val="none" w:sz="0" w:space="0" w:color="auto"/>
            <w:right w:val="none" w:sz="0" w:space="0" w:color="auto"/>
          </w:divBdr>
        </w:div>
        <w:div w:id="621502774">
          <w:marLeft w:val="0"/>
          <w:marRight w:val="0"/>
          <w:marTop w:val="0"/>
          <w:marBottom w:val="0"/>
          <w:divBdr>
            <w:top w:val="none" w:sz="0" w:space="0" w:color="auto"/>
            <w:left w:val="none" w:sz="0" w:space="0" w:color="auto"/>
            <w:bottom w:val="none" w:sz="0" w:space="0" w:color="auto"/>
            <w:right w:val="none" w:sz="0" w:space="0" w:color="auto"/>
          </w:divBdr>
        </w:div>
      </w:divsChild>
    </w:div>
    <w:div w:id="792333201">
      <w:marLeft w:val="0"/>
      <w:marRight w:val="0"/>
      <w:marTop w:val="180"/>
      <w:marBottom w:val="180"/>
      <w:divBdr>
        <w:top w:val="none" w:sz="0" w:space="0" w:color="auto"/>
        <w:left w:val="none" w:sz="0" w:space="0" w:color="auto"/>
        <w:bottom w:val="none" w:sz="0" w:space="0" w:color="auto"/>
        <w:right w:val="none" w:sz="0" w:space="0" w:color="auto"/>
      </w:divBdr>
    </w:div>
    <w:div w:id="793595553">
      <w:marLeft w:val="0"/>
      <w:marRight w:val="0"/>
      <w:marTop w:val="180"/>
      <w:marBottom w:val="180"/>
      <w:divBdr>
        <w:top w:val="none" w:sz="0" w:space="0" w:color="auto"/>
        <w:left w:val="none" w:sz="0" w:space="0" w:color="auto"/>
        <w:bottom w:val="none" w:sz="0" w:space="0" w:color="auto"/>
        <w:right w:val="none" w:sz="0" w:space="0" w:color="auto"/>
      </w:divBdr>
    </w:div>
    <w:div w:id="794101147">
      <w:marLeft w:val="0"/>
      <w:marRight w:val="0"/>
      <w:marTop w:val="0"/>
      <w:marBottom w:val="0"/>
      <w:divBdr>
        <w:top w:val="none" w:sz="0" w:space="0" w:color="auto"/>
        <w:left w:val="none" w:sz="0" w:space="0" w:color="auto"/>
        <w:bottom w:val="none" w:sz="0" w:space="0" w:color="auto"/>
        <w:right w:val="none" w:sz="0" w:space="0" w:color="auto"/>
      </w:divBdr>
      <w:divsChild>
        <w:div w:id="1098255555">
          <w:marLeft w:val="0"/>
          <w:marRight w:val="0"/>
          <w:marTop w:val="0"/>
          <w:marBottom w:val="0"/>
          <w:divBdr>
            <w:top w:val="none" w:sz="0" w:space="0" w:color="auto"/>
            <w:left w:val="none" w:sz="0" w:space="0" w:color="auto"/>
            <w:bottom w:val="none" w:sz="0" w:space="0" w:color="auto"/>
            <w:right w:val="none" w:sz="0" w:space="0" w:color="auto"/>
          </w:divBdr>
          <w:divsChild>
            <w:div w:id="11638202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4250128">
      <w:marLeft w:val="0"/>
      <w:marRight w:val="0"/>
      <w:marTop w:val="60"/>
      <w:marBottom w:val="60"/>
      <w:divBdr>
        <w:top w:val="none" w:sz="0" w:space="0" w:color="auto"/>
        <w:left w:val="none" w:sz="0" w:space="0" w:color="auto"/>
        <w:bottom w:val="none" w:sz="0" w:space="0" w:color="auto"/>
        <w:right w:val="none" w:sz="0" w:space="0" w:color="auto"/>
      </w:divBdr>
      <w:divsChild>
        <w:div w:id="1762793541">
          <w:marLeft w:val="0"/>
          <w:marRight w:val="0"/>
          <w:marTop w:val="0"/>
          <w:marBottom w:val="0"/>
          <w:divBdr>
            <w:top w:val="none" w:sz="0" w:space="0" w:color="auto"/>
            <w:left w:val="none" w:sz="0" w:space="0" w:color="auto"/>
            <w:bottom w:val="none" w:sz="0" w:space="0" w:color="auto"/>
            <w:right w:val="none" w:sz="0" w:space="0" w:color="auto"/>
          </w:divBdr>
        </w:div>
      </w:divsChild>
    </w:div>
    <w:div w:id="794787223">
      <w:marLeft w:val="0"/>
      <w:marRight w:val="0"/>
      <w:marTop w:val="0"/>
      <w:marBottom w:val="0"/>
      <w:divBdr>
        <w:top w:val="none" w:sz="0" w:space="0" w:color="auto"/>
        <w:left w:val="none" w:sz="0" w:space="0" w:color="auto"/>
        <w:bottom w:val="none" w:sz="0" w:space="0" w:color="auto"/>
        <w:right w:val="none" w:sz="0" w:space="0" w:color="auto"/>
      </w:divBdr>
    </w:div>
    <w:div w:id="795485519">
      <w:marLeft w:val="0"/>
      <w:marRight w:val="0"/>
      <w:marTop w:val="180"/>
      <w:marBottom w:val="180"/>
      <w:divBdr>
        <w:top w:val="none" w:sz="0" w:space="0" w:color="auto"/>
        <w:left w:val="none" w:sz="0" w:space="0" w:color="auto"/>
        <w:bottom w:val="none" w:sz="0" w:space="0" w:color="auto"/>
        <w:right w:val="none" w:sz="0" w:space="0" w:color="auto"/>
      </w:divBdr>
    </w:div>
    <w:div w:id="798106210">
      <w:marLeft w:val="0"/>
      <w:marRight w:val="0"/>
      <w:marTop w:val="120"/>
      <w:marBottom w:val="180"/>
      <w:divBdr>
        <w:top w:val="none" w:sz="0" w:space="0" w:color="auto"/>
        <w:left w:val="none" w:sz="0" w:space="0" w:color="auto"/>
        <w:bottom w:val="none" w:sz="0" w:space="0" w:color="auto"/>
        <w:right w:val="none" w:sz="0" w:space="0" w:color="auto"/>
      </w:divBdr>
    </w:div>
    <w:div w:id="798719531">
      <w:marLeft w:val="0"/>
      <w:marRight w:val="0"/>
      <w:marTop w:val="60"/>
      <w:marBottom w:val="60"/>
      <w:divBdr>
        <w:top w:val="none" w:sz="0" w:space="0" w:color="auto"/>
        <w:left w:val="none" w:sz="0" w:space="0" w:color="auto"/>
        <w:bottom w:val="none" w:sz="0" w:space="0" w:color="auto"/>
        <w:right w:val="none" w:sz="0" w:space="0" w:color="auto"/>
      </w:divBdr>
    </w:div>
    <w:div w:id="800805644">
      <w:marLeft w:val="0"/>
      <w:marRight w:val="0"/>
      <w:marTop w:val="180"/>
      <w:marBottom w:val="180"/>
      <w:divBdr>
        <w:top w:val="none" w:sz="0" w:space="0" w:color="auto"/>
        <w:left w:val="none" w:sz="0" w:space="0" w:color="auto"/>
        <w:bottom w:val="none" w:sz="0" w:space="0" w:color="auto"/>
        <w:right w:val="none" w:sz="0" w:space="0" w:color="auto"/>
      </w:divBdr>
    </w:div>
    <w:div w:id="801003685">
      <w:marLeft w:val="0"/>
      <w:marRight w:val="0"/>
      <w:marTop w:val="180"/>
      <w:marBottom w:val="60"/>
      <w:divBdr>
        <w:top w:val="none" w:sz="0" w:space="0" w:color="auto"/>
        <w:left w:val="none" w:sz="0" w:space="0" w:color="auto"/>
        <w:bottom w:val="none" w:sz="0" w:space="0" w:color="auto"/>
        <w:right w:val="none" w:sz="0" w:space="0" w:color="auto"/>
      </w:divBdr>
    </w:div>
    <w:div w:id="804086948">
      <w:marLeft w:val="0"/>
      <w:marRight w:val="0"/>
      <w:marTop w:val="180"/>
      <w:marBottom w:val="180"/>
      <w:divBdr>
        <w:top w:val="none" w:sz="0" w:space="0" w:color="auto"/>
        <w:left w:val="none" w:sz="0" w:space="0" w:color="auto"/>
        <w:bottom w:val="none" w:sz="0" w:space="0" w:color="auto"/>
        <w:right w:val="none" w:sz="0" w:space="0" w:color="auto"/>
      </w:divBdr>
    </w:div>
    <w:div w:id="805322190">
      <w:marLeft w:val="0"/>
      <w:marRight w:val="0"/>
      <w:marTop w:val="100"/>
      <w:marBottom w:val="100"/>
      <w:divBdr>
        <w:top w:val="none" w:sz="0" w:space="0" w:color="auto"/>
        <w:left w:val="none" w:sz="0" w:space="0" w:color="auto"/>
        <w:bottom w:val="none" w:sz="0" w:space="0" w:color="auto"/>
        <w:right w:val="none" w:sz="0" w:space="0" w:color="auto"/>
      </w:divBdr>
      <w:divsChild>
        <w:div w:id="1809973494">
          <w:marLeft w:val="0"/>
          <w:marRight w:val="0"/>
          <w:marTop w:val="0"/>
          <w:marBottom w:val="0"/>
          <w:divBdr>
            <w:top w:val="none" w:sz="0" w:space="0" w:color="auto"/>
            <w:left w:val="none" w:sz="0" w:space="0" w:color="auto"/>
            <w:bottom w:val="none" w:sz="0" w:space="0" w:color="auto"/>
            <w:right w:val="none" w:sz="0" w:space="0" w:color="auto"/>
          </w:divBdr>
        </w:div>
        <w:div w:id="1975938735">
          <w:marLeft w:val="0"/>
          <w:marRight w:val="0"/>
          <w:marTop w:val="0"/>
          <w:marBottom w:val="0"/>
          <w:divBdr>
            <w:top w:val="none" w:sz="0" w:space="0" w:color="auto"/>
            <w:left w:val="none" w:sz="0" w:space="0" w:color="auto"/>
            <w:bottom w:val="none" w:sz="0" w:space="0" w:color="auto"/>
            <w:right w:val="none" w:sz="0" w:space="0" w:color="auto"/>
          </w:divBdr>
        </w:div>
      </w:divsChild>
    </w:div>
    <w:div w:id="807628560">
      <w:marLeft w:val="0"/>
      <w:marRight w:val="0"/>
      <w:marTop w:val="180"/>
      <w:marBottom w:val="180"/>
      <w:divBdr>
        <w:top w:val="none" w:sz="0" w:space="0" w:color="auto"/>
        <w:left w:val="none" w:sz="0" w:space="0" w:color="auto"/>
        <w:bottom w:val="none" w:sz="0" w:space="0" w:color="auto"/>
        <w:right w:val="none" w:sz="0" w:space="0" w:color="auto"/>
      </w:divBdr>
    </w:div>
    <w:div w:id="809903911">
      <w:marLeft w:val="0"/>
      <w:marRight w:val="0"/>
      <w:marTop w:val="60"/>
      <w:marBottom w:val="0"/>
      <w:divBdr>
        <w:top w:val="none" w:sz="0" w:space="0" w:color="auto"/>
        <w:left w:val="none" w:sz="0" w:space="0" w:color="auto"/>
        <w:bottom w:val="none" w:sz="0" w:space="0" w:color="auto"/>
        <w:right w:val="none" w:sz="0" w:space="0" w:color="auto"/>
      </w:divBdr>
    </w:div>
    <w:div w:id="811367621">
      <w:marLeft w:val="0"/>
      <w:marRight w:val="0"/>
      <w:marTop w:val="180"/>
      <w:marBottom w:val="60"/>
      <w:divBdr>
        <w:top w:val="none" w:sz="0" w:space="0" w:color="auto"/>
        <w:left w:val="none" w:sz="0" w:space="0" w:color="auto"/>
        <w:bottom w:val="none" w:sz="0" w:space="0" w:color="auto"/>
        <w:right w:val="none" w:sz="0" w:space="0" w:color="auto"/>
      </w:divBdr>
    </w:div>
    <w:div w:id="813719571">
      <w:marLeft w:val="0"/>
      <w:marRight w:val="0"/>
      <w:marTop w:val="60"/>
      <w:marBottom w:val="60"/>
      <w:divBdr>
        <w:top w:val="none" w:sz="0" w:space="0" w:color="auto"/>
        <w:left w:val="none" w:sz="0" w:space="0" w:color="auto"/>
        <w:bottom w:val="none" w:sz="0" w:space="0" w:color="auto"/>
        <w:right w:val="none" w:sz="0" w:space="0" w:color="auto"/>
      </w:divBdr>
    </w:div>
    <w:div w:id="813832608">
      <w:marLeft w:val="0"/>
      <w:marRight w:val="0"/>
      <w:marTop w:val="180"/>
      <w:marBottom w:val="180"/>
      <w:divBdr>
        <w:top w:val="none" w:sz="0" w:space="0" w:color="auto"/>
        <w:left w:val="none" w:sz="0" w:space="0" w:color="auto"/>
        <w:bottom w:val="none" w:sz="0" w:space="0" w:color="auto"/>
        <w:right w:val="none" w:sz="0" w:space="0" w:color="auto"/>
      </w:divBdr>
    </w:div>
    <w:div w:id="814446753">
      <w:marLeft w:val="0"/>
      <w:marRight w:val="0"/>
      <w:marTop w:val="60"/>
      <w:marBottom w:val="60"/>
      <w:divBdr>
        <w:top w:val="none" w:sz="0" w:space="0" w:color="auto"/>
        <w:left w:val="none" w:sz="0" w:space="0" w:color="auto"/>
        <w:bottom w:val="none" w:sz="0" w:space="0" w:color="auto"/>
        <w:right w:val="none" w:sz="0" w:space="0" w:color="auto"/>
      </w:divBdr>
    </w:div>
    <w:div w:id="815072091">
      <w:marLeft w:val="0"/>
      <w:marRight w:val="0"/>
      <w:marTop w:val="0"/>
      <w:marBottom w:val="0"/>
      <w:divBdr>
        <w:top w:val="none" w:sz="0" w:space="0" w:color="auto"/>
        <w:left w:val="none" w:sz="0" w:space="0" w:color="auto"/>
        <w:bottom w:val="none" w:sz="0" w:space="0" w:color="auto"/>
        <w:right w:val="none" w:sz="0" w:space="0" w:color="auto"/>
      </w:divBdr>
      <w:divsChild>
        <w:div w:id="2039816239">
          <w:marLeft w:val="0"/>
          <w:marRight w:val="0"/>
          <w:marTop w:val="0"/>
          <w:marBottom w:val="0"/>
          <w:divBdr>
            <w:top w:val="none" w:sz="0" w:space="0" w:color="auto"/>
            <w:left w:val="none" w:sz="0" w:space="0" w:color="auto"/>
            <w:bottom w:val="none" w:sz="0" w:space="0" w:color="auto"/>
            <w:right w:val="none" w:sz="0" w:space="0" w:color="auto"/>
          </w:divBdr>
          <w:divsChild>
            <w:div w:id="9097275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5494019">
      <w:marLeft w:val="0"/>
      <w:marRight w:val="0"/>
      <w:marTop w:val="60"/>
      <w:marBottom w:val="60"/>
      <w:divBdr>
        <w:top w:val="none" w:sz="0" w:space="0" w:color="auto"/>
        <w:left w:val="none" w:sz="0" w:space="0" w:color="auto"/>
        <w:bottom w:val="none" w:sz="0" w:space="0" w:color="auto"/>
        <w:right w:val="none" w:sz="0" w:space="0" w:color="auto"/>
      </w:divBdr>
    </w:div>
    <w:div w:id="816066631">
      <w:marLeft w:val="0"/>
      <w:marRight w:val="0"/>
      <w:marTop w:val="180"/>
      <w:marBottom w:val="180"/>
      <w:divBdr>
        <w:top w:val="none" w:sz="0" w:space="0" w:color="auto"/>
        <w:left w:val="none" w:sz="0" w:space="0" w:color="auto"/>
        <w:bottom w:val="none" w:sz="0" w:space="0" w:color="auto"/>
        <w:right w:val="none" w:sz="0" w:space="0" w:color="auto"/>
      </w:divBdr>
    </w:div>
    <w:div w:id="816529237">
      <w:marLeft w:val="0"/>
      <w:marRight w:val="0"/>
      <w:marTop w:val="180"/>
      <w:marBottom w:val="180"/>
      <w:divBdr>
        <w:top w:val="none" w:sz="0" w:space="0" w:color="auto"/>
        <w:left w:val="none" w:sz="0" w:space="0" w:color="auto"/>
        <w:bottom w:val="none" w:sz="0" w:space="0" w:color="auto"/>
        <w:right w:val="none" w:sz="0" w:space="0" w:color="auto"/>
      </w:divBdr>
    </w:div>
    <w:div w:id="818041326">
      <w:marLeft w:val="0"/>
      <w:marRight w:val="0"/>
      <w:marTop w:val="0"/>
      <w:marBottom w:val="0"/>
      <w:divBdr>
        <w:top w:val="none" w:sz="0" w:space="0" w:color="auto"/>
        <w:left w:val="none" w:sz="0" w:space="0" w:color="auto"/>
        <w:bottom w:val="none" w:sz="0" w:space="0" w:color="auto"/>
        <w:right w:val="none" w:sz="0" w:space="0" w:color="auto"/>
      </w:divBdr>
      <w:divsChild>
        <w:div w:id="1130169742">
          <w:marLeft w:val="0"/>
          <w:marRight w:val="0"/>
          <w:marTop w:val="0"/>
          <w:marBottom w:val="0"/>
          <w:divBdr>
            <w:top w:val="none" w:sz="0" w:space="0" w:color="auto"/>
            <w:left w:val="none" w:sz="0" w:space="0" w:color="auto"/>
            <w:bottom w:val="none" w:sz="0" w:space="0" w:color="auto"/>
            <w:right w:val="none" w:sz="0" w:space="0" w:color="auto"/>
          </w:divBdr>
          <w:divsChild>
            <w:div w:id="20814399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8838193">
      <w:marLeft w:val="0"/>
      <w:marRight w:val="0"/>
      <w:marTop w:val="180"/>
      <w:marBottom w:val="180"/>
      <w:divBdr>
        <w:top w:val="none" w:sz="0" w:space="0" w:color="auto"/>
        <w:left w:val="none" w:sz="0" w:space="0" w:color="auto"/>
        <w:bottom w:val="none" w:sz="0" w:space="0" w:color="auto"/>
        <w:right w:val="none" w:sz="0" w:space="0" w:color="auto"/>
      </w:divBdr>
    </w:div>
    <w:div w:id="819229188">
      <w:marLeft w:val="0"/>
      <w:marRight w:val="0"/>
      <w:marTop w:val="220"/>
      <w:marBottom w:val="180"/>
      <w:divBdr>
        <w:top w:val="none" w:sz="0" w:space="0" w:color="auto"/>
        <w:left w:val="none" w:sz="0" w:space="0" w:color="auto"/>
        <w:bottom w:val="none" w:sz="0" w:space="0" w:color="auto"/>
        <w:right w:val="none" w:sz="0" w:space="0" w:color="auto"/>
      </w:divBdr>
    </w:div>
    <w:div w:id="821001643">
      <w:marLeft w:val="0"/>
      <w:marRight w:val="0"/>
      <w:marTop w:val="100"/>
      <w:marBottom w:val="120"/>
      <w:divBdr>
        <w:top w:val="none" w:sz="0" w:space="0" w:color="auto"/>
        <w:left w:val="none" w:sz="0" w:space="0" w:color="auto"/>
        <w:bottom w:val="none" w:sz="0" w:space="0" w:color="auto"/>
        <w:right w:val="none" w:sz="0" w:space="0" w:color="auto"/>
      </w:divBdr>
    </w:div>
    <w:div w:id="822893167">
      <w:marLeft w:val="0"/>
      <w:marRight w:val="0"/>
      <w:marTop w:val="180"/>
      <w:marBottom w:val="180"/>
      <w:divBdr>
        <w:top w:val="none" w:sz="0" w:space="0" w:color="auto"/>
        <w:left w:val="none" w:sz="0" w:space="0" w:color="auto"/>
        <w:bottom w:val="none" w:sz="0" w:space="0" w:color="auto"/>
        <w:right w:val="none" w:sz="0" w:space="0" w:color="auto"/>
      </w:divBdr>
    </w:div>
    <w:div w:id="824584622">
      <w:marLeft w:val="0"/>
      <w:marRight w:val="0"/>
      <w:marTop w:val="180"/>
      <w:marBottom w:val="180"/>
      <w:divBdr>
        <w:top w:val="none" w:sz="0" w:space="0" w:color="auto"/>
        <w:left w:val="none" w:sz="0" w:space="0" w:color="auto"/>
        <w:bottom w:val="none" w:sz="0" w:space="0" w:color="auto"/>
        <w:right w:val="none" w:sz="0" w:space="0" w:color="auto"/>
      </w:divBdr>
    </w:div>
    <w:div w:id="827942546">
      <w:marLeft w:val="0"/>
      <w:marRight w:val="0"/>
      <w:marTop w:val="60"/>
      <w:marBottom w:val="60"/>
      <w:divBdr>
        <w:top w:val="none" w:sz="0" w:space="0" w:color="auto"/>
        <w:left w:val="none" w:sz="0" w:space="0" w:color="auto"/>
        <w:bottom w:val="none" w:sz="0" w:space="0" w:color="auto"/>
        <w:right w:val="none" w:sz="0" w:space="0" w:color="auto"/>
      </w:divBdr>
    </w:div>
    <w:div w:id="827982617">
      <w:marLeft w:val="0"/>
      <w:marRight w:val="0"/>
      <w:marTop w:val="180"/>
      <w:marBottom w:val="60"/>
      <w:divBdr>
        <w:top w:val="none" w:sz="0" w:space="0" w:color="auto"/>
        <w:left w:val="none" w:sz="0" w:space="0" w:color="auto"/>
        <w:bottom w:val="none" w:sz="0" w:space="0" w:color="auto"/>
        <w:right w:val="none" w:sz="0" w:space="0" w:color="auto"/>
      </w:divBdr>
    </w:div>
    <w:div w:id="830485345">
      <w:marLeft w:val="0"/>
      <w:marRight w:val="0"/>
      <w:marTop w:val="100"/>
      <w:marBottom w:val="100"/>
      <w:divBdr>
        <w:top w:val="none" w:sz="0" w:space="0" w:color="auto"/>
        <w:left w:val="none" w:sz="0" w:space="0" w:color="auto"/>
        <w:bottom w:val="none" w:sz="0" w:space="0" w:color="auto"/>
        <w:right w:val="none" w:sz="0" w:space="0" w:color="auto"/>
      </w:divBdr>
    </w:div>
    <w:div w:id="830565200">
      <w:marLeft w:val="0"/>
      <w:marRight w:val="0"/>
      <w:marTop w:val="180"/>
      <w:marBottom w:val="180"/>
      <w:divBdr>
        <w:top w:val="none" w:sz="0" w:space="0" w:color="auto"/>
        <w:left w:val="none" w:sz="0" w:space="0" w:color="auto"/>
        <w:bottom w:val="none" w:sz="0" w:space="0" w:color="auto"/>
        <w:right w:val="none" w:sz="0" w:space="0" w:color="auto"/>
      </w:divBdr>
    </w:div>
    <w:div w:id="831457417">
      <w:marLeft w:val="0"/>
      <w:marRight w:val="0"/>
      <w:marTop w:val="180"/>
      <w:marBottom w:val="180"/>
      <w:divBdr>
        <w:top w:val="none" w:sz="0" w:space="0" w:color="auto"/>
        <w:left w:val="none" w:sz="0" w:space="0" w:color="auto"/>
        <w:bottom w:val="none" w:sz="0" w:space="0" w:color="auto"/>
        <w:right w:val="none" w:sz="0" w:space="0" w:color="auto"/>
      </w:divBdr>
    </w:div>
    <w:div w:id="834106054">
      <w:marLeft w:val="0"/>
      <w:marRight w:val="0"/>
      <w:marTop w:val="60"/>
      <w:marBottom w:val="60"/>
      <w:divBdr>
        <w:top w:val="none" w:sz="0" w:space="0" w:color="auto"/>
        <w:left w:val="none" w:sz="0" w:space="0" w:color="auto"/>
        <w:bottom w:val="none" w:sz="0" w:space="0" w:color="auto"/>
        <w:right w:val="none" w:sz="0" w:space="0" w:color="auto"/>
      </w:divBdr>
    </w:div>
    <w:div w:id="835729647">
      <w:marLeft w:val="0"/>
      <w:marRight w:val="0"/>
      <w:marTop w:val="60"/>
      <w:marBottom w:val="60"/>
      <w:divBdr>
        <w:top w:val="none" w:sz="0" w:space="0" w:color="auto"/>
        <w:left w:val="none" w:sz="0" w:space="0" w:color="auto"/>
        <w:bottom w:val="none" w:sz="0" w:space="0" w:color="auto"/>
        <w:right w:val="none" w:sz="0" w:space="0" w:color="auto"/>
      </w:divBdr>
      <w:divsChild>
        <w:div w:id="712509133">
          <w:marLeft w:val="0"/>
          <w:marRight w:val="0"/>
          <w:marTop w:val="0"/>
          <w:marBottom w:val="0"/>
          <w:divBdr>
            <w:top w:val="none" w:sz="0" w:space="0" w:color="auto"/>
            <w:left w:val="none" w:sz="0" w:space="0" w:color="auto"/>
            <w:bottom w:val="none" w:sz="0" w:space="0" w:color="auto"/>
            <w:right w:val="none" w:sz="0" w:space="0" w:color="auto"/>
          </w:divBdr>
        </w:div>
        <w:div w:id="1952516662">
          <w:marLeft w:val="0"/>
          <w:marRight w:val="0"/>
          <w:marTop w:val="0"/>
          <w:marBottom w:val="0"/>
          <w:divBdr>
            <w:top w:val="none" w:sz="0" w:space="0" w:color="auto"/>
            <w:left w:val="none" w:sz="0" w:space="0" w:color="auto"/>
            <w:bottom w:val="none" w:sz="0" w:space="0" w:color="auto"/>
            <w:right w:val="none" w:sz="0" w:space="0" w:color="auto"/>
          </w:divBdr>
        </w:div>
        <w:div w:id="1176727025">
          <w:marLeft w:val="0"/>
          <w:marRight w:val="0"/>
          <w:marTop w:val="0"/>
          <w:marBottom w:val="0"/>
          <w:divBdr>
            <w:top w:val="none" w:sz="0" w:space="0" w:color="auto"/>
            <w:left w:val="none" w:sz="0" w:space="0" w:color="auto"/>
            <w:bottom w:val="none" w:sz="0" w:space="0" w:color="auto"/>
            <w:right w:val="none" w:sz="0" w:space="0" w:color="auto"/>
          </w:divBdr>
        </w:div>
        <w:div w:id="1431973657">
          <w:marLeft w:val="0"/>
          <w:marRight w:val="0"/>
          <w:marTop w:val="0"/>
          <w:marBottom w:val="0"/>
          <w:divBdr>
            <w:top w:val="none" w:sz="0" w:space="0" w:color="auto"/>
            <w:left w:val="none" w:sz="0" w:space="0" w:color="auto"/>
            <w:bottom w:val="none" w:sz="0" w:space="0" w:color="auto"/>
            <w:right w:val="none" w:sz="0" w:space="0" w:color="auto"/>
          </w:divBdr>
        </w:div>
        <w:div w:id="1484926120">
          <w:marLeft w:val="0"/>
          <w:marRight w:val="0"/>
          <w:marTop w:val="0"/>
          <w:marBottom w:val="0"/>
          <w:divBdr>
            <w:top w:val="none" w:sz="0" w:space="0" w:color="auto"/>
            <w:left w:val="none" w:sz="0" w:space="0" w:color="auto"/>
            <w:bottom w:val="none" w:sz="0" w:space="0" w:color="auto"/>
            <w:right w:val="none" w:sz="0" w:space="0" w:color="auto"/>
          </w:divBdr>
        </w:div>
      </w:divsChild>
    </w:div>
    <w:div w:id="835995715">
      <w:marLeft w:val="0"/>
      <w:marRight w:val="0"/>
      <w:marTop w:val="100"/>
      <w:marBottom w:val="100"/>
      <w:divBdr>
        <w:top w:val="none" w:sz="0" w:space="0" w:color="auto"/>
        <w:left w:val="none" w:sz="0" w:space="0" w:color="auto"/>
        <w:bottom w:val="none" w:sz="0" w:space="0" w:color="auto"/>
        <w:right w:val="none" w:sz="0" w:space="0" w:color="auto"/>
      </w:divBdr>
      <w:divsChild>
        <w:div w:id="1006245440">
          <w:marLeft w:val="0"/>
          <w:marRight w:val="0"/>
          <w:marTop w:val="0"/>
          <w:marBottom w:val="0"/>
          <w:divBdr>
            <w:top w:val="none" w:sz="0" w:space="0" w:color="auto"/>
            <w:left w:val="none" w:sz="0" w:space="0" w:color="auto"/>
            <w:bottom w:val="none" w:sz="0" w:space="0" w:color="auto"/>
            <w:right w:val="none" w:sz="0" w:space="0" w:color="auto"/>
          </w:divBdr>
        </w:div>
        <w:div w:id="726298929">
          <w:marLeft w:val="0"/>
          <w:marRight w:val="0"/>
          <w:marTop w:val="0"/>
          <w:marBottom w:val="0"/>
          <w:divBdr>
            <w:top w:val="none" w:sz="0" w:space="0" w:color="auto"/>
            <w:left w:val="none" w:sz="0" w:space="0" w:color="auto"/>
            <w:bottom w:val="none" w:sz="0" w:space="0" w:color="auto"/>
            <w:right w:val="none" w:sz="0" w:space="0" w:color="auto"/>
          </w:divBdr>
        </w:div>
        <w:div w:id="70585027">
          <w:marLeft w:val="0"/>
          <w:marRight w:val="0"/>
          <w:marTop w:val="0"/>
          <w:marBottom w:val="0"/>
          <w:divBdr>
            <w:top w:val="none" w:sz="0" w:space="0" w:color="auto"/>
            <w:left w:val="none" w:sz="0" w:space="0" w:color="auto"/>
            <w:bottom w:val="none" w:sz="0" w:space="0" w:color="auto"/>
            <w:right w:val="none" w:sz="0" w:space="0" w:color="auto"/>
          </w:divBdr>
        </w:div>
      </w:divsChild>
    </w:div>
    <w:div w:id="838545227">
      <w:marLeft w:val="0"/>
      <w:marRight w:val="0"/>
      <w:marTop w:val="60"/>
      <w:marBottom w:val="60"/>
      <w:divBdr>
        <w:top w:val="none" w:sz="0" w:space="0" w:color="auto"/>
        <w:left w:val="none" w:sz="0" w:space="0" w:color="auto"/>
        <w:bottom w:val="none" w:sz="0" w:space="0" w:color="auto"/>
        <w:right w:val="none" w:sz="0" w:space="0" w:color="auto"/>
      </w:divBdr>
    </w:div>
    <w:div w:id="839661376">
      <w:marLeft w:val="0"/>
      <w:marRight w:val="0"/>
      <w:marTop w:val="60"/>
      <w:marBottom w:val="60"/>
      <w:divBdr>
        <w:top w:val="none" w:sz="0" w:space="0" w:color="auto"/>
        <w:left w:val="none" w:sz="0" w:space="0" w:color="auto"/>
        <w:bottom w:val="none" w:sz="0" w:space="0" w:color="auto"/>
        <w:right w:val="none" w:sz="0" w:space="0" w:color="auto"/>
      </w:divBdr>
    </w:div>
    <w:div w:id="840121575">
      <w:marLeft w:val="0"/>
      <w:marRight w:val="0"/>
      <w:marTop w:val="180"/>
      <w:marBottom w:val="180"/>
      <w:divBdr>
        <w:top w:val="none" w:sz="0" w:space="0" w:color="auto"/>
        <w:left w:val="none" w:sz="0" w:space="0" w:color="auto"/>
        <w:bottom w:val="none" w:sz="0" w:space="0" w:color="auto"/>
        <w:right w:val="none" w:sz="0" w:space="0" w:color="auto"/>
      </w:divBdr>
    </w:div>
    <w:div w:id="841548314">
      <w:marLeft w:val="0"/>
      <w:marRight w:val="0"/>
      <w:marTop w:val="100"/>
      <w:marBottom w:val="100"/>
      <w:divBdr>
        <w:top w:val="none" w:sz="0" w:space="0" w:color="auto"/>
        <w:left w:val="none" w:sz="0" w:space="0" w:color="auto"/>
        <w:bottom w:val="none" w:sz="0" w:space="0" w:color="auto"/>
        <w:right w:val="none" w:sz="0" w:space="0" w:color="auto"/>
      </w:divBdr>
      <w:divsChild>
        <w:div w:id="321734534">
          <w:marLeft w:val="0"/>
          <w:marRight w:val="0"/>
          <w:marTop w:val="0"/>
          <w:marBottom w:val="0"/>
          <w:divBdr>
            <w:top w:val="none" w:sz="0" w:space="0" w:color="auto"/>
            <w:left w:val="none" w:sz="0" w:space="0" w:color="auto"/>
            <w:bottom w:val="none" w:sz="0" w:space="0" w:color="auto"/>
            <w:right w:val="none" w:sz="0" w:space="0" w:color="auto"/>
          </w:divBdr>
        </w:div>
        <w:div w:id="104424025">
          <w:marLeft w:val="0"/>
          <w:marRight w:val="0"/>
          <w:marTop w:val="0"/>
          <w:marBottom w:val="0"/>
          <w:divBdr>
            <w:top w:val="none" w:sz="0" w:space="0" w:color="auto"/>
            <w:left w:val="none" w:sz="0" w:space="0" w:color="auto"/>
            <w:bottom w:val="none" w:sz="0" w:space="0" w:color="auto"/>
            <w:right w:val="none" w:sz="0" w:space="0" w:color="auto"/>
          </w:divBdr>
        </w:div>
      </w:divsChild>
    </w:div>
    <w:div w:id="841967780">
      <w:marLeft w:val="0"/>
      <w:marRight w:val="0"/>
      <w:marTop w:val="60"/>
      <w:marBottom w:val="60"/>
      <w:divBdr>
        <w:top w:val="none" w:sz="0" w:space="0" w:color="auto"/>
        <w:left w:val="none" w:sz="0" w:space="0" w:color="auto"/>
        <w:bottom w:val="none" w:sz="0" w:space="0" w:color="auto"/>
        <w:right w:val="none" w:sz="0" w:space="0" w:color="auto"/>
      </w:divBdr>
    </w:div>
    <w:div w:id="844441398">
      <w:marLeft w:val="0"/>
      <w:marRight w:val="0"/>
      <w:marTop w:val="60"/>
      <w:marBottom w:val="60"/>
      <w:divBdr>
        <w:top w:val="none" w:sz="0" w:space="0" w:color="auto"/>
        <w:left w:val="none" w:sz="0" w:space="0" w:color="auto"/>
        <w:bottom w:val="none" w:sz="0" w:space="0" w:color="auto"/>
        <w:right w:val="none" w:sz="0" w:space="0" w:color="auto"/>
      </w:divBdr>
      <w:divsChild>
        <w:div w:id="1687094124">
          <w:marLeft w:val="0"/>
          <w:marRight w:val="0"/>
          <w:marTop w:val="0"/>
          <w:marBottom w:val="0"/>
          <w:divBdr>
            <w:top w:val="none" w:sz="0" w:space="0" w:color="auto"/>
            <w:left w:val="none" w:sz="0" w:space="0" w:color="auto"/>
            <w:bottom w:val="none" w:sz="0" w:space="0" w:color="auto"/>
            <w:right w:val="none" w:sz="0" w:space="0" w:color="auto"/>
          </w:divBdr>
        </w:div>
        <w:div w:id="1352875404">
          <w:marLeft w:val="0"/>
          <w:marRight w:val="0"/>
          <w:marTop w:val="0"/>
          <w:marBottom w:val="0"/>
          <w:divBdr>
            <w:top w:val="none" w:sz="0" w:space="0" w:color="auto"/>
            <w:left w:val="none" w:sz="0" w:space="0" w:color="auto"/>
            <w:bottom w:val="none" w:sz="0" w:space="0" w:color="auto"/>
            <w:right w:val="none" w:sz="0" w:space="0" w:color="auto"/>
          </w:divBdr>
        </w:div>
        <w:div w:id="1217938656">
          <w:marLeft w:val="0"/>
          <w:marRight w:val="0"/>
          <w:marTop w:val="0"/>
          <w:marBottom w:val="0"/>
          <w:divBdr>
            <w:top w:val="none" w:sz="0" w:space="0" w:color="auto"/>
            <w:left w:val="none" w:sz="0" w:space="0" w:color="auto"/>
            <w:bottom w:val="none" w:sz="0" w:space="0" w:color="auto"/>
            <w:right w:val="none" w:sz="0" w:space="0" w:color="auto"/>
          </w:divBdr>
        </w:div>
      </w:divsChild>
    </w:div>
    <w:div w:id="846941127">
      <w:marLeft w:val="0"/>
      <w:marRight w:val="0"/>
      <w:marTop w:val="60"/>
      <w:marBottom w:val="60"/>
      <w:divBdr>
        <w:top w:val="none" w:sz="0" w:space="0" w:color="auto"/>
        <w:left w:val="none" w:sz="0" w:space="0" w:color="auto"/>
        <w:bottom w:val="none" w:sz="0" w:space="0" w:color="auto"/>
        <w:right w:val="none" w:sz="0" w:space="0" w:color="auto"/>
      </w:divBdr>
    </w:div>
    <w:div w:id="847713233">
      <w:marLeft w:val="0"/>
      <w:marRight w:val="0"/>
      <w:marTop w:val="0"/>
      <w:marBottom w:val="0"/>
      <w:divBdr>
        <w:top w:val="none" w:sz="0" w:space="0" w:color="auto"/>
        <w:left w:val="none" w:sz="0" w:space="0" w:color="auto"/>
        <w:bottom w:val="none" w:sz="0" w:space="0" w:color="auto"/>
        <w:right w:val="none" w:sz="0" w:space="0" w:color="auto"/>
      </w:divBdr>
      <w:divsChild>
        <w:div w:id="1025984138">
          <w:marLeft w:val="0"/>
          <w:marRight w:val="0"/>
          <w:marTop w:val="0"/>
          <w:marBottom w:val="0"/>
          <w:divBdr>
            <w:top w:val="none" w:sz="0" w:space="0" w:color="auto"/>
            <w:left w:val="none" w:sz="0" w:space="0" w:color="auto"/>
            <w:bottom w:val="none" w:sz="0" w:space="0" w:color="auto"/>
            <w:right w:val="none" w:sz="0" w:space="0" w:color="auto"/>
          </w:divBdr>
          <w:divsChild>
            <w:div w:id="15695323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7787775">
      <w:marLeft w:val="0"/>
      <w:marRight w:val="0"/>
      <w:marTop w:val="120"/>
      <w:marBottom w:val="0"/>
      <w:divBdr>
        <w:top w:val="none" w:sz="0" w:space="0" w:color="auto"/>
        <w:left w:val="none" w:sz="0" w:space="0" w:color="auto"/>
        <w:bottom w:val="none" w:sz="0" w:space="0" w:color="auto"/>
        <w:right w:val="none" w:sz="0" w:space="0" w:color="auto"/>
      </w:divBdr>
    </w:div>
    <w:div w:id="848103883">
      <w:marLeft w:val="0"/>
      <w:marRight w:val="0"/>
      <w:marTop w:val="60"/>
      <w:marBottom w:val="60"/>
      <w:divBdr>
        <w:top w:val="none" w:sz="0" w:space="0" w:color="auto"/>
        <w:left w:val="none" w:sz="0" w:space="0" w:color="auto"/>
        <w:bottom w:val="none" w:sz="0" w:space="0" w:color="auto"/>
        <w:right w:val="none" w:sz="0" w:space="0" w:color="auto"/>
      </w:divBdr>
    </w:div>
    <w:div w:id="848711847">
      <w:marLeft w:val="0"/>
      <w:marRight w:val="0"/>
      <w:marTop w:val="180"/>
      <w:marBottom w:val="180"/>
      <w:divBdr>
        <w:top w:val="none" w:sz="0" w:space="0" w:color="auto"/>
        <w:left w:val="none" w:sz="0" w:space="0" w:color="auto"/>
        <w:bottom w:val="none" w:sz="0" w:space="0" w:color="auto"/>
        <w:right w:val="none" w:sz="0" w:space="0" w:color="auto"/>
      </w:divBdr>
    </w:div>
    <w:div w:id="849564300">
      <w:marLeft w:val="0"/>
      <w:marRight w:val="0"/>
      <w:marTop w:val="180"/>
      <w:marBottom w:val="180"/>
      <w:divBdr>
        <w:top w:val="none" w:sz="0" w:space="0" w:color="auto"/>
        <w:left w:val="none" w:sz="0" w:space="0" w:color="auto"/>
        <w:bottom w:val="none" w:sz="0" w:space="0" w:color="auto"/>
        <w:right w:val="none" w:sz="0" w:space="0" w:color="auto"/>
      </w:divBdr>
    </w:div>
    <w:div w:id="850685060">
      <w:marLeft w:val="0"/>
      <w:marRight w:val="0"/>
      <w:marTop w:val="60"/>
      <w:marBottom w:val="60"/>
      <w:divBdr>
        <w:top w:val="none" w:sz="0" w:space="0" w:color="auto"/>
        <w:left w:val="none" w:sz="0" w:space="0" w:color="auto"/>
        <w:bottom w:val="none" w:sz="0" w:space="0" w:color="auto"/>
        <w:right w:val="none" w:sz="0" w:space="0" w:color="auto"/>
      </w:divBdr>
    </w:div>
    <w:div w:id="850947673">
      <w:marLeft w:val="0"/>
      <w:marRight w:val="0"/>
      <w:marTop w:val="180"/>
      <w:marBottom w:val="60"/>
      <w:divBdr>
        <w:top w:val="none" w:sz="0" w:space="0" w:color="auto"/>
        <w:left w:val="none" w:sz="0" w:space="0" w:color="auto"/>
        <w:bottom w:val="none" w:sz="0" w:space="0" w:color="auto"/>
        <w:right w:val="none" w:sz="0" w:space="0" w:color="auto"/>
      </w:divBdr>
    </w:div>
    <w:div w:id="852768255">
      <w:marLeft w:val="0"/>
      <w:marRight w:val="0"/>
      <w:marTop w:val="180"/>
      <w:marBottom w:val="180"/>
      <w:divBdr>
        <w:top w:val="none" w:sz="0" w:space="0" w:color="auto"/>
        <w:left w:val="none" w:sz="0" w:space="0" w:color="auto"/>
        <w:bottom w:val="none" w:sz="0" w:space="0" w:color="auto"/>
        <w:right w:val="none" w:sz="0" w:space="0" w:color="auto"/>
      </w:divBdr>
    </w:div>
    <w:div w:id="855146248">
      <w:marLeft w:val="0"/>
      <w:marRight w:val="0"/>
      <w:marTop w:val="180"/>
      <w:marBottom w:val="180"/>
      <w:divBdr>
        <w:top w:val="none" w:sz="0" w:space="0" w:color="auto"/>
        <w:left w:val="none" w:sz="0" w:space="0" w:color="auto"/>
        <w:bottom w:val="none" w:sz="0" w:space="0" w:color="auto"/>
        <w:right w:val="none" w:sz="0" w:space="0" w:color="auto"/>
      </w:divBdr>
    </w:div>
    <w:div w:id="855189509">
      <w:marLeft w:val="0"/>
      <w:marRight w:val="0"/>
      <w:marTop w:val="180"/>
      <w:marBottom w:val="180"/>
      <w:divBdr>
        <w:top w:val="none" w:sz="0" w:space="0" w:color="auto"/>
        <w:left w:val="none" w:sz="0" w:space="0" w:color="auto"/>
        <w:bottom w:val="none" w:sz="0" w:space="0" w:color="auto"/>
        <w:right w:val="none" w:sz="0" w:space="0" w:color="auto"/>
      </w:divBdr>
    </w:div>
    <w:div w:id="856188456">
      <w:marLeft w:val="0"/>
      <w:marRight w:val="0"/>
      <w:marTop w:val="180"/>
      <w:marBottom w:val="180"/>
      <w:divBdr>
        <w:top w:val="none" w:sz="0" w:space="0" w:color="auto"/>
        <w:left w:val="none" w:sz="0" w:space="0" w:color="auto"/>
        <w:bottom w:val="none" w:sz="0" w:space="0" w:color="auto"/>
        <w:right w:val="none" w:sz="0" w:space="0" w:color="auto"/>
      </w:divBdr>
    </w:div>
    <w:div w:id="860433410">
      <w:marLeft w:val="0"/>
      <w:marRight w:val="0"/>
      <w:marTop w:val="180"/>
      <w:marBottom w:val="180"/>
      <w:divBdr>
        <w:top w:val="none" w:sz="0" w:space="0" w:color="auto"/>
        <w:left w:val="none" w:sz="0" w:space="0" w:color="auto"/>
        <w:bottom w:val="none" w:sz="0" w:space="0" w:color="auto"/>
        <w:right w:val="none" w:sz="0" w:space="0" w:color="auto"/>
      </w:divBdr>
    </w:div>
    <w:div w:id="862015265">
      <w:marLeft w:val="0"/>
      <w:marRight w:val="0"/>
      <w:marTop w:val="180"/>
      <w:marBottom w:val="180"/>
      <w:divBdr>
        <w:top w:val="none" w:sz="0" w:space="0" w:color="auto"/>
        <w:left w:val="none" w:sz="0" w:space="0" w:color="auto"/>
        <w:bottom w:val="none" w:sz="0" w:space="0" w:color="auto"/>
        <w:right w:val="none" w:sz="0" w:space="0" w:color="auto"/>
      </w:divBdr>
    </w:div>
    <w:div w:id="866329885">
      <w:marLeft w:val="0"/>
      <w:marRight w:val="0"/>
      <w:marTop w:val="180"/>
      <w:marBottom w:val="180"/>
      <w:divBdr>
        <w:top w:val="none" w:sz="0" w:space="0" w:color="auto"/>
        <w:left w:val="none" w:sz="0" w:space="0" w:color="auto"/>
        <w:bottom w:val="none" w:sz="0" w:space="0" w:color="auto"/>
        <w:right w:val="none" w:sz="0" w:space="0" w:color="auto"/>
      </w:divBdr>
    </w:div>
    <w:div w:id="868686131">
      <w:marLeft w:val="0"/>
      <w:marRight w:val="0"/>
      <w:marTop w:val="60"/>
      <w:marBottom w:val="60"/>
      <w:divBdr>
        <w:top w:val="none" w:sz="0" w:space="0" w:color="auto"/>
        <w:left w:val="none" w:sz="0" w:space="0" w:color="auto"/>
        <w:bottom w:val="none" w:sz="0" w:space="0" w:color="auto"/>
        <w:right w:val="none" w:sz="0" w:space="0" w:color="auto"/>
      </w:divBdr>
    </w:div>
    <w:div w:id="871844597">
      <w:marLeft w:val="0"/>
      <w:marRight w:val="0"/>
      <w:marTop w:val="100"/>
      <w:marBottom w:val="100"/>
      <w:divBdr>
        <w:top w:val="none" w:sz="0" w:space="0" w:color="auto"/>
        <w:left w:val="none" w:sz="0" w:space="0" w:color="auto"/>
        <w:bottom w:val="none" w:sz="0" w:space="0" w:color="auto"/>
        <w:right w:val="none" w:sz="0" w:space="0" w:color="auto"/>
      </w:divBdr>
    </w:div>
    <w:div w:id="874847036">
      <w:marLeft w:val="0"/>
      <w:marRight w:val="0"/>
      <w:marTop w:val="60"/>
      <w:marBottom w:val="60"/>
      <w:divBdr>
        <w:top w:val="none" w:sz="0" w:space="0" w:color="auto"/>
        <w:left w:val="none" w:sz="0" w:space="0" w:color="auto"/>
        <w:bottom w:val="none" w:sz="0" w:space="0" w:color="auto"/>
        <w:right w:val="none" w:sz="0" w:space="0" w:color="auto"/>
      </w:divBdr>
    </w:div>
    <w:div w:id="875041315">
      <w:marLeft w:val="0"/>
      <w:marRight w:val="0"/>
      <w:marTop w:val="180"/>
      <w:marBottom w:val="180"/>
      <w:divBdr>
        <w:top w:val="none" w:sz="0" w:space="0" w:color="auto"/>
        <w:left w:val="none" w:sz="0" w:space="0" w:color="auto"/>
        <w:bottom w:val="none" w:sz="0" w:space="0" w:color="auto"/>
        <w:right w:val="none" w:sz="0" w:space="0" w:color="auto"/>
      </w:divBdr>
    </w:div>
    <w:div w:id="875774884">
      <w:marLeft w:val="0"/>
      <w:marRight w:val="0"/>
      <w:marTop w:val="220"/>
      <w:marBottom w:val="180"/>
      <w:divBdr>
        <w:top w:val="none" w:sz="0" w:space="0" w:color="auto"/>
        <w:left w:val="none" w:sz="0" w:space="0" w:color="auto"/>
        <w:bottom w:val="none" w:sz="0" w:space="0" w:color="auto"/>
        <w:right w:val="none" w:sz="0" w:space="0" w:color="auto"/>
      </w:divBdr>
    </w:div>
    <w:div w:id="875973765">
      <w:marLeft w:val="0"/>
      <w:marRight w:val="0"/>
      <w:marTop w:val="180"/>
      <w:marBottom w:val="180"/>
      <w:divBdr>
        <w:top w:val="none" w:sz="0" w:space="0" w:color="auto"/>
        <w:left w:val="none" w:sz="0" w:space="0" w:color="auto"/>
        <w:bottom w:val="none" w:sz="0" w:space="0" w:color="auto"/>
        <w:right w:val="none" w:sz="0" w:space="0" w:color="auto"/>
      </w:divBdr>
    </w:div>
    <w:div w:id="876695428">
      <w:marLeft w:val="0"/>
      <w:marRight w:val="0"/>
      <w:marTop w:val="0"/>
      <w:marBottom w:val="0"/>
      <w:divBdr>
        <w:top w:val="none" w:sz="0" w:space="0" w:color="auto"/>
        <w:left w:val="none" w:sz="0" w:space="0" w:color="auto"/>
        <w:bottom w:val="none" w:sz="0" w:space="0" w:color="auto"/>
        <w:right w:val="none" w:sz="0" w:space="0" w:color="auto"/>
      </w:divBdr>
      <w:divsChild>
        <w:div w:id="444161242">
          <w:marLeft w:val="0"/>
          <w:marRight w:val="0"/>
          <w:marTop w:val="0"/>
          <w:marBottom w:val="0"/>
          <w:divBdr>
            <w:top w:val="none" w:sz="0" w:space="0" w:color="auto"/>
            <w:left w:val="none" w:sz="0" w:space="0" w:color="auto"/>
            <w:bottom w:val="none" w:sz="0" w:space="0" w:color="auto"/>
            <w:right w:val="none" w:sz="0" w:space="0" w:color="auto"/>
          </w:divBdr>
          <w:divsChild>
            <w:div w:id="10708091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7087455">
      <w:marLeft w:val="0"/>
      <w:marRight w:val="0"/>
      <w:marTop w:val="180"/>
      <w:marBottom w:val="180"/>
      <w:divBdr>
        <w:top w:val="none" w:sz="0" w:space="0" w:color="auto"/>
        <w:left w:val="none" w:sz="0" w:space="0" w:color="auto"/>
        <w:bottom w:val="none" w:sz="0" w:space="0" w:color="auto"/>
        <w:right w:val="none" w:sz="0" w:space="0" w:color="auto"/>
      </w:divBdr>
    </w:div>
    <w:div w:id="877550074">
      <w:marLeft w:val="0"/>
      <w:marRight w:val="0"/>
      <w:marTop w:val="180"/>
      <w:marBottom w:val="180"/>
      <w:divBdr>
        <w:top w:val="none" w:sz="0" w:space="0" w:color="auto"/>
        <w:left w:val="none" w:sz="0" w:space="0" w:color="auto"/>
        <w:bottom w:val="none" w:sz="0" w:space="0" w:color="auto"/>
        <w:right w:val="none" w:sz="0" w:space="0" w:color="auto"/>
      </w:divBdr>
    </w:div>
    <w:div w:id="878005386">
      <w:marLeft w:val="0"/>
      <w:marRight w:val="0"/>
      <w:marTop w:val="180"/>
      <w:marBottom w:val="180"/>
      <w:divBdr>
        <w:top w:val="none" w:sz="0" w:space="0" w:color="auto"/>
        <w:left w:val="none" w:sz="0" w:space="0" w:color="auto"/>
        <w:bottom w:val="none" w:sz="0" w:space="0" w:color="auto"/>
        <w:right w:val="none" w:sz="0" w:space="0" w:color="auto"/>
      </w:divBdr>
    </w:div>
    <w:div w:id="878394333">
      <w:marLeft w:val="0"/>
      <w:marRight w:val="0"/>
      <w:marTop w:val="180"/>
      <w:marBottom w:val="180"/>
      <w:divBdr>
        <w:top w:val="none" w:sz="0" w:space="0" w:color="auto"/>
        <w:left w:val="none" w:sz="0" w:space="0" w:color="auto"/>
        <w:bottom w:val="none" w:sz="0" w:space="0" w:color="auto"/>
        <w:right w:val="none" w:sz="0" w:space="0" w:color="auto"/>
      </w:divBdr>
    </w:div>
    <w:div w:id="879316096">
      <w:marLeft w:val="0"/>
      <w:marRight w:val="0"/>
      <w:marTop w:val="0"/>
      <w:marBottom w:val="0"/>
      <w:divBdr>
        <w:top w:val="none" w:sz="0" w:space="0" w:color="auto"/>
        <w:left w:val="none" w:sz="0" w:space="0" w:color="auto"/>
        <w:bottom w:val="none" w:sz="0" w:space="0" w:color="auto"/>
        <w:right w:val="none" w:sz="0" w:space="0" w:color="auto"/>
      </w:divBdr>
      <w:divsChild>
        <w:div w:id="1269192925">
          <w:marLeft w:val="0"/>
          <w:marRight w:val="0"/>
          <w:marTop w:val="180"/>
          <w:marBottom w:val="180"/>
          <w:divBdr>
            <w:top w:val="none" w:sz="0" w:space="0" w:color="auto"/>
            <w:left w:val="none" w:sz="0" w:space="0" w:color="auto"/>
            <w:bottom w:val="none" w:sz="0" w:space="0" w:color="auto"/>
            <w:right w:val="none" w:sz="0" w:space="0" w:color="auto"/>
          </w:divBdr>
        </w:div>
      </w:divsChild>
    </w:div>
    <w:div w:id="880479474">
      <w:marLeft w:val="0"/>
      <w:marRight w:val="0"/>
      <w:marTop w:val="180"/>
      <w:marBottom w:val="180"/>
      <w:divBdr>
        <w:top w:val="none" w:sz="0" w:space="0" w:color="auto"/>
        <w:left w:val="none" w:sz="0" w:space="0" w:color="auto"/>
        <w:bottom w:val="none" w:sz="0" w:space="0" w:color="auto"/>
        <w:right w:val="none" w:sz="0" w:space="0" w:color="auto"/>
      </w:divBdr>
    </w:div>
    <w:div w:id="882328145">
      <w:marLeft w:val="0"/>
      <w:marRight w:val="0"/>
      <w:marTop w:val="100"/>
      <w:marBottom w:val="180"/>
      <w:divBdr>
        <w:top w:val="none" w:sz="0" w:space="0" w:color="auto"/>
        <w:left w:val="none" w:sz="0" w:space="0" w:color="auto"/>
        <w:bottom w:val="none" w:sz="0" w:space="0" w:color="auto"/>
        <w:right w:val="none" w:sz="0" w:space="0" w:color="auto"/>
      </w:divBdr>
    </w:div>
    <w:div w:id="885139881">
      <w:marLeft w:val="0"/>
      <w:marRight w:val="0"/>
      <w:marTop w:val="60"/>
      <w:marBottom w:val="60"/>
      <w:divBdr>
        <w:top w:val="none" w:sz="0" w:space="0" w:color="auto"/>
        <w:left w:val="none" w:sz="0" w:space="0" w:color="auto"/>
        <w:bottom w:val="none" w:sz="0" w:space="0" w:color="auto"/>
        <w:right w:val="none" w:sz="0" w:space="0" w:color="auto"/>
      </w:divBdr>
    </w:div>
    <w:div w:id="885797605">
      <w:marLeft w:val="0"/>
      <w:marRight w:val="0"/>
      <w:marTop w:val="180"/>
      <w:marBottom w:val="360"/>
      <w:divBdr>
        <w:top w:val="none" w:sz="0" w:space="0" w:color="auto"/>
        <w:left w:val="none" w:sz="0" w:space="0" w:color="auto"/>
        <w:bottom w:val="none" w:sz="0" w:space="0" w:color="auto"/>
        <w:right w:val="none" w:sz="0" w:space="0" w:color="auto"/>
      </w:divBdr>
    </w:div>
    <w:div w:id="885869704">
      <w:marLeft w:val="0"/>
      <w:marRight w:val="0"/>
      <w:marTop w:val="180"/>
      <w:marBottom w:val="180"/>
      <w:divBdr>
        <w:top w:val="none" w:sz="0" w:space="0" w:color="auto"/>
        <w:left w:val="none" w:sz="0" w:space="0" w:color="auto"/>
        <w:bottom w:val="none" w:sz="0" w:space="0" w:color="auto"/>
        <w:right w:val="none" w:sz="0" w:space="0" w:color="auto"/>
      </w:divBdr>
    </w:div>
    <w:div w:id="887299860">
      <w:marLeft w:val="0"/>
      <w:marRight w:val="0"/>
      <w:marTop w:val="0"/>
      <w:marBottom w:val="0"/>
      <w:divBdr>
        <w:top w:val="none" w:sz="0" w:space="0" w:color="auto"/>
        <w:left w:val="none" w:sz="0" w:space="0" w:color="auto"/>
        <w:bottom w:val="none" w:sz="0" w:space="0" w:color="auto"/>
        <w:right w:val="none" w:sz="0" w:space="0" w:color="auto"/>
      </w:divBdr>
      <w:divsChild>
        <w:div w:id="132186951">
          <w:marLeft w:val="0"/>
          <w:marRight w:val="0"/>
          <w:marTop w:val="0"/>
          <w:marBottom w:val="0"/>
          <w:divBdr>
            <w:top w:val="none" w:sz="0" w:space="0" w:color="auto"/>
            <w:left w:val="none" w:sz="0" w:space="0" w:color="auto"/>
            <w:bottom w:val="none" w:sz="0" w:space="0" w:color="auto"/>
            <w:right w:val="none" w:sz="0" w:space="0" w:color="auto"/>
          </w:divBdr>
          <w:divsChild>
            <w:div w:id="2251487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7840484">
      <w:marLeft w:val="0"/>
      <w:marRight w:val="0"/>
      <w:marTop w:val="60"/>
      <w:marBottom w:val="60"/>
      <w:divBdr>
        <w:top w:val="none" w:sz="0" w:space="0" w:color="auto"/>
        <w:left w:val="none" w:sz="0" w:space="0" w:color="auto"/>
        <w:bottom w:val="none" w:sz="0" w:space="0" w:color="auto"/>
        <w:right w:val="none" w:sz="0" w:space="0" w:color="auto"/>
      </w:divBdr>
    </w:div>
    <w:div w:id="888567092">
      <w:marLeft w:val="0"/>
      <w:marRight w:val="0"/>
      <w:marTop w:val="180"/>
      <w:marBottom w:val="180"/>
      <w:divBdr>
        <w:top w:val="none" w:sz="0" w:space="0" w:color="auto"/>
        <w:left w:val="none" w:sz="0" w:space="0" w:color="auto"/>
        <w:bottom w:val="none" w:sz="0" w:space="0" w:color="auto"/>
        <w:right w:val="none" w:sz="0" w:space="0" w:color="auto"/>
      </w:divBdr>
    </w:div>
    <w:div w:id="889153796">
      <w:marLeft w:val="0"/>
      <w:marRight w:val="0"/>
      <w:marTop w:val="180"/>
      <w:marBottom w:val="60"/>
      <w:divBdr>
        <w:top w:val="none" w:sz="0" w:space="0" w:color="auto"/>
        <w:left w:val="none" w:sz="0" w:space="0" w:color="auto"/>
        <w:bottom w:val="none" w:sz="0" w:space="0" w:color="auto"/>
        <w:right w:val="none" w:sz="0" w:space="0" w:color="auto"/>
      </w:divBdr>
    </w:div>
    <w:div w:id="890265221">
      <w:marLeft w:val="0"/>
      <w:marRight w:val="0"/>
      <w:marTop w:val="180"/>
      <w:marBottom w:val="180"/>
      <w:divBdr>
        <w:top w:val="none" w:sz="0" w:space="0" w:color="auto"/>
        <w:left w:val="none" w:sz="0" w:space="0" w:color="auto"/>
        <w:bottom w:val="none" w:sz="0" w:space="0" w:color="auto"/>
        <w:right w:val="none" w:sz="0" w:space="0" w:color="auto"/>
      </w:divBdr>
    </w:div>
    <w:div w:id="891159542">
      <w:marLeft w:val="0"/>
      <w:marRight w:val="0"/>
      <w:marTop w:val="180"/>
      <w:marBottom w:val="180"/>
      <w:divBdr>
        <w:top w:val="none" w:sz="0" w:space="0" w:color="auto"/>
        <w:left w:val="none" w:sz="0" w:space="0" w:color="auto"/>
        <w:bottom w:val="none" w:sz="0" w:space="0" w:color="auto"/>
        <w:right w:val="none" w:sz="0" w:space="0" w:color="auto"/>
      </w:divBdr>
    </w:div>
    <w:div w:id="892426133">
      <w:marLeft w:val="0"/>
      <w:marRight w:val="0"/>
      <w:marTop w:val="180"/>
      <w:marBottom w:val="60"/>
      <w:divBdr>
        <w:top w:val="none" w:sz="0" w:space="0" w:color="auto"/>
        <w:left w:val="none" w:sz="0" w:space="0" w:color="auto"/>
        <w:bottom w:val="none" w:sz="0" w:space="0" w:color="auto"/>
        <w:right w:val="none" w:sz="0" w:space="0" w:color="auto"/>
      </w:divBdr>
    </w:div>
    <w:div w:id="892619061">
      <w:marLeft w:val="0"/>
      <w:marRight w:val="0"/>
      <w:marTop w:val="180"/>
      <w:marBottom w:val="180"/>
      <w:divBdr>
        <w:top w:val="none" w:sz="0" w:space="0" w:color="auto"/>
        <w:left w:val="none" w:sz="0" w:space="0" w:color="auto"/>
        <w:bottom w:val="none" w:sz="0" w:space="0" w:color="auto"/>
        <w:right w:val="none" w:sz="0" w:space="0" w:color="auto"/>
      </w:divBdr>
    </w:div>
    <w:div w:id="894506159">
      <w:marLeft w:val="0"/>
      <w:marRight w:val="0"/>
      <w:marTop w:val="180"/>
      <w:marBottom w:val="180"/>
      <w:divBdr>
        <w:top w:val="none" w:sz="0" w:space="0" w:color="auto"/>
        <w:left w:val="none" w:sz="0" w:space="0" w:color="auto"/>
        <w:bottom w:val="none" w:sz="0" w:space="0" w:color="auto"/>
        <w:right w:val="none" w:sz="0" w:space="0" w:color="auto"/>
      </w:divBdr>
    </w:div>
    <w:div w:id="894896785">
      <w:marLeft w:val="0"/>
      <w:marRight w:val="0"/>
      <w:marTop w:val="180"/>
      <w:marBottom w:val="180"/>
      <w:divBdr>
        <w:top w:val="none" w:sz="0" w:space="0" w:color="auto"/>
        <w:left w:val="none" w:sz="0" w:space="0" w:color="auto"/>
        <w:bottom w:val="none" w:sz="0" w:space="0" w:color="auto"/>
        <w:right w:val="none" w:sz="0" w:space="0" w:color="auto"/>
      </w:divBdr>
    </w:div>
    <w:div w:id="898440777">
      <w:marLeft w:val="0"/>
      <w:marRight w:val="0"/>
      <w:marTop w:val="180"/>
      <w:marBottom w:val="180"/>
      <w:divBdr>
        <w:top w:val="none" w:sz="0" w:space="0" w:color="auto"/>
        <w:left w:val="none" w:sz="0" w:space="0" w:color="auto"/>
        <w:bottom w:val="none" w:sz="0" w:space="0" w:color="auto"/>
        <w:right w:val="none" w:sz="0" w:space="0" w:color="auto"/>
      </w:divBdr>
    </w:div>
    <w:div w:id="898636363">
      <w:marLeft w:val="0"/>
      <w:marRight w:val="0"/>
      <w:marTop w:val="0"/>
      <w:marBottom w:val="0"/>
      <w:divBdr>
        <w:top w:val="none" w:sz="0" w:space="0" w:color="auto"/>
        <w:left w:val="none" w:sz="0" w:space="0" w:color="auto"/>
        <w:bottom w:val="none" w:sz="0" w:space="0" w:color="auto"/>
        <w:right w:val="none" w:sz="0" w:space="0" w:color="auto"/>
      </w:divBdr>
      <w:divsChild>
        <w:div w:id="2065131692">
          <w:marLeft w:val="0"/>
          <w:marRight w:val="0"/>
          <w:marTop w:val="0"/>
          <w:marBottom w:val="0"/>
          <w:divBdr>
            <w:top w:val="none" w:sz="0" w:space="0" w:color="auto"/>
            <w:left w:val="none" w:sz="0" w:space="0" w:color="auto"/>
            <w:bottom w:val="none" w:sz="0" w:space="0" w:color="auto"/>
            <w:right w:val="none" w:sz="0" w:space="0" w:color="auto"/>
          </w:divBdr>
          <w:divsChild>
            <w:div w:id="4652448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0015989">
      <w:marLeft w:val="0"/>
      <w:marRight w:val="0"/>
      <w:marTop w:val="180"/>
      <w:marBottom w:val="180"/>
      <w:divBdr>
        <w:top w:val="none" w:sz="0" w:space="0" w:color="auto"/>
        <w:left w:val="none" w:sz="0" w:space="0" w:color="auto"/>
        <w:bottom w:val="none" w:sz="0" w:space="0" w:color="auto"/>
        <w:right w:val="none" w:sz="0" w:space="0" w:color="auto"/>
      </w:divBdr>
    </w:div>
    <w:div w:id="902788764">
      <w:marLeft w:val="0"/>
      <w:marRight w:val="0"/>
      <w:marTop w:val="180"/>
      <w:marBottom w:val="180"/>
      <w:divBdr>
        <w:top w:val="none" w:sz="0" w:space="0" w:color="auto"/>
        <w:left w:val="none" w:sz="0" w:space="0" w:color="auto"/>
        <w:bottom w:val="none" w:sz="0" w:space="0" w:color="auto"/>
        <w:right w:val="none" w:sz="0" w:space="0" w:color="auto"/>
      </w:divBdr>
    </w:div>
    <w:div w:id="904994196">
      <w:marLeft w:val="0"/>
      <w:marRight w:val="0"/>
      <w:marTop w:val="180"/>
      <w:marBottom w:val="180"/>
      <w:divBdr>
        <w:top w:val="none" w:sz="0" w:space="0" w:color="auto"/>
        <w:left w:val="none" w:sz="0" w:space="0" w:color="auto"/>
        <w:bottom w:val="none" w:sz="0" w:space="0" w:color="auto"/>
        <w:right w:val="none" w:sz="0" w:space="0" w:color="auto"/>
      </w:divBdr>
    </w:div>
    <w:div w:id="908996429">
      <w:marLeft w:val="0"/>
      <w:marRight w:val="0"/>
      <w:marTop w:val="180"/>
      <w:marBottom w:val="180"/>
      <w:divBdr>
        <w:top w:val="none" w:sz="0" w:space="0" w:color="auto"/>
        <w:left w:val="none" w:sz="0" w:space="0" w:color="auto"/>
        <w:bottom w:val="none" w:sz="0" w:space="0" w:color="auto"/>
        <w:right w:val="none" w:sz="0" w:space="0" w:color="auto"/>
      </w:divBdr>
    </w:div>
    <w:div w:id="912155334">
      <w:marLeft w:val="0"/>
      <w:marRight w:val="0"/>
      <w:marTop w:val="60"/>
      <w:marBottom w:val="60"/>
      <w:divBdr>
        <w:top w:val="none" w:sz="0" w:space="0" w:color="auto"/>
        <w:left w:val="none" w:sz="0" w:space="0" w:color="auto"/>
        <w:bottom w:val="none" w:sz="0" w:space="0" w:color="auto"/>
        <w:right w:val="none" w:sz="0" w:space="0" w:color="auto"/>
      </w:divBdr>
    </w:div>
    <w:div w:id="913008311">
      <w:marLeft w:val="0"/>
      <w:marRight w:val="0"/>
      <w:marTop w:val="180"/>
      <w:marBottom w:val="180"/>
      <w:divBdr>
        <w:top w:val="none" w:sz="0" w:space="0" w:color="auto"/>
        <w:left w:val="none" w:sz="0" w:space="0" w:color="auto"/>
        <w:bottom w:val="none" w:sz="0" w:space="0" w:color="auto"/>
        <w:right w:val="none" w:sz="0" w:space="0" w:color="auto"/>
      </w:divBdr>
    </w:div>
    <w:div w:id="914781571">
      <w:marLeft w:val="0"/>
      <w:marRight w:val="0"/>
      <w:marTop w:val="0"/>
      <w:marBottom w:val="0"/>
      <w:divBdr>
        <w:top w:val="none" w:sz="0" w:space="0" w:color="auto"/>
        <w:left w:val="none" w:sz="0" w:space="0" w:color="auto"/>
        <w:bottom w:val="none" w:sz="0" w:space="0" w:color="auto"/>
        <w:right w:val="none" w:sz="0" w:space="0" w:color="auto"/>
      </w:divBdr>
    </w:div>
    <w:div w:id="915361937">
      <w:marLeft w:val="0"/>
      <w:marRight w:val="0"/>
      <w:marTop w:val="180"/>
      <w:marBottom w:val="180"/>
      <w:divBdr>
        <w:top w:val="none" w:sz="0" w:space="0" w:color="auto"/>
        <w:left w:val="none" w:sz="0" w:space="0" w:color="auto"/>
        <w:bottom w:val="none" w:sz="0" w:space="0" w:color="auto"/>
        <w:right w:val="none" w:sz="0" w:space="0" w:color="auto"/>
      </w:divBdr>
    </w:div>
    <w:div w:id="915673503">
      <w:marLeft w:val="0"/>
      <w:marRight w:val="0"/>
      <w:marTop w:val="0"/>
      <w:marBottom w:val="0"/>
      <w:divBdr>
        <w:top w:val="none" w:sz="0" w:space="0" w:color="auto"/>
        <w:left w:val="none" w:sz="0" w:space="0" w:color="auto"/>
        <w:bottom w:val="none" w:sz="0" w:space="0" w:color="auto"/>
        <w:right w:val="none" w:sz="0" w:space="0" w:color="auto"/>
      </w:divBdr>
      <w:divsChild>
        <w:div w:id="430707384">
          <w:marLeft w:val="0"/>
          <w:marRight w:val="0"/>
          <w:marTop w:val="180"/>
          <w:marBottom w:val="180"/>
          <w:divBdr>
            <w:top w:val="none" w:sz="0" w:space="0" w:color="auto"/>
            <w:left w:val="none" w:sz="0" w:space="0" w:color="auto"/>
            <w:bottom w:val="none" w:sz="0" w:space="0" w:color="auto"/>
            <w:right w:val="none" w:sz="0" w:space="0" w:color="auto"/>
          </w:divBdr>
        </w:div>
      </w:divsChild>
    </w:div>
    <w:div w:id="917133611">
      <w:marLeft w:val="0"/>
      <w:marRight w:val="0"/>
      <w:marTop w:val="180"/>
      <w:marBottom w:val="180"/>
      <w:divBdr>
        <w:top w:val="none" w:sz="0" w:space="0" w:color="auto"/>
        <w:left w:val="none" w:sz="0" w:space="0" w:color="auto"/>
        <w:bottom w:val="none" w:sz="0" w:space="0" w:color="auto"/>
        <w:right w:val="none" w:sz="0" w:space="0" w:color="auto"/>
      </w:divBdr>
    </w:div>
    <w:div w:id="917863724">
      <w:marLeft w:val="0"/>
      <w:marRight w:val="0"/>
      <w:marTop w:val="180"/>
      <w:marBottom w:val="180"/>
      <w:divBdr>
        <w:top w:val="none" w:sz="0" w:space="0" w:color="auto"/>
        <w:left w:val="none" w:sz="0" w:space="0" w:color="auto"/>
        <w:bottom w:val="none" w:sz="0" w:space="0" w:color="auto"/>
        <w:right w:val="none" w:sz="0" w:space="0" w:color="auto"/>
      </w:divBdr>
    </w:div>
    <w:div w:id="918293893">
      <w:marLeft w:val="0"/>
      <w:marRight w:val="0"/>
      <w:marTop w:val="180"/>
      <w:marBottom w:val="180"/>
      <w:divBdr>
        <w:top w:val="none" w:sz="0" w:space="0" w:color="auto"/>
        <w:left w:val="none" w:sz="0" w:space="0" w:color="auto"/>
        <w:bottom w:val="none" w:sz="0" w:space="0" w:color="auto"/>
        <w:right w:val="none" w:sz="0" w:space="0" w:color="auto"/>
      </w:divBdr>
    </w:div>
    <w:div w:id="918638010">
      <w:marLeft w:val="0"/>
      <w:marRight w:val="0"/>
      <w:marTop w:val="180"/>
      <w:marBottom w:val="180"/>
      <w:divBdr>
        <w:top w:val="none" w:sz="0" w:space="0" w:color="auto"/>
        <w:left w:val="none" w:sz="0" w:space="0" w:color="auto"/>
        <w:bottom w:val="none" w:sz="0" w:space="0" w:color="auto"/>
        <w:right w:val="none" w:sz="0" w:space="0" w:color="auto"/>
      </w:divBdr>
    </w:div>
    <w:div w:id="926232043">
      <w:marLeft w:val="0"/>
      <w:marRight w:val="0"/>
      <w:marTop w:val="180"/>
      <w:marBottom w:val="180"/>
      <w:divBdr>
        <w:top w:val="none" w:sz="0" w:space="0" w:color="auto"/>
        <w:left w:val="none" w:sz="0" w:space="0" w:color="auto"/>
        <w:bottom w:val="none" w:sz="0" w:space="0" w:color="auto"/>
        <w:right w:val="none" w:sz="0" w:space="0" w:color="auto"/>
      </w:divBdr>
    </w:div>
    <w:div w:id="926498571">
      <w:marLeft w:val="0"/>
      <w:marRight w:val="0"/>
      <w:marTop w:val="60"/>
      <w:marBottom w:val="60"/>
      <w:divBdr>
        <w:top w:val="none" w:sz="0" w:space="0" w:color="auto"/>
        <w:left w:val="none" w:sz="0" w:space="0" w:color="auto"/>
        <w:bottom w:val="none" w:sz="0" w:space="0" w:color="auto"/>
        <w:right w:val="none" w:sz="0" w:space="0" w:color="auto"/>
      </w:divBdr>
    </w:div>
    <w:div w:id="928930211">
      <w:marLeft w:val="0"/>
      <w:marRight w:val="0"/>
      <w:marTop w:val="180"/>
      <w:marBottom w:val="100"/>
      <w:divBdr>
        <w:top w:val="none" w:sz="0" w:space="0" w:color="auto"/>
        <w:left w:val="none" w:sz="0" w:space="0" w:color="auto"/>
        <w:bottom w:val="none" w:sz="0" w:space="0" w:color="auto"/>
        <w:right w:val="none" w:sz="0" w:space="0" w:color="auto"/>
      </w:divBdr>
      <w:divsChild>
        <w:div w:id="1247500515">
          <w:marLeft w:val="0"/>
          <w:marRight w:val="0"/>
          <w:marTop w:val="0"/>
          <w:marBottom w:val="0"/>
          <w:divBdr>
            <w:top w:val="none" w:sz="0" w:space="0" w:color="auto"/>
            <w:left w:val="none" w:sz="0" w:space="0" w:color="auto"/>
            <w:bottom w:val="none" w:sz="0" w:space="0" w:color="auto"/>
            <w:right w:val="none" w:sz="0" w:space="0" w:color="auto"/>
          </w:divBdr>
        </w:div>
        <w:div w:id="683241296">
          <w:marLeft w:val="0"/>
          <w:marRight w:val="0"/>
          <w:marTop w:val="0"/>
          <w:marBottom w:val="0"/>
          <w:divBdr>
            <w:top w:val="none" w:sz="0" w:space="0" w:color="auto"/>
            <w:left w:val="none" w:sz="0" w:space="0" w:color="auto"/>
            <w:bottom w:val="none" w:sz="0" w:space="0" w:color="auto"/>
            <w:right w:val="none" w:sz="0" w:space="0" w:color="auto"/>
          </w:divBdr>
        </w:div>
        <w:div w:id="2035882217">
          <w:marLeft w:val="0"/>
          <w:marRight w:val="0"/>
          <w:marTop w:val="0"/>
          <w:marBottom w:val="0"/>
          <w:divBdr>
            <w:top w:val="none" w:sz="0" w:space="0" w:color="auto"/>
            <w:left w:val="none" w:sz="0" w:space="0" w:color="auto"/>
            <w:bottom w:val="none" w:sz="0" w:space="0" w:color="auto"/>
            <w:right w:val="none" w:sz="0" w:space="0" w:color="auto"/>
          </w:divBdr>
        </w:div>
        <w:div w:id="1155801542">
          <w:marLeft w:val="0"/>
          <w:marRight w:val="0"/>
          <w:marTop w:val="0"/>
          <w:marBottom w:val="0"/>
          <w:divBdr>
            <w:top w:val="none" w:sz="0" w:space="0" w:color="auto"/>
            <w:left w:val="none" w:sz="0" w:space="0" w:color="auto"/>
            <w:bottom w:val="none" w:sz="0" w:space="0" w:color="auto"/>
            <w:right w:val="none" w:sz="0" w:space="0" w:color="auto"/>
          </w:divBdr>
        </w:div>
        <w:div w:id="841042005">
          <w:marLeft w:val="0"/>
          <w:marRight w:val="0"/>
          <w:marTop w:val="0"/>
          <w:marBottom w:val="0"/>
          <w:divBdr>
            <w:top w:val="none" w:sz="0" w:space="0" w:color="auto"/>
            <w:left w:val="none" w:sz="0" w:space="0" w:color="auto"/>
            <w:bottom w:val="none" w:sz="0" w:space="0" w:color="auto"/>
            <w:right w:val="none" w:sz="0" w:space="0" w:color="auto"/>
          </w:divBdr>
        </w:div>
        <w:div w:id="245574527">
          <w:marLeft w:val="0"/>
          <w:marRight w:val="0"/>
          <w:marTop w:val="0"/>
          <w:marBottom w:val="0"/>
          <w:divBdr>
            <w:top w:val="none" w:sz="0" w:space="0" w:color="auto"/>
            <w:left w:val="none" w:sz="0" w:space="0" w:color="auto"/>
            <w:bottom w:val="none" w:sz="0" w:space="0" w:color="auto"/>
            <w:right w:val="none" w:sz="0" w:space="0" w:color="auto"/>
          </w:divBdr>
        </w:div>
        <w:div w:id="1203834185">
          <w:marLeft w:val="0"/>
          <w:marRight w:val="0"/>
          <w:marTop w:val="0"/>
          <w:marBottom w:val="0"/>
          <w:divBdr>
            <w:top w:val="none" w:sz="0" w:space="0" w:color="auto"/>
            <w:left w:val="none" w:sz="0" w:space="0" w:color="auto"/>
            <w:bottom w:val="none" w:sz="0" w:space="0" w:color="auto"/>
            <w:right w:val="none" w:sz="0" w:space="0" w:color="auto"/>
          </w:divBdr>
        </w:div>
        <w:div w:id="931357497">
          <w:marLeft w:val="0"/>
          <w:marRight w:val="0"/>
          <w:marTop w:val="0"/>
          <w:marBottom w:val="0"/>
          <w:divBdr>
            <w:top w:val="none" w:sz="0" w:space="0" w:color="auto"/>
            <w:left w:val="none" w:sz="0" w:space="0" w:color="auto"/>
            <w:bottom w:val="none" w:sz="0" w:space="0" w:color="auto"/>
            <w:right w:val="none" w:sz="0" w:space="0" w:color="auto"/>
          </w:divBdr>
        </w:div>
      </w:divsChild>
    </w:div>
    <w:div w:id="929628673">
      <w:marLeft w:val="0"/>
      <w:marRight w:val="0"/>
      <w:marTop w:val="0"/>
      <w:marBottom w:val="0"/>
      <w:divBdr>
        <w:top w:val="none" w:sz="0" w:space="0" w:color="auto"/>
        <w:left w:val="none" w:sz="0" w:space="0" w:color="auto"/>
        <w:bottom w:val="none" w:sz="0" w:space="0" w:color="auto"/>
        <w:right w:val="none" w:sz="0" w:space="0" w:color="auto"/>
      </w:divBdr>
    </w:div>
    <w:div w:id="930233442">
      <w:marLeft w:val="0"/>
      <w:marRight w:val="0"/>
      <w:marTop w:val="180"/>
      <w:marBottom w:val="60"/>
      <w:divBdr>
        <w:top w:val="none" w:sz="0" w:space="0" w:color="auto"/>
        <w:left w:val="none" w:sz="0" w:space="0" w:color="auto"/>
        <w:bottom w:val="none" w:sz="0" w:space="0" w:color="auto"/>
        <w:right w:val="none" w:sz="0" w:space="0" w:color="auto"/>
      </w:divBdr>
    </w:div>
    <w:div w:id="930897719">
      <w:marLeft w:val="0"/>
      <w:marRight w:val="0"/>
      <w:marTop w:val="180"/>
      <w:marBottom w:val="180"/>
      <w:divBdr>
        <w:top w:val="none" w:sz="0" w:space="0" w:color="auto"/>
        <w:left w:val="none" w:sz="0" w:space="0" w:color="auto"/>
        <w:bottom w:val="none" w:sz="0" w:space="0" w:color="auto"/>
        <w:right w:val="none" w:sz="0" w:space="0" w:color="auto"/>
      </w:divBdr>
    </w:div>
    <w:div w:id="941645300">
      <w:marLeft w:val="0"/>
      <w:marRight w:val="0"/>
      <w:marTop w:val="60"/>
      <w:marBottom w:val="60"/>
      <w:divBdr>
        <w:top w:val="none" w:sz="0" w:space="0" w:color="auto"/>
        <w:left w:val="none" w:sz="0" w:space="0" w:color="auto"/>
        <w:bottom w:val="none" w:sz="0" w:space="0" w:color="auto"/>
        <w:right w:val="none" w:sz="0" w:space="0" w:color="auto"/>
      </w:divBdr>
    </w:div>
    <w:div w:id="943881588">
      <w:marLeft w:val="0"/>
      <w:marRight w:val="0"/>
      <w:marTop w:val="180"/>
      <w:marBottom w:val="180"/>
      <w:divBdr>
        <w:top w:val="none" w:sz="0" w:space="0" w:color="auto"/>
        <w:left w:val="none" w:sz="0" w:space="0" w:color="auto"/>
        <w:bottom w:val="none" w:sz="0" w:space="0" w:color="auto"/>
        <w:right w:val="none" w:sz="0" w:space="0" w:color="auto"/>
      </w:divBdr>
    </w:div>
    <w:div w:id="946619446">
      <w:marLeft w:val="0"/>
      <w:marRight w:val="0"/>
      <w:marTop w:val="60"/>
      <w:marBottom w:val="0"/>
      <w:divBdr>
        <w:top w:val="none" w:sz="0" w:space="0" w:color="auto"/>
        <w:left w:val="none" w:sz="0" w:space="0" w:color="auto"/>
        <w:bottom w:val="none" w:sz="0" w:space="0" w:color="auto"/>
        <w:right w:val="none" w:sz="0" w:space="0" w:color="auto"/>
      </w:divBdr>
    </w:div>
    <w:div w:id="946891200">
      <w:marLeft w:val="0"/>
      <w:marRight w:val="0"/>
      <w:marTop w:val="180"/>
      <w:marBottom w:val="100"/>
      <w:divBdr>
        <w:top w:val="none" w:sz="0" w:space="0" w:color="auto"/>
        <w:left w:val="none" w:sz="0" w:space="0" w:color="auto"/>
        <w:bottom w:val="none" w:sz="0" w:space="0" w:color="auto"/>
        <w:right w:val="none" w:sz="0" w:space="0" w:color="auto"/>
      </w:divBdr>
      <w:divsChild>
        <w:div w:id="472143639">
          <w:marLeft w:val="0"/>
          <w:marRight w:val="0"/>
          <w:marTop w:val="180"/>
          <w:marBottom w:val="0"/>
          <w:divBdr>
            <w:top w:val="none" w:sz="0" w:space="0" w:color="auto"/>
            <w:left w:val="none" w:sz="0" w:space="0" w:color="auto"/>
            <w:bottom w:val="none" w:sz="0" w:space="0" w:color="auto"/>
            <w:right w:val="none" w:sz="0" w:space="0" w:color="auto"/>
          </w:divBdr>
        </w:div>
      </w:divsChild>
    </w:div>
    <w:div w:id="947347594">
      <w:marLeft w:val="0"/>
      <w:marRight w:val="0"/>
      <w:marTop w:val="180"/>
      <w:marBottom w:val="180"/>
      <w:divBdr>
        <w:top w:val="none" w:sz="0" w:space="0" w:color="auto"/>
        <w:left w:val="none" w:sz="0" w:space="0" w:color="auto"/>
        <w:bottom w:val="none" w:sz="0" w:space="0" w:color="auto"/>
        <w:right w:val="none" w:sz="0" w:space="0" w:color="auto"/>
      </w:divBdr>
    </w:div>
    <w:div w:id="954671959">
      <w:marLeft w:val="0"/>
      <w:marRight w:val="0"/>
      <w:marTop w:val="100"/>
      <w:marBottom w:val="100"/>
      <w:divBdr>
        <w:top w:val="none" w:sz="0" w:space="0" w:color="auto"/>
        <w:left w:val="none" w:sz="0" w:space="0" w:color="auto"/>
        <w:bottom w:val="none" w:sz="0" w:space="0" w:color="auto"/>
        <w:right w:val="none" w:sz="0" w:space="0" w:color="auto"/>
      </w:divBdr>
      <w:divsChild>
        <w:div w:id="502938496">
          <w:marLeft w:val="0"/>
          <w:marRight w:val="0"/>
          <w:marTop w:val="0"/>
          <w:marBottom w:val="0"/>
          <w:divBdr>
            <w:top w:val="none" w:sz="0" w:space="0" w:color="auto"/>
            <w:left w:val="none" w:sz="0" w:space="0" w:color="auto"/>
            <w:bottom w:val="none" w:sz="0" w:space="0" w:color="auto"/>
            <w:right w:val="none" w:sz="0" w:space="0" w:color="auto"/>
          </w:divBdr>
        </w:div>
        <w:div w:id="1060246086">
          <w:marLeft w:val="0"/>
          <w:marRight w:val="0"/>
          <w:marTop w:val="0"/>
          <w:marBottom w:val="0"/>
          <w:divBdr>
            <w:top w:val="none" w:sz="0" w:space="0" w:color="auto"/>
            <w:left w:val="none" w:sz="0" w:space="0" w:color="auto"/>
            <w:bottom w:val="none" w:sz="0" w:space="0" w:color="auto"/>
            <w:right w:val="none" w:sz="0" w:space="0" w:color="auto"/>
          </w:divBdr>
        </w:div>
      </w:divsChild>
    </w:div>
    <w:div w:id="956719873">
      <w:marLeft w:val="0"/>
      <w:marRight w:val="0"/>
      <w:marTop w:val="180"/>
      <w:marBottom w:val="180"/>
      <w:divBdr>
        <w:top w:val="none" w:sz="0" w:space="0" w:color="auto"/>
        <w:left w:val="none" w:sz="0" w:space="0" w:color="auto"/>
        <w:bottom w:val="none" w:sz="0" w:space="0" w:color="auto"/>
        <w:right w:val="none" w:sz="0" w:space="0" w:color="auto"/>
      </w:divBdr>
    </w:div>
    <w:div w:id="957948704">
      <w:marLeft w:val="0"/>
      <w:marRight w:val="0"/>
      <w:marTop w:val="60"/>
      <w:marBottom w:val="60"/>
      <w:divBdr>
        <w:top w:val="none" w:sz="0" w:space="0" w:color="auto"/>
        <w:left w:val="none" w:sz="0" w:space="0" w:color="auto"/>
        <w:bottom w:val="none" w:sz="0" w:space="0" w:color="auto"/>
        <w:right w:val="none" w:sz="0" w:space="0" w:color="auto"/>
      </w:divBdr>
    </w:div>
    <w:div w:id="958803278">
      <w:marLeft w:val="0"/>
      <w:marRight w:val="0"/>
      <w:marTop w:val="180"/>
      <w:marBottom w:val="180"/>
      <w:divBdr>
        <w:top w:val="none" w:sz="0" w:space="0" w:color="auto"/>
        <w:left w:val="none" w:sz="0" w:space="0" w:color="auto"/>
        <w:bottom w:val="none" w:sz="0" w:space="0" w:color="auto"/>
        <w:right w:val="none" w:sz="0" w:space="0" w:color="auto"/>
      </w:divBdr>
    </w:div>
    <w:div w:id="958990936">
      <w:marLeft w:val="0"/>
      <w:marRight w:val="0"/>
      <w:marTop w:val="180"/>
      <w:marBottom w:val="180"/>
      <w:divBdr>
        <w:top w:val="none" w:sz="0" w:space="0" w:color="auto"/>
        <w:left w:val="none" w:sz="0" w:space="0" w:color="auto"/>
        <w:bottom w:val="none" w:sz="0" w:space="0" w:color="auto"/>
        <w:right w:val="none" w:sz="0" w:space="0" w:color="auto"/>
      </w:divBdr>
    </w:div>
    <w:div w:id="959338304">
      <w:marLeft w:val="0"/>
      <w:marRight w:val="0"/>
      <w:marTop w:val="60"/>
      <w:marBottom w:val="60"/>
      <w:divBdr>
        <w:top w:val="none" w:sz="0" w:space="0" w:color="auto"/>
        <w:left w:val="none" w:sz="0" w:space="0" w:color="auto"/>
        <w:bottom w:val="none" w:sz="0" w:space="0" w:color="auto"/>
        <w:right w:val="none" w:sz="0" w:space="0" w:color="auto"/>
      </w:divBdr>
    </w:div>
    <w:div w:id="959728693">
      <w:marLeft w:val="0"/>
      <w:marRight w:val="0"/>
      <w:marTop w:val="180"/>
      <w:marBottom w:val="180"/>
      <w:divBdr>
        <w:top w:val="none" w:sz="0" w:space="0" w:color="auto"/>
        <w:left w:val="none" w:sz="0" w:space="0" w:color="auto"/>
        <w:bottom w:val="none" w:sz="0" w:space="0" w:color="auto"/>
        <w:right w:val="none" w:sz="0" w:space="0" w:color="auto"/>
      </w:divBdr>
    </w:div>
    <w:div w:id="960767279">
      <w:marLeft w:val="0"/>
      <w:marRight w:val="0"/>
      <w:marTop w:val="180"/>
      <w:marBottom w:val="60"/>
      <w:divBdr>
        <w:top w:val="none" w:sz="0" w:space="0" w:color="auto"/>
        <w:left w:val="none" w:sz="0" w:space="0" w:color="auto"/>
        <w:bottom w:val="none" w:sz="0" w:space="0" w:color="auto"/>
        <w:right w:val="none" w:sz="0" w:space="0" w:color="auto"/>
      </w:divBdr>
    </w:div>
    <w:div w:id="961837783">
      <w:marLeft w:val="0"/>
      <w:marRight w:val="0"/>
      <w:marTop w:val="180"/>
      <w:marBottom w:val="180"/>
      <w:divBdr>
        <w:top w:val="none" w:sz="0" w:space="0" w:color="auto"/>
        <w:left w:val="none" w:sz="0" w:space="0" w:color="auto"/>
        <w:bottom w:val="none" w:sz="0" w:space="0" w:color="auto"/>
        <w:right w:val="none" w:sz="0" w:space="0" w:color="auto"/>
      </w:divBdr>
    </w:div>
    <w:div w:id="961957534">
      <w:marLeft w:val="0"/>
      <w:marRight w:val="0"/>
      <w:marTop w:val="180"/>
      <w:marBottom w:val="180"/>
      <w:divBdr>
        <w:top w:val="none" w:sz="0" w:space="0" w:color="auto"/>
        <w:left w:val="none" w:sz="0" w:space="0" w:color="auto"/>
        <w:bottom w:val="none" w:sz="0" w:space="0" w:color="auto"/>
        <w:right w:val="none" w:sz="0" w:space="0" w:color="auto"/>
      </w:divBdr>
    </w:div>
    <w:div w:id="963734871">
      <w:marLeft w:val="0"/>
      <w:marRight w:val="0"/>
      <w:marTop w:val="60"/>
      <w:marBottom w:val="60"/>
      <w:divBdr>
        <w:top w:val="none" w:sz="0" w:space="0" w:color="auto"/>
        <w:left w:val="none" w:sz="0" w:space="0" w:color="auto"/>
        <w:bottom w:val="none" w:sz="0" w:space="0" w:color="auto"/>
        <w:right w:val="none" w:sz="0" w:space="0" w:color="auto"/>
      </w:divBdr>
    </w:div>
    <w:div w:id="964122824">
      <w:marLeft w:val="0"/>
      <w:marRight w:val="0"/>
      <w:marTop w:val="60"/>
      <w:marBottom w:val="60"/>
      <w:divBdr>
        <w:top w:val="none" w:sz="0" w:space="0" w:color="auto"/>
        <w:left w:val="none" w:sz="0" w:space="0" w:color="auto"/>
        <w:bottom w:val="none" w:sz="0" w:space="0" w:color="auto"/>
        <w:right w:val="none" w:sz="0" w:space="0" w:color="auto"/>
      </w:divBdr>
      <w:divsChild>
        <w:div w:id="776564415">
          <w:marLeft w:val="0"/>
          <w:marRight w:val="0"/>
          <w:marTop w:val="0"/>
          <w:marBottom w:val="0"/>
          <w:divBdr>
            <w:top w:val="none" w:sz="0" w:space="0" w:color="auto"/>
            <w:left w:val="none" w:sz="0" w:space="0" w:color="auto"/>
            <w:bottom w:val="none" w:sz="0" w:space="0" w:color="auto"/>
            <w:right w:val="none" w:sz="0" w:space="0" w:color="auto"/>
          </w:divBdr>
        </w:div>
      </w:divsChild>
    </w:div>
    <w:div w:id="964509592">
      <w:marLeft w:val="0"/>
      <w:marRight w:val="0"/>
      <w:marTop w:val="0"/>
      <w:marBottom w:val="0"/>
      <w:divBdr>
        <w:top w:val="none" w:sz="0" w:space="0" w:color="auto"/>
        <w:left w:val="none" w:sz="0" w:space="0" w:color="auto"/>
        <w:bottom w:val="none" w:sz="0" w:space="0" w:color="auto"/>
        <w:right w:val="none" w:sz="0" w:space="0" w:color="auto"/>
      </w:divBdr>
      <w:divsChild>
        <w:div w:id="320551404">
          <w:marLeft w:val="0"/>
          <w:marRight w:val="0"/>
          <w:marTop w:val="180"/>
          <w:marBottom w:val="180"/>
          <w:divBdr>
            <w:top w:val="none" w:sz="0" w:space="0" w:color="auto"/>
            <w:left w:val="none" w:sz="0" w:space="0" w:color="auto"/>
            <w:bottom w:val="none" w:sz="0" w:space="0" w:color="auto"/>
            <w:right w:val="none" w:sz="0" w:space="0" w:color="auto"/>
          </w:divBdr>
        </w:div>
      </w:divsChild>
    </w:div>
    <w:div w:id="966736338">
      <w:marLeft w:val="0"/>
      <w:marRight w:val="0"/>
      <w:marTop w:val="60"/>
      <w:marBottom w:val="60"/>
      <w:divBdr>
        <w:top w:val="none" w:sz="0" w:space="0" w:color="auto"/>
        <w:left w:val="none" w:sz="0" w:space="0" w:color="auto"/>
        <w:bottom w:val="none" w:sz="0" w:space="0" w:color="auto"/>
        <w:right w:val="none" w:sz="0" w:space="0" w:color="auto"/>
      </w:divBdr>
    </w:div>
    <w:div w:id="967589882">
      <w:marLeft w:val="0"/>
      <w:marRight w:val="0"/>
      <w:marTop w:val="180"/>
      <w:marBottom w:val="180"/>
      <w:divBdr>
        <w:top w:val="none" w:sz="0" w:space="0" w:color="auto"/>
        <w:left w:val="none" w:sz="0" w:space="0" w:color="auto"/>
        <w:bottom w:val="none" w:sz="0" w:space="0" w:color="auto"/>
        <w:right w:val="none" w:sz="0" w:space="0" w:color="auto"/>
      </w:divBdr>
    </w:div>
    <w:div w:id="969019167">
      <w:marLeft w:val="0"/>
      <w:marRight w:val="0"/>
      <w:marTop w:val="180"/>
      <w:marBottom w:val="180"/>
      <w:divBdr>
        <w:top w:val="none" w:sz="0" w:space="0" w:color="auto"/>
        <w:left w:val="none" w:sz="0" w:space="0" w:color="auto"/>
        <w:bottom w:val="none" w:sz="0" w:space="0" w:color="auto"/>
        <w:right w:val="none" w:sz="0" w:space="0" w:color="auto"/>
      </w:divBdr>
    </w:div>
    <w:div w:id="970867969">
      <w:marLeft w:val="0"/>
      <w:marRight w:val="0"/>
      <w:marTop w:val="180"/>
      <w:marBottom w:val="180"/>
      <w:divBdr>
        <w:top w:val="none" w:sz="0" w:space="0" w:color="auto"/>
        <w:left w:val="none" w:sz="0" w:space="0" w:color="auto"/>
        <w:bottom w:val="none" w:sz="0" w:space="0" w:color="auto"/>
        <w:right w:val="none" w:sz="0" w:space="0" w:color="auto"/>
      </w:divBdr>
    </w:div>
    <w:div w:id="972952836">
      <w:marLeft w:val="0"/>
      <w:marRight w:val="0"/>
      <w:marTop w:val="180"/>
      <w:marBottom w:val="180"/>
      <w:divBdr>
        <w:top w:val="none" w:sz="0" w:space="0" w:color="auto"/>
        <w:left w:val="none" w:sz="0" w:space="0" w:color="auto"/>
        <w:bottom w:val="none" w:sz="0" w:space="0" w:color="auto"/>
        <w:right w:val="none" w:sz="0" w:space="0" w:color="auto"/>
      </w:divBdr>
    </w:div>
    <w:div w:id="975257673">
      <w:marLeft w:val="0"/>
      <w:marRight w:val="0"/>
      <w:marTop w:val="180"/>
      <w:marBottom w:val="180"/>
      <w:divBdr>
        <w:top w:val="none" w:sz="0" w:space="0" w:color="auto"/>
        <w:left w:val="none" w:sz="0" w:space="0" w:color="auto"/>
        <w:bottom w:val="none" w:sz="0" w:space="0" w:color="auto"/>
        <w:right w:val="none" w:sz="0" w:space="0" w:color="auto"/>
      </w:divBdr>
    </w:div>
    <w:div w:id="976640717">
      <w:marLeft w:val="0"/>
      <w:marRight w:val="0"/>
      <w:marTop w:val="180"/>
      <w:marBottom w:val="180"/>
      <w:divBdr>
        <w:top w:val="none" w:sz="0" w:space="0" w:color="auto"/>
        <w:left w:val="none" w:sz="0" w:space="0" w:color="auto"/>
        <w:bottom w:val="none" w:sz="0" w:space="0" w:color="auto"/>
        <w:right w:val="none" w:sz="0" w:space="0" w:color="auto"/>
      </w:divBdr>
    </w:div>
    <w:div w:id="976882340">
      <w:marLeft w:val="0"/>
      <w:marRight w:val="0"/>
      <w:marTop w:val="180"/>
      <w:marBottom w:val="180"/>
      <w:divBdr>
        <w:top w:val="none" w:sz="0" w:space="0" w:color="auto"/>
        <w:left w:val="none" w:sz="0" w:space="0" w:color="auto"/>
        <w:bottom w:val="none" w:sz="0" w:space="0" w:color="auto"/>
        <w:right w:val="none" w:sz="0" w:space="0" w:color="auto"/>
      </w:divBdr>
    </w:div>
    <w:div w:id="978920436">
      <w:marLeft w:val="0"/>
      <w:marRight w:val="0"/>
      <w:marTop w:val="60"/>
      <w:marBottom w:val="60"/>
      <w:divBdr>
        <w:top w:val="none" w:sz="0" w:space="0" w:color="auto"/>
        <w:left w:val="none" w:sz="0" w:space="0" w:color="auto"/>
        <w:bottom w:val="none" w:sz="0" w:space="0" w:color="auto"/>
        <w:right w:val="none" w:sz="0" w:space="0" w:color="auto"/>
      </w:divBdr>
    </w:div>
    <w:div w:id="984316385">
      <w:marLeft w:val="0"/>
      <w:marRight w:val="0"/>
      <w:marTop w:val="180"/>
      <w:marBottom w:val="180"/>
      <w:divBdr>
        <w:top w:val="none" w:sz="0" w:space="0" w:color="auto"/>
        <w:left w:val="none" w:sz="0" w:space="0" w:color="auto"/>
        <w:bottom w:val="none" w:sz="0" w:space="0" w:color="auto"/>
        <w:right w:val="none" w:sz="0" w:space="0" w:color="auto"/>
      </w:divBdr>
    </w:div>
    <w:div w:id="984356998">
      <w:marLeft w:val="0"/>
      <w:marRight w:val="0"/>
      <w:marTop w:val="60"/>
      <w:marBottom w:val="60"/>
      <w:divBdr>
        <w:top w:val="none" w:sz="0" w:space="0" w:color="auto"/>
        <w:left w:val="none" w:sz="0" w:space="0" w:color="auto"/>
        <w:bottom w:val="none" w:sz="0" w:space="0" w:color="auto"/>
        <w:right w:val="none" w:sz="0" w:space="0" w:color="auto"/>
      </w:divBdr>
    </w:div>
    <w:div w:id="984554922">
      <w:marLeft w:val="0"/>
      <w:marRight w:val="0"/>
      <w:marTop w:val="180"/>
      <w:marBottom w:val="60"/>
      <w:divBdr>
        <w:top w:val="none" w:sz="0" w:space="0" w:color="auto"/>
        <w:left w:val="none" w:sz="0" w:space="0" w:color="auto"/>
        <w:bottom w:val="none" w:sz="0" w:space="0" w:color="auto"/>
        <w:right w:val="none" w:sz="0" w:space="0" w:color="auto"/>
      </w:divBdr>
    </w:div>
    <w:div w:id="985663384">
      <w:marLeft w:val="0"/>
      <w:marRight w:val="0"/>
      <w:marTop w:val="0"/>
      <w:marBottom w:val="180"/>
      <w:divBdr>
        <w:top w:val="none" w:sz="0" w:space="0" w:color="auto"/>
        <w:left w:val="none" w:sz="0" w:space="0" w:color="auto"/>
        <w:bottom w:val="none" w:sz="0" w:space="0" w:color="auto"/>
        <w:right w:val="none" w:sz="0" w:space="0" w:color="auto"/>
      </w:divBdr>
    </w:div>
    <w:div w:id="990329271">
      <w:marLeft w:val="0"/>
      <w:marRight w:val="0"/>
      <w:marTop w:val="60"/>
      <w:marBottom w:val="60"/>
      <w:divBdr>
        <w:top w:val="none" w:sz="0" w:space="0" w:color="auto"/>
        <w:left w:val="none" w:sz="0" w:space="0" w:color="auto"/>
        <w:bottom w:val="none" w:sz="0" w:space="0" w:color="auto"/>
        <w:right w:val="none" w:sz="0" w:space="0" w:color="auto"/>
      </w:divBdr>
    </w:div>
    <w:div w:id="991443065">
      <w:marLeft w:val="0"/>
      <w:marRight w:val="0"/>
      <w:marTop w:val="180"/>
      <w:marBottom w:val="180"/>
      <w:divBdr>
        <w:top w:val="none" w:sz="0" w:space="0" w:color="auto"/>
        <w:left w:val="none" w:sz="0" w:space="0" w:color="auto"/>
        <w:bottom w:val="none" w:sz="0" w:space="0" w:color="auto"/>
        <w:right w:val="none" w:sz="0" w:space="0" w:color="auto"/>
      </w:divBdr>
    </w:div>
    <w:div w:id="991954723">
      <w:marLeft w:val="0"/>
      <w:marRight w:val="0"/>
      <w:marTop w:val="180"/>
      <w:marBottom w:val="180"/>
      <w:divBdr>
        <w:top w:val="none" w:sz="0" w:space="0" w:color="auto"/>
        <w:left w:val="none" w:sz="0" w:space="0" w:color="auto"/>
        <w:bottom w:val="none" w:sz="0" w:space="0" w:color="auto"/>
        <w:right w:val="none" w:sz="0" w:space="0" w:color="auto"/>
      </w:divBdr>
    </w:div>
    <w:div w:id="992224259">
      <w:marLeft w:val="0"/>
      <w:marRight w:val="0"/>
      <w:marTop w:val="180"/>
      <w:marBottom w:val="60"/>
      <w:divBdr>
        <w:top w:val="none" w:sz="0" w:space="0" w:color="auto"/>
        <w:left w:val="none" w:sz="0" w:space="0" w:color="auto"/>
        <w:bottom w:val="none" w:sz="0" w:space="0" w:color="auto"/>
        <w:right w:val="none" w:sz="0" w:space="0" w:color="auto"/>
      </w:divBdr>
    </w:div>
    <w:div w:id="996307348">
      <w:marLeft w:val="0"/>
      <w:marRight w:val="0"/>
      <w:marTop w:val="60"/>
      <w:marBottom w:val="60"/>
      <w:divBdr>
        <w:top w:val="none" w:sz="0" w:space="0" w:color="auto"/>
        <w:left w:val="none" w:sz="0" w:space="0" w:color="auto"/>
        <w:bottom w:val="none" w:sz="0" w:space="0" w:color="auto"/>
        <w:right w:val="none" w:sz="0" w:space="0" w:color="auto"/>
      </w:divBdr>
    </w:div>
    <w:div w:id="997031581">
      <w:marLeft w:val="0"/>
      <w:marRight w:val="0"/>
      <w:marTop w:val="0"/>
      <w:marBottom w:val="0"/>
      <w:divBdr>
        <w:top w:val="none" w:sz="0" w:space="0" w:color="auto"/>
        <w:left w:val="none" w:sz="0" w:space="0" w:color="auto"/>
        <w:bottom w:val="none" w:sz="0" w:space="0" w:color="auto"/>
        <w:right w:val="none" w:sz="0" w:space="0" w:color="auto"/>
      </w:divBdr>
    </w:div>
    <w:div w:id="998269029">
      <w:marLeft w:val="0"/>
      <w:marRight w:val="0"/>
      <w:marTop w:val="0"/>
      <w:marBottom w:val="0"/>
      <w:divBdr>
        <w:top w:val="none" w:sz="0" w:space="0" w:color="auto"/>
        <w:left w:val="none" w:sz="0" w:space="0" w:color="auto"/>
        <w:bottom w:val="none" w:sz="0" w:space="0" w:color="auto"/>
        <w:right w:val="none" w:sz="0" w:space="0" w:color="auto"/>
      </w:divBdr>
    </w:div>
    <w:div w:id="998465471">
      <w:marLeft w:val="0"/>
      <w:marRight w:val="0"/>
      <w:marTop w:val="180"/>
      <w:marBottom w:val="180"/>
      <w:divBdr>
        <w:top w:val="none" w:sz="0" w:space="0" w:color="auto"/>
        <w:left w:val="none" w:sz="0" w:space="0" w:color="auto"/>
        <w:bottom w:val="none" w:sz="0" w:space="0" w:color="auto"/>
        <w:right w:val="none" w:sz="0" w:space="0" w:color="auto"/>
      </w:divBdr>
    </w:div>
    <w:div w:id="998775354">
      <w:marLeft w:val="0"/>
      <w:marRight w:val="0"/>
      <w:marTop w:val="180"/>
      <w:marBottom w:val="180"/>
      <w:divBdr>
        <w:top w:val="none" w:sz="0" w:space="0" w:color="auto"/>
        <w:left w:val="none" w:sz="0" w:space="0" w:color="auto"/>
        <w:bottom w:val="none" w:sz="0" w:space="0" w:color="auto"/>
        <w:right w:val="none" w:sz="0" w:space="0" w:color="auto"/>
      </w:divBdr>
    </w:div>
    <w:div w:id="999817750">
      <w:marLeft w:val="0"/>
      <w:marRight w:val="0"/>
      <w:marTop w:val="100"/>
      <w:marBottom w:val="100"/>
      <w:divBdr>
        <w:top w:val="none" w:sz="0" w:space="0" w:color="auto"/>
        <w:left w:val="none" w:sz="0" w:space="0" w:color="auto"/>
        <w:bottom w:val="none" w:sz="0" w:space="0" w:color="auto"/>
        <w:right w:val="none" w:sz="0" w:space="0" w:color="auto"/>
      </w:divBdr>
      <w:divsChild>
        <w:div w:id="570585474">
          <w:marLeft w:val="0"/>
          <w:marRight w:val="0"/>
          <w:marTop w:val="0"/>
          <w:marBottom w:val="0"/>
          <w:divBdr>
            <w:top w:val="none" w:sz="0" w:space="0" w:color="auto"/>
            <w:left w:val="none" w:sz="0" w:space="0" w:color="auto"/>
            <w:bottom w:val="none" w:sz="0" w:space="0" w:color="auto"/>
            <w:right w:val="none" w:sz="0" w:space="0" w:color="auto"/>
          </w:divBdr>
        </w:div>
        <w:div w:id="914897285">
          <w:marLeft w:val="0"/>
          <w:marRight w:val="0"/>
          <w:marTop w:val="0"/>
          <w:marBottom w:val="0"/>
          <w:divBdr>
            <w:top w:val="none" w:sz="0" w:space="0" w:color="auto"/>
            <w:left w:val="none" w:sz="0" w:space="0" w:color="auto"/>
            <w:bottom w:val="none" w:sz="0" w:space="0" w:color="auto"/>
            <w:right w:val="none" w:sz="0" w:space="0" w:color="auto"/>
          </w:divBdr>
        </w:div>
        <w:div w:id="1310135531">
          <w:marLeft w:val="0"/>
          <w:marRight w:val="0"/>
          <w:marTop w:val="0"/>
          <w:marBottom w:val="0"/>
          <w:divBdr>
            <w:top w:val="none" w:sz="0" w:space="0" w:color="auto"/>
            <w:left w:val="none" w:sz="0" w:space="0" w:color="auto"/>
            <w:bottom w:val="none" w:sz="0" w:space="0" w:color="auto"/>
            <w:right w:val="none" w:sz="0" w:space="0" w:color="auto"/>
          </w:divBdr>
        </w:div>
        <w:div w:id="2124038031">
          <w:marLeft w:val="0"/>
          <w:marRight w:val="0"/>
          <w:marTop w:val="0"/>
          <w:marBottom w:val="0"/>
          <w:divBdr>
            <w:top w:val="none" w:sz="0" w:space="0" w:color="auto"/>
            <w:left w:val="none" w:sz="0" w:space="0" w:color="auto"/>
            <w:bottom w:val="none" w:sz="0" w:space="0" w:color="auto"/>
            <w:right w:val="none" w:sz="0" w:space="0" w:color="auto"/>
          </w:divBdr>
        </w:div>
        <w:div w:id="1974481119">
          <w:marLeft w:val="0"/>
          <w:marRight w:val="0"/>
          <w:marTop w:val="0"/>
          <w:marBottom w:val="0"/>
          <w:divBdr>
            <w:top w:val="none" w:sz="0" w:space="0" w:color="auto"/>
            <w:left w:val="none" w:sz="0" w:space="0" w:color="auto"/>
            <w:bottom w:val="none" w:sz="0" w:space="0" w:color="auto"/>
            <w:right w:val="none" w:sz="0" w:space="0" w:color="auto"/>
          </w:divBdr>
        </w:div>
        <w:div w:id="3945947">
          <w:marLeft w:val="0"/>
          <w:marRight w:val="0"/>
          <w:marTop w:val="0"/>
          <w:marBottom w:val="0"/>
          <w:divBdr>
            <w:top w:val="none" w:sz="0" w:space="0" w:color="auto"/>
            <w:left w:val="none" w:sz="0" w:space="0" w:color="auto"/>
            <w:bottom w:val="none" w:sz="0" w:space="0" w:color="auto"/>
            <w:right w:val="none" w:sz="0" w:space="0" w:color="auto"/>
          </w:divBdr>
        </w:div>
        <w:div w:id="646780500">
          <w:marLeft w:val="0"/>
          <w:marRight w:val="0"/>
          <w:marTop w:val="0"/>
          <w:marBottom w:val="0"/>
          <w:divBdr>
            <w:top w:val="none" w:sz="0" w:space="0" w:color="auto"/>
            <w:left w:val="none" w:sz="0" w:space="0" w:color="auto"/>
            <w:bottom w:val="none" w:sz="0" w:space="0" w:color="auto"/>
            <w:right w:val="none" w:sz="0" w:space="0" w:color="auto"/>
          </w:divBdr>
        </w:div>
        <w:div w:id="637302235">
          <w:marLeft w:val="0"/>
          <w:marRight w:val="0"/>
          <w:marTop w:val="0"/>
          <w:marBottom w:val="0"/>
          <w:divBdr>
            <w:top w:val="none" w:sz="0" w:space="0" w:color="auto"/>
            <w:left w:val="none" w:sz="0" w:space="0" w:color="auto"/>
            <w:bottom w:val="none" w:sz="0" w:space="0" w:color="auto"/>
            <w:right w:val="none" w:sz="0" w:space="0" w:color="auto"/>
          </w:divBdr>
        </w:div>
        <w:div w:id="2004972437">
          <w:marLeft w:val="0"/>
          <w:marRight w:val="0"/>
          <w:marTop w:val="0"/>
          <w:marBottom w:val="0"/>
          <w:divBdr>
            <w:top w:val="none" w:sz="0" w:space="0" w:color="auto"/>
            <w:left w:val="none" w:sz="0" w:space="0" w:color="auto"/>
            <w:bottom w:val="none" w:sz="0" w:space="0" w:color="auto"/>
            <w:right w:val="none" w:sz="0" w:space="0" w:color="auto"/>
          </w:divBdr>
        </w:div>
        <w:div w:id="1325671206">
          <w:marLeft w:val="0"/>
          <w:marRight w:val="0"/>
          <w:marTop w:val="0"/>
          <w:marBottom w:val="0"/>
          <w:divBdr>
            <w:top w:val="none" w:sz="0" w:space="0" w:color="auto"/>
            <w:left w:val="none" w:sz="0" w:space="0" w:color="auto"/>
            <w:bottom w:val="none" w:sz="0" w:space="0" w:color="auto"/>
            <w:right w:val="none" w:sz="0" w:space="0" w:color="auto"/>
          </w:divBdr>
        </w:div>
        <w:div w:id="1762603809">
          <w:marLeft w:val="0"/>
          <w:marRight w:val="0"/>
          <w:marTop w:val="0"/>
          <w:marBottom w:val="0"/>
          <w:divBdr>
            <w:top w:val="none" w:sz="0" w:space="0" w:color="auto"/>
            <w:left w:val="none" w:sz="0" w:space="0" w:color="auto"/>
            <w:bottom w:val="none" w:sz="0" w:space="0" w:color="auto"/>
            <w:right w:val="none" w:sz="0" w:space="0" w:color="auto"/>
          </w:divBdr>
        </w:div>
        <w:div w:id="331643391">
          <w:marLeft w:val="0"/>
          <w:marRight w:val="0"/>
          <w:marTop w:val="0"/>
          <w:marBottom w:val="0"/>
          <w:divBdr>
            <w:top w:val="none" w:sz="0" w:space="0" w:color="auto"/>
            <w:left w:val="none" w:sz="0" w:space="0" w:color="auto"/>
            <w:bottom w:val="none" w:sz="0" w:space="0" w:color="auto"/>
            <w:right w:val="none" w:sz="0" w:space="0" w:color="auto"/>
          </w:divBdr>
        </w:div>
        <w:div w:id="1471829146">
          <w:marLeft w:val="0"/>
          <w:marRight w:val="0"/>
          <w:marTop w:val="0"/>
          <w:marBottom w:val="0"/>
          <w:divBdr>
            <w:top w:val="none" w:sz="0" w:space="0" w:color="auto"/>
            <w:left w:val="none" w:sz="0" w:space="0" w:color="auto"/>
            <w:bottom w:val="none" w:sz="0" w:space="0" w:color="auto"/>
            <w:right w:val="none" w:sz="0" w:space="0" w:color="auto"/>
          </w:divBdr>
        </w:div>
        <w:div w:id="767234572">
          <w:marLeft w:val="0"/>
          <w:marRight w:val="0"/>
          <w:marTop w:val="0"/>
          <w:marBottom w:val="0"/>
          <w:divBdr>
            <w:top w:val="none" w:sz="0" w:space="0" w:color="auto"/>
            <w:left w:val="none" w:sz="0" w:space="0" w:color="auto"/>
            <w:bottom w:val="none" w:sz="0" w:space="0" w:color="auto"/>
            <w:right w:val="none" w:sz="0" w:space="0" w:color="auto"/>
          </w:divBdr>
        </w:div>
        <w:div w:id="1771973157">
          <w:marLeft w:val="0"/>
          <w:marRight w:val="0"/>
          <w:marTop w:val="0"/>
          <w:marBottom w:val="0"/>
          <w:divBdr>
            <w:top w:val="none" w:sz="0" w:space="0" w:color="auto"/>
            <w:left w:val="none" w:sz="0" w:space="0" w:color="auto"/>
            <w:bottom w:val="none" w:sz="0" w:space="0" w:color="auto"/>
            <w:right w:val="none" w:sz="0" w:space="0" w:color="auto"/>
          </w:divBdr>
        </w:div>
        <w:div w:id="1507091788">
          <w:marLeft w:val="0"/>
          <w:marRight w:val="0"/>
          <w:marTop w:val="0"/>
          <w:marBottom w:val="0"/>
          <w:divBdr>
            <w:top w:val="none" w:sz="0" w:space="0" w:color="auto"/>
            <w:left w:val="none" w:sz="0" w:space="0" w:color="auto"/>
            <w:bottom w:val="none" w:sz="0" w:space="0" w:color="auto"/>
            <w:right w:val="none" w:sz="0" w:space="0" w:color="auto"/>
          </w:divBdr>
        </w:div>
        <w:div w:id="770204074">
          <w:marLeft w:val="0"/>
          <w:marRight w:val="0"/>
          <w:marTop w:val="0"/>
          <w:marBottom w:val="0"/>
          <w:divBdr>
            <w:top w:val="none" w:sz="0" w:space="0" w:color="auto"/>
            <w:left w:val="none" w:sz="0" w:space="0" w:color="auto"/>
            <w:bottom w:val="none" w:sz="0" w:space="0" w:color="auto"/>
            <w:right w:val="none" w:sz="0" w:space="0" w:color="auto"/>
          </w:divBdr>
        </w:div>
        <w:div w:id="1758742412">
          <w:marLeft w:val="0"/>
          <w:marRight w:val="0"/>
          <w:marTop w:val="0"/>
          <w:marBottom w:val="0"/>
          <w:divBdr>
            <w:top w:val="none" w:sz="0" w:space="0" w:color="auto"/>
            <w:left w:val="none" w:sz="0" w:space="0" w:color="auto"/>
            <w:bottom w:val="none" w:sz="0" w:space="0" w:color="auto"/>
            <w:right w:val="none" w:sz="0" w:space="0" w:color="auto"/>
          </w:divBdr>
        </w:div>
        <w:div w:id="1967619876">
          <w:marLeft w:val="0"/>
          <w:marRight w:val="0"/>
          <w:marTop w:val="0"/>
          <w:marBottom w:val="0"/>
          <w:divBdr>
            <w:top w:val="none" w:sz="0" w:space="0" w:color="auto"/>
            <w:left w:val="none" w:sz="0" w:space="0" w:color="auto"/>
            <w:bottom w:val="none" w:sz="0" w:space="0" w:color="auto"/>
            <w:right w:val="none" w:sz="0" w:space="0" w:color="auto"/>
          </w:divBdr>
        </w:div>
        <w:div w:id="1104494188">
          <w:marLeft w:val="0"/>
          <w:marRight w:val="0"/>
          <w:marTop w:val="0"/>
          <w:marBottom w:val="0"/>
          <w:divBdr>
            <w:top w:val="none" w:sz="0" w:space="0" w:color="auto"/>
            <w:left w:val="none" w:sz="0" w:space="0" w:color="auto"/>
            <w:bottom w:val="none" w:sz="0" w:space="0" w:color="auto"/>
            <w:right w:val="none" w:sz="0" w:space="0" w:color="auto"/>
          </w:divBdr>
        </w:div>
        <w:div w:id="1395546812">
          <w:marLeft w:val="0"/>
          <w:marRight w:val="0"/>
          <w:marTop w:val="0"/>
          <w:marBottom w:val="0"/>
          <w:divBdr>
            <w:top w:val="none" w:sz="0" w:space="0" w:color="auto"/>
            <w:left w:val="none" w:sz="0" w:space="0" w:color="auto"/>
            <w:bottom w:val="none" w:sz="0" w:space="0" w:color="auto"/>
            <w:right w:val="none" w:sz="0" w:space="0" w:color="auto"/>
          </w:divBdr>
        </w:div>
        <w:div w:id="169610150">
          <w:marLeft w:val="0"/>
          <w:marRight w:val="0"/>
          <w:marTop w:val="0"/>
          <w:marBottom w:val="0"/>
          <w:divBdr>
            <w:top w:val="none" w:sz="0" w:space="0" w:color="auto"/>
            <w:left w:val="none" w:sz="0" w:space="0" w:color="auto"/>
            <w:bottom w:val="none" w:sz="0" w:space="0" w:color="auto"/>
            <w:right w:val="none" w:sz="0" w:space="0" w:color="auto"/>
          </w:divBdr>
        </w:div>
        <w:div w:id="2028945815">
          <w:marLeft w:val="0"/>
          <w:marRight w:val="0"/>
          <w:marTop w:val="0"/>
          <w:marBottom w:val="0"/>
          <w:divBdr>
            <w:top w:val="none" w:sz="0" w:space="0" w:color="auto"/>
            <w:left w:val="none" w:sz="0" w:space="0" w:color="auto"/>
            <w:bottom w:val="none" w:sz="0" w:space="0" w:color="auto"/>
            <w:right w:val="none" w:sz="0" w:space="0" w:color="auto"/>
          </w:divBdr>
        </w:div>
        <w:div w:id="1313676098">
          <w:marLeft w:val="0"/>
          <w:marRight w:val="0"/>
          <w:marTop w:val="0"/>
          <w:marBottom w:val="0"/>
          <w:divBdr>
            <w:top w:val="none" w:sz="0" w:space="0" w:color="auto"/>
            <w:left w:val="none" w:sz="0" w:space="0" w:color="auto"/>
            <w:bottom w:val="none" w:sz="0" w:space="0" w:color="auto"/>
            <w:right w:val="none" w:sz="0" w:space="0" w:color="auto"/>
          </w:divBdr>
        </w:div>
        <w:div w:id="980774237">
          <w:marLeft w:val="0"/>
          <w:marRight w:val="0"/>
          <w:marTop w:val="0"/>
          <w:marBottom w:val="0"/>
          <w:divBdr>
            <w:top w:val="none" w:sz="0" w:space="0" w:color="auto"/>
            <w:left w:val="none" w:sz="0" w:space="0" w:color="auto"/>
            <w:bottom w:val="none" w:sz="0" w:space="0" w:color="auto"/>
            <w:right w:val="none" w:sz="0" w:space="0" w:color="auto"/>
          </w:divBdr>
        </w:div>
        <w:div w:id="819007769">
          <w:marLeft w:val="0"/>
          <w:marRight w:val="0"/>
          <w:marTop w:val="0"/>
          <w:marBottom w:val="0"/>
          <w:divBdr>
            <w:top w:val="none" w:sz="0" w:space="0" w:color="auto"/>
            <w:left w:val="none" w:sz="0" w:space="0" w:color="auto"/>
            <w:bottom w:val="none" w:sz="0" w:space="0" w:color="auto"/>
            <w:right w:val="none" w:sz="0" w:space="0" w:color="auto"/>
          </w:divBdr>
        </w:div>
        <w:div w:id="1968318306">
          <w:marLeft w:val="0"/>
          <w:marRight w:val="0"/>
          <w:marTop w:val="0"/>
          <w:marBottom w:val="0"/>
          <w:divBdr>
            <w:top w:val="none" w:sz="0" w:space="0" w:color="auto"/>
            <w:left w:val="none" w:sz="0" w:space="0" w:color="auto"/>
            <w:bottom w:val="none" w:sz="0" w:space="0" w:color="auto"/>
            <w:right w:val="none" w:sz="0" w:space="0" w:color="auto"/>
          </w:divBdr>
        </w:div>
        <w:div w:id="2023848459">
          <w:marLeft w:val="0"/>
          <w:marRight w:val="0"/>
          <w:marTop w:val="0"/>
          <w:marBottom w:val="0"/>
          <w:divBdr>
            <w:top w:val="none" w:sz="0" w:space="0" w:color="auto"/>
            <w:left w:val="none" w:sz="0" w:space="0" w:color="auto"/>
            <w:bottom w:val="none" w:sz="0" w:space="0" w:color="auto"/>
            <w:right w:val="none" w:sz="0" w:space="0" w:color="auto"/>
          </w:divBdr>
        </w:div>
        <w:div w:id="430316564">
          <w:marLeft w:val="0"/>
          <w:marRight w:val="0"/>
          <w:marTop w:val="0"/>
          <w:marBottom w:val="0"/>
          <w:divBdr>
            <w:top w:val="none" w:sz="0" w:space="0" w:color="auto"/>
            <w:left w:val="none" w:sz="0" w:space="0" w:color="auto"/>
            <w:bottom w:val="none" w:sz="0" w:space="0" w:color="auto"/>
            <w:right w:val="none" w:sz="0" w:space="0" w:color="auto"/>
          </w:divBdr>
        </w:div>
        <w:div w:id="1278563296">
          <w:marLeft w:val="0"/>
          <w:marRight w:val="0"/>
          <w:marTop w:val="0"/>
          <w:marBottom w:val="0"/>
          <w:divBdr>
            <w:top w:val="none" w:sz="0" w:space="0" w:color="auto"/>
            <w:left w:val="none" w:sz="0" w:space="0" w:color="auto"/>
            <w:bottom w:val="none" w:sz="0" w:space="0" w:color="auto"/>
            <w:right w:val="none" w:sz="0" w:space="0" w:color="auto"/>
          </w:divBdr>
        </w:div>
        <w:div w:id="1384598595">
          <w:marLeft w:val="0"/>
          <w:marRight w:val="0"/>
          <w:marTop w:val="0"/>
          <w:marBottom w:val="0"/>
          <w:divBdr>
            <w:top w:val="none" w:sz="0" w:space="0" w:color="auto"/>
            <w:left w:val="none" w:sz="0" w:space="0" w:color="auto"/>
            <w:bottom w:val="none" w:sz="0" w:space="0" w:color="auto"/>
            <w:right w:val="none" w:sz="0" w:space="0" w:color="auto"/>
          </w:divBdr>
        </w:div>
        <w:div w:id="1405683136">
          <w:marLeft w:val="0"/>
          <w:marRight w:val="0"/>
          <w:marTop w:val="0"/>
          <w:marBottom w:val="0"/>
          <w:divBdr>
            <w:top w:val="none" w:sz="0" w:space="0" w:color="auto"/>
            <w:left w:val="none" w:sz="0" w:space="0" w:color="auto"/>
            <w:bottom w:val="none" w:sz="0" w:space="0" w:color="auto"/>
            <w:right w:val="none" w:sz="0" w:space="0" w:color="auto"/>
          </w:divBdr>
        </w:div>
        <w:div w:id="755513709">
          <w:marLeft w:val="0"/>
          <w:marRight w:val="0"/>
          <w:marTop w:val="0"/>
          <w:marBottom w:val="0"/>
          <w:divBdr>
            <w:top w:val="none" w:sz="0" w:space="0" w:color="auto"/>
            <w:left w:val="none" w:sz="0" w:space="0" w:color="auto"/>
            <w:bottom w:val="none" w:sz="0" w:space="0" w:color="auto"/>
            <w:right w:val="none" w:sz="0" w:space="0" w:color="auto"/>
          </w:divBdr>
        </w:div>
        <w:div w:id="372459818">
          <w:marLeft w:val="0"/>
          <w:marRight w:val="0"/>
          <w:marTop w:val="0"/>
          <w:marBottom w:val="0"/>
          <w:divBdr>
            <w:top w:val="none" w:sz="0" w:space="0" w:color="auto"/>
            <w:left w:val="none" w:sz="0" w:space="0" w:color="auto"/>
            <w:bottom w:val="none" w:sz="0" w:space="0" w:color="auto"/>
            <w:right w:val="none" w:sz="0" w:space="0" w:color="auto"/>
          </w:divBdr>
        </w:div>
        <w:div w:id="2140105543">
          <w:marLeft w:val="0"/>
          <w:marRight w:val="0"/>
          <w:marTop w:val="0"/>
          <w:marBottom w:val="0"/>
          <w:divBdr>
            <w:top w:val="none" w:sz="0" w:space="0" w:color="auto"/>
            <w:left w:val="none" w:sz="0" w:space="0" w:color="auto"/>
            <w:bottom w:val="none" w:sz="0" w:space="0" w:color="auto"/>
            <w:right w:val="none" w:sz="0" w:space="0" w:color="auto"/>
          </w:divBdr>
        </w:div>
        <w:div w:id="552934218">
          <w:marLeft w:val="0"/>
          <w:marRight w:val="0"/>
          <w:marTop w:val="0"/>
          <w:marBottom w:val="0"/>
          <w:divBdr>
            <w:top w:val="none" w:sz="0" w:space="0" w:color="auto"/>
            <w:left w:val="none" w:sz="0" w:space="0" w:color="auto"/>
            <w:bottom w:val="none" w:sz="0" w:space="0" w:color="auto"/>
            <w:right w:val="none" w:sz="0" w:space="0" w:color="auto"/>
          </w:divBdr>
        </w:div>
        <w:div w:id="1931236014">
          <w:marLeft w:val="0"/>
          <w:marRight w:val="0"/>
          <w:marTop w:val="0"/>
          <w:marBottom w:val="0"/>
          <w:divBdr>
            <w:top w:val="none" w:sz="0" w:space="0" w:color="auto"/>
            <w:left w:val="none" w:sz="0" w:space="0" w:color="auto"/>
            <w:bottom w:val="none" w:sz="0" w:space="0" w:color="auto"/>
            <w:right w:val="none" w:sz="0" w:space="0" w:color="auto"/>
          </w:divBdr>
        </w:div>
        <w:div w:id="1840844726">
          <w:marLeft w:val="0"/>
          <w:marRight w:val="0"/>
          <w:marTop w:val="0"/>
          <w:marBottom w:val="0"/>
          <w:divBdr>
            <w:top w:val="none" w:sz="0" w:space="0" w:color="auto"/>
            <w:left w:val="none" w:sz="0" w:space="0" w:color="auto"/>
            <w:bottom w:val="none" w:sz="0" w:space="0" w:color="auto"/>
            <w:right w:val="none" w:sz="0" w:space="0" w:color="auto"/>
          </w:divBdr>
        </w:div>
        <w:div w:id="1443067735">
          <w:marLeft w:val="0"/>
          <w:marRight w:val="0"/>
          <w:marTop w:val="0"/>
          <w:marBottom w:val="0"/>
          <w:divBdr>
            <w:top w:val="none" w:sz="0" w:space="0" w:color="auto"/>
            <w:left w:val="none" w:sz="0" w:space="0" w:color="auto"/>
            <w:bottom w:val="none" w:sz="0" w:space="0" w:color="auto"/>
            <w:right w:val="none" w:sz="0" w:space="0" w:color="auto"/>
          </w:divBdr>
        </w:div>
        <w:div w:id="1604459719">
          <w:marLeft w:val="0"/>
          <w:marRight w:val="0"/>
          <w:marTop w:val="0"/>
          <w:marBottom w:val="0"/>
          <w:divBdr>
            <w:top w:val="none" w:sz="0" w:space="0" w:color="auto"/>
            <w:left w:val="none" w:sz="0" w:space="0" w:color="auto"/>
            <w:bottom w:val="none" w:sz="0" w:space="0" w:color="auto"/>
            <w:right w:val="none" w:sz="0" w:space="0" w:color="auto"/>
          </w:divBdr>
        </w:div>
        <w:div w:id="557283192">
          <w:marLeft w:val="0"/>
          <w:marRight w:val="0"/>
          <w:marTop w:val="0"/>
          <w:marBottom w:val="0"/>
          <w:divBdr>
            <w:top w:val="none" w:sz="0" w:space="0" w:color="auto"/>
            <w:left w:val="none" w:sz="0" w:space="0" w:color="auto"/>
            <w:bottom w:val="none" w:sz="0" w:space="0" w:color="auto"/>
            <w:right w:val="none" w:sz="0" w:space="0" w:color="auto"/>
          </w:divBdr>
        </w:div>
        <w:div w:id="1435975685">
          <w:marLeft w:val="0"/>
          <w:marRight w:val="0"/>
          <w:marTop w:val="0"/>
          <w:marBottom w:val="0"/>
          <w:divBdr>
            <w:top w:val="none" w:sz="0" w:space="0" w:color="auto"/>
            <w:left w:val="none" w:sz="0" w:space="0" w:color="auto"/>
            <w:bottom w:val="none" w:sz="0" w:space="0" w:color="auto"/>
            <w:right w:val="none" w:sz="0" w:space="0" w:color="auto"/>
          </w:divBdr>
        </w:div>
      </w:divsChild>
    </w:div>
    <w:div w:id="1002196453">
      <w:marLeft w:val="0"/>
      <w:marRight w:val="0"/>
      <w:marTop w:val="180"/>
      <w:marBottom w:val="180"/>
      <w:divBdr>
        <w:top w:val="none" w:sz="0" w:space="0" w:color="auto"/>
        <w:left w:val="none" w:sz="0" w:space="0" w:color="auto"/>
        <w:bottom w:val="none" w:sz="0" w:space="0" w:color="auto"/>
        <w:right w:val="none" w:sz="0" w:space="0" w:color="auto"/>
      </w:divBdr>
    </w:div>
    <w:div w:id="1003043620">
      <w:marLeft w:val="0"/>
      <w:marRight w:val="0"/>
      <w:marTop w:val="0"/>
      <w:marBottom w:val="0"/>
      <w:divBdr>
        <w:top w:val="none" w:sz="0" w:space="0" w:color="auto"/>
        <w:left w:val="none" w:sz="0" w:space="0" w:color="auto"/>
        <w:bottom w:val="none" w:sz="0" w:space="0" w:color="auto"/>
        <w:right w:val="none" w:sz="0" w:space="0" w:color="auto"/>
      </w:divBdr>
      <w:divsChild>
        <w:div w:id="2110618637">
          <w:marLeft w:val="0"/>
          <w:marRight w:val="0"/>
          <w:marTop w:val="180"/>
          <w:marBottom w:val="180"/>
          <w:divBdr>
            <w:top w:val="none" w:sz="0" w:space="0" w:color="auto"/>
            <w:left w:val="none" w:sz="0" w:space="0" w:color="auto"/>
            <w:bottom w:val="none" w:sz="0" w:space="0" w:color="auto"/>
            <w:right w:val="none" w:sz="0" w:space="0" w:color="auto"/>
          </w:divBdr>
        </w:div>
      </w:divsChild>
    </w:div>
    <w:div w:id="1004476289">
      <w:marLeft w:val="0"/>
      <w:marRight w:val="0"/>
      <w:marTop w:val="180"/>
      <w:marBottom w:val="180"/>
      <w:divBdr>
        <w:top w:val="none" w:sz="0" w:space="0" w:color="auto"/>
        <w:left w:val="none" w:sz="0" w:space="0" w:color="auto"/>
        <w:bottom w:val="none" w:sz="0" w:space="0" w:color="auto"/>
        <w:right w:val="none" w:sz="0" w:space="0" w:color="auto"/>
      </w:divBdr>
    </w:div>
    <w:div w:id="1005859801">
      <w:marLeft w:val="0"/>
      <w:marRight w:val="0"/>
      <w:marTop w:val="180"/>
      <w:marBottom w:val="180"/>
      <w:divBdr>
        <w:top w:val="none" w:sz="0" w:space="0" w:color="auto"/>
        <w:left w:val="none" w:sz="0" w:space="0" w:color="auto"/>
        <w:bottom w:val="none" w:sz="0" w:space="0" w:color="auto"/>
        <w:right w:val="none" w:sz="0" w:space="0" w:color="auto"/>
      </w:divBdr>
    </w:div>
    <w:div w:id="1006832525">
      <w:marLeft w:val="0"/>
      <w:marRight w:val="0"/>
      <w:marTop w:val="180"/>
      <w:marBottom w:val="60"/>
      <w:divBdr>
        <w:top w:val="none" w:sz="0" w:space="0" w:color="auto"/>
        <w:left w:val="none" w:sz="0" w:space="0" w:color="auto"/>
        <w:bottom w:val="none" w:sz="0" w:space="0" w:color="auto"/>
        <w:right w:val="none" w:sz="0" w:space="0" w:color="auto"/>
      </w:divBdr>
    </w:div>
    <w:div w:id="1007487608">
      <w:marLeft w:val="0"/>
      <w:marRight w:val="0"/>
      <w:marTop w:val="180"/>
      <w:marBottom w:val="180"/>
      <w:divBdr>
        <w:top w:val="none" w:sz="0" w:space="0" w:color="auto"/>
        <w:left w:val="none" w:sz="0" w:space="0" w:color="auto"/>
        <w:bottom w:val="none" w:sz="0" w:space="0" w:color="auto"/>
        <w:right w:val="none" w:sz="0" w:space="0" w:color="auto"/>
      </w:divBdr>
    </w:div>
    <w:div w:id="1008561230">
      <w:marLeft w:val="0"/>
      <w:marRight w:val="0"/>
      <w:marTop w:val="180"/>
      <w:marBottom w:val="180"/>
      <w:divBdr>
        <w:top w:val="none" w:sz="0" w:space="0" w:color="auto"/>
        <w:left w:val="none" w:sz="0" w:space="0" w:color="auto"/>
        <w:bottom w:val="none" w:sz="0" w:space="0" w:color="auto"/>
        <w:right w:val="none" w:sz="0" w:space="0" w:color="auto"/>
      </w:divBdr>
    </w:div>
    <w:div w:id="1015115111">
      <w:marLeft w:val="0"/>
      <w:marRight w:val="0"/>
      <w:marTop w:val="0"/>
      <w:marBottom w:val="0"/>
      <w:divBdr>
        <w:top w:val="none" w:sz="0" w:space="0" w:color="auto"/>
        <w:left w:val="none" w:sz="0" w:space="0" w:color="auto"/>
        <w:bottom w:val="none" w:sz="0" w:space="0" w:color="auto"/>
        <w:right w:val="none" w:sz="0" w:space="0" w:color="auto"/>
      </w:divBdr>
    </w:div>
    <w:div w:id="1016006890">
      <w:marLeft w:val="0"/>
      <w:marRight w:val="0"/>
      <w:marTop w:val="180"/>
      <w:marBottom w:val="180"/>
      <w:divBdr>
        <w:top w:val="none" w:sz="0" w:space="0" w:color="auto"/>
        <w:left w:val="none" w:sz="0" w:space="0" w:color="auto"/>
        <w:bottom w:val="none" w:sz="0" w:space="0" w:color="auto"/>
        <w:right w:val="none" w:sz="0" w:space="0" w:color="auto"/>
      </w:divBdr>
    </w:div>
    <w:div w:id="1016733893">
      <w:marLeft w:val="0"/>
      <w:marRight w:val="0"/>
      <w:marTop w:val="0"/>
      <w:marBottom w:val="0"/>
      <w:divBdr>
        <w:top w:val="none" w:sz="0" w:space="0" w:color="auto"/>
        <w:left w:val="none" w:sz="0" w:space="0" w:color="auto"/>
        <w:bottom w:val="none" w:sz="0" w:space="0" w:color="auto"/>
        <w:right w:val="none" w:sz="0" w:space="0" w:color="auto"/>
      </w:divBdr>
      <w:divsChild>
        <w:div w:id="676812844">
          <w:marLeft w:val="0"/>
          <w:marRight w:val="0"/>
          <w:marTop w:val="180"/>
          <w:marBottom w:val="180"/>
          <w:divBdr>
            <w:top w:val="none" w:sz="0" w:space="0" w:color="auto"/>
            <w:left w:val="none" w:sz="0" w:space="0" w:color="auto"/>
            <w:bottom w:val="none" w:sz="0" w:space="0" w:color="auto"/>
            <w:right w:val="none" w:sz="0" w:space="0" w:color="auto"/>
          </w:divBdr>
        </w:div>
      </w:divsChild>
    </w:div>
    <w:div w:id="1017269370">
      <w:marLeft w:val="0"/>
      <w:marRight w:val="0"/>
      <w:marTop w:val="180"/>
      <w:marBottom w:val="180"/>
      <w:divBdr>
        <w:top w:val="none" w:sz="0" w:space="0" w:color="auto"/>
        <w:left w:val="none" w:sz="0" w:space="0" w:color="auto"/>
        <w:bottom w:val="none" w:sz="0" w:space="0" w:color="auto"/>
        <w:right w:val="none" w:sz="0" w:space="0" w:color="auto"/>
      </w:divBdr>
    </w:div>
    <w:div w:id="1017390000">
      <w:marLeft w:val="0"/>
      <w:marRight w:val="0"/>
      <w:marTop w:val="0"/>
      <w:marBottom w:val="0"/>
      <w:divBdr>
        <w:top w:val="none" w:sz="0" w:space="0" w:color="auto"/>
        <w:left w:val="none" w:sz="0" w:space="0" w:color="auto"/>
        <w:bottom w:val="none" w:sz="0" w:space="0" w:color="auto"/>
        <w:right w:val="none" w:sz="0" w:space="0" w:color="auto"/>
      </w:divBdr>
    </w:div>
    <w:div w:id="1017736021">
      <w:marLeft w:val="0"/>
      <w:marRight w:val="0"/>
      <w:marTop w:val="100"/>
      <w:marBottom w:val="100"/>
      <w:divBdr>
        <w:top w:val="none" w:sz="0" w:space="0" w:color="auto"/>
        <w:left w:val="none" w:sz="0" w:space="0" w:color="auto"/>
        <w:bottom w:val="none" w:sz="0" w:space="0" w:color="auto"/>
        <w:right w:val="none" w:sz="0" w:space="0" w:color="auto"/>
      </w:divBdr>
      <w:divsChild>
        <w:div w:id="1221600967">
          <w:marLeft w:val="0"/>
          <w:marRight w:val="0"/>
          <w:marTop w:val="0"/>
          <w:marBottom w:val="0"/>
          <w:divBdr>
            <w:top w:val="none" w:sz="0" w:space="0" w:color="auto"/>
            <w:left w:val="none" w:sz="0" w:space="0" w:color="auto"/>
            <w:bottom w:val="none" w:sz="0" w:space="0" w:color="auto"/>
            <w:right w:val="none" w:sz="0" w:space="0" w:color="auto"/>
          </w:divBdr>
        </w:div>
        <w:div w:id="624431582">
          <w:marLeft w:val="0"/>
          <w:marRight w:val="0"/>
          <w:marTop w:val="0"/>
          <w:marBottom w:val="0"/>
          <w:divBdr>
            <w:top w:val="none" w:sz="0" w:space="0" w:color="auto"/>
            <w:left w:val="none" w:sz="0" w:space="0" w:color="auto"/>
            <w:bottom w:val="none" w:sz="0" w:space="0" w:color="auto"/>
            <w:right w:val="none" w:sz="0" w:space="0" w:color="auto"/>
          </w:divBdr>
        </w:div>
        <w:div w:id="145123280">
          <w:marLeft w:val="0"/>
          <w:marRight w:val="0"/>
          <w:marTop w:val="0"/>
          <w:marBottom w:val="0"/>
          <w:divBdr>
            <w:top w:val="none" w:sz="0" w:space="0" w:color="auto"/>
            <w:left w:val="none" w:sz="0" w:space="0" w:color="auto"/>
            <w:bottom w:val="none" w:sz="0" w:space="0" w:color="auto"/>
            <w:right w:val="none" w:sz="0" w:space="0" w:color="auto"/>
          </w:divBdr>
        </w:div>
        <w:div w:id="1327514094">
          <w:marLeft w:val="0"/>
          <w:marRight w:val="0"/>
          <w:marTop w:val="0"/>
          <w:marBottom w:val="0"/>
          <w:divBdr>
            <w:top w:val="none" w:sz="0" w:space="0" w:color="auto"/>
            <w:left w:val="none" w:sz="0" w:space="0" w:color="auto"/>
            <w:bottom w:val="none" w:sz="0" w:space="0" w:color="auto"/>
            <w:right w:val="none" w:sz="0" w:space="0" w:color="auto"/>
          </w:divBdr>
        </w:div>
        <w:div w:id="1753887030">
          <w:marLeft w:val="0"/>
          <w:marRight w:val="0"/>
          <w:marTop w:val="0"/>
          <w:marBottom w:val="0"/>
          <w:divBdr>
            <w:top w:val="none" w:sz="0" w:space="0" w:color="auto"/>
            <w:left w:val="none" w:sz="0" w:space="0" w:color="auto"/>
            <w:bottom w:val="none" w:sz="0" w:space="0" w:color="auto"/>
            <w:right w:val="none" w:sz="0" w:space="0" w:color="auto"/>
          </w:divBdr>
        </w:div>
        <w:div w:id="2116829375">
          <w:marLeft w:val="0"/>
          <w:marRight w:val="0"/>
          <w:marTop w:val="0"/>
          <w:marBottom w:val="0"/>
          <w:divBdr>
            <w:top w:val="none" w:sz="0" w:space="0" w:color="auto"/>
            <w:left w:val="none" w:sz="0" w:space="0" w:color="auto"/>
            <w:bottom w:val="none" w:sz="0" w:space="0" w:color="auto"/>
            <w:right w:val="none" w:sz="0" w:space="0" w:color="auto"/>
          </w:divBdr>
        </w:div>
      </w:divsChild>
    </w:div>
    <w:div w:id="1018043311">
      <w:marLeft w:val="0"/>
      <w:marRight w:val="0"/>
      <w:marTop w:val="0"/>
      <w:marBottom w:val="0"/>
      <w:divBdr>
        <w:top w:val="none" w:sz="0" w:space="0" w:color="auto"/>
        <w:left w:val="none" w:sz="0" w:space="0" w:color="auto"/>
        <w:bottom w:val="none" w:sz="0" w:space="0" w:color="auto"/>
        <w:right w:val="none" w:sz="0" w:space="0" w:color="auto"/>
      </w:divBdr>
      <w:divsChild>
        <w:div w:id="789326202">
          <w:marLeft w:val="0"/>
          <w:marRight w:val="0"/>
          <w:marTop w:val="180"/>
          <w:marBottom w:val="180"/>
          <w:divBdr>
            <w:top w:val="none" w:sz="0" w:space="0" w:color="auto"/>
            <w:left w:val="none" w:sz="0" w:space="0" w:color="auto"/>
            <w:bottom w:val="none" w:sz="0" w:space="0" w:color="auto"/>
            <w:right w:val="none" w:sz="0" w:space="0" w:color="auto"/>
          </w:divBdr>
        </w:div>
      </w:divsChild>
    </w:div>
    <w:div w:id="1019237178">
      <w:marLeft w:val="0"/>
      <w:marRight w:val="0"/>
      <w:marTop w:val="180"/>
      <w:marBottom w:val="180"/>
      <w:divBdr>
        <w:top w:val="none" w:sz="0" w:space="0" w:color="auto"/>
        <w:left w:val="none" w:sz="0" w:space="0" w:color="auto"/>
        <w:bottom w:val="none" w:sz="0" w:space="0" w:color="auto"/>
        <w:right w:val="none" w:sz="0" w:space="0" w:color="auto"/>
      </w:divBdr>
    </w:div>
    <w:div w:id="1025324452">
      <w:marLeft w:val="0"/>
      <w:marRight w:val="0"/>
      <w:marTop w:val="60"/>
      <w:marBottom w:val="60"/>
      <w:divBdr>
        <w:top w:val="none" w:sz="0" w:space="0" w:color="auto"/>
        <w:left w:val="none" w:sz="0" w:space="0" w:color="auto"/>
        <w:bottom w:val="none" w:sz="0" w:space="0" w:color="auto"/>
        <w:right w:val="none" w:sz="0" w:space="0" w:color="auto"/>
      </w:divBdr>
    </w:div>
    <w:div w:id="1026710253">
      <w:marLeft w:val="0"/>
      <w:marRight w:val="0"/>
      <w:marTop w:val="180"/>
      <w:marBottom w:val="180"/>
      <w:divBdr>
        <w:top w:val="none" w:sz="0" w:space="0" w:color="auto"/>
        <w:left w:val="none" w:sz="0" w:space="0" w:color="auto"/>
        <w:bottom w:val="none" w:sz="0" w:space="0" w:color="auto"/>
        <w:right w:val="none" w:sz="0" w:space="0" w:color="auto"/>
      </w:divBdr>
    </w:div>
    <w:div w:id="1027564351">
      <w:marLeft w:val="0"/>
      <w:marRight w:val="0"/>
      <w:marTop w:val="0"/>
      <w:marBottom w:val="0"/>
      <w:divBdr>
        <w:top w:val="none" w:sz="0" w:space="0" w:color="auto"/>
        <w:left w:val="none" w:sz="0" w:space="0" w:color="auto"/>
        <w:bottom w:val="none" w:sz="0" w:space="0" w:color="auto"/>
        <w:right w:val="none" w:sz="0" w:space="0" w:color="auto"/>
      </w:divBdr>
      <w:divsChild>
        <w:div w:id="881867528">
          <w:marLeft w:val="0"/>
          <w:marRight w:val="0"/>
          <w:marTop w:val="0"/>
          <w:marBottom w:val="0"/>
          <w:divBdr>
            <w:top w:val="none" w:sz="0" w:space="0" w:color="auto"/>
            <w:left w:val="none" w:sz="0" w:space="0" w:color="auto"/>
            <w:bottom w:val="none" w:sz="0" w:space="0" w:color="auto"/>
            <w:right w:val="none" w:sz="0" w:space="0" w:color="auto"/>
          </w:divBdr>
          <w:divsChild>
            <w:div w:id="4722531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8332908">
      <w:marLeft w:val="0"/>
      <w:marRight w:val="0"/>
      <w:marTop w:val="180"/>
      <w:marBottom w:val="180"/>
      <w:divBdr>
        <w:top w:val="none" w:sz="0" w:space="0" w:color="auto"/>
        <w:left w:val="none" w:sz="0" w:space="0" w:color="auto"/>
        <w:bottom w:val="none" w:sz="0" w:space="0" w:color="auto"/>
        <w:right w:val="none" w:sz="0" w:space="0" w:color="auto"/>
      </w:divBdr>
    </w:div>
    <w:div w:id="1030570782">
      <w:marLeft w:val="0"/>
      <w:marRight w:val="0"/>
      <w:marTop w:val="60"/>
      <w:marBottom w:val="60"/>
      <w:divBdr>
        <w:top w:val="none" w:sz="0" w:space="0" w:color="auto"/>
        <w:left w:val="none" w:sz="0" w:space="0" w:color="auto"/>
        <w:bottom w:val="none" w:sz="0" w:space="0" w:color="auto"/>
        <w:right w:val="none" w:sz="0" w:space="0" w:color="auto"/>
      </w:divBdr>
      <w:divsChild>
        <w:div w:id="1435200849">
          <w:marLeft w:val="0"/>
          <w:marRight w:val="0"/>
          <w:marTop w:val="0"/>
          <w:marBottom w:val="0"/>
          <w:divBdr>
            <w:top w:val="none" w:sz="0" w:space="0" w:color="auto"/>
            <w:left w:val="none" w:sz="0" w:space="0" w:color="auto"/>
            <w:bottom w:val="none" w:sz="0" w:space="0" w:color="auto"/>
            <w:right w:val="none" w:sz="0" w:space="0" w:color="auto"/>
          </w:divBdr>
        </w:div>
        <w:div w:id="1481725909">
          <w:marLeft w:val="0"/>
          <w:marRight w:val="0"/>
          <w:marTop w:val="0"/>
          <w:marBottom w:val="0"/>
          <w:divBdr>
            <w:top w:val="none" w:sz="0" w:space="0" w:color="auto"/>
            <w:left w:val="none" w:sz="0" w:space="0" w:color="auto"/>
            <w:bottom w:val="none" w:sz="0" w:space="0" w:color="auto"/>
            <w:right w:val="none" w:sz="0" w:space="0" w:color="auto"/>
          </w:divBdr>
        </w:div>
      </w:divsChild>
    </w:div>
    <w:div w:id="1033728225">
      <w:marLeft w:val="0"/>
      <w:marRight w:val="0"/>
      <w:marTop w:val="60"/>
      <w:marBottom w:val="60"/>
      <w:divBdr>
        <w:top w:val="none" w:sz="0" w:space="0" w:color="auto"/>
        <w:left w:val="none" w:sz="0" w:space="0" w:color="auto"/>
        <w:bottom w:val="none" w:sz="0" w:space="0" w:color="auto"/>
        <w:right w:val="none" w:sz="0" w:space="0" w:color="auto"/>
      </w:divBdr>
    </w:div>
    <w:div w:id="1038896630">
      <w:marLeft w:val="0"/>
      <w:marRight w:val="0"/>
      <w:marTop w:val="60"/>
      <w:marBottom w:val="60"/>
      <w:divBdr>
        <w:top w:val="none" w:sz="0" w:space="0" w:color="auto"/>
        <w:left w:val="none" w:sz="0" w:space="0" w:color="auto"/>
        <w:bottom w:val="none" w:sz="0" w:space="0" w:color="auto"/>
        <w:right w:val="none" w:sz="0" w:space="0" w:color="auto"/>
      </w:divBdr>
    </w:div>
    <w:div w:id="1039665110">
      <w:marLeft w:val="0"/>
      <w:marRight w:val="0"/>
      <w:marTop w:val="0"/>
      <w:marBottom w:val="0"/>
      <w:divBdr>
        <w:top w:val="none" w:sz="0" w:space="0" w:color="auto"/>
        <w:left w:val="none" w:sz="0" w:space="0" w:color="auto"/>
        <w:bottom w:val="none" w:sz="0" w:space="0" w:color="auto"/>
        <w:right w:val="none" w:sz="0" w:space="0" w:color="auto"/>
      </w:divBdr>
      <w:divsChild>
        <w:div w:id="1314334321">
          <w:marLeft w:val="0"/>
          <w:marRight w:val="0"/>
          <w:marTop w:val="0"/>
          <w:marBottom w:val="0"/>
          <w:divBdr>
            <w:top w:val="none" w:sz="0" w:space="0" w:color="auto"/>
            <w:left w:val="none" w:sz="0" w:space="0" w:color="auto"/>
            <w:bottom w:val="none" w:sz="0" w:space="0" w:color="auto"/>
            <w:right w:val="none" w:sz="0" w:space="0" w:color="auto"/>
          </w:divBdr>
          <w:divsChild>
            <w:div w:id="188215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3752324">
      <w:marLeft w:val="0"/>
      <w:marRight w:val="0"/>
      <w:marTop w:val="0"/>
      <w:marBottom w:val="0"/>
      <w:divBdr>
        <w:top w:val="none" w:sz="0" w:space="0" w:color="auto"/>
        <w:left w:val="none" w:sz="0" w:space="0" w:color="auto"/>
        <w:bottom w:val="none" w:sz="0" w:space="0" w:color="auto"/>
        <w:right w:val="none" w:sz="0" w:space="0" w:color="auto"/>
      </w:divBdr>
      <w:divsChild>
        <w:div w:id="683673652">
          <w:marLeft w:val="0"/>
          <w:marRight w:val="0"/>
          <w:marTop w:val="180"/>
          <w:marBottom w:val="180"/>
          <w:divBdr>
            <w:top w:val="none" w:sz="0" w:space="0" w:color="auto"/>
            <w:left w:val="none" w:sz="0" w:space="0" w:color="auto"/>
            <w:bottom w:val="none" w:sz="0" w:space="0" w:color="auto"/>
            <w:right w:val="none" w:sz="0" w:space="0" w:color="auto"/>
          </w:divBdr>
        </w:div>
      </w:divsChild>
    </w:div>
    <w:div w:id="1043867876">
      <w:marLeft w:val="0"/>
      <w:marRight w:val="0"/>
      <w:marTop w:val="0"/>
      <w:marBottom w:val="0"/>
      <w:divBdr>
        <w:top w:val="none" w:sz="0" w:space="0" w:color="auto"/>
        <w:left w:val="none" w:sz="0" w:space="0" w:color="auto"/>
        <w:bottom w:val="none" w:sz="0" w:space="0" w:color="auto"/>
        <w:right w:val="none" w:sz="0" w:space="0" w:color="auto"/>
      </w:divBdr>
      <w:divsChild>
        <w:div w:id="360009788">
          <w:marLeft w:val="0"/>
          <w:marRight w:val="0"/>
          <w:marTop w:val="0"/>
          <w:marBottom w:val="0"/>
          <w:divBdr>
            <w:top w:val="none" w:sz="0" w:space="0" w:color="auto"/>
            <w:left w:val="none" w:sz="0" w:space="0" w:color="auto"/>
            <w:bottom w:val="none" w:sz="0" w:space="0" w:color="auto"/>
            <w:right w:val="none" w:sz="0" w:space="0" w:color="auto"/>
          </w:divBdr>
          <w:divsChild>
            <w:div w:id="2898242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4254265">
      <w:marLeft w:val="0"/>
      <w:marRight w:val="0"/>
      <w:marTop w:val="180"/>
      <w:marBottom w:val="180"/>
      <w:divBdr>
        <w:top w:val="none" w:sz="0" w:space="0" w:color="auto"/>
        <w:left w:val="none" w:sz="0" w:space="0" w:color="auto"/>
        <w:bottom w:val="none" w:sz="0" w:space="0" w:color="auto"/>
        <w:right w:val="none" w:sz="0" w:space="0" w:color="auto"/>
      </w:divBdr>
    </w:div>
    <w:div w:id="1045325303">
      <w:marLeft w:val="0"/>
      <w:marRight w:val="0"/>
      <w:marTop w:val="100"/>
      <w:marBottom w:val="100"/>
      <w:divBdr>
        <w:top w:val="none" w:sz="0" w:space="0" w:color="auto"/>
        <w:left w:val="none" w:sz="0" w:space="0" w:color="auto"/>
        <w:bottom w:val="none" w:sz="0" w:space="0" w:color="auto"/>
        <w:right w:val="none" w:sz="0" w:space="0" w:color="auto"/>
      </w:divBdr>
      <w:divsChild>
        <w:div w:id="240679521">
          <w:marLeft w:val="0"/>
          <w:marRight w:val="0"/>
          <w:marTop w:val="0"/>
          <w:marBottom w:val="0"/>
          <w:divBdr>
            <w:top w:val="none" w:sz="0" w:space="0" w:color="auto"/>
            <w:left w:val="none" w:sz="0" w:space="0" w:color="auto"/>
            <w:bottom w:val="none" w:sz="0" w:space="0" w:color="auto"/>
            <w:right w:val="none" w:sz="0" w:space="0" w:color="auto"/>
          </w:divBdr>
        </w:div>
        <w:div w:id="2126733236">
          <w:marLeft w:val="0"/>
          <w:marRight w:val="0"/>
          <w:marTop w:val="0"/>
          <w:marBottom w:val="0"/>
          <w:divBdr>
            <w:top w:val="none" w:sz="0" w:space="0" w:color="auto"/>
            <w:left w:val="none" w:sz="0" w:space="0" w:color="auto"/>
            <w:bottom w:val="none" w:sz="0" w:space="0" w:color="auto"/>
            <w:right w:val="none" w:sz="0" w:space="0" w:color="auto"/>
          </w:divBdr>
        </w:div>
      </w:divsChild>
    </w:div>
    <w:div w:id="1045327748">
      <w:marLeft w:val="0"/>
      <w:marRight w:val="0"/>
      <w:marTop w:val="60"/>
      <w:marBottom w:val="60"/>
      <w:divBdr>
        <w:top w:val="none" w:sz="0" w:space="0" w:color="auto"/>
        <w:left w:val="none" w:sz="0" w:space="0" w:color="auto"/>
        <w:bottom w:val="none" w:sz="0" w:space="0" w:color="auto"/>
        <w:right w:val="none" w:sz="0" w:space="0" w:color="auto"/>
      </w:divBdr>
    </w:div>
    <w:div w:id="1046221846">
      <w:marLeft w:val="0"/>
      <w:marRight w:val="0"/>
      <w:marTop w:val="0"/>
      <w:marBottom w:val="0"/>
      <w:divBdr>
        <w:top w:val="none" w:sz="0" w:space="0" w:color="auto"/>
        <w:left w:val="none" w:sz="0" w:space="0" w:color="auto"/>
        <w:bottom w:val="none" w:sz="0" w:space="0" w:color="auto"/>
        <w:right w:val="none" w:sz="0" w:space="0" w:color="auto"/>
      </w:divBdr>
    </w:div>
    <w:div w:id="1047490914">
      <w:marLeft w:val="0"/>
      <w:marRight w:val="0"/>
      <w:marTop w:val="180"/>
      <w:marBottom w:val="180"/>
      <w:divBdr>
        <w:top w:val="none" w:sz="0" w:space="0" w:color="auto"/>
        <w:left w:val="none" w:sz="0" w:space="0" w:color="auto"/>
        <w:bottom w:val="none" w:sz="0" w:space="0" w:color="auto"/>
        <w:right w:val="none" w:sz="0" w:space="0" w:color="auto"/>
      </w:divBdr>
    </w:div>
    <w:div w:id="1048996121">
      <w:marLeft w:val="0"/>
      <w:marRight w:val="0"/>
      <w:marTop w:val="60"/>
      <w:marBottom w:val="60"/>
      <w:divBdr>
        <w:top w:val="none" w:sz="0" w:space="0" w:color="auto"/>
        <w:left w:val="none" w:sz="0" w:space="0" w:color="auto"/>
        <w:bottom w:val="none" w:sz="0" w:space="0" w:color="auto"/>
        <w:right w:val="none" w:sz="0" w:space="0" w:color="auto"/>
      </w:divBdr>
    </w:div>
    <w:div w:id="1049306715">
      <w:marLeft w:val="0"/>
      <w:marRight w:val="0"/>
      <w:marTop w:val="180"/>
      <w:marBottom w:val="180"/>
      <w:divBdr>
        <w:top w:val="none" w:sz="0" w:space="0" w:color="auto"/>
        <w:left w:val="none" w:sz="0" w:space="0" w:color="auto"/>
        <w:bottom w:val="none" w:sz="0" w:space="0" w:color="auto"/>
        <w:right w:val="none" w:sz="0" w:space="0" w:color="auto"/>
      </w:divBdr>
    </w:div>
    <w:div w:id="1050810049">
      <w:marLeft w:val="0"/>
      <w:marRight w:val="0"/>
      <w:marTop w:val="60"/>
      <w:marBottom w:val="60"/>
      <w:divBdr>
        <w:top w:val="none" w:sz="0" w:space="0" w:color="auto"/>
        <w:left w:val="none" w:sz="0" w:space="0" w:color="auto"/>
        <w:bottom w:val="none" w:sz="0" w:space="0" w:color="auto"/>
        <w:right w:val="none" w:sz="0" w:space="0" w:color="auto"/>
      </w:divBdr>
    </w:div>
    <w:div w:id="1051271538">
      <w:marLeft w:val="0"/>
      <w:marRight w:val="0"/>
      <w:marTop w:val="180"/>
      <w:marBottom w:val="180"/>
      <w:divBdr>
        <w:top w:val="none" w:sz="0" w:space="0" w:color="auto"/>
        <w:left w:val="none" w:sz="0" w:space="0" w:color="auto"/>
        <w:bottom w:val="none" w:sz="0" w:space="0" w:color="auto"/>
        <w:right w:val="none" w:sz="0" w:space="0" w:color="auto"/>
      </w:divBdr>
    </w:div>
    <w:div w:id="1054357120">
      <w:marLeft w:val="0"/>
      <w:marRight w:val="0"/>
      <w:marTop w:val="240"/>
      <w:marBottom w:val="100"/>
      <w:divBdr>
        <w:top w:val="none" w:sz="0" w:space="0" w:color="auto"/>
        <w:left w:val="none" w:sz="0" w:space="0" w:color="auto"/>
        <w:bottom w:val="none" w:sz="0" w:space="0" w:color="auto"/>
        <w:right w:val="none" w:sz="0" w:space="0" w:color="auto"/>
      </w:divBdr>
    </w:div>
    <w:div w:id="1055660817">
      <w:marLeft w:val="0"/>
      <w:marRight w:val="0"/>
      <w:marTop w:val="180"/>
      <w:marBottom w:val="180"/>
      <w:divBdr>
        <w:top w:val="none" w:sz="0" w:space="0" w:color="auto"/>
        <w:left w:val="none" w:sz="0" w:space="0" w:color="auto"/>
        <w:bottom w:val="none" w:sz="0" w:space="0" w:color="auto"/>
        <w:right w:val="none" w:sz="0" w:space="0" w:color="auto"/>
      </w:divBdr>
    </w:div>
    <w:div w:id="1057390295">
      <w:marLeft w:val="0"/>
      <w:marRight w:val="0"/>
      <w:marTop w:val="0"/>
      <w:marBottom w:val="0"/>
      <w:divBdr>
        <w:top w:val="none" w:sz="0" w:space="0" w:color="auto"/>
        <w:left w:val="none" w:sz="0" w:space="0" w:color="auto"/>
        <w:bottom w:val="none" w:sz="0" w:space="0" w:color="auto"/>
        <w:right w:val="none" w:sz="0" w:space="0" w:color="auto"/>
      </w:divBdr>
      <w:divsChild>
        <w:div w:id="1638225033">
          <w:marLeft w:val="0"/>
          <w:marRight w:val="0"/>
          <w:marTop w:val="180"/>
          <w:marBottom w:val="180"/>
          <w:divBdr>
            <w:top w:val="none" w:sz="0" w:space="0" w:color="auto"/>
            <w:left w:val="none" w:sz="0" w:space="0" w:color="auto"/>
            <w:bottom w:val="none" w:sz="0" w:space="0" w:color="auto"/>
            <w:right w:val="none" w:sz="0" w:space="0" w:color="auto"/>
          </w:divBdr>
        </w:div>
      </w:divsChild>
    </w:div>
    <w:div w:id="1059086409">
      <w:marLeft w:val="0"/>
      <w:marRight w:val="0"/>
      <w:marTop w:val="60"/>
      <w:marBottom w:val="60"/>
      <w:divBdr>
        <w:top w:val="none" w:sz="0" w:space="0" w:color="auto"/>
        <w:left w:val="none" w:sz="0" w:space="0" w:color="auto"/>
        <w:bottom w:val="none" w:sz="0" w:space="0" w:color="auto"/>
        <w:right w:val="none" w:sz="0" w:space="0" w:color="auto"/>
      </w:divBdr>
    </w:div>
    <w:div w:id="1059865081">
      <w:marLeft w:val="0"/>
      <w:marRight w:val="0"/>
      <w:marTop w:val="0"/>
      <w:marBottom w:val="0"/>
      <w:divBdr>
        <w:top w:val="none" w:sz="0" w:space="0" w:color="auto"/>
        <w:left w:val="none" w:sz="0" w:space="0" w:color="auto"/>
        <w:bottom w:val="none" w:sz="0" w:space="0" w:color="auto"/>
        <w:right w:val="none" w:sz="0" w:space="0" w:color="auto"/>
      </w:divBdr>
      <w:divsChild>
        <w:div w:id="68163927">
          <w:marLeft w:val="0"/>
          <w:marRight w:val="0"/>
          <w:marTop w:val="180"/>
          <w:marBottom w:val="180"/>
          <w:divBdr>
            <w:top w:val="none" w:sz="0" w:space="0" w:color="auto"/>
            <w:left w:val="none" w:sz="0" w:space="0" w:color="auto"/>
            <w:bottom w:val="none" w:sz="0" w:space="0" w:color="auto"/>
            <w:right w:val="none" w:sz="0" w:space="0" w:color="auto"/>
          </w:divBdr>
        </w:div>
      </w:divsChild>
    </w:div>
    <w:div w:id="1063524527">
      <w:marLeft w:val="0"/>
      <w:marRight w:val="0"/>
      <w:marTop w:val="180"/>
      <w:marBottom w:val="180"/>
      <w:divBdr>
        <w:top w:val="none" w:sz="0" w:space="0" w:color="auto"/>
        <w:left w:val="none" w:sz="0" w:space="0" w:color="auto"/>
        <w:bottom w:val="none" w:sz="0" w:space="0" w:color="auto"/>
        <w:right w:val="none" w:sz="0" w:space="0" w:color="auto"/>
      </w:divBdr>
    </w:div>
    <w:div w:id="1067075133">
      <w:marLeft w:val="0"/>
      <w:marRight w:val="0"/>
      <w:marTop w:val="180"/>
      <w:marBottom w:val="180"/>
      <w:divBdr>
        <w:top w:val="none" w:sz="0" w:space="0" w:color="auto"/>
        <w:left w:val="none" w:sz="0" w:space="0" w:color="auto"/>
        <w:bottom w:val="none" w:sz="0" w:space="0" w:color="auto"/>
        <w:right w:val="none" w:sz="0" w:space="0" w:color="auto"/>
      </w:divBdr>
    </w:div>
    <w:div w:id="1067415379">
      <w:marLeft w:val="0"/>
      <w:marRight w:val="0"/>
      <w:marTop w:val="60"/>
      <w:marBottom w:val="60"/>
      <w:divBdr>
        <w:top w:val="none" w:sz="0" w:space="0" w:color="auto"/>
        <w:left w:val="none" w:sz="0" w:space="0" w:color="auto"/>
        <w:bottom w:val="none" w:sz="0" w:space="0" w:color="auto"/>
        <w:right w:val="none" w:sz="0" w:space="0" w:color="auto"/>
      </w:divBdr>
    </w:div>
    <w:div w:id="1068067009">
      <w:marLeft w:val="0"/>
      <w:marRight w:val="0"/>
      <w:marTop w:val="180"/>
      <w:marBottom w:val="180"/>
      <w:divBdr>
        <w:top w:val="none" w:sz="0" w:space="0" w:color="auto"/>
        <w:left w:val="none" w:sz="0" w:space="0" w:color="auto"/>
        <w:bottom w:val="none" w:sz="0" w:space="0" w:color="auto"/>
        <w:right w:val="none" w:sz="0" w:space="0" w:color="auto"/>
      </w:divBdr>
    </w:div>
    <w:div w:id="1068958670">
      <w:marLeft w:val="0"/>
      <w:marRight w:val="0"/>
      <w:marTop w:val="180"/>
      <w:marBottom w:val="60"/>
      <w:divBdr>
        <w:top w:val="none" w:sz="0" w:space="0" w:color="auto"/>
        <w:left w:val="none" w:sz="0" w:space="0" w:color="auto"/>
        <w:bottom w:val="none" w:sz="0" w:space="0" w:color="auto"/>
        <w:right w:val="none" w:sz="0" w:space="0" w:color="auto"/>
      </w:divBdr>
    </w:div>
    <w:div w:id="1072460245">
      <w:marLeft w:val="0"/>
      <w:marRight w:val="0"/>
      <w:marTop w:val="0"/>
      <w:marBottom w:val="0"/>
      <w:divBdr>
        <w:top w:val="none" w:sz="0" w:space="0" w:color="auto"/>
        <w:left w:val="none" w:sz="0" w:space="0" w:color="auto"/>
        <w:bottom w:val="none" w:sz="0" w:space="0" w:color="auto"/>
        <w:right w:val="none" w:sz="0" w:space="0" w:color="auto"/>
      </w:divBdr>
    </w:div>
    <w:div w:id="1074357186">
      <w:marLeft w:val="0"/>
      <w:marRight w:val="0"/>
      <w:marTop w:val="180"/>
      <w:marBottom w:val="60"/>
      <w:divBdr>
        <w:top w:val="none" w:sz="0" w:space="0" w:color="auto"/>
        <w:left w:val="none" w:sz="0" w:space="0" w:color="auto"/>
        <w:bottom w:val="none" w:sz="0" w:space="0" w:color="auto"/>
        <w:right w:val="none" w:sz="0" w:space="0" w:color="auto"/>
      </w:divBdr>
    </w:div>
    <w:div w:id="1075512753">
      <w:marLeft w:val="0"/>
      <w:marRight w:val="0"/>
      <w:marTop w:val="0"/>
      <w:marBottom w:val="0"/>
      <w:divBdr>
        <w:top w:val="none" w:sz="0" w:space="0" w:color="auto"/>
        <w:left w:val="none" w:sz="0" w:space="0" w:color="auto"/>
        <w:bottom w:val="none" w:sz="0" w:space="0" w:color="auto"/>
        <w:right w:val="none" w:sz="0" w:space="0" w:color="auto"/>
      </w:divBdr>
      <w:divsChild>
        <w:div w:id="1785535104">
          <w:marLeft w:val="0"/>
          <w:marRight w:val="0"/>
          <w:marTop w:val="0"/>
          <w:marBottom w:val="0"/>
          <w:divBdr>
            <w:top w:val="none" w:sz="0" w:space="0" w:color="auto"/>
            <w:left w:val="none" w:sz="0" w:space="0" w:color="auto"/>
            <w:bottom w:val="none" w:sz="0" w:space="0" w:color="auto"/>
            <w:right w:val="none" w:sz="0" w:space="0" w:color="auto"/>
          </w:divBdr>
          <w:divsChild>
            <w:div w:id="18887125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8017008">
      <w:marLeft w:val="0"/>
      <w:marRight w:val="0"/>
      <w:marTop w:val="180"/>
      <w:marBottom w:val="180"/>
      <w:divBdr>
        <w:top w:val="none" w:sz="0" w:space="0" w:color="auto"/>
        <w:left w:val="none" w:sz="0" w:space="0" w:color="auto"/>
        <w:bottom w:val="none" w:sz="0" w:space="0" w:color="auto"/>
        <w:right w:val="none" w:sz="0" w:space="0" w:color="auto"/>
      </w:divBdr>
    </w:div>
    <w:div w:id="1080566620">
      <w:marLeft w:val="0"/>
      <w:marRight w:val="0"/>
      <w:marTop w:val="60"/>
      <w:marBottom w:val="60"/>
      <w:divBdr>
        <w:top w:val="none" w:sz="0" w:space="0" w:color="auto"/>
        <w:left w:val="none" w:sz="0" w:space="0" w:color="auto"/>
        <w:bottom w:val="none" w:sz="0" w:space="0" w:color="auto"/>
        <w:right w:val="none" w:sz="0" w:space="0" w:color="auto"/>
      </w:divBdr>
    </w:div>
    <w:div w:id="1087190343">
      <w:marLeft w:val="0"/>
      <w:marRight w:val="0"/>
      <w:marTop w:val="180"/>
      <w:marBottom w:val="180"/>
      <w:divBdr>
        <w:top w:val="none" w:sz="0" w:space="0" w:color="auto"/>
        <w:left w:val="none" w:sz="0" w:space="0" w:color="auto"/>
        <w:bottom w:val="none" w:sz="0" w:space="0" w:color="auto"/>
        <w:right w:val="none" w:sz="0" w:space="0" w:color="auto"/>
      </w:divBdr>
    </w:div>
    <w:div w:id="1092051051">
      <w:marLeft w:val="0"/>
      <w:marRight w:val="0"/>
      <w:marTop w:val="180"/>
      <w:marBottom w:val="180"/>
      <w:divBdr>
        <w:top w:val="none" w:sz="0" w:space="0" w:color="auto"/>
        <w:left w:val="none" w:sz="0" w:space="0" w:color="auto"/>
        <w:bottom w:val="none" w:sz="0" w:space="0" w:color="auto"/>
        <w:right w:val="none" w:sz="0" w:space="0" w:color="auto"/>
      </w:divBdr>
    </w:div>
    <w:div w:id="1092386300">
      <w:marLeft w:val="0"/>
      <w:marRight w:val="0"/>
      <w:marTop w:val="180"/>
      <w:marBottom w:val="100"/>
      <w:divBdr>
        <w:top w:val="none" w:sz="0" w:space="0" w:color="auto"/>
        <w:left w:val="none" w:sz="0" w:space="0" w:color="auto"/>
        <w:bottom w:val="none" w:sz="0" w:space="0" w:color="auto"/>
        <w:right w:val="none" w:sz="0" w:space="0" w:color="auto"/>
      </w:divBdr>
    </w:div>
    <w:div w:id="1094549091">
      <w:marLeft w:val="0"/>
      <w:marRight w:val="0"/>
      <w:marTop w:val="180"/>
      <w:marBottom w:val="180"/>
      <w:divBdr>
        <w:top w:val="none" w:sz="0" w:space="0" w:color="auto"/>
        <w:left w:val="none" w:sz="0" w:space="0" w:color="auto"/>
        <w:bottom w:val="none" w:sz="0" w:space="0" w:color="auto"/>
        <w:right w:val="none" w:sz="0" w:space="0" w:color="auto"/>
      </w:divBdr>
    </w:div>
    <w:div w:id="1096629266">
      <w:marLeft w:val="0"/>
      <w:marRight w:val="0"/>
      <w:marTop w:val="180"/>
      <w:marBottom w:val="180"/>
      <w:divBdr>
        <w:top w:val="none" w:sz="0" w:space="0" w:color="auto"/>
        <w:left w:val="none" w:sz="0" w:space="0" w:color="auto"/>
        <w:bottom w:val="none" w:sz="0" w:space="0" w:color="auto"/>
        <w:right w:val="none" w:sz="0" w:space="0" w:color="auto"/>
      </w:divBdr>
    </w:div>
    <w:div w:id="1097478249">
      <w:marLeft w:val="0"/>
      <w:marRight w:val="0"/>
      <w:marTop w:val="60"/>
      <w:marBottom w:val="100"/>
      <w:divBdr>
        <w:top w:val="none" w:sz="0" w:space="0" w:color="auto"/>
        <w:left w:val="none" w:sz="0" w:space="0" w:color="auto"/>
        <w:bottom w:val="none" w:sz="0" w:space="0" w:color="auto"/>
        <w:right w:val="none" w:sz="0" w:space="0" w:color="auto"/>
      </w:divBdr>
      <w:divsChild>
        <w:div w:id="915820191">
          <w:marLeft w:val="0"/>
          <w:marRight w:val="0"/>
          <w:marTop w:val="0"/>
          <w:marBottom w:val="0"/>
          <w:divBdr>
            <w:top w:val="none" w:sz="0" w:space="0" w:color="auto"/>
            <w:left w:val="none" w:sz="0" w:space="0" w:color="auto"/>
            <w:bottom w:val="none" w:sz="0" w:space="0" w:color="auto"/>
            <w:right w:val="none" w:sz="0" w:space="0" w:color="auto"/>
          </w:divBdr>
        </w:div>
      </w:divsChild>
    </w:div>
    <w:div w:id="1098910593">
      <w:marLeft w:val="0"/>
      <w:marRight w:val="0"/>
      <w:marTop w:val="180"/>
      <w:marBottom w:val="60"/>
      <w:divBdr>
        <w:top w:val="none" w:sz="0" w:space="0" w:color="auto"/>
        <w:left w:val="none" w:sz="0" w:space="0" w:color="auto"/>
        <w:bottom w:val="none" w:sz="0" w:space="0" w:color="auto"/>
        <w:right w:val="none" w:sz="0" w:space="0" w:color="auto"/>
      </w:divBdr>
    </w:div>
    <w:div w:id="1099523390">
      <w:marLeft w:val="0"/>
      <w:marRight w:val="0"/>
      <w:marTop w:val="60"/>
      <w:marBottom w:val="60"/>
      <w:divBdr>
        <w:top w:val="none" w:sz="0" w:space="0" w:color="auto"/>
        <w:left w:val="none" w:sz="0" w:space="0" w:color="auto"/>
        <w:bottom w:val="none" w:sz="0" w:space="0" w:color="auto"/>
        <w:right w:val="none" w:sz="0" w:space="0" w:color="auto"/>
      </w:divBdr>
    </w:div>
    <w:div w:id="1102530106">
      <w:marLeft w:val="0"/>
      <w:marRight w:val="0"/>
      <w:marTop w:val="100"/>
      <w:marBottom w:val="100"/>
      <w:divBdr>
        <w:top w:val="none" w:sz="0" w:space="0" w:color="auto"/>
        <w:left w:val="none" w:sz="0" w:space="0" w:color="auto"/>
        <w:bottom w:val="none" w:sz="0" w:space="0" w:color="auto"/>
        <w:right w:val="none" w:sz="0" w:space="0" w:color="auto"/>
      </w:divBdr>
      <w:divsChild>
        <w:div w:id="1494687794">
          <w:marLeft w:val="0"/>
          <w:marRight w:val="0"/>
          <w:marTop w:val="0"/>
          <w:marBottom w:val="0"/>
          <w:divBdr>
            <w:top w:val="none" w:sz="0" w:space="0" w:color="auto"/>
            <w:left w:val="none" w:sz="0" w:space="0" w:color="auto"/>
            <w:bottom w:val="none" w:sz="0" w:space="0" w:color="auto"/>
            <w:right w:val="none" w:sz="0" w:space="0" w:color="auto"/>
          </w:divBdr>
        </w:div>
        <w:div w:id="689063810">
          <w:marLeft w:val="0"/>
          <w:marRight w:val="0"/>
          <w:marTop w:val="0"/>
          <w:marBottom w:val="0"/>
          <w:divBdr>
            <w:top w:val="none" w:sz="0" w:space="0" w:color="auto"/>
            <w:left w:val="none" w:sz="0" w:space="0" w:color="auto"/>
            <w:bottom w:val="none" w:sz="0" w:space="0" w:color="auto"/>
            <w:right w:val="none" w:sz="0" w:space="0" w:color="auto"/>
          </w:divBdr>
        </w:div>
        <w:div w:id="1526091406">
          <w:marLeft w:val="0"/>
          <w:marRight w:val="0"/>
          <w:marTop w:val="0"/>
          <w:marBottom w:val="0"/>
          <w:divBdr>
            <w:top w:val="none" w:sz="0" w:space="0" w:color="auto"/>
            <w:left w:val="none" w:sz="0" w:space="0" w:color="auto"/>
            <w:bottom w:val="none" w:sz="0" w:space="0" w:color="auto"/>
            <w:right w:val="none" w:sz="0" w:space="0" w:color="auto"/>
          </w:divBdr>
        </w:div>
        <w:div w:id="1140927446">
          <w:marLeft w:val="0"/>
          <w:marRight w:val="0"/>
          <w:marTop w:val="0"/>
          <w:marBottom w:val="0"/>
          <w:divBdr>
            <w:top w:val="none" w:sz="0" w:space="0" w:color="auto"/>
            <w:left w:val="none" w:sz="0" w:space="0" w:color="auto"/>
            <w:bottom w:val="none" w:sz="0" w:space="0" w:color="auto"/>
            <w:right w:val="none" w:sz="0" w:space="0" w:color="auto"/>
          </w:divBdr>
        </w:div>
      </w:divsChild>
    </w:div>
    <w:div w:id="1104694077">
      <w:marLeft w:val="0"/>
      <w:marRight w:val="0"/>
      <w:marTop w:val="60"/>
      <w:marBottom w:val="60"/>
      <w:divBdr>
        <w:top w:val="none" w:sz="0" w:space="0" w:color="auto"/>
        <w:left w:val="none" w:sz="0" w:space="0" w:color="auto"/>
        <w:bottom w:val="none" w:sz="0" w:space="0" w:color="auto"/>
        <w:right w:val="none" w:sz="0" w:space="0" w:color="auto"/>
      </w:divBdr>
    </w:div>
    <w:div w:id="1106117240">
      <w:marLeft w:val="0"/>
      <w:marRight w:val="0"/>
      <w:marTop w:val="180"/>
      <w:marBottom w:val="180"/>
      <w:divBdr>
        <w:top w:val="none" w:sz="0" w:space="0" w:color="auto"/>
        <w:left w:val="none" w:sz="0" w:space="0" w:color="auto"/>
        <w:bottom w:val="none" w:sz="0" w:space="0" w:color="auto"/>
        <w:right w:val="none" w:sz="0" w:space="0" w:color="auto"/>
      </w:divBdr>
    </w:div>
    <w:div w:id="1107501074">
      <w:marLeft w:val="0"/>
      <w:marRight w:val="0"/>
      <w:marTop w:val="180"/>
      <w:marBottom w:val="180"/>
      <w:divBdr>
        <w:top w:val="none" w:sz="0" w:space="0" w:color="auto"/>
        <w:left w:val="none" w:sz="0" w:space="0" w:color="auto"/>
        <w:bottom w:val="none" w:sz="0" w:space="0" w:color="auto"/>
        <w:right w:val="none" w:sz="0" w:space="0" w:color="auto"/>
      </w:divBdr>
    </w:div>
    <w:div w:id="1111706278">
      <w:marLeft w:val="0"/>
      <w:marRight w:val="0"/>
      <w:marTop w:val="0"/>
      <w:marBottom w:val="0"/>
      <w:divBdr>
        <w:top w:val="none" w:sz="0" w:space="0" w:color="auto"/>
        <w:left w:val="none" w:sz="0" w:space="0" w:color="auto"/>
        <w:bottom w:val="none" w:sz="0" w:space="0" w:color="auto"/>
        <w:right w:val="none" w:sz="0" w:space="0" w:color="auto"/>
      </w:divBdr>
      <w:divsChild>
        <w:div w:id="876502294">
          <w:marLeft w:val="0"/>
          <w:marRight w:val="0"/>
          <w:marTop w:val="180"/>
          <w:marBottom w:val="180"/>
          <w:divBdr>
            <w:top w:val="none" w:sz="0" w:space="0" w:color="auto"/>
            <w:left w:val="none" w:sz="0" w:space="0" w:color="auto"/>
            <w:bottom w:val="none" w:sz="0" w:space="0" w:color="auto"/>
            <w:right w:val="none" w:sz="0" w:space="0" w:color="auto"/>
          </w:divBdr>
        </w:div>
      </w:divsChild>
    </w:div>
    <w:div w:id="1112867763">
      <w:marLeft w:val="0"/>
      <w:marRight w:val="0"/>
      <w:marTop w:val="180"/>
      <w:marBottom w:val="0"/>
      <w:divBdr>
        <w:top w:val="none" w:sz="0" w:space="0" w:color="auto"/>
        <w:left w:val="none" w:sz="0" w:space="0" w:color="auto"/>
        <w:bottom w:val="none" w:sz="0" w:space="0" w:color="auto"/>
        <w:right w:val="none" w:sz="0" w:space="0" w:color="auto"/>
      </w:divBdr>
    </w:div>
    <w:div w:id="1113206677">
      <w:marLeft w:val="0"/>
      <w:marRight w:val="0"/>
      <w:marTop w:val="180"/>
      <w:marBottom w:val="180"/>
      <w:divBdr>
        <w:top w:val="none" w:sz="0" w:space="0" w:color="auto"/>
        <w:left w:val="none" w:sz="0" w:space="0" w:color="auto"/>
        <w:bottom w:val="none" w:sz="0" w:space="0" w:color="auto"/>
        <w:right w:val="none" w:sz="0" w:space="0" w:color="auto"/>
      </w:divBdr>
    </w:div>
    <w:div w:id="1113327876">
      <w:marLeft w:val="0"/>
      <w:marRight w:val="0"/>
      <w:marTop w:val="180"/>
      <w:marBottom w:val="180"/>
      <w:divBdr>
        <w:top w:val="none" w:sz="0" w:space="0" w:color="auto"/>
        <w:left w:val="none" w:sz="0" w:space="0" w:color="auto"/>
        <w:bottom w:val="none" w:sz="0" w:space="0" w:color="auto"/>
        <w:right w:val="none" w:sz="0" w:space="0" w:color="auto"/>
      </w:divBdr>
    </w:div>
    <w:div w:id="1113554224">
      <w:marLeft w:val="0"/>
      <w:marRight w:val="0"/>
      <w:marTop w:val="180"/>
      <w:marBottom w:val="60"/>
      <w:divBdr>
        <w:top w:val="none" w:sz="0" w:space="0" w:color="auto"/>
        <w:left w:val="none" w:sz="0" w:space="0" w:color="auto"/>
        <w:bottom w:val="none" w:sz="0" w:space="0" w:color="auto"/>
        <w:right w:val="none" w:sz="0" w:space="0" w:color="auto"/>
      </w:divBdr>
    </w:div>
    <w:div w:id="1114128309">
      <w:marLeft w:val="0"/>
      <w:marRight w:val="0"/>
      <w:marTop w:val="120"/>
      <w:marBottom w:val="100"/>
      <w:divBdr>
        <w:top w:val="none" w:sz="0" w:space="0" w:color="auto"/>
        <w:left w:val="none" w:sz="0" w:space="0" w:color="auto"/>
        <w:bottom w:val="none" w:sz="0" w:space="0" w:color="auto"/>
        <w:right w:val="none" w:sz="0" w:space="0" w:color="auto"/>
      </w:divBdr>
      <w:divsChild>
        <w:div w:id="340670729">
          <w:marLeft w:val="0"/>
          <w:marRight w:val="0"/>
          <w:marTop w:val="0"/>
          <w:marBottom w:val="0"/>
          <w:divBdr>
            <w:top w:val="none" w:sz="0" w:space="0" w:color="auto"/>
            <w:left w:val="none" w:sz="0" w:space="0" w:color="auto"/>
            <w:bottom w:val="none" w:sz="0" w:space="0" w:color="auto"/>
            <w:right w:val="none" w:sz="0" w:space="0" w:color="auto"/>
          </w:divBdr>
        </w:div>
      </w:divsChild>
    </w:div>
    <w:div w:id="1116407617">
      <w:marLeft w:val="0"/>
      <w:marRight w:val="0"/>
      <w:marTop w:val="100"/>
      <w:marBottom w:val="100"/>
      <w:divBdr>
        <w:top w:val="none" w:sz="0" w:space="0" w:color="auto"/>
        <w:left w:val="none" w:sz="0" w:space="0" w:color="auto"/>
        <w:bottom w:val="none" w:sz="0" w:space="0" w:color="auto"/>
        <w:right w:val="none" w:sz="0" w:space="0" w:color="auto"/>
      </w:divBdr>
      <w:divsChild>
        <w:div w:id="648633815">
          <w:marLeft w:val="0"/>
          <w:marRight w:val="0"/>
          <w:marTop w:val="0"/>
          <w:marBottom w:val="0"/>
          <w:divBdr>
            <w:top w:val="none" w:sz="0" w:space="0" w:color="auto"/>
            <w:left w:val="none" w:sz="0" w:space="0" w:color="auto"/>
            <w:bottom w:val="none" w:sz="0" w:space="0" w:color="auto"/>
            <w:right w:val="none" w:sz="0" w:space="0" w:color="auto"/>
          </w:divBdr>
        </w:div>
      </w:divsChild>
    </w:div>
    <w:div w:id="1116825376">
      <w:marLeft w:val="0"/>
      <w:marRight w:val="0"/>
      <w:marTop w:val="0"/>
      <w:marBottom w:val="0"/>
      <w:divBdr>
        <w:top w:val="none" w:sz="0" w:space="0" w:color="auto"/>
        <w:left w:val="none" w:sz="0" w:space="0" w:color="auto"/>
        <w:bottom w:val="none" w:sz="0" w:space="0" w:color="auto"/>
        <w:right w:val="none" w:sz="0" w:space="0" w:color="auto"/>
      </w:divBdr>
      <w:divsChild>
        <w:div w:id="481972405">
          <w:marLeft w:val="0"/>
          <w:marRight w:val="0"/>
          <w:marTop w:val="180"/>
          <w:marBottom w:val="180"/>
          <w:divBdr>
            <w:top w:val="none" w:sz="0" w:space="0" w:color="auto"/>
            <w:left w:val="none" w:sz="0" w:space="0" w:color="auto"/>
            <w:bottom w:val="none" w:sz="0" w:space="0" w:color="auto"/>
            <w:right w:val="none" w:sz="0" w:space="0" w:color="auto"/>
          </w:divBdr>
        </w:div>
      </w:divsChild>
    </w:div>
    <w:div w:id="1117992401">
      <w:marLeft w:val="0"/>
      <w:marRight w:val="0"/>
      <w:marTop w:val="180"/>
      <w:marBottom w:val="180"/>
      <w:divBdr>
        <w:top w:val="none" w:sz="0" w:space="0" w:color="auto"/>
        <w:left w:val="none" w:sz="0" w:space="0" w:color="auto"/>
        <w:bottom w:val="none" w:sz="0" w:space="0" w:color="auto"/>
        <w:right w:val="none" w:sz="0" w:space="0" w:color="auto"/>
      </w:divBdr>
    </w:div>
    <w:div w:id="1118449110">
      <w:marLeft w:val="0"/>
      <w:marRight w:val="0"/>
      <w:marTop w:val="180"/>
      <w:marBottom w:val="60"/>
      <w:divBdr>
        <w:top w:val="none" w:sz="0" w:space="0" w:color="auto"/>
        <w:left w:val="none" w:sz="0" w:space="0" w:color="auto"/>
        <w:bottom w:val="none" w:sz="0" w:space="0" w:color="auto"/>
        <w:right w:val="none" w:sz="0" w:space="0" w:color="auto"/>
      </w:divBdr>
    </w:div>
    <w:div w:id="1119496112">
      <w:marLeft w:val="0"/>
      <w:marRight w:val="0"/>
      <w:marTop w:val="0"/>
      <w:marBottom w:val="0"/>
      <w:divBdr>
        <w:top w:val="none" w:sz="0" w:space="0" w:color="auto"/>
        <w:left w:val="none" w:sz="0" w:space="0" w:color="auto"/>
        <w:bottom w:val="none" w:sz="0" w:space="0" w:color="auto"/>
        <w:right w:val="none" w:sz="0" w:space="0" w:color="auto"/>
      </w:divBdr>
      <w:divsChild>
        <w:div w:id="1990673101">
          <w:marLeft w:val="0"/>
          <w:marRight w:val="0"/>
          <w:marTop w:val="180"/>
          <w:marBottom w:val="180"/>
          <w:divBdr>
            <w:top w:val="none" w:sz="0" w:space="0" w:color="auto"/>
            <w:left w:val="none" w:sz="0" w:space="0" w:color="auto"/>
            <w:bottom w:val="none" w:sz="0" w:space="0" w:color="auto"/>
            <w:right w:val="none" w:sz="0" w:space="0" w:color="auto"/>
          </w:divBdr>
        </w:div>
      </w:divsChild>
    </w:div>
    <w:div w:id="1119688492">
      <w:marLeft w:val="0"/>
      <w:marRight w:val="0"/>
      <w:marTop w:val="180"/>
      <w:marBottom w:val="180"/>
      <w:divBdr>
        <w:top w:val="none" w:sz="0" w:space="0" w:color="auto"/>
        <w:left w:val="none" w:sz="0" w:space="0" w:color="auto"/>
        <w:bottom w:val="none" w:sz="0" w:space="0" w:color="auto"/>
        <w:right w:val="none" w:sz="0" w:space="0" w:color="auto"/>
      </w:divBdr>
    </w:div>
    <w:div w:id="1120148179">
      <w:marLeft w:val="0"/>
      <w:marRight w:val="0"/>
      <w:marTop w:val="100"/>
      <w:marBottom w:val="180"/>
      <w:divBdr>
        <w:top w:val="none" w:sz="0" w:space="0" w:color="auto"/>
        <w:left w:val="none" w:sz="0" w:space="0" w:color="auto"/>
        <w:bottom w:val="none" w:sz="0" w:space="0" w:color="auto"/>
        <w:right w:val="none" w:sz="0" w:space="0" w:color="auto"/>
      </w:divBdr>
    </w:div>
    <w:div w:id="1120608919">
      <w:marLeft w:val="0"/>
      <w:marRight w:val="0"/>
      <w:marTop w:val="60"/>
      <w:marBottom w:val="60"/>
      <w:divBdr>
        <w:top w:val="none" w:sz="0" w:space="0" w:color="auto"/>
        <w:left w:val="none" w:sz="0" w:space="0" w:color="auto"/>
        <w:bottom w:val="none" w:sz="0" w:space="0" w:color="auto"/>
        <w:right w:val="none" w:sz="0" w:space="0" w:color="auto"/>
      </w:divBdr>
      <w:divsChild>
        <w:div w:id="655718695">
          <w:marLeft w:val="0"/>
          <w:marRight w:val="0"/>
          <w:marTop w:val="0"/>
          <w:marBottom w:val="0"/>
          <w:divBdr>
            <w:top w:val="none" w:sz="0" w:space="0" w:color="auto"/>
            <w:left w:val="none" w:sz="0" w:space="0" w:color="auto"/>
            <w:bottom w:val="none" w:sz="0" w:space="0" w:color="auto"/>
            <w:right w:val="none" w:sz="0" w:space="0" w:color="auto"/>
          </w:divBdr>
        </w:div>
        <w:div w:id="1758743239">
          <w:marLeft w:val="0"/>
          <w:marRight w:val="0"/>
          <w:marTop w:val="0"/>
          <w:marBottom w:val="0"/>
          <w:divBdr>
            <w:top w:val="none" w:sz="0" w:space="0" w:color="auto"/>
            <w:left w:val="none" w:sz="0" w:space="0" w:color="auto"/>
            <w:bottom w:val="none" w:sz="0" w:space="0" w:color="auto"/>
            <w:right w:val="none" w:sz="0" w:space="0" w:color="auto"/>
          </w:divBdr>
        </w:div>
      </w:divsChild>
    </w:div>
    <w:div w:id="1122963749">
      <w:marLeft w:val="0"/>
      <w:marRight w:val="0"/>
      <w:marTop w:val="60"/>
      <w:marBottom w:val="60"/>
      <w:divBdr>
        <w:top w:val="none" w:sz="0" w:space="0" w:color="auto"/>
        <w:left w:val="none" w:sz="0" w:space="0" w:color="auto"/>
        <w:bottom w:val="none" w:sz="0" w:space="0" w:color="auto"/>
        <w:right w:val="none" w:sz="0" w:space="0" w:color="auto"/>
      </w:divBdr>
    </w:div>
    <w:div w:id="1125581427">
      <w:marLeft w:val="0"/>
      <w:marRight w:val="0"/>
      <w:marTop w:val="180"/>
      <w:marBottom w:val="180"/>
      <w:divBdr>
        <w:top w:val="none" w:sz="0" w:space="0" w:color="auto"/>
        <w:left w:val="none" w:sz="0" w:space="0" w:color="auto"/>
        <w:bottom w:val="none" w:sz="0" w:space="0" w:color="auto"/>
        <w:right w:val="none" w:sz="0" w:space="0" w:color="auto"/>
      </w:divBdr>
    </w:div>
    <w:div w:id="1125929078">
      <w:marLeft w:val="0"/>
      <w:marRight w:val="0"/>
      <w:marTop w:val="60"/>
      <w:marBottom w:val="60"/>
      <w:divBdr>
        <w:top w:val="none" w:sz="0" w:space="0" w:color="auto"/>
        <w:left w:val="none" w:sz="0" w:space="0" w:color="auto"/>
        <w:bottom w:val="none" w:sz="0" w:space="0" w:color="auto"/>
        <w:right w:val="none" w:sz="0" w:space="0" w:color="auto"/>
      </w:divBdr>
    </w:div>
    <w:div w:id="1126698093">
      <w:marLeft w:val="0"/>
      <w:marRight w:val="0"/>
      <w:marTop w:val="0"/>
      <w:marBottom w:val="0"/>
      <w:divBdr>
        <w:top w:val="none" w:sz="0" w:space="0" w:color="auto"/>
        <w:left w:val="none" w:sz="0" w:space="0" w:color="auto"/>
        <w:bottom w:val="none" w:sz="0" w:space="0" w:color="auto"/>
        <w:right w:val="none" w:sz="0" w:space="0" w:color="auto"/>
      </w:divBdr>
    </w:div>
    <w:div w:id="1126856267">
      <w:marLeft w:val="0"/>
      <w:marRight w:val="0"/>
      <w:marTop w:val="0"/>
      <w:marBottom w:val="0"/>
      <w:divBdr>
        <w:top w:val="none" w:sz="0" w:space="0" w:color="auto"/>
        <w:left w:val="none" w:sz="0" w:space="0" w:color="auto"/>
        <w:bottom w:val="none" w:sz="0" w:space="0" w:color="auto"/>
        <w:right w:val="none" w:sz="0" w:space="0" w:color="auto"/>
      </w:divBdr>
      <w:divsChild>
        <w:div w:id="1065180368">
          <w:marLeft w:val="0"/>
          <w:marRight w:val="0"/>
          <w:marTop w:val="0"/>
          <w:marBottom w:val="0"/>
          <w:divBdr>
            <w:top w:val="none" w:sz="0" w:space="0" w:color="auto"/>
            <w:left w:val="none" w:sz="0" w:space="0" w:color="auto"/>
            <w:bottom w:val="none" w:sz="0" w:space="0" w:color="auto"/>
            <w:right w:val="none" w:sz="0" w:space="0" w:color="auto"/>
          </w:divBdr>
          <w:divsChild>
            <w:div w:id="15454813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7041011">
      <w:marLeft w:val="0"/>
      <w:marRight w:val="0"/>
      <w:marTop w:val="180"/>
      <w:marBottom w:val="180"/>
      <w:divBdr>
        <w:top w:val="none" w:sz="0" w:space="0" w:color="auto"/>
        <w:left w:val="none" w:sz="0" w:space="0" w:color="auto"/>
        <w:bottom w:val="none" w:sz="0" w:space="0" w:color="auto"/>
        <w:right w:val="none" w:sz="0" w:space="0" w:color="auto"/>
      </w:divBdr>
    </w:div>
    <w:div w:id="1127894375">
      <w:marLeft w:val="0"/>
      <w:marRight w:val="0"/>
      <w:marTop w:val="60"/>
      <w:marBottom w:val="60"/>
      <w:divBdr>
        <w:top w:val="none" w:sz="0" w:space="0" w:color="auto"/>
        <w:left w:val="none" w:sz="0" w:space="0" w:color="auto"/>
        <w:bottom w:val="none" w:sz="0" w:space="0" w:color="auto"/>
        <w:right w:val="none" w:sz="0" w:space="0" w:color="auto"/>
      </w:divBdr>
    </w:div>
    <w:div w:id="1128551974">
      <w:marLeft w:val="0"/>
      <w:marRight w:val="0"/>
      <w:marTop w:val="180"/>
      <w:marBottom w:val="180"/>
      <w:divBdr>
        <w:top w:val="none" w:sz="0" w:space="0" w:color="auto"/>
        <w:left w:val="none" w:sz="0" w:space="0" w:color="auto"/>
        <w:bottom w:val="none" w:sz="0" w:space="0" w:color="auto"/>
        <w:right w:val="none" w:sz="0" w:space="0" w:color="auto"/>
      </w:divBdr>
    </w:div>
    <w:div w:id="1128595804">
      <w:marLeft w:val="0"/>
      <w:marRight w:val="0"/>
      <w:marTop w:val="0"/>
      <w:marBottom w:val="0"/>
      <w:divBdr>
        <w:top w:val="none" w:sz="0" w:space="0" w:color="auto"/>
        <w:left w:val="none" w:sz="0" w:space="0" w:color="auto"/>
        <w:bottom w:val="none" w:sz="0" w:space="0" w:color="auto"/>
        <w:right w:val="none" w:sz="0" w:space="0" w:color="auto"/>
      </w:divBdr>
      <w:divsChild>
        <w:div w:id="1873154741">
          <w:marLeft w:val="0"/>
          <w:marRight w:val="0"/>
          <w:marTop w:val="180"/>
          <w:marBottom w:val="180"/>
          <w:divBdr>
            <w:top w:val="none" w:sz="0" w:space="0" w:color="auto"/>
            <w:left w:val="none" w:sz="0" w:space="0" w:color="auto"/>
            <w:bottom w:val="none" w:sz="0" w:space="0" w:color="auto"/>
            <w:right w:val="none" w:sz="0" w:space="0" w:color="auto"/>
          </w:divBdr>
        </w:div>
      </w:divsChild>
    </w:div>
    <w:div w:id="1131940554">
      <w:marLeft w:val="0"/>
      <w:marRight w:val="0"/>
      <w:marTop w:val="180"/>
      <w:marBottom w:val="0"/>
      <w:divBdr>
        <w:top w:val="none" w:sz="0" w:space="0" w:color="auto"/>
        <w:left w:val="none" w:sz="0" w:space="0" w:color="auto"/>
        <w:bottom w:val="none" w:sz="0" w:space="0" w:color="auto"/>
        <w:right w:val="none" w:sz="0" w:space="0" w:color="auto"/>
      </w:divBdr>
    </w:div>
    <w:div w:id="1132134796">
      <w:marLeft w:val="0"/>
      <w:marRight w:val="0"/>
      <w:marTop w:val="100"/>
      <w:marBottom w:val="180"/>
      <w:divBdr>
        <w:top w:val="none" w:sz="0" w:space="0" w:color="auto"/>
        <w:left w:val="none" w:sz="0" w:space="0" w:color="auto"/>
        <w:bottom w:val="none" w:sz="0" w:space="0" w:color="auto"/>
        <w:right w:val="none" w:sz="0" w:space="0" w:color="auto"/>
      </w:divBdr>
    </w:div>
    <w:div w:id="1133208896">
      <w:marLeft w:val="0"/>
      <w:marRight w:val="0"/>
      <w:marTop w:val="180"/>
      <w:marBottom w:val="180"/>
      <w:divBdr>
        <w:top w:val="none" w:sz="0" w:space="0" w:color="auto"/>
        <w:left w:val="none" w:sz="0" w:space="0" w:color="auto"/>
        <w:bottom w:val="none" w:sz="0" w:space="0" w:color="auto"/>
        <w:right w:val="none" w:sz="0" w:space="0" w:color="auto"/>
      </w:divBdr>
    </w:div>
    <w:div w:id="1134636968">
      <w:marLeft w:val="0"/>
      <w:marRight w:val="0"/>
      <w:marTop w:val="0"/>
      <w:marBottom w:val="0"/>
      <w:divBdr>
        <w:top w:val="none" w:sz="0" w:space="0" w:color="auto"/>
        <w:left w:val="none" w:sz="0" w:space="0" w:color="auto"/>
        <w:bottom w:val="none" w:sz="0" w:space="0" w:color="auto"/>
        <w:right w:val="none" w:sz="0" w:space="0" w:color="auto"/>
      </w:divBdr>
    </w:div>
    <w:div w:id="1134718166">
      <w:marLeft w:val="0"/>
      <w:marRight w:val="0"/>
      <w:marTop w:val="60"/>
      <w:marBottom w:val="6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 w:id="1135828557">
      <w:marLeft w:val="0"/>
      <w:marRight w:val="0"/>
      <w:marTop w:val="180"/>
      <w:marBottom w:val="180"/>
      <w:divBdr>
        <w:top w:val="none" w:sz="0" w:space="0" w:color="auto"/>
        <w:left w:val="none" w:sz="0" w:space="0" w:color="auto"/>
        <w:bottom w:val="none" w:sz="0" w:space="0" w:color="auto"/>
        <w:right w:val="none" w:sz="0" w:space="0" w:color="auto"/>
      </w:divBdr>
    </w:div>
    <w:div w:id="1138182493">
      <w:marLeft w:val="0"/>
      <w:marRight w:val="0"/>
      <w:marTop w:val="180"/>
      <w:marBottom w:val="0"/>
      <w:divBdr>
        <w:top w:val="none" w:sz="0" w:space="0" w:color="auto"/>
        <w:left w:val="none" w:sz="0" w:space="0" w:color="auto"/>
        <w:bottom w:val="none" w:sz="0" w:space="0" w:color="auto"/>
        <w:right w:val="none" w:sz="0" w:space="0" w:color="auto"/>
      </w:divBdr>
    </w:div>
    <w:div w:id="1140154983">
      <w:marLeft w:val="0"/>
      <w:marRight w:val="0"/>
      <w:marTop w:val="0"/>
      <w:marBottom w:val="0"/>
      <w:divBdr>
        <w:top w:val="none" w:sz="0" w:space="0" w:color="auto"/>
        <w:left w:val="none" w:sz="0" w:space="0" w:color="auto"/>
        <w:bottom w:val="none" w:sz="0" w:space="0" w:color="auto"/>
        <w:right w:val="none" w:sz="0" w:space="0" w:color="auto"/>
      </w:divBdr>
    </w:div>
    <w:div w:id="1141652394">
      <w:marLeft w:val="0"/>
      <w:marRight w:val="0"/>
      <w:marTop w:val="180"/>
      <w:marBottom w:val="0"/>
      <w:divBdr>
        <w:top w:val="none" w:sz="0" w:space="0" w:color="auto"/>
        <w:left w:val="none" w:sz="0" w:space="0" w:color="auto"/>
        <w:bottom w:val="none" w:sz="0" w:space="0" w:color="auto"/>
        <w:right w:val="none" w:sz="0" w:space="0" w:color="auto"/>
      </w:divBdr>
    </w:div>
    <w:div w:id="1142112789">
      <w:marLeft w:val="0"/>
      <w:marRight w:val="0"/>
      <w:marTop w:val="0"/>
      <w:marBottom w:val="0"/>
      <w:divBdr>
        <w:top w:val="none" w:sz="0" w:space="0" w:color="auto"/>
        <w:left w:val="none" w:sz="0" w:space="0" w:color="auto"/>
        <w:bottom w:val="none" w:sz="0" w:space="0" w:color="auto"/>
        <w:right w:val="none" w:sz="0" w:space="0" w:color="auto"/>
      </w:divBdr>
      <w:divsChild>
        <w:div w:id="326255466">
          <w:marLeft w:val="0"/>
          <w:marRight w:val="0"/>
          <w:marTop w:val="180"/>
          <w:marBottom w:val="180"/>
          <w:divBdr>
            <w:top w:val="none" w:sz="0" w:space="0" w:color="auto"/>
            <w:left w:val="none" w:sz="0" w:space="0" w:color="auto"/>
            <w:bottom w:val="none" w:sz="0" w:space="0" w:color="auto"/>
            <w:right w:val="none" w:sz="0" w:space="0" w:color="auto"/>
          </w:divBdr>
        </w:div>
      </w:divsChild>
    </w:div>
    <w:div w:id="1143811787">
      <w:marLeft w:val="0"/>
      <w:marRight w:val="0"/>
      <w:marTop w:val="0"/>
      <w:marBottom w:val="0"/>
      <w:divBdr>
        <w:top w:val="none" w:sz="0" w:space="0" w:color="auto"/>
        <w:left w:val="none" w:sz="0" w:space="0" w:color="auto"/>
        <w:bottom w:val="none" w:sz="0" w:space="0" w:color="auto"/>
        <w:right w:val="none" w:sz="0" w:space="0" w:color="auto"/>
      </w:divBdr>
      <w:divsChild>
        <w:div w:id="764963669">
          <w:marLeft w:val="0"/>
          <w:marRight w:val="0"/>
          <w:marTop w:val="180"/>
          <w:marBottom w:val="180"/>
          <w:divBdr>
            <w:top w:val="none" w:sz="0" w:space="0" w:color="auto"/>
            <w:left w:val="none" w:sz="0" w:space="0" w:color="auto"/>
            <w:bottom w:val="none" w:sz="0" w:space="0" w:color="auto"/>
            <w:right w:val="none" w:sz="0" w:space="0" w:color="auto"/>
          </w:divBdr>
        </w:div>
      </w:divsChild>
    </w:div>
    <w:div w:id="1144807887">
      <w:marLeft w:val="0"/>
      <w:marRight w:val="0"/>
      <w:marTop w:val="60"/>
      <w:marBottom w:val="60"/>
      <w:divBdr>
        <w:top w:val="none" w:sz="0" w:space="0" w:color="auto"/>
        <w:left w:val="none" w:sz="0" w:space="0" w:color="auto"/>
        <w:bottom w:val="none" w:sz="0" w:space="0" w:color="auto"/>
        <w:right w:val="none" w:sz="0" w:space="0" w:color="auto"/>
      </w:divBdr>
    </w:div>
    <w:div w:id="1145128450">
      <w:marLeft w:val="0"/>
      <w:marRight w:val="0"/>
      <w:marTop w:val="180"/>
      <w:marBottom w:val="60"/>
      <w:divBdr>
        <w:top w:val="none" w:sz="0" w:space="0" w:color="auto"/>
        <w:left w:val="none" w:sz="0" w:space="0" w:color="auto"/>
        <w:bottom w:val="none" w:sz="0" w:space="0" w:color="auto"/>
        <w:right w:val="none" w:sz="0" w:space="0" w:color="auto"/>
      </w:divBdr>
    </w:div>
    <w:div w:id="1150632415">
      <w:marLeft w:val="0"/>
      <w:marRight w:val="0"/>
      <w:marTop w:val="100"/>
      <w:marBottom w:val="60"/>
      <w:divBdr>
        <w:top w:val="none" w:sz="0" w:space="0" w:color="auto"/>
        <w:left w:val="none" w:sz="0" w:space="0" w:color="auto"/>
        <w:bottom w:val="none" w:sz="0" w:space="0" w:color="auto"/>
        <w:right w:val="none" w:sz="0" w:space="0" w:color="auto"/>
      </w:divBdr>
    </w:div>
    <w:div w:id="1151366048">
      <w:marLeft w:val="0"/>
      <w:marRight w:val="0"/>
      <w:marTop w:val="60"/>
      <w:marBottom w:val="60"/>
      <w:divBdr>
        <w:top w:val="none" w:sz="0" w:space="0" w:color="auto"/>
        <w:left w:val="none" w:sz="0" w:space="0" w:color="auto"/>
        <w:bottom w:val="none" w:sz="0" w:space="0" w:color="auto"/>
        <w:right w:val="none" w:sz="0" w:space="0" w:color="auto"/>
      </w:divBdr>
    </w:div>
    <w:div w:id="1151630411">
      <w:marLeft w:val="0"/>
      <w:marRight w:val="0"/>
      <w:marTop w:val="180"/>
      <w:marBottom w:val="180"/>
      <w:divBdr>
        <w:top w:val="none" w:sz="0" w:space="0" w:color="auto"/>
        <w:left w:val="none" w:sz="0" w:space="0" w:color="auto"/>
        <w:bottom w:val="none" w:sz="0" w:space="0" w:color="auto"/>
        <w:right w:val="none" w:sz="0" w:space="0" w:color="auto"/>
      </w:divBdr>
    </w:div>
    <w:div w:id="1153375620">
      <w:marLeft w:val="0"/>
      <w:marRight w:val="0"/>
      <w:marTop w:val="180"/>
      <w:marBottom w:val="60"/>
      <w:divBdr>
        <w:top w:val="none" w:sz="0" w:space="0" w:color="auto"/>
        <w:left w:val="none" w:sz="0" w:space="0" w:color="auto"/>
        <w:bottom w:val="none" w:sz="0" w:space="0" w:color="auto"/>
        <w:right w:val="none" w:sz="0" w:space="0" w:color="auto"/>
      </w:divBdr>
    </w:div>
    <w:div w:id="1155799586">
      <w:marLeft w:val="0"/>
      <w:marRight w:val="0"/>
      <w:marTop w:val="60"/>
      <w:marBottom w:val="60"/>
      <w:divBdr>
        <w:top w:val="none" w:sz="0" w:space="0" w:color="auto"/>
        <w:left w:val="none" w:sz="0" w:space="0" w:color="auto"/>
        <w:bottom w:val="none" w:sz="0" w:space="0" w:color="auto"/>
        <w:right w:val="none" w:sz="0" w:space="0" w:color="auto"/>
      </w:divBdr>
      <w:divsChild>
        <w:div w:id="1807165076">
          <w:marLeft w:val="0"/>
          <w:marRight w:val="0"/>
          <w:marTop w:val="0"/>
          <w:marBottom w:val="0"/>
          <w:divBdr>
            <w:top w:val="none" w:sz="0" w:space="0" w:color="auto"/>
            <w:left w:val="none" w:sz="0" w:space="0" w:color="auto"/>
            <w:bottom w:val="none" w:sz="0" w:space="0" w:color="auto"/>
            <w:right w:val="none" w:sz="0" w:space="0" w:color="auto"/>
          </w:divBdr>
        </w:div>
        <w:div w:id="43407448">
          <w:marLeft w:val="0"/>
          <w:marRight w:val="0"/>
          <w:marTop w:val="0"/>
          <w:marBottom w:val="0"/>
          <w:divBdr>
            <w:top w:val="none" w:sz="0" w:space="0" w:color="auto"/>
            <w:left w:val="none" w:sz="0" w:space="0" w:color="auto"/>
            <w:bottom w:val="none" w:sz="0" w:space="0" w:color="auto"/>
            <w:right w:val="none" w:sz="0" w:space="0" w:color="auto"/>
          </w:divBdr>
        </w:div>
        <w:div w:id="1218709803">
          <w:marLeft w:val="0"/>
          <w:marRight w:val="0"/>
          <w:marTop w:val="0"/>
          <w:marBottom w:val="0"/>
          <w:divBdr>
            <w:top w:val="none" w:sz="0" w:space="0" w:color="auto"/>
            <w:left w:val="none" w:sz="0" w:space="0" w:color="auto"/>
            <w:bottom w:val="none" w:sz="0" w:space="0" w:color="auto"/>
            <w:right w:val="none" w:sz="0" w:space="0" w:color="auto"/>
          </w:divBdr>
        </w:div>
      </w:divsChild>
    </w:div>
    <w:div w:id="1159267772">
      <w:marLeft w:val="0"/>
      <w:marRight w:val="0"/>
      <w:marTop w:val="60"/>
      <w:marBottom w:val="60"/>
      <w:divBdr>
        <w:top w:val="none" w:sz="0" w:space="0" w:color="auto"/>
        <w:left w:val="none" w:sz="0" w:space="0" w:color="auto"/>
        <w:bottom w:val="none" w:sz="0" w:space="0" w:color="auto"/>
        <w:right w:val="none" w:sz="0" w:space="0" w:color="auto"/>
      </w:divBdr>
    </w:div>
    <w:div w:id="1159615083">
      <w:marLeft w:val="0"/>
      <w:marRight w:val="0"/>
      <w:marTop w:val="180"/>
      <w:marBottom w:val="180"/>
      <w:divBdr>
        <w:top w:val="none" w:sz="0" w:space="0" w:color="auto"/>
        <w:left w:val="none" w:sz="0" w:space="0" w:color="auto"/>
        <w:bottom w:val="none" w:sz="0" w:space="0" w:color="auto"/>
        <w:right w:val="none" w:sz="0" w:space="0" w:color="auto"/>
      </w:divBdr>
    </w:div>
    <w:div w:id="1160732721">
      <w:marLeft w:val="0"/>
      <w:marRight w:val="0"/>
      <w:marTop w:val="180"/>
      <w:marBottom w:val="60"/>
      <w:divBdr>
        <w:top w:val="none" w:sz="0" w:space="0" w:color="auto"/>
        <w:left w:val="none" w:sz="0" w:space="0" w:color="auto"/>
        <w:bottom w:val="none" w:sz="0" w:space="0" w:color="auto"/>
        <w:right w:val="none" w:sz="0" w:space="0" w:color="auto"/>
      </w:divBdr>
    </w:div>
    <w:div w:id="1160929069">
      <w:marLeft w:val="0"/>
      <w:marRight w:val="0"/>
      <w:marTop w:val="180"/>
      <w:marBottom w:val="180"/>
      <w:divBdr>
        <w:top w:val="none" w:sz="0" w:space="0" w:color="auto"/>
        <w:left w:val="none" w:sz="0" w:space="0" w:color="auto"/>
        <w:bottom w:val="none" w:sz="0" w:space="0" w:color="auto"/>
        <w:right w:val="none" w:sz="0" w:space="0" w:color="auto"/>
      </w:divBdr>
    </w:div>
    <w:div w:id="1164588956">
      <w:marLeft w:val="0"/>
      <w:marRight w:val="0"/>
      <w:marTop w:val="180"/>
      <w:marBottom w:val="0"/>
      <w:divBdr>
        <w:top w:val="none" w:sz="0" w:space="0" w:color="auto"/>
        <w:left w:val="none" w:sz="0" w:space="0" w:color="auto"/>
        <w:bottom w:val="none" w:sz="0" w:space="0" w:color="auto"/>
        <w:right w:val="none" w:sz="0" w:space="0" w:color="auto"/>
      </w:divBdr>
    </w:div>
    <w:div w:id="1166359503">
      <w:marLeft w:val="0"/>
      <w:marRight w:val="0"/>
      <w:marTop w:val="180"/>
      <w:marBottom w:val="180"/>
      <w:divBdr>
        <w:top w:val="none" w:sz="0" w:space="0" w:color="auto"/>
        <w:left w:val="none" w:sz="0" w:space="0" w:color="auto"/>
        <w:bottom w:val="none" w:sz="0" w:space="0" w:color="auto"/>
        <w:right w:val="none" w:sz="0" w:space="0" w:color="auto"/>
      </w:divBdr>
    </w:div>
    <w:div w:id="1168642979">
      <w:marLeft w:val="0"/>
      <w:marRight w:val="0"/>
      <w:marTop w:val="180"/>
      <w:marBottom w:val="180"/>
      <w:divBdr>
        <w:top w:val="none" w:sz="0" w:space="0" w:color="auto"/>
        <w:left w:val="none" w:sz="0" w:space="0" w:color="auto"/>
        <w:bottom w:val="none" w:sz="0" w:space="0" w:color="auto"/>
        <w:right w:val="none" w:sz="0" w:space="0" w:color="auto"/>
      </w:divBdr>
    </w:div>
    <w:div w:id="1173422177">
      <w:marLeft w:val="0"/>
      <w:marRight w:val="0"/>
      <w:marTop w:val="60"/>
      <w:marBottom w:val="60"/>
      <w:divBdr>
        <w:top w:val="none" w:sz="0" w:space="0" w:color="auto"/>
        <w:left w:val="none" w:sz="0" w:space="0" w:color="auto"/>
        <w:bottom w:val="none" w:sz="0" w:space="0" w:color="auto"/>
        <w:right w:val="none" w:sz="0" w:space="0" w:color="auto"/>
      </w:divBdr>
    </w:div>
    <w:div w:id="1174805652">
      <w:marLeft w:val="0"/>
      <w:marRight w:val="0"/>
      <w:marTop w:val="60"/>
      <w:marBottom w:val="60"/>
      <w:divBdr>
        <w:top w:val="none" w:sz="0" w:space="0" w:color="auto"/>
        <w:left w:val="none" w:sz="0" w:space="0" w:color="auto"/>
        <w:bottom w:val="none" w:sz="0" w:space="0" w:color="auto"/>
        <w:right w:val="none" w:sz="0" w:space="0" w:color="auto"/>
      </w:divBdr>
    </w:div>
    <w:div w:id="1175341719">
      <w:marLeft w:val="0"/>
      <w:marRight w:val="0"/>
      <w:marTop w:val="60"/>
      <w:marBottom w:val="60"/>
      <w:divBdr>
        <w:top w:val="none" w:sz="0" w:space="0" w:color="auto"/>
        <w:left w:val="none" w:sz="0" w:space="0" w:color="auto"/>
        <w:bottom w:val="none" w:sz="0" w:space="0" w:color="auto"/>
        <w:right w:val="none" w:sz="0" w:space="0" w:color="auto"/>
      </w:divBdr>
    </w:div>
    <w:div w:id="1176724846">
      <w:marLeft w:val="0"/>
      <w:marRight w:val="0"/>
      <w:marTop w:val="180"/>
      <w:marBottom w:val="180"/>
      <w:divBdr>
        <w:top w:val="none" w:sz="0" w:space="0" w:color="auto"/>
        <w:left w:val="none" w:sz="0" w:space="0" w:color="auto"/>
        <w:bottom w:val="none" w:sz="0" w:space="0" w:color="auto"/>
        <w:right w:val="none" w:sz="0" w:space="0" w:color="auto"/>
      </w:divBdr>
    </w:div>
    <w:div w:id="1178471703">
      <w:marLeft w:val="0"/>
      <w:marRight w:val="0"/>
      <w:marTop w:val="0"/>
      <w:marBottom w:val="0"/>
      <w:divBdr>
        <w:top w:val="none" w:sz="0" w:space="0" w:color="auto"/>
        <w:left w:val="none" w:sz="0" w:space="0" w:color="auto"/>
        <w:bottom w:val="none" w:sz="0" w:space="0" w:color="auto"/>
        <w:right w:val="none" w:sz="0" w:space="0" w:color="auto"/>
      </w:divBdr>
    </w:div>
    <w:div w:id="1178495925">
      <w:marLeft w:val="0"/>
      <w:marRight w:val="0"/>
      <w:marTop w:val="0"/>
      <w:marBottom w:val="0"/>
      <w:divBdr>
        <w:top w:val="none" w:sz="0" w:space="0" w:color="auto"/>
        <w:left w:val="none" w:sz="0" w:space="0" w:color="auto"/>
        <w:bottom w:val="none" w:sz="0" w:space="0" w:color="auto"/>
        <w:right w:val="none" w:sz="0" w:space="0" w:color="auto"/>
      </w:divBdr>
      <w:divsChild>
        <w:div w:id="776829802">
          <w:marLeft w:val="0"/>
          <w:marRight w:val="0"/>
          <w:marTop w:val="180"/>
          <w:marBottom w:val="180"/>
          <w:divBdr>
            <w:top w:val="none" w:sz="0" w:space="0" w:color="auto"/>
            <w:left w:val="none" w:sz="0" w:space="0" w:color="auto"/>
            <w:bottom w:val="none" w:sz="0" w:space="0" w:color="auto"/>
            <w:right w:val="none" w:sz="0" w:space="0" w:color="auto"/>
          </w:divBdr>
        </w:div>
      </w:divsChild>
    </w:div>
    <w:div w:id="1179931198">
      <w:marLeft w:val="0"/>
      <w:marRight w:val="0"/>
      <w:marTop w:val="180"/>
      <w:marBottom w:val="180"/>
      <w:divBdr>
        <w:top w:val="none" w:sz="0" w:space="0" w:color="auto"/>
        <w:left w:val="none" w:sz="0" w:space="0" w:color="auto"/>
        <w:bottom w:val="none" w:sz="0" w:space="0" w:color="auto"/>
        <w:right w:val="none" w:sz="0" w:space="0" w:color="auto"/>
      </w:divBdr>
    </w:div>
    <w:div w:id="1180660356">
      <w:marLeft w:val="0"/>
      <w:marRight w:val="0"/>
      <w:marTop w:val="60"/>
      <w:marBottom w:val="60"/>
      <w:divBdr>
        <w:top w:val="none" w:sz="0" w:space="0" w:color="auto"/>
        <w:left w:val="none" w:sz="0" w:space="0" w:color="auto"/>
        <w:bottom w:val="none" w:sz="0" w:space="0" w:color="auto"/>
        <w:right w:val="none" w:sz="0" w:space="0" w:color="auto"/>
      </w:divBdr>
    </w:div>
    <w:div w:id="1182013541">
      <w:marLeft w:val="0"/>
      <w:marRight w:val="0"/>
      <w:marTop w:val="60"/>
      <w:marBottom w:val="60"/>
      <w:divBdr>
        <w:top w:val="none" w:sz="0" w:space="0" w:color="auto"/>
        <w:left w:val="none" w:sz="0" w:space="0" w:color="auto"/>
        <w:bottom w:val="none" w:sz="0" w:space="0" w:color="auto"/>
        <w:right w:val="none" w:sz="0" w:space="0" w:color="auto"/>
      </w:divBdr>
    </w:div>
    <w:div w:id="1182235960">
      <w:marLeft w:val="0"/>
      <w:marRight w:val="0"/>
      <w:marTop w:val="0"/>
      <w:marBottom w:val="0"/>
      <w:divBdr>
        <w:top w:val="none" w:sz="0" w:space="0" w:color="auto"/>
        <w:left w:val="none" w:sz="0" w:space="0" w:color="auto"/>
        <w:bottom w:val="none" w:sz="0" w:space="0" w:color="auto"/>
        <w:right w:val="none" w:sz="0" w:space="0" w:color="auto"/>
      </w:divBdr>
    </w:div>
    <w:div w:id="1184318258">
      <w:marLeft w:val="0"/>
      <w:marRight w:val="0"/>
      <w:marTop w:val="60"/>
      <w:marBottom w:val="60"/>
      <w:divBdr>
        <w:top w:val="none" w:sz="0" w:space="0" w:color="auto"/>
        <w:left w:val="none" w:sz="0" w:space="0" w:color="auto"/>
        <w:bottom w:val="none" w:sz="0" w:space="0" w:color="auto"/>
        <w:right w:val="none" w:sz="0" w:space="0" w:color="auto"/>
      </w:divBdr>
    </w:div>
    <w:div w:id="1185243386">
      <w:marLeft w:val="0"/>
      <w:marRight w:val="0"/>
      <w:marTop w:val="0"/>
      <w:marBottom w:val="0"/>
      <w:divBdr>
        <w:top w:val="none" w:sz="0" w:space="0" w:color="auto"/>
        <w:left w:val="none" w:sz="0" w:space="0" w:color="auto"/>
        <w:bottom w:val="none" w:sz="0" w:space="0" w:color="auto"/>
        <w:right w:val="none" w:sz="0" w:space="0" w:color="auto"/>
      </w:divBdr>
      <w:divsChild>
        <w:div w:id="1069964233">
          <w:marLeft w:val="0"/>
          <w:marRight w:val="0"/>
          <w:marTop w:val="0"/>
          <w:marBottom w:val="0"/>
          <w:divBdr>
            <w:top w:val="none" w:sz="0" w:space="0" w:color="auto"/>
            <w:left w:val="none" w:sz="0" w:space="0" w:color="auto"/>
            <w:bottom w:val="none" w:sz="0" w:space="0" w:color="auto"/>
            <w:right w:val="none" w:sz="0" w:space="0" w:color="auto"/>
          </w:divBdr>
          <w:divsChild>
            <w:div w:id="12439045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86334425">
      <w:marLeft w:val="0"/>
      <w:marRight w:val="0"/>
      <w:marTop w:val="0"/>
      <w:marBottom w:val="0"/>
      <w:divBdr>
        <w:top w:val="none" w:sz="0" w:space="0" w:color="auto"/>
        <w:left w:val="none" w:sz="0" w:space="0" w:color="auto"/>
        <w:bottom w:val="none" w:sz="0" w:space="0" w:color="auto"/>
        <w:right w:val="none" w:sz="0" w:space="0" w:color="auto"/>
      </w:divBdr>
      <w:divsChild>
        <w:div w:id="991447053">
          <w:marLeft w:val="0"/>
          <w:marRight w:val="0"/>
          <w:marTop w:val="0"/>
          <w:marBottom w:val="0"/>
          <w:divBdr>
            <w:top w:val="none" w:sz="0" w:space="0" w:color="auto"/>
            <w:left w:val="none" w:sz="0" w:space="0" w:color="auto"/>
            <w:bottom w:val="none" w:sz="0" w:space="0" w:color="auto"/>
            <w:right w:val="none" w:sz="0" w:space="0" w:color="auto"/>
          </w:divBdr>
          <w:divsChild>
            <w:div w:id="786757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0558783">
      <w:marLeft w:val="0"/>
      <w:marRight w:val="0"/>
      <w:marTop w:val="180"/>
      <w:marBottom w:val="180"/>
      <w:divBdr>
        <w:top w:val="none" w:sz="0" w:space="0" w:color="auto"/>
        <w:left w:val="none" w:sz="0" w:space="0" w:color="auto"/>
        <w:bottom w:val="none" w:sz="0" w:space="0" w:color="auto"/>
        <w:right w:val="none" w:sz="0" w:space="0" w:color="auto"/>
      </w:divBdr>
    </w:div>
    <w:div w:id="1191649142">
      <w:marLeft w:val="0"/>
      <w:marRight w:val="0"/>
      <w:marTop w:val="180"/>
      <w:marBottom w:val="180"/>
      <w:divBdr>
        <w:top w:val="none" w:sz="0" w:space="0" w:color="auto"/>
        <w:left w:val="none" w:sz="0" w:space="0" w:color="auto"/>
        <w:bottom w:val="none" w:sz="0" w:space="0" w:color="auto"/>
        <w:right w:val="none" w:sz="0" w:space="0" w:color="auto"/>
      </w:divBdr>
    </w:div>
    <w:div w:id="1192063097">
      <w:marLeft w:val="0"/>
      <w:marRight w:val="0"/>
      <w:marTop w:val="0"/>
      <w:marBottom w:val="0"/>
      <w:divBdr>
        <w:top w:val="none" w:sz="0" w:space="0" w:color="auto"/>
        <w:left w:val="none" w:sz="0" w:space="0" w:color="auto"/>
        <w:bottom w:val="none" w:sz="0" w:space="0" w:color="auto"/>
        <w:right w:val="none" w:sz="0" w:space="0" w:color="auto"/>
      </w:divBdr>
      <w:divsChild>
        <w:div w:id="95029694">
          <w:marLeft w:val="0"/>
          <w:marRight w:val="0"/>
          <w:marTop w:val="180"/>
          <w:marBottom w:val="180"/>
          <w:divBdr>
            <w:top w:val="none" w:sz="0" w:space="0" w:color="auto"/>
            <w:left w:val="none" w:sz="0" w:space="0" w:color="auto"/>
            <w:bottom w:val="none" w:sz="0" w:space="0" w:color="auto"/>
            <w:right w:val="none" w:sz="0" w:space="0" w:color="auto"/>
          </w:divBdr>
        </w:div>
      </w:divsChild>
    </w:div>
    <w:div w:id="1194995204">
      <w:marLeft w:val="0"/>
      <w:marRight w:val="0"/>
      <w:marTop w:val="180"/>
      <w:marBottom w:val="180"/>
      <w:divBdr>
        <w:top w:val="none" w:sz="0" w:space="0" w:color="auto"/>
        <w:left w:val="none" w:sz="0" w:space="0" w:color="auto"/>
        <w:bottom w:val="none" w:sz="0" w:space="0" w:color="auto"/>
        <w:right w:val="none" w:sz="0" w:space="0" w:color="auto"/>
      </w:divBdr>
    </w:div>
    <w:div w:id="1195459432">
      <w:marLeft w:val="0"/>
      <w:marRight w:val="0"/>
      <w:marTop w:val="180"/>
      <w:marBottom w:val="180"/>
      <w:divBdr>
        <w:top w:val="none" w:sz="0" w:space="0" w:color="auto"/>
        <w:left w:val="none" w:sz="0" w:space="0" w:color="auto"/>
        <w:bottom w:val="none" w:sz="0" w:space="0" w:color="auto"/>
        <w:right w:val="none" w:sz="0" w:space="0" w:color="auto"/>
      </w:divBdr>
    </w:div>
    <w:div w:id="1196193801">
      <w:marLeft w:val="0"/>
      <w:marRight w:val="0"/>
      <w:marTop w:val="60"/>
      <w:marBottom w:val="60"/>
      <w:divBdr>
        <w:top w:val="none" w:sz="0" w:space="0" w:color="auto"/>
        <w:left w:val="none" w:sz="0" w:space="0" w:color="auto"/>
        <w:bottom w:val="none" w:sz="0" w:space="0" w:color="auto"/>
        <w:right w:val="none" w:sz="0" w:space="0" w:color="auto"/>
      </w:divBdr>
    </w:div>
    <w:div w:id="1196652670">
      <w:marLeft w:val="0"/>
      <w:marRight w:val="0"/>
      <w:marTop w:val="100"/>
      <w:marBottom w:val="100"/>
      <w:divBdr>
        <w:top w:val="none" w:sz="0" w:space="0" w:color="auto"/>
        <w:left w:val="none" w:sz="0" w:space="0" w:color="auto"/>
        <w:bottom w:val="none" w:sz="0" w:space="0" w:color="auto"/>
        <w:right w:val="none" w:sz="0" w:space="0" w:color="auto"/>
      </w:divBdr>
      <w:divsChild>
        <w:div w:id="652491554">
          <w:marLeft w:val="0"/>
          <w:marRight w:val="0"/>
          <w:marTop w:val="0"/>
          <w:marBottom w:val="0"/>
          <w:divBdr>
            <w:top w:val="none" w:sz="0" w:space="0" w:color="auto"/>
            <w:left w:val="none" w:sz="0" w:space="0" w:color="auto"/>
            <w:bottom w:val="none" w:sz="0" w:space="0" w:color="auto"/>
            <w:right w:val="none" w:sz="0" w:space="0" w:color="auto"/>
          </w:divBdr>
        </w:div>
        <w:div w:id="765272007">
          <w:marLeft w:val="0"/>
          <w:marRight w:val="0"/>
          <w:marTop w:val="0"/>
          <w:marBottom w:val="0"/>
          <w:divBdr>
            <w:top w:val="none" w:sz="0" w:space="0" w:color="auto"/>
            <w:left w:val="none" w:sz="0" w:space="0" w:color="auto"/>
            <w:bottom w:val="none" w:sz="0" w:space="0" w:color="auto"/>
            <w:right w:val="none" w:sz="0" w:space="0" w:color="auto"/>
          </w:divBdr>
        </w:div>
        <w:div w:id="718090466">
          <w:marLeft w:val="0"/>
          <w:marRight w:val="0"/>
          <w:marTop w:val="0"/>
          <w:marBottom w:val="0"/>
          <w:divBdr>
            <w:top w:val="none" w:sz="0" w:space="0" w:color="auto"/>
            <w:left w:val="none" w:sz="0" w:space="0" w:color="auto"/>
            <w:bottom w:val="none" w:sz="0" w:space="0" w:color="auto"/>
            <w:right w:val="none" w:sz="0" w:space="0" w:color="auto"/>
          </w:divBdr>
        </w:div>
        <w:div w:id="1647852804">
          <w:marLeft w:val="0"/>
          <w:marRight w:val="0"/>
          <w:marTop w:val="0"/>
          <w:marBottom w:val="0"/>
          <w:divBdr>
            <w:top w:val="none" w:sz="0" w:space="0" w:color="auto"/>
            <w:left w:val="none" w:sz="0" w:space="0" w:color="auto"/>
            <w:bottom w:val="none" w:sz="0" w:space="0" w:color="auto"/>
            <w:right w:val="none" w:sz="0" w:space="0" w:color="auto"/>
          </w:divBdr>
        </w:div>
        <w:div w:id="1344673257">
          <w:marLeft w:val="0"/>
          <w:marRight w:val="0"/>
          <w:marTop w:val="0"/>
          <w:marBottom w:val="0"/>
          <w:divBdr>
            <w:top w:val="none" w:sz="0" w:space="0" w:color="auto"/>
            <w:left w:val="none" w:sz="0" w:space="0" w:color="auto"/>
            <w:bottom w:val="none" w:sz="0" w:space="0" w:color="auto"/>
            <w:right w:val="none" w:sz="0" w:space="0" w:color="auto"/>
          </w:divBdr>
        </w:div>
        <w:div w:id="632372810">
          <w:marLeft w:val="0"/>
          <w:marRight w:val="0"/>
          <w:marTop w:val="0"/>
          <w:marBottom w:val="0"/>
          <w:divBdr>
            <w:top w:val="none" w:sz="0" w:space="0" w:color="auto"/>
            <w:left w:val="none" w:sz="0" w:space="0" w:color="auto"/>
            <w:bottom w:val="none" w:sz="0" w:space="0" w:color="auto"/>
            <w:right w:val="none" w:sz="0" w:space="0" w:color="auto"/>
          </w:divBdr>
        </w:div>
        <w:div w:id="756176338">
          <w:marLeft w:val="0"/>
          <w:marRight w:val="0"/>
          <w:marTop w:val="0"/>
          <w:marBottom w:val="0"/>
          <w:divBdr>
            <w:top w:val="none" w:sz="0" w:space="0" w:color="auto"/>
            <w:left w:val="none" w:sz="0" w:space="0" w:color="auto"/>
            <w:bottom w:val="none" w:sz="0" w:space="0" w:color="auto"/>
            <w:right w:val="none" w:sz="0" w:space="0" w:color="auto"/>
          </w:divBdr>
        </w:div>
        <w:div w:id="1778670253">
          <w:marLeft w:val="0"/>
          <w:marRight w:val="0"/>
          <w:marTop w:val="0"/>
          <w:marBottom w:val="0"/>
          <w:divBdr>
            <w:top w:val="none" w:sz="0" w:space="0" w:color="auto"/>
            <w:left w:val="none" w:sz="0" w:space="0" w:color="auto"/>
            <w:bottom w:val="none" w:sz="0" w:space="0" w:color="auto"/>
            <w:right w:val="none" w:sz="0" w:space="0" w:color="auto"/>
          </w:divBdr>
        </w:div>
        <w:div w:id="836921338">
          <w:marLeft w:val="0"/>
          <w:marRight w:val="0"/>
          <w:marTop w:val="0"/>
          <w:marBottom w:val="0"/>
          <w:divBdr>
            <w:top w:val="none" w:sz="0" w:space="0" w:color="auto"/>
            <w:left w:val="none" w:sz="0" w:space="0" w:color="auto"/>
            <w:bottom w:val="none" w:sz="0" w:space="0" w:color="auto"/>
            <w:right w:val="none" w:sz="0" w:space="0" w:color="auto"/>
          </w:divBdr>
        </w:div>
        <w:div w:id="322973655">
          <w:marLeft w:val="0"/>
          <w:marRight w:val="0"/>
          <w:marTop w:val="0"/>
          <w:marBottom w:val="0"/>
          <w:divBdr>
            <w:top w:val="none" w:sz="0" w:space="0" w:color="auto"/>
            <w:left w:val="none" w:sz="0" w:space="0" w:color="auto"/>
            <w:bottom w:val="none" w:sz="0" w:space="0" w:color="auto"/>
            <w:right w:val="none" w:sz="0" w:space="0" w:color="auto"/>
          </w:divBdr>
        </w:div>
        <w:div w:id="1631278223">
          <w:marLeft w:val="0"/>
          <w:marRight w:val="0"/>
          <w:marTop w:val="0"/>
          <w:marBottom w:val="0"/>
          <w:divBdr>
            <w:top w:val="none" w:sz="0" w:space="0" w:color="auto"/>
            <w:left w:val="none" w:sz="0" w:space="0" w:color="auto"/>
            <w:bottom w:val="none" w:sz="0" w:space="0" w:color="auto"/>
            <w:right w:val="none" w:sz="0" w:space="0" w:color="auto"/>
          </w:divBdr>
        </w:div>
        <w:div w:id="8918149">
          <w:marLeft w:val="0"/>
          <w:marRight w:val="0"/>
          <w:marTop w:val="0"/>
          <w:marBottom w:val="0"/>
          <w:divBdr>
            <w:top w:val="none" w:sz="0" w:space="0" w:color="auto"/>
            <w:left w:val="none" w:sz="0" w:space="0" w:color="auto"/>
            <w:bottom w:val="none" w:sz="0" w:space="0" w:color="auto"/>
            <w:right w:val="none" w:sz="0" w:space="0" w:color="auto"/>
          </w:divBdr>
        </w:div>
        <w:div w:id="1238324695">
          <w:marLeft w:val="0"/>
          <w:marRight w:val="0"/>
          <w:marTop w:val="0"/>
          <w:marBottom w:val="0"/>
          <w:divBdr>
            <w:top w:val="none" w:sz="0" w:space="0" w:color="auto"/>
            <w:left w:val="none" w:sz="0" w:space="0" w:color="auto"/>
            <w:bottom w:val="none" w:sz="0" w:space="0" w:color="auto"/>
            <w:right w:val="none" w:sz="0" w:space="0" w:color="auto"/>
          </w:divBdr>
        </w:div>
        <w:div w:id="1263369001">
          <w:marLeft w:val="0"/>
          <w:marRight w:val="0"/>
          <w:marTop w:val="0"/>
          <w:marBottom w:val="0"/>
          <w:divBdr>
            <w:top w:val="none" w:sz="0" w:space="0" w:color="auto"/>
            <w:left w:val="none" w:sz="0" w:space="0" w:color="auto"/>
            <w:bottom w:val="none" w:sz="0" w:space="0" w:color="auto"/>
            <w:right w:val="none" w:sz="0" w:space="0" w:color="auto"/>
          </w:divBdr>
        </w:div>
        <w:div w:id="1973709013">
          <w:marLeft w:val="0"/>
          <w:marRight w:val="0"/>
          <w:marTop w:val="0"/>
          <w:marBottom w:val="0"/>
          <w:divBdr>
            <w:top w:val="none" w:sz="0" w:space="0" w:color="auto"/>
            <w:left w:val="none" w:sz="0" w:space="0" w:color="auto"/>
            <w:bottom w:val="none" w:sz="0" w:space="0" w:color="auto"/>
            <w:right w:val="none" w:sz="0" w:space="0" w:color="auto"/>
          </w:divBdr>
        </w:div>
        <w:div w:id="1675065140">
          <w:marLeft w:val="0"/>
          <w:marRight w:val="0"/>
          <w:marTop w:val="0"/>
          <w:marBottom w:val="0"/>
          <w:divBdr>
            <w:top w:val="none" w:sz="0" w:space="0" w:color="auto"/>
            <w:left w:val="none" w:sz="0" w:space="0" w:color="auto"/>
            <w:bottom w:val="none" w:sz="0" w:space="0" w:color="auto"/>
            <w:right w:val="none" w:sz="0" w:space="0" w:color="auto"/>
          </w:divBdr>
        </w:div>
        <w:div w:id="1135563228">
          <w:marLeft w:val="0"/>
          <w:marRight w:val="0"/>
          <w:marTop w:val="0"/>
          <w:marBottom w:val="0"/>
          <w:divBdr>
            <w:top w:val="none" w:sz="0" w:space="0" w:color="auto"/>
            <w:left w:val="none" w:sz="0" w:space="0" w:color="auto"/>
            <w:bottom w:val="none" w:sz="0" w:space="0" w:color="auto"/>
            <w:right w:val="none" w:sz="0" w:space="0" w:color="auto"/>
          </w:divBdr>
        </w:div>
        <w:div w:id="90047794">
          <w:marLeft w:val="0"/>
          <w:marRight w:val="0"/>
          <w:marTop w:val="0"/>
          <w:marBottom w:val="0"/>
          <w:divBdr>
            <w:top w:val="none" w:sz="0" w:space="0" w:color="auto"/>
            <w:left w:val="none" w:sz="0" w:space="0" w:color="auto"/>
            <w:bottom w:val="none" w:sz="0" w:space="0" w:color="auto"/>
            <w:right w:val="none" w:sz="0" w:space="0" w:color="auto"/>
          </w:divBdr>
        </w:div>
        <w:div w:id="1301577155">
          <w:marLeft w:val="0"/>
          <w:marRight w:val="0"/>
          <w:marTop w:val="0"/>
          <w:marBottom w:val="0"/>
          <w:divBdr>
            <w:top w:val="none" w:sz="0" w:space="0" w:color="auto"/>
            <w:left w:val="none" w:sz="0" w:space="0" w:color="auto"/>
            <w:bottom w:val="none" w:sz="0" w:space="0" w:color="auto"/>
            <w:right w:val="none" w:sz="0" w:space="0" w:color="auto"/>
          </w:divBdr>
        </w:div>
        <w:div w:id="1222640241">
          <w:marLeft w:val="0"/>
          <w:marRight w:val="0"/>
          <w:marTop w:val="0"/>
          <w:marBottom w:val="0"/>
          <w:divBdr>
            <w:top w:val="none" w:sz="0" w:space="0" w:color="auto"/>
            <w:left w:val="none" w:sz="0" w:space="0" w:color="auto"/>
            <w:bottom w:val="none" w:sz="0" w:space="0" w:color="auto"/>
            <w:right w:val="none" w:sz="0" w:space="0" w:color="auto"/>
          </w:divBdr>
        </w:div>
        <w:div w:id="540172213">
          <w:marLeft w:val="0"/>
          <w:marRight w:val="0"/>
          <w:marTop w:val="0"/>
          <w:marBottom w:val="0"/>
          <w:divBdr>
            <w:top w:val="none" w:sz="0" w:space="0" w:color="auto"/>
            <w:left w:val="none" w:sz="0" w:space="0" w:color="auto"/>
            <w:bottom w:val="none" w:sz="0" w:space="0" w:color="auto"/>
            <w:right w:val="none" w:sz="0" w:space="0" w:color="auto"/>
          </w:divBdr>
        </w:div>
        <w:div w:id="943610408">
          <w:marLeft w:val="0"/>
          <w:marRight w:val="0"/>
          <w:marTop w:val="0"/>
          <w:marBottom w:val="0"/>
          <w:divBdr>
            <w:top w:val="none" w:sz="0" w:space="0" w:color="auto"/>
            <w:left w:val="none" w:sz="0" w:space="0" w:color="auto"/>
            <w:bottom w:val="none" w:sz="0" w:space="0" w:color="auto"/>
            <w:right w:val="none" w:sz="0" w:space="0" w:color="auto"/>
          </w:divBdr>
        </w:div>
        <w:div w:id="1360855652">
          <w:marLeft w:val="0"/>
          <w:marRight w:val="0"/>
          <w:marTop w:val="0"/>
          <w:marBottom w:val="0"/>
          <w:divBdr>
            <w:top w:val="none" w:sz="0" w:space="0" w:color="auto"/>
            <w:left w:val="none" w:sz="0" w:space="0" w:color="auto"/>
            <w:bottom w:val="none" w:sz="0" w:space="0" w:color="auto"/>
            <w:right w:val="none" w:sz="0" w:space="0" w:color="auto"/>
          </w:divBdr>
        </w:div>
        <w:div w:id="1257523135">
          <w:marLeft w:val="0"/>
          <w:marRight w:val="0"/>
          <w:marTop w:val="0"/>
          <w:marBottom w:val="0"/>
          <w:divBdr>
            <w:top w:val="none" w:sz="0" w:space="0" w:color="auto"/>
            <w:left w:val="none" w:sz="0" w:space="0" w:color="auto"/>
            <w:bottom w:val="none" w:sz="0" w:space="0" w:color="auto"/>
            <w:right w:val="none" w:sz="0" w:space="0" w:color="auto"/>
          </w:divBdr>
        </w:div>
        <w:div w:id="2086296846">
          <w:marLeft w:val="0"/>
          <w:marRight w:val="0"/>
          <w:marTop w:val="0"/>
          <w:marBottom w:val="0"/>
          <w:divBdr>
            <w:top w:val="none" w:sz="0" w:space="0" w:color="auto"/>
            <w:left w:val="none" w:sz="0" w:space="0" w:color="auto"/>
            <w:bottom w:val="none" w:sz="0" w:space="0" w:color="auto"/>
            <w:right w:val="none" w:sz="0" w:space="0" w:color="auto"/>
          </w:divBdr>
        </w:div>
        <w:div w:id="321738055">
          <w:marLeft w:val="0"/>
          <w:marRight w:val="0"/>
          <w:marTop w:val="0"/>
          <w:marBottom w:val="0"/>
          <w:divBdr>
            <w:top w:val="none" w:sz="0" w:space="0" w:color="auto"/>
            <w:left w:val="none" w:sz="0" w:space="0" w:color="auto"/>
            <w:bottom w:val="none" w:sz="0" w:space="0" w:color="auto"/>
            <w:right w:val="none" w:sz="0" w:space="0" w:color="auto"/>
          </w:divBdr>
        </w:div>
        <w:div w:id="603658672">
          <w:marLeft w:val="0"/>
          <w:marRight w:val="0"/>
          <w:marTop w:val="0"/>
          <w:marBottom w:val="0"/>
          <w:divBdr>
            <w:top w:val="none" w:sz="0" w:space="0" w:color="auto"/>
            <w:left w:val="none" w:sz="0" w:space="0" w:color="auto"/>
            <w:bottom w:val="none" w:sz="0" w:space="0" w:color="auto"/>
            <w:right w:val="none" w:sz="0" w:space="0" w:color="auto"/>
          </w:divBdr>
        </w:div>
        <w:div w:id="347879357">
          <w:marLeft w:val="0"/>
          <w:marRight w:val="0"/>
          <w:marTop w:val="0"/>
          <w:marBottom w:val="0"/>
          <w:divBdr>
            <w:top w:val="none" w:sz="0" w:space="0" w:color="auto"/>
            <w:left w:val="none" w:sz="0" w:space="0" w:color="auto"/>
            <w:bottom w:val="none" w:sz="0" w:space="0" w:color="auto"/>
            <w:right w:val="none" w:sz="0" w:space="0" w:color="auto"/>
          </w:divBdr>
        </w:div>
        <w:div w:id="1455170921">
          <w:marLeft w:val="0"/>
          <w:marRight w:val="0"/>
          <w:marTop w:val="0"/>
          <w:marBottom w:val="0"/>
          <w:divBdr>
            <w:top w:val="none" w:sz="0" w:space="0" w:color="auto"/>
            <w:left w:val="none" w:sz="0" w:space="0" w:color="auto"/>
            <w:bottom w:val="none" w:sz="0" w:space="0" w:color="auto"/>
            <w:right w:val="none" w:sz="0" w:space="0" w:color="auto"/>
          </w:divBdr>
        </w:div>
        <w:div w:id="1179542453">
          <w:marLeft w:val="0"/>
          <w:marRight w:val="0"/>
          <w:marTop w:val="0"/>
          <w:marBottom w:val="0"/>
          <w:divBdr>
            <w:top w:val="none" w:sz="0" w:space="0" w:color="auto"/>
            <w:left w:val="none" w:sz="0" w:space="0" w:color="auto"/>
            <w:bottom w:val="none" w:sz="0" w:space="0" w:color="auto"/>
            <w:right w:val="none" w:sz="0" w:space="0" w:color="auto"/>
          </w:divBdr>
        </w:div>
        <w:div w:id="1215583873">
          <w:marLeft w:val="0"/>
          <w:marRight w:val="0"/>
          <w:marTop w:val="0"/>
          <w:marBottom w:val="0"/>
          <w:divBdr>
            <w:top w:val="none" w:sz="0" w:space="0" w:color="auto"/>
            <w:left w:val="none" w:sz="0" w:space="0" w:color="auto"/>
            <w:bottom w:val="none" w:sz="0" w:space="0" w:color="auto"/>
            <w:right w:val="none" w:sz="0" w:space="0" w:color="auto"/>
          </w:divBdr>
        </w:div>
        <w:div w:id="978417021">
          <w:marLeft w:val="0"/>
          <w:marRight w:val="0"/>
          <w:marTop w:val="0"/>
          <w:marBottom w:val="0"/>
          <w:divBdr>
            <w:top w:val="none" w:sz="0" w:space="0" w:color="auto"/>
            <w:left w:val="none" w:sz="0" w:space="0" w:color="auto"/>
            <w:bottom w:val="none" w:sz="0" w:space="0" w:color="auto"/>
            <w:right w:val="none" w:sz="0" w:space="0" w:color="auto"/>
          </w:divBdr>
        </w:div>
        <w:div w:id="2054503632">
          <w:marLeft w:val="0"/>
          <w:marRight w:val="0"/>
          <w:marTop w:val="0"/>
          <w:marBottom w:val="0"/>
          <w:divBdr>
            <w:top w:val="none" w:sz="0" w:space="0" w:color="auto"/>
            <w:left w:val="none" w:sz="0" w:space="0" w:color="auto"/>
            <w:bottom w:val="none" w:sz="0" w:space="0" w:color="auto"/>
            <w:right w:val="none" w:sz="0" w:space="0" w:color="auto"/>
          </w:divBdr>
        </w:div>
        <w:div w:id="289896446">
          <w:marLeft w:val="0"/>
          <w:marRight w:val="0"/>
          <w:marTop w:val="0"/>
          <w:marBottom w:val="0"/>
          <w:divBdr>
            <w:top w:val="none" w:sz="0" w:space="0" w:color="auto"/>
            <w:left w:val="none" w:sz="0" w:space="0" w:color="auto"/>
            <w:bottom w:val="none" w:sz="0" w:space="0" w:color="auto"/>
            <w:right w:val="none" w:sz="0" w:space="0" w:color="auto"/>
          </w:divBdr>
        </w:div>
        <w:div w:id="1785341011">
          <w:marLeft w:val="0"/>
          <w:marRight w:val="0"/>
          <w:marTop w:val="0"/>
          <w:marBottom w:val="0"/>
          <w:divBdr>
            <w:top w:val="none" w:sz="0" w:space="0" w:color="auto"/>
            <w:left w:val="none" w:sz="0" w:space="0" w:color="auto"/>
            <w:bottom w:val="none" w:sz="0" w:space="0" w:color="auto"/>
            <w:right w:val="none" w:sz="0" w:space="0" w:color="auto"/>
          </w:divBdr>
        </w:div>
        <w:div w:id="100033414">
          <w:marLeft w:val="0"/>
          <w:marRight w:val="0"/>
          <w:marTop w:val="0"/>
          <w:marBottom w:val="0"/>
          <w:divBdr>
            <w:top w:val="none" w:sz="0" w:space="0" w:color="auto"/>
            <w:left w:val="none" w:sz="0" w:space="0" w:color="auto"/>
            <w:bottom w:val="none" w:sz="0" w:space="0" w:color="auto"/>
            <w:right w:val="none" w:sz="0" w:space="0" w:color="auto"/>
          </w:divBdr>
        </w:div>
        <w:div w:id="936209405">
          <w:marLeft w:val="0"/>
          <w:marRight w:val="0"/>
          <w:marTop w:val="0"/>
          <w:marBottom w:val="0"/>
          <w:divBdr>
            <w:top w:val="none" w:sz="0" w:space="0" w:color="auto"/>
            <w:left w:val="none" w:sz="0" w:space="0" w:color="auto"/>
            <w:bottom w:val="none" w:sz="0" w:space="0" w:color="auto"/>
            <w:right w:val="none" w:sz="0" w:space="0" w:color="auto"/>
          </w:divBdr>
        </w:div>
        <w:div w:id="1717385311">
          <w:marLeft w:val="0"/>
          <w:marRight w:val="0"/>
          <w:marTop w:val="0"/>
          <w:marBottom w:val="0"/>
          <w:divBdr>
            <w:top w:val="none" w:sz="0" w:space="0" w:color="auto"/>
            <w:left w:val="none" w:sz="0" w:space="0" w:color="auto"/>
            <w:bottom w:val="none" w:sz="0" w:space="0" w:color="auto"/>
            <w:right w:val="none" w:sz="0" w:space="0" w:color="auto"/>
          </w:divBdr>
        </w:div>
        <w:div w:id="690184932">
          <w:marLeft w:val="0"/>
          <w:marRight w:val="0"/>
          <w:marTop w:val="0"/>
          <w:marBottom w:val="0"/>
          <w:divBdr>
            <w:top w:val="none" w:sz="0" w:space="0" w:color="auto"/>
            <w:left w:val="none" w:sz="0" w:space="0" w:color="auto"/>
            <w:bottom w:val="none" w:sz="0" w:space="0" w:color="auto"/>
            <w:right w:val="none" w:sz="0" w:space="0" w:color="auto"/>
          </w:divBdr>
        </w:div>
      </w:divsChild>
    </w:div>
    <w:div w:id="1197767352">
      <w:marLeft w:val="0"/>
      <w:marRight w:val="0"/>
      <w:marTop w:val="180"/>
      <w:marBottom w:val="60"/>
      <w:divBdr>
        <w:top w:val="none" w:sz="0" w:space="0" w:color="auto"/>
        <w:left w:val="none" w:sz="0" w:space="0" w:color="auto"/>
        <w:bottom w:val="none" w:sz="0" w:space="0" w:color="auto"/>
        <w:right w:val="none" w:sz="0" w:space="0" w:color="auto"/>
      </w:divBdr>
    </w:div>
    <w:div w:id="1198086510">
      <w:marLeft w:val="0"/>
      <w:marRight w:val="0"/>
      <w:marTop w:val="180"/>
      <w:marBottom w:val="180"/>
      <w:divBdr>
        <w:top w:val="none" w:sz="0" w:space="0" w:color="auto"/>
        <w:left w:val="none" w:sz="0" w:space="0" w:color="auto"/>
        <w:bottom w:val="none" w:sz="0" w:space="0" w:color="auto"/>
        <w:right w:val="none" w:sz="0" w:space="0" w:color="auto"/>
      </w:divBdr>
    </w:div>
    <w:div w:id="1198734498">
      <w:marLeft w:val="0"/>
      <w:marRight w:val="0"/>
      <w:marTop w:val="60"/>
      <w:marBottom w:val="60"/>
      <w:divBdr>
        <w:top w:val="none" w:sz="0" w:space="0" w:color="auto"/>
        <w:left w:val="none" w:sz="0" w:space="0" w:color="auto"/>
        <w:bottom w:val="none" w:sz="0" w:space="0" w:color="auto"/>
        <w:right w:val="none" w:sz="0" w:space="0" w:color="auto"/>
      </w:divBdr>
    </w:div>
    <w:div w:id="1198852732">
      <w:marLeft w:val="0"/>
      <w:marRight w:val="0"/>
      <w:marTop w:val="0"/>
      <w:marBottom w:val="0"/>
      <w:divBdr>
        <w:top w:val="none" w:sz="0" w:space="0" w:color="auto"/>
        <w:left w:val="none" w:sz="0" w:space="0" w:color="auto"/>
        <w:bottom w:val="none" w:sz="0" w:space="0" w:color="auto"/>
        <w:right w:val="none" w:sz="0" w:space="0" w:color="auto"/>
      </w:divBdr>
    </w:div>
    <w:div w:id="1199857812">
      <w:marLeft w:val="0"/>
      <w:marRight w:val="0"/>
      <w:marTop w:val="180"/>
      <w:marBottom w:val="180"/>
      <w:divBdr>
        <w:top w:val="none" w:sz="0" w:space="0" w:color="auto"/>
        <w:left w:val="none" w:sz="0" w:space="0" w:color="auto"/>
        <w:bottom w:val="none" w:sz="0" w:space="0" w:color="auto"/>
        <w:right w:val="none" w:sz="0" w:space="0" w:color="auto"/>
      </w:divBdr>
    </w:div>
    <w:div w:id="1202399932">
      <w:marLeft w:val="0"/>
      <w:marRight w:val="0"/>
      <w:marTop w:val="0"/>
      <w:marBottom w:val="0"/>
      <w:divBdr>
        <w:top w:val="none" w:sz="0" w:space="0" w:color="auto"/>
        <w:left w:val="none" w:sz="0" w:space="0" w:color="auto"/>
        <w:bottom w:val="none" w:sz="0" w:space="0" w:color="auto"/>
        <w:right w:val="none" w:sz="0" w:space="0" w:color="auto"/>
      </w:divBdr>
    </w:div>
    <w:div w:id="1202471658">
      <w:marLeft w:val="0"/>
      <w:marRight w:val="0"/>
      <w:marTop w:val="60"/>
      <w:marBottom w:val="60"/>
      <w:divBdr>
        <w:top w:val="none" w:sz="0" w:space="0" w:color="auto"/>
        <w:left w:val="none" w:sz="0" w:space="0" w:color="auto"/>
        <w:bottom w:val="none" w:sz="0" w:space="0" w:color="auto"/>
        <w:right w:val="none" w:sz="0" w:space="0" w:color="auto"/>
      </w:divBdr>
    </w:div>
    <w:div w:id="1203131193">
      <w:marLeft w:val="0"/>
      <w:marRight w:val="0"/>
      <w:marTop w:val="180"/>
      <w:marBottom w:val="180"/>
      <w:divBdr>
        <w:top w:val="none" w:sz="0" w:space="0" w:color="auto"/>
        <w:left w:val="none" w:sz="0" w:space="0" w:color="auto"/>
        <w:bottom w:val="none" w:sz="0" w:space="0" w:color="auto"/>
        <w:right w:val="none" w:sz="0" w:space="0" w:color="auto"/>
      </w:divBdr>
    </w:div>
    <w:div w:id="1203516689">
      <w:marLeft w:val="0"/>
      <w:marRight w:val="0"/>
      <w:marTop w:val="60"/>
      <w:marBottom w:val="60"/>
      <w:divBdr>
        <w:top w:val="none" w:sz="0" w:space="0" w:color="auto"/>
        <w:left w:val="none" w:sz="0" w:space="0" w:color="auto"/>
        <w:bottom w:val="none" w:sz="0" w:space="0" w:color="auto"/>
        <w:right w:val="none" w:sz="0" w:space="0" w:color="auto"/>
      </w:divBdr>
    </w:div>
    <w:div w:id="1206025967">
      <w:marLeft w:val="0"/>
      <w:marRight w:val="0"/>
      <w:marTop w:val="180"/>
      <w:marBottom w:val="180"/>
      <w:divBdr>
        <w:top w:val="none" w:sz="0" w:space="0" w:color="auto"/>
        <w:left w:val="none" w:sz="0" w:space="0" w:color="auto"/>
        <w:bottom w:val="none" w:sz="0" w:space="0" w:color="auto"/>
        <w:right w:val="none" w:sz="0" w:space="0" w:color="auto"/>
      </w:divBdr>
    </w:div>
    <w:div w:id="1206068215">
      <w:marLeft w:val="0"/>
      <w:marRight w:val="0"/>
      <w:marTop w:val="60"/>
      <w:marBottom w:val="60"/>
      <w:divBdr>
        <w:top w:val="none" w:sz="0" w:space="0" w:color="auto"/>
        <w:left w:val="none" w:sz="0" w:space="0" w:color="auto"/>
        <w:bottom w:val="none" w:sz="0" w:space="0" w:color="auto"/>
        <w:right w:val="none" w:sz="0" w:space="0" w:color="auto"/>
      </w:divBdr>
    </w:div>
    <w:div w:id="1207375700">
      <w:marLeft w:val="0"/>
      <w:marRight w:val="0"/>
      <w:marTop w:val="60"/>
      <w:marBottom w:val="60"/>
      <w:divBdr>
        <w:top w:val="none" w:sz="0" w:space="0" w:color="auto"/>
        <w:left w:val="none" w:sz="0" w:space="0" w:color="auto"/>
        <w:bottom w:val="none" w:sz="0" w:space="0" w:color="auto"/>
        <w:right w:val="none" w:sz="0" w:space="0" w:color="auto"/>
      </w:divBdr>
      <w:divsChild>
        <w:div w:id="1255554005">
          <w:marLeft w:val="0"/>
          <w:marRight w:val="0"/>
          <w:marTop w:val="0"/>
          <w:marBottom w:val="0"/>
          <w:divBdr>
            <w:top w:val="none" w:sz="0" w:space="0" w:color="auto"/>
            <w:left w:val="none" w:sz="0" w:space="0" w:color="auto"/>
            <w:bottom w:val="none" w:sz="0" w:space="0" w:color="auto"/>
            <w:right w:val="none" w:sz="0" w:space="0" w:color="auto"/>
          </w:divBdr>
        </w:div>
      </w:divsChild>
    </w:div>
    <w:div w:id="1208297933">
      <w:marLeft w:val="0"/>
      <w:marRight w:val="0"/>
      <w:marTop w:val="180"/>
      <w:marBottom w:val="60"/>
      <w:divBdr>
        <w:top w:val="none" w:sz="0" w:space="0" w:color="auto"/>
        <w:left w:val="none" w:sz="0" w:space="0" w:color="auto"/>
        <w:bottom w:val="none" w:sz="0" w:space="0" w:color="auto"/>
        <w:right w:val="none" w:sz="0" w:space="0" w:color="auto"/>
      </w:divBdr>
    </w:div>
    <w:div w:id="1209877363">
      <w:marLeft w:val="0"/>
      <w:marRight w:val="0"/>
      <w:marTop w:val="0"/>
      <w:marBottom w:val="0"/>
      <w:divBdr>
        <w:top w:val="none" w:sz="0" w:space="0" w:color="auto"/>
        <w:left w:val="none" w:sz="0" w:space="0" w:color="auto"/>
        <w:bottom w:val="none" w:sz="0" w:space="0" w:color="auto"/>
        <w:right w:val="none" w:sz="0" w:space="0" w:color="auto"/>
      </w:divBdr>
      <w:divsChild>
        <w:div w:id="706762943">
          <w:marLeft w:val="0"/>
          <w:marRight w:val="0"/>
          <w:marTop w:val="180"/>
          <w:marBottom w:val="180"/>
          <w:divBdr>
            <w:top w:val="none" w:sz="0" w:space="0" w:color="auto"/>
            <w:left w:val="none" w:sz="0" w:space="0" w:color="auto"/>
            <w:bottom w:val="none" w:sz="0" w:space="0" w:color="auto"/>
            <w:right w:val="none" w:sz="0" w:space="0" w:color="auto"/>
          </w:divBdr>
        </w:div>
      </w:divsChild>
    </w:div>
    <w:div w:id="1209882198">
      <w:marLeft w:val="0"/>
      <w:marRight w:val="0"/>
      <w:marTop w:val="180"/>
      <w:marBottom w:val="180"/>
      <w:divBdr>
        <w:top w:val="none" w:sz="0" w:space="0" w:color="auto"/>
        <w:left w:val="none" w:sz="0" w:space="0" w:color="auto"/>
        <w:bottom w:val="none" w:sz="0" w:space="0" w:color="auto"/>
        <w:right w:val="none" w:sz="0" w:space="0" w:color="auto"/>
      </w:divBdr>
    </w:div>
    <w:div w:id="1210191054">
      <w:marLeft w:val="0"/>
      <w:marRight w:val="0"/>
      <w:marTop w:val="0"/>
      <w:marBottom w:val="0"/>
      <w:divBdr>
        <w:top w:val="none" w:sz="0" w:space="0" w:color="auto"/>
        <w:left w:val="none" w:sz="0" w:space="0" w:color="auto"/>
        <w:bottom w:val="none" w:sz="0" w:space="0" w:color="auto"/>
        <w:right w:val="none" w:sz="0" w:space="0" w:color="auto"/>
      </w:divBdr>
    </w:div>
    <w:div w:id="1210342924">
      <w:marLeft w:val="0"/>
      <w:marRight w:val="0"/>
      <w:marTop w:val="180"/>
      <w:marBottom w:val="60"/>
      <w:divBdr>
        <w:top w:val="none" w:sz="0" w:space="0" w:color="auto"/>
        <w:left w:val="none" w:sz="0" w:space="0" w:color="auto"/>
        <w:bottom w:val="none" w:sz="0" w:space="0" w:color="auto"/>
        <w:right w:val="none" w:sz="0" w:space="0" w:color="auto"/>
      </w:divBdr>
    </w:div>
    <w:div w:id="1211459387">
      <w:marLeft w:val="0"/>
      <w:marRight w:val="0"/>
      <w:marTop w:val="180"/>
      <w:marBottom w:val="180"/>
      <w:divBdr>
        <w:top w:val="none" w:sz="0" w:space="0" w:color="auto"/>
        <w:left w:val="none" w:sz="0" w:space="0" w:color="auto"/>
        <w:bottom w:val="none" w:sz="0" w:space="0" w:color="auto"/>
        <w:right w:val="none" w:sz="0" w:space="0" w:color="auto"/>
      </w:divBdr>
    </w:div>
    <w:div w:id="1212225505">
      <w:marLeft w:val="0"/>
      <w:marRight w:val="0"/>
      <w:marTop w:val="180"/>
      <w:marBottom w:val="180"/>
      <w:divBdr>
        <w:top w:val="none" w:sz="0" w:space="0" w:color="auto"/>
        <w:left w:val="none" w:sz="0" w:space="0" w:color="auto"/>
        <w:bottom w:val="none" w:sz="0" w:space="0" w:color="auto"/>
        <w:right w:val="none" w:sz="0" w:space="0" w:color="auto"/>
      </w:divBdr>
    </w:div>
    <w:div w:id="1212768405">
      <w:marLeft w:val="0"/>
      <w:marRight w:val="0"/>
      <w:marTop w:val="180"/>
      <w:marBottom w:val="180"/>
      <w:divBdr>
        <w:top w:val="none" w:sz="0" w:space="0" w:color="auto"/>
        <w:left w:val="none" w:sz="0" w:space="0" w:color="auto"/>
        <w:bottom w:val="none" w:sz="0" w:space="0" w:color="auto"/>
        <w:right w:val="none" w:sz="0" w:space="0" w:color="auto"/>
      </w:divBdr>
    </w:div>
    <w:div w:id="1215002026">
      <w:marLeft w:val="0"/>
      <w:marRight w:val="0"/>
      <w:marTop w:val="60"/>
      <w:marBottom w:val="60"/>
      <w:divBdr>
        <w:top w:val="none" w:sz="0" w:space="0" w:color="auto"/>
        <w:left w:val="none" w:sz="0" w:space="0" w:color="auto"/>
        <w:bottom w:val="none" w:sz="0" w:space="0" w:color="auto"/>
        <w:right w:val="none" w:sz="0" w:space="0" w:color="auto"/>
      </w:divBdr>
    </w:div>
    <w:div w:id="1216040211">
      <w:marLeft w:val="0"/>
      <w:marRight w:val="0"/>
      <w:marTop w:val="0"/>
      <w:marBottom w:val="0"/>
      <w:divBdr>
        <w:top w:val="none" w:sz="0" w:space="0" w:color="auto"/>
        <w:left w:val="none" w:sz="0" w:space="0" w:color="auto"/>
        <w:bottom w:val="none" w:sz="0" w:space="0" w:color="auto"/>
        <w:right w:val="none" w:sz="0" w:space="0" w:color="auto"/>
      </w:divBdr>
    </w:div>
    <w:div w:id="1218735828">
      <w:marLeft w:val="0"/>
      <w:marRight w:val="0"/>
      <w:marTop w:val="0"/>
      <w:marBottom w:val="0"/>
      <w:divBdr>
        <w:top w:val="none" w:sz="0" w:space="0" w:color="auto"/>
        <w:left w:val="none" w:sz="0" w:space="0" w:color="auto"/>
        <w:bottom w:val="none" w:sz="0" w:space="0" w:color="auto"/>
        <w:right w:val="none" w:sz="0" w:space="0" w:color="auto"/>
      </w:divBdr>
    </w:div>
    <w:div w:id="1218781638">
      <w:marLeft w:val="0"/>
      <w:marRight w:val="0"/>
      <w:marTop w:val="180"/>
      <w:marBottom w:val="180"/>
      <w:divBdr>
        <w:top w:val="none" w:sz="0" w:space="0" w:color="auto"/>
        <w:left w:val="none" w:sz="0" w:space="0" w:color="auto"/>
        <w:bottom w:val="none" w:sz="0" w:space="0" w:color="auto"/>
        <w:right w:val="none" w:sz="0" w:space="0" w:color="auto"/>
      </w:divBdr>
    </w:div>
    <w:div w:id="1220165121">
      <w:marLeft w:val="0"/>
      <w:marRight w:val="0"/>
      <w:marTop w:val="0"/>
      <w:marBottom w:val="0"/>
      <w:divBdr>
        <w:top w:val="none" w:sz="0" w:space="0" w:color="auto"/>
        <w:left w:val="none" w:sz="0" w:space="0" w:color="auto"/>
        <w:bottom w:val="none" w:sz="0" w:space="0" w:color="auto"/>
        <w:right w:val="none" w:sz="0" w:space="0" w:color="auto"/>
      </w:divBdr>
      <w:divsChild>
        <w:div w:id="662701008">
          <w:marLeft w:val="0"/>
          <w:marRight w:val="0"/>
          <w:marTop w:val="0"/>
          <w:marBottom w:val="0"/>
          <w:divBdr>
            <w:top w:val="none" w:sz="0" w:space="0" w:color="auto"/>
            <w:left w:val="none" w:sz="0" w:space="0" w:color="auto"/>
            <w:bottom w:val="none" w:sz="0" w:space="0" w:color="auto"/>
            <w:right w:val="none" w:sz="0" w:space="0" w:color="auto"/>
          </w:divBdr>
          <w:divsChild>
            <w:div w:id="21456581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0167514">
      <w:marLeft w:val="0"/>
      <w:marRight w:val="0"/>
      <w:marTop w:val="180"/>
      <w:marBottom w:val="180"/>
      <w:divBdr>
        <w:top w:val="none" w:sz="0" w:space="0" w:color="auto"/>
        <w:left w:val="none" w:sz="0" w:space="0" w:color="auto"/>
        <w:bottom w:val="none" w:sz="0" w:space="0" w:color="auto"/>
        <w:right w:val="none" w:sz="0" w:space="0" w:color="auto"/>
      </w:divBdr>
    </w:div>
    <w:div w:id="1221090835">
      <w:marLeft w:val="0"/>
      <w:marRight w:val="0"/>
      <w:marTop w:val="180"/>
      <w:marBottom w:val="60"/>
      <w:divBdr>
        <w:top w:val="none" w:sz="0" w:space="0" w:color="auto"/>
        <w:left w:val="none" w:sz="0" w:space="0" w:color="auto"/>
        <w:bottom w:val="none" w:sz="0" w:space="0" w:color="auto"/>
        <w:right w:val="none" w:sz="0" w:space="0" w:color="auto"/>
      </w:divBdr>
    </w:div>
    <w:div w:id="1222475611">
      <w:marLeft w:val="0"/>
      <w:marRight w:val="0"/>
      <w:marTop w:val="160"/>
      <w:marBottom w:val="100"/>
      <w:divBdr>
        <w:top w:val="none" w:sz="0" w:space="0" w:color="auto"/>
        <w:left w:val="none" w:sz="0" w:space="0" w:color="auto"/>
        <w:bottom w:val="none" w:sz="0" w:space="0" w:color="auto"/>
        <w:right w:val="none" w:sz="0" w:space="0" w:color="auto"/>
      </w:divBdr>
      <w:divsChild>
        <w:div w:id="689258965">
          <w:marLeft w:val="0"/>
          <w:marRight w:val="0"/>
          <w:marTop w:val="0"/>
          <w:marBottom w:val="15"/>
          <w:divBdr>
            <w:top w:val="none" w:sz="0" w:space="0" w:color="auto"/>
            <w:left w:val="none" w:sz="0" w:space="0" w:color="auto"/>
            <w:bottom w:val="none" w:sz="0" w:space="0" w:color="auto"/>
            <w:right w:val="none" w:sz="0" w:space="0" w:color="auto"/>
          </w:divBdr>
        </w:div>
        <w:div w:id="339089952">
          <w:marLeft w:val="0"/>
          <w:marRight w:val="0"/>
          <w:marTop w:val="0"/>
          <w:marBottom w:val="15"/>
          <w:divBdr>
            <w:top w:val="none" w:sz="0" w:space="0" w:color="auto"/>
            <w:left w:val="none" w:sz="0" w:space="0" w:color="auto"/>
            <w:bottom w:val="none" w:sz="0" w:space="0" w:color="auto"/>
            <w:right w:val="none" w:sz="0" w:space="0" w:color="auto"/>
          </w:divBdr>
        </w:div>
        <w:div w:id="1162968934">
          <w:marLeft w:val="0"/>
          <w:marRight w:val="0"/>
          <w:marTop w:val="0"/>
          <w:marBottom w:val="15"/>
          <w:divBdr>
            <w:top w:val="none" w:sz="0" w:space="0" w:color="auto"/>
            <w:left w:val="none" w:sz="0" w:space="0" w:color="auto"/>
            <w:bottom w:val="none" w:sz="0" w:space="0" w:color="auto"/>
            <w:right w:val="none" w:sz="0" w:space="0" w:color="auto"/>
          </w:divBdr>
        </w:div>
        <w:div w:id="273371420">
          <w:marLeft w:val="0"/>
          <w:marRight w:val="0"/>
          <w:marTop w:val="0"/>
          <w:marBottom w:val="15"/>
          <w:divBdr>
            <w:top w:val="none" w:sz="0" w:space="0" w:color="auto"/>
            <w:left w:val="none" w:sz="0" w:space="0" w:color="auto"/>
            <w:bottom w:val="none" w:sz="0" w:space="0" w:color="auto"/>
            <w:right w:val="none" w:sz="0" w:space="0" w:color="auto"/>
          </w:divBdr>
        </w:div>
        <w:div w:id="806896927">
          <w:marLeft w:val="0"/>
          <w:marRight w:val="0"/>
          <w:marTop w:val="0"/>
          <w:marBottom w:val="15"/>
          <w:divBdr>
            <w:top w:val="none" w:sz="0" w:space="0" w:color="auto"/>
            <w:left w:val="none" w:sz="0" w:space="0" w:color="auto"/>
            <w:bottom w:val="none" w:sz="0" w:space="0" w:color="auto"/>
            <w:right w:val="none" w:sz="0" w:space="0" w:color="auto"/>
          </w:divBdr>
        </w:div>
        <w:div w:id="1520660425">
          <w:marLeft w:val="0"/>
          <w:marRight w:val="0"/>
          <w:marTop w:val="0"/>
          <w:marBottom w:val="15"/>
          <w:divBdr>
            <w:top w:val="none" w:sz="0" w:space="0" w:color="auto"/>
            <w:left w:val="none" w:sz="0" w:space="0" w:color="auto"/>
            <w:bottom w:val="none" w:sz="0" w:space="0" w:color="auto"/>
            <w:right w:val="none" w:sz="0" w:space="0" w:color="auto"/>
          </w:divBdr>
        </w:div>
        <w:div w:id="624123208">
          <w:marLeft w:val="0"/>
          <w:marRight w:val="0"/>
          <w:marTop w:val="0"/>
          <w:marBottom w:val="15"/>
          <w:divBdr>
            <w:top w:val="none" w:sz="0" w:space="0" w:color="auto"/>
            <w:left w:val="none" w:sz="0" w:space="0" w:color="auto"/>
            <w:bottom w:val="none" w:sz="0" w:space="0" w:color="auto"/>
            <w:right w:val="none" w:sz="0" w:space="0" w:color="auto"/>
          </w:divBdr>
        </w:div>
        <w:div w:id="938756249">
          <w:marLeft w:val="0"/>
          <w:marRight w:val="0"/>
          <w:marTop w:val="0"/>
          <w:marBottom w:val="15"/>
          <w:divBdr>
            <w:top w:val="none" w:sz="0" w:space="0" w:color="auto"/>
            <w:left w:val="none" w:sz="0" w:space="0" w:color="auto"/>
            <w:bottom w:val="none" w:sz="0" w:space="0" w:color="auto"/>
            <w:right w:val="none" w:sz="0" w:space="0" w:color="auto"/>
          </w:divBdr>
        </w:div>
        <w:div w:id="1043751768">
          <w:marLeft w:val="0"/>
          <w:marRight w:val="0"/>
          <w:marTop w:val="0"/>
          <w:marBottom w:val="15"/>
          <w:divBdr>
            <w:top w:val="none" w:sz="0" w:space="0" w:color="auto"/>
            <w:left w:val="none" w:sz="0" w:space="0" w:color="auto"/>
            <w:bottom w:val="none" w:sz="0" w:space="0" w:color="auto"/>
            <w:right w:val="none" w:sz="0" w:space="0" w:color="auto"/>
          </w:divBdr>
        </w:div>
      </w:divsChild>
    </w:div>
    <w:div w:id="1222791569">
      <w:marLeft w:val="0"/>
      <w:marRight w:val="0"/>
      <w:marTop w:val="0"/>
      <w:marBottom w:val="0"/>
      <w:divBdr>
        <w:top w:val="none" w:sz="0" w:space="0" w:color="auto"/>
        <w:left w:val="none" w:sz="0" w:space="0" w:color="auto"/>
        <w:bottom w:val="none" w:sz="0" w:space="0" w:color="auto"/>
        <w:right w:val="none" w:sz="0" w:space="0" w:color="auto"/>
      </w:divBdr>
      <w:divsChild>
        <w:div w:id="1606157374">
          <w:marLeft w:val="0"/>
          <w:marRight w:val="0"/>
          <w:marTop w:val="0"/>
          <w:marBottom w:val="0"/>
          <w:divBdr>
            <w:top w:val="none" w:sz="0" w:space="0" w:color="auto"/>
            <w:left w:val="none" w:sz="0" w:space="0" w:color="auto"/>
            <w:bottom w:val="none" w:sz="0" w:space="0" w:color="auto"/>
            <w:right w:val="none" w:sz="0" w:space="0" w:color="auto"/>
          </w:divBdr>
          <w:divsChild>
            <w:div w:id="21288855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3365089">
      <w:marLeft w:val="0"/>
      <w:marRight w:val="0"/>
      <w:marTop w:val="0"/>
      <w:marBottom w:val="0"/>
      <w:divBdr>
        <w:top w:val="none" w:sz="0" w:space="0" w:color="auto"/>
        <w:left w:val="none" w:sz="0" w:space="0" w:color="auto"/>
        <w:bottom w:val="none" w:sz="0" w:space="0" w:color="auto"/>
        <w:right w:val="none" w:sz="0" w:space="0" w:color="auto"/>
      </w:divBdr>
      <w:divsChild>
        <w:div w:id="1009530532">
          <w:marLeft w:val="0"/>
          <w:marRight w:val="0"/>
          <w:marTop w:val="0"/>
          <w:marBottom w:val="0"/>
          <w:divBdr>
            <w:top w:val="none" w:sz="0" w:space="0" w:color="auto"/>
            <w:left w:val="none" w:sz="0" w:space="0" w:color="auto"/>
            <w:bottom w:val="none" w:sz="0" w:space="0" w:color="auto"/>
            <w:right w:val="none" w:sz="0" w:space="0" w:color="auto"/>
          </w:divBdr>
          <w:divsChild>
            <w:div w:id="15842943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3371861">
      <w:marLeft w:val="0"/>
      <w:marRight w:val="0"/>
      <w:marTop w:val="180"/>
      <w:marBottom w:val="180"/>
      <w:divBdr>
        <w:top w:val="none" w:sz="0" w:space="0" w:color="auto"/>
        <w:left w:val="none" w:sz="0" w:space="0" w:color="auto"/>
        <w:bottom w:val="none" w:sz="0" w:space="0" w:color="auto"/>
        <w:right w:val="none" w:sz="0" w:space="0" w:color="auto"/>
      </w:divBdr>
    </w:div>
    <w:div w:id="1223518024">
      <w:marLeft w:val="0"/>
      <w:marRight w:val="0"/>
      <w:marTop w:val="180"/>
      <w:marBottom w:val="180"/>
      <w:divBdr>
        <w:top w:val="none" w:sz="0" w:space="0" w:color="auto"/>
        <w:left w:val="none" w:sz="0" w:space="0" w:color="auto"/>
        <w:bottom w:val="none" w:sz="0" w:space="0" w:color="auto"/>
        <w:right w:val="none" w:sz="0" w:space="0" w:color="auto"/>
      </w:divBdr>
    </w:div>
    <w:div w:id="1223523736">
      <w:marLeft w:val="0"/>
      <w:marRight w:val="0"/>
      <w:marTop w:val="180"/>
      <w:marBottom w:val="180"/>
      <w:divBdr>
        <w:top w:val="none" w:sz="0" w:space="0" w:color="auto"/>
        <w:left w:val="none" w:sz="0" w:space="0" w:color="auto"/>
        <w:bottom w:val="none" w:sz="0" w:space="0" w:color="auto"/>
        <w:right w:val="none" w:sz="0" w:space="0" w:color="auto"/>
      </w:divBdr>
    </w:div>
    <w:div w:id="1224607904">
      <w:marLeft w:val="0"/>
      <w:marRight w:val="0"/>
      <w:marTop w:val="0"/>
      <w:marBottom w:val="100"/>
      <w:divBdr>
        <w:top w:val="none" w:sz="0" w:space="0" w:color="auto"/>
        <w:left w:val="none" w:sz="0" w:space="0" w:color="auto"/>
        <w:bottom w:val="none" w:sz="0" w:space="0" w:color="auto"/>
        <w:right w:val="none" w:sz="0" w:space="0" w:color="auto"/>
      </w:divBdr>
      <w:divsChild>
        <w:div w:id="371462586">
          <w:marLeft w:val="0"/>
          <w:marRight w:val="0"/>
          <w:marTop w:val="180"/>
          <w:marBottom w:val="0"/>
          <w:divBdr>
            <w:top w:val="none" w:sz="0" w:space="0" w:color="auto"/>
            <w:left w:val="none" w:sz="0" w:space="0" w:color="auto"/>
            <w:bottom w:val="none" w:sz="0" w:space="0" w:color="auto"/>
            <w:right w:val="none" w:sz="0" w:space="0" w:color="auto"/>
          </w:divBdr>
        </w:div>
      </w:divsChild>
    </w:div>
    <w:div w:id="1224949047">
      <w:marLeft w:val="0"/>
      <w:marRight w:val="0"/>
      <w:marTop w:val="180"/>
      <w:marBottom w:val="180"/>
      <w:divBdr>
        <w:top w:val="none" w:sz="0" w:space="0" w:color="auto"/>
        <w:left w:val="none" w:sz="0" w:space="0" w:color="auto"/>
        <w:bottom w:val="none" w:sz="0" w:space="0" w:color="auto"/>
        <w:right w:val="none" w:sz="0" w:space="0" w:color="auto"/>
      </w:divBdr>
    </w:div>
    <w:div w:id="1227451007">
      <w:marLeft w:val="0"/>
      <w:marRight w:val="0"/>
      <w:marTop w:val="60"/>
      <w:marBottom w:val="60"/>
      <w:divBdr>
        <w:top w:val="none" w:sz="0" w:space="0" w:color="auto"/>
        <w:left w:val="none" w:sz="0" w:space="0" w:color="auto"/>
        <w:bottom w:val="none" w:sz="0" w:space="0" w:color="auto"/>
        <w:right w:val="none" w:sz="0" w:space="0" w:color="auto"/>
      </w:divBdr>
    </w:div>
    <w:div w:id="1228032389">
      <w:marLeft w:val="0"/>
      <w:marRight w:val="0"/>
      <w:marTop w:val="0"/>
      <w:marBottom w:val="0"/>
      <w:divBdr>
        <w:top w:val="none" w:sz="0" w:space="0" w:color="auto"/>
        <w:left w:val="none" w:sz="0" w:space="0" w:color="auto"/>
        <w:bottom w:val="none" w:sz="0" w:space="0" w:color="auto"/>
        <w:right w:val="none" w:sz="0" w:space="0" w:color="auto"/>
      </w:divBdr>
    </w:div>
    <w:div w:id="1228691153">
      <w:marLeft w:val="0"/>
      <w:marRight w:val="0"/>
      <w:marTop w:val="0"/>
      <w:marBottom w:val="0"/>
      <w:divBdr>
        <w:top w:val="none" w:sz="0" w:space="0" w:color="auto"/>
        <w:left w:val="none" w:sz="0" w:space="0" w:color="auto"/>
        <w:bottom w:val="none" w:sz="0" w:space="0" w:color="auto"/>
        <w:right w:val="none" w:sz="0" w:space="0" w:color="auto"/>
      </w:divBdr>
    </w:div>
    <w:div w:id="1229194843">
      <w:marLeft w:val="0"/>
      <w:marRight w:val="0"/>
      <w:marTop w:val="180"/>
      <w:marBottom w:val="60"/>
      <w:divBdr>
        <w:top w:val="none" w:sz="0" w:space="0" w:color="auto"/>
        <w:left w:val="none" w:sz="0" w:space="0" w:color="auto"/>
        <w:bottom w:val="none" w:sz="0" w:space="0" w:color="auto"/>
        <w:right w:val="none" w:sz="0" w:space="0" w:color="auto"/>
      </w:divBdr>
    </w:div>
    <w:div w:id="1231309949">
      <w:marLeft w:val="0"/>
      <w:marRight w:val="0"/>
      <w:marTop w:val="180"/>
      <w:marBottom w:val="180"/>
      <w:divBdr>
        <w:top w:val="none" w:sz="0" w:space="0" w:color="auto"/>
        <w:left w:val="none" w:sz="0" w:space="0" w:color="auto"/>
        <w:bottom w:val="none" w:sz="0" w:space="0" w:color="auto"/>
        <w:right w:val="none" w:sz="0" w:space="0" w:color="auto"/>
      </w:divBdr>
    </w:div>
    <w:div w:id="1233926555">
      <w:marLeft w:val="0"/>
      <w:marRight w:val="0"/>
      <w:marTop w:val="180"/>
      <w:marBottom w:val="180"/>
      <w:divBdr>
        <w:top w:val="none" w:sz="0" w:space="0" w:color="auto"/>
        <w:left w:val="none" w:sz="0" w:space="0" w:color="auto"/>
        <w:bottom w:val="none" w:sz="0" w:space="0" w:color="auto"/>
        <w:right w:val="none" w:sz="0" w:space="0" w:color="auto"/>
      </w:divBdr>
    </w:div>
    <w:div w:id="1235240722">
      <w:marLeft w:val="0"/>
      <w:marRight w:val="0"/>
      <w:marTop w:val="0"/>
      <w:marBottom w:val="0"/>
      <w:divBdr>
        <w:top w:val="none" w:sz="0" w:space="0" w:color="auto"/>
        <w:left w:val="none" w:sz="0" w:space="0" w:color="auto"/>
        <w:bottom w:val="none" w:sz="0" w:space="0" w:color="auto"/>
        <w:right w:val="none" w:sz="0" w:space="0" w:color="auto"/>
      </w:divBdr>
      <w:divsChild>
        <w:div w:id="1529443725">
          <w:marLeft w:val="0"/>
          <w:marRight w:val="0"/>
          <w:marTop w:val="0"/>
          <w:marBottom w:val="0"/>
          <w:divBdr>
            <w:top w:val="none" w:sz="0" w:space="0" w:color="auto"/>
            <w:left w:val="none" w:sz="0" w:space="0" w:color="auto"/>
            <w:bottom w:val="none" w:sz="0" w:space="0" w:color="auto"/>
            <w:right w:val="none" w:sz="0" w:space="0" w:color="auto"/>
          </w:divBdr>
          <w:divsChild>
            <w:div w:id="20852267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7013563">
      <w:marLeft w:val="0"/>
      <w:marRight w:val="0"/>
      <w:marTop w:val="180"/>
      <w:marBottom w:val="180"/>
      <w:divBdr>
        <w:top w:val="none" w:sz="0" w:space="0" w:color="auto"/>
        <w:left w:val="none" w:sz="0" w:space="0" w:color="auto"/>
        <w:bottom w:val="none" w:sz="0" w:space="0" w:color="auto"/>
        <w:right w:val="none" w:sz="0" w:space="0" w:color="auto"/>
      </w:divBdr>
    </w:div>
    <w:div w:id="1237738603">
      <w:marLeft w:val="0"/>
      <w:marRight w:val="0"/>
      <w:marTop w:val="60"/>
      <w:marBottom w:val="60"/>
      <w:divBdr>
        <w:top w:val="none" w:sz="0" w:space="0" w:color="auto"/>
        <w:left w:val="none" w:sz="0" w:space="0" w:color="auto"/>
        <w:bottom w:val="none" w:sz="0" w:space="0" w:color="auto"/>
        <w:right w:val="none" w:sz="0" w:space="0" w:color="auto"/>
      </w:divBdr>
    </w:div>
    <w:div w:id="1241716287">
      <w:marLeft w:val="0"/>
      <w:marRight w:val="0"/>
      <w:marTop w:val="180"/>
      <w:marBottom w:val="180"/>
      <w:divBdr>
        <w:top w:val="none" w:sz="0" w:space="0" w:color="auto"/>
        <w:left w:val="none" w:sz="0" w:space="0" w:color="auto"/>
        <w:bottom w:val="none" w:sz="0" w:space="0" w:color="auto"/>
        <w:right w:val="none" w:sz="0" w:space="0" w:color="auto"/>
      </w:divBdr>
    </w:div>
    <w:div w:id="1241788339">
      <w:marLeft w:val="0"/>
      <w:marRight w:val="0"/>
      <w:marTop w:val="60"/>
      <w:marBottom w:val="60"/>
      <w:divBdr>
        <w:top w:val="none" w:sz="0" w:space="0" w:color="auto"/>
        <w:left w:val="none" w:sz="0" w:space="0" w:color="auto"/>
        <w:bottom w:val="none" w:sz="0" w:space="0" w:color="auto"/>
        <w:right w:val="none" w:sz="0" w:space="0" w:color="auto"/>
      </w:divBdr>
    </w:div>
    <w:div w:id="1242836816">
      <w:marLeft w:val="0"/>
      <w:marRight w:val="0"/>
      <w:marTop w:val="180"/>
      <w:marBottom w:val="180"/>
      <w:divBdr>
        <w:top w:val="none" w:sz="0" w:space="0" w:color="auto"/>
        <w:left w:val="none" w:sz="0" w:space="0" w:color="auto"/>
        <w:bottom w:val="none" w:sz="0" w:space="0" w:color="auto"/>
        <w:right w:val="none" w:sz="0" w:space="0" w:color="auto"/>
      </w:divBdr>
    </w:div>
    <w:div w:id="1243296187">
      <w:marLeft w:val="0"/>
      <w:marRight w:val="0"/>
      <w:marTop w:val="60"/>
      <w:marBottom w:val="60"/>
      <w:divBdr>
        <w:top w:val="none" w:sz="0" w:space="0" w:color="auto"/>
        <w:left w:val="none" w:sz="0" w:space="0" w:color="auto"/>
        <w:bottom w:val="none" w:sz="0" w:space="0" w:color="auto"/>
        <w:right w:val="none" w:sz="0" w:space="0" w:color="auto"/>
      </w:divBdr>
    </w:div>
    <w:div w:id="1246568260">
      <w:marLeft w:val="0"/>
      <w:marRight w:val="0"/>
      <w:marTop w:val="0"/>
      <w:marBottom w:val="0"/>
      <w:divBdr>
        <w:top w:val="none" w:sz="0" w:space="0" w:color="auto"/>
        <w:left w:val="none" w:sz="0" w:space="0" w:color="auto"/>
        <w:bottom w:val="none" w:sz="0" w:space="0" w:color="auto"/>
        <w:right w:val="none" w:sz="0" w:space="0" w:color="auto"/>
      </w:divBdr>
    </w:div>
    <w:div w:id="1246573319">
      <w:marLeft w:val="0"/>
      <w:marRight w:val="0"/>
      <w:marTop w:val="0"/>
      <w:marBottom w:val="0"/>
      <w:divBdr>
        <w:top w:val="none" w:sz="0" w:space="0" w:color="auto"/>
        <w:left w:val="none" w:sz="0" w:space="0" w:color="auto"/>
        <w:bottom w:val="none" w:sz="0" w:space="0" w:color="auto"/>
        <w:right w:val="none" w:sz="0" w:space="0" w:color="auto"/>
      </w:divBdr>
      <w:divsChild>
        <w:div w:id="346447640">
          <w:marLeft w:val="0"/>
          <w:marRight w:val="0"/>
          <w:marTop w:val="180"/>
          <w:marBottom w:val="180"/>
          <w:divBdr>
            <w:top w:val="none" w:sz="0" w:space="0" w:color="auto"/>
            <w:left w:val="none" w:sz="0" w:space="0" w:color="auto"/>
            <w:bottom w:val="none" w:sz="0" w:space="0" w:color="auto"/>
            <w:right w:val="none" w:sz="0" w:space="0" w:color="auto"/>
          </w:divBdr>
        </w:div>
      </w:divsChild>
    </w:div>
    <w:div w:id="1247156844">
      <w:marLeft w:val="0"/>
      <w:marRight w:val="0"/>
      <w:marTop w:val="60"/>
      <w:marBottom w:val="60"/>
      <w:divBdr>
        <w:top w:val="none" w:sz="0" w:space="0" w:color="auto"/>
        <w:left w:val="none" w:sz="0" w:space="0" w:color="auto"/>
        <w:bottom w:val="none" w:sz="0" w:space="0" w:color="auto"/>
        <w:right w:val="none" w:sz="0" w:space="0" w:color="auto"/>
      </w:divBdr>
    </w:div>
    <w:div w:id="1247228922">
      <w:marLeft w:val="0"/>
      <w:marRight w:val="0"/>
      <w:marTop w:val="100"/>
      <w:marBottom w:val="100"/>
      <w:divBdr>
        <w:top w:val="none" w:sz="0" w:space="0" w:color="auto"/>
        <w:left w:val="none" w:sz="0" w:space="0" w:color="auto"/>
        <w:bottom w:val="none" w:sz="0" w:space="0" w:color="auto"/>
        <w:right w:val="none" w:sz="0" w:space="0" w:color="auto"/>
      </w:divBdr>
      <w:divsChild>
        <w:div w:id="1287200678">
          <w:marLeft w:val="0"/>
          <w:marRight w:val="0"/>
          <w:marTop w:val="0"/>
          <w:marBottom w:val="0"/>
          <w:divBdr>
            <w:top w:val="none" w:sz="0" w:space="0" w:color="auto"/>
            <w:left w:val="none" w:sz="0" w:space="0" w:color="auto"/>
            <w:bottom w:val="none" w:sz="0" w:space="0" w:color="auto"/>
            <w:right w:val="none" w:sz="0" w:space="0" w:color="auto"/>
          </w:divBdr>
        </w:div>
      </w:divsChild>
    </w:div>
    <w:div w:id="1247960279">
      <w:marLeft w:val="0"/>
      <w:marRight w:val="0"/>
      <w:marTop w:val="180"/>
      <w:marBottom w:val="180"/>
      <w:divBdr>
        <w:top w:val="none" w:sz="0" w:space="0" w:color="auto"/>
        <w:left w:val="none" w:sz="0" w:space="0" w:color="auto"/>
        <w:bottom w:val="none" w:sz="0" w:space="0" w:color="auto"/>
        <w:right w:val="none" w:sz="0" w:space="0" w:color="auto"/>
      </w:divBdr>
    </w:div>
    <w:div w:id="1249534089">
      <w:marLeft w:val="0"/>
      <w:marRight w:val="0"/>
      <w:marTop w:val="180"/>
      <w:marBottom w:val="180"/>
      <w:divBdr>
        <w:top w:val="none" w:sz="0" w:space="0" w:color="auto"/>
        <w:left w:val="none" w:sz="0" w:space="0" w:color="auto"/>
        <w:bottom w:val="none" w:sz="0" w:space="0" w:color="auto"/>
        <w:right w:val="none" w:sz="0" w:space="0" w:color="auto"/>
      </w:divBdr>
    </w:div>
    <w:div w:id="1250239258">
      <w:marLeft w:val="0"/>
      <w:marRight w:val="0"/>
      <w:marTop w:val="0"/>
      <w:marBottom w:val="0"/>
      <w:divBdr>
        <w:top w:val="none" w:sz="0" w:space="0" w:color="auto"/>
        <w:left w:val="none" w:sz="0" w:space="0" w:color="auto"/>
        <w:bottom w:val="none" w:sz="0" w:space="0" w:color="auto"/>
        <w:right w:val="none" w:sz="0" w:space="0" w:color="auto"/>
      </w:divBdr>
    </w:div>
    <w:div w:id="1253005357">
      <w:marLeft w:val="0"/>
      <w:marRight w:val="0"/>
      <w:marTop w:val="60"/>
      <w:marBottom w:val="60"/>
      <w:divBdr>
        <w:top w:val="none" w:sz="0" w:space="0" w:color="auto"/>
        <w:left w:val="none" w:sz="0" w:space="0" w:color="auto"/>
        <w:bottom w:val="none" w:sz="0" w:space="0" w:color="auto"/>
        <w:right w:val="none" w:sz="0" w:space="0" w:color="auto"/>
      </w:divBdr>
    </w:div>
    <w:div w:id="1253321901">
      <w:marLeft w:val="0"/>
      <w:marRight w:val="0"/>
      <w:marTop w:val="60"/>
      <w:marBottom w:val="60"/>
      <w:divBdr>
        <w:top w:val="none" w:sz="0" w:space="0" w:color="auto"/>
        <w:left w:val="none" w:sz="0" w:space="0" w:color="auto"/>
        <w:bottom w:val="none" w:sz="0" w:space="0" w:color="auto"/>
        <w:right w:val="none" w:sz="0" w:space="0" w:color="auto"/>
      </w:divBdr>
    </w:div>
    <w:div w:id="1256402979">
      <w:marLeft w:val="0"/>
      <w:marRight w:val="0"/>
      <w:marTop w:val="100"/>
      <w:marBottom w:val="100"/>
      <w:divBdr>
        <w:top w:val="none" w:sz="0" w:space="0" w:color="auto"/>
        <w:left w:val="none" w:sz="0" w:space="0" w:color="auto"/>
        <w:bottom w:val="none" w:sz="0" w:space="0" w:color="auto"/>
        <w:right w:val="none" w:sz="0" w:space="0" w:color="auto"/>
      </w:divBdr>
      <w:divsChild>
        <w:div w:id="1254322206">
          <w:marLeft w:val="0"/>
          <w:marRight w:val="0"/>
          <w:marTop w:val="0"/>
          <w:marBottom w:val="0"/>
          <w:divBdr>
            <w:top w:val="none" w:sz="0" w:space="0" w:color="auto"/>
            <w:left w:val="none" w:sz="0" w:space="0" w:color="auto"/>
            <w:bottom w:val="none" w:sz="0" w:space="0" w:color="auto"/>
            <w:right w:val="none" w:sz="0" w:space="0" w:color="auto"/>
          </w:divBdr>
        </w:div>
      </w:divsChild>
    </w:div>
    <w:div w:id="1256551165">
      <w:marLeft w:val="0"/>
      <w:marRight w:val="0"/>
      <w:marTop w:val="0"/>
      <w:marBottom w:val="180"/>
      <w:divBdr>
        <w:top w:val="none" w:sz="0" w:space="0" w:color="auto"/>
        <w:left w:val="none" w:sz="0" w:space="0" w:color="auto"/>
        <w:bottom w:val="none" w:sz="0" w:space="0" w:color="auto"/>
        <w:right w:val="none" w:sz="0" w:space="0" w:color="auto"/>
      </w:divBdr>
    </w:div>
    <w:div w:id="1260479539">
      <w:marLeft w:val="0"/>
      <w:marRight w:val="0"/>
      <w:marTop w:val="0"/>
      <w:marBottom w:val="0"/>
      <w:divBdr>
        <w:top w:val="none" w:sz="0" w:space="0" w:color="auto"/>
        <w:left w:val="none" w:sz="0" w:space="0" w:color="auto"/>
        <w:bottom w:val="none" w:sz="0" w:space="0" w:color="auto"/>
        <w:right w:val="none" w:sz="0" w:space="0" w:color="auto"/>
      </w:divBdr>
    </w:div>
    <w:div w:id="1265307982">
      <w:marLeft w:val="0"/>
      <w:marRight w:val="0"/>
      <w:marTop w:val="180"/>
      <w:marBottom w:val="180"/>
      <w:divBdr>
        <w:top w:val="none" w:sz="0" w:space="0" w:color="auto"/>
        <w:left w:val="none" w:sz="0" w:space="0" w:color="auto"/>
        <w:bottom w:val="none" w:sz="0" w:space="0" w:color="auto"/>
        <w:right w:val="none" w:sz="0" w:space="0" w:color="auto"/>
      </w:divBdr>
    </w:div>
    <w:div w:id="1266381920">
      <w:marLeft w:val="0"/>
      <w:marRight w:val="0"/>
      <w:marTop w:val="180"/>
      <w:marBottom w:val="180"/>
      <w:divBdr>
        <w:top w:val="none" w:sz="0" w:space="0" w:color="auto"/>
        <w:left w:val="none" w:sz="0" w:space="0" w:color="auto"/>
        <w:bottom w:val="none" w:sz="0" w:space="0" w:color="auto"/>
        <w:right w:val="none" w:sz="0" w:space="0" w:color="auto"/>
      </w:divBdr>
    </w:div>
    <w:div w:id="1270893613">
      <w:marLeft w:val="0"/>
      <w:marRight w:val="0"/>
      <w:marTop w:val="0"/>
      <w:marBottom w:val="0"/>
      <w:divBdr>
        <w:top w:val="none" w:sz="0" w:space="0" w:color="auto"/>
        <w:left w:val="none" w:sz="0" w:space="0" w:color="auto"/>
        <w:bottom w:val="none" w:sz="0" w:space="0" w:color="auto"/>
        <w:right w:val="none" w:sz="0" w:space="0" w:color="auto"/>
      </w:divBdr>
      <w:divsChild>
        <w:div w:id="881283773">
          <w:marLeft w:val="0"/>
          <w:marRight w:val="0"/>
          <w:marTop w:val="180"/>
          <w:marBottom w:val="180"/>
          <w:divBdr>
            <w:top w:val="none" w:sz="0" w:space="0" w:color="auto"/>
            <w:left w:val="none" w:sz="0" w:space="0" w:color="auto"/>
            <w:bottom w:val="none" w:sz="0" w:space="0" w:color="auto"/>
            <w:right w:val="none" w:sz="0" w:space="0" w:color="auto"/>
          </w:divBdr>
        </w:div>
      </w:divsChild>
    </w:div>
    <w:div w:id="1272129162">
      <w:marLeft w:val="0"/>
      <w:marRight w:val="0"/>
      <w:marTop w:val="100"/>
      <w:marBottom w:val="100"/>
      <w:divBdr>
        <w:top w:val="none" w:sz="0" w:space="0" w:color="auto"/>
        <w:left w:val="none" w:sz="0" w:space="0" w:color="auto"/>
        <w:bottom w:val="none" w:sz="0" w:space="0" w:color="auto"/>
        <w:right w:val="none" w:sz="0" w:space="0" w:color="auto"/>
      </w:divBdr>
      <w:divsChild>
        <w:div w:id="1211848316">
          <w:marLeft w:val="0"/>
          <w:marRight w:val="0"/>
          <w:marTop w:val="0"/>
          <w:marBottom w:val="0"/>
          <w:divBdr>
            <w:top w:val="none" w:sz="0" w:space="0" w:color="auto"/>
            <w:left w:val="none" w:sz="0" w:space="0" w:color="auto"/>
            <w:bottom w:val="none" w:sz="0" w:space="0" w:color="auto"/>
            <w:right w:val="none" w:sz="0" w:space="0" w:color="auto"/>
          </w:divBdr>
        </w:div>
        <w:div w:id="1799644992">
          <w:marLeft w:val="0"/>
          <w:marRight w:val="0"/>
          <w:marTop w:val="0"/>
          <w:marBottom w:val="0"/>
          <w:divBdr>
            <w:top w:val="none" w:sz="0" w:space="0" w:color="auto"/>
            <w:left w:val="none" w:sz="0" w:space="0" w:color="auto"/>
            <w:bottom w:val="none" w:sz="0" w:space="0" w:color="auto"/>
            <w:right w:val="none" w:sz="0" w:space="0" w:color="auto"/>
          </w:divBdr>
        </w:div>
      </w:divsChild>
    </w:div>
    <w:div w:id="1272470397">
      <w:marLeft w:val="0"/>
      <w:marRight w:val="0"/>
      <w:marTop w:val="180"/>
      <w:marBottom w:val="120"/>
      <w:divBdr>
        <w:top w:val="none" w:sz="0" w:space="0" w:color="auto"/>
        <w:left w:val="none" w:sz="0" w:space="0" w:color="auto"/>
        <w:bottom w:val="none" w:sz="0" w:space="0" w:color="auto"/>
        <w:right w:val="none" w:sz="0" w:space="0" w:color="auto"/>
      </w:divBdr>
    </w:div>
    <w:div w:id="1272518992">
      <w:marLeft w:val="0"/>
      <w:marRight w:val="0"/>
      <w:marTop w:val="100"/>
      <w:marBottom w:val="100"/>
      <w:divBdr>
        <w:top w:val="none" w:sz="0" w:space="0" w:color="auto"/>
        <w:left w:val="none" w:sz="0" w:space="0" w:color="auto"/>
        <w:bottom w:val="none" w:sz="0" w:space="0" w:color="auto"/>
        <w:right w:val="none" w:sz="0" w:space="0" w:color="auto"/>
      </w:divBdr>
    </w:div>
    <w:div w:id="1273243831">
      <w:marLeft w:val="0"/>
      <w:marRight w:val="0"/>
      <w:marTop w:val="180"/>
      <w:marBottom w:val="180"/>
      <w:divBdr>
        <w:top w:val="none" w:sz="0" w:space="0" w:color="auto"/>
        <w:left w:val="none" w:sz="0" w:space="0" w:color="auto"/>
        <w:bottom w:val="none" w:sz="0" w:space="0" w:color="auto"/>
        <w:right w:val="none" w:sz="0" w:space="0" w:color="auto"/>
      </w:divBdr>
    </w:div>
    <w:div w:id="1273631459">
      <w:marLeft w:val="0"/>
      <w:marRight w:val="0"/>
      <w:marTop w:val="60"/>
      <w:marBottom w:val="60"/>
      <w:divBdr>
        <w:top w:val="none" w:sz="0" w:space="0" w:color="auto"/>
        <w:left w:val="none" w:sz="0" w:space="0" w:color="auto"/>
        <w:bottom w:val="none" w:sz="0" w:space="0" w:color="auto"/>
        <w:right w:val="none" w:sz="0" w:space="0" w:color="auto"/>
      </w:divBdr>
    </w:div>
    <w:div w:id="1278102290">
      <w:marLeft w:val="0"/>
      <w:marRight w:val="0"/>
      <w:marTop w:val="60"/>
      <w:marBottom w:val="60"/>
      <w:divBdr>
        <w:top w:val="none" w:sz="0" w:space="0" w:color="auto"/>
        <w:left w:val="none" w:sz="0" w:space="0" w:color="auto"/>
        <w:bottom w:val="none" w:sz="0" w:space="0" w:color="auto"/>
        <w:right w:val="none" w:sz="0" w:space="0" w:color="auto"/>
      </w:divBdr>
    </w:div>
    <w:div w:id="1278373794">
      <w:marLeft w:val="0"/>
      <w:marRight w:val="0"/>
      <w:marTop w:val="180"/>
      <w:marBottom w:val="180"/>
      <w:divBdr>
        <w:top w:val="none" w:sz="0" w:space="0" w:color="auto"/>
        <w:left w:val="none" w:sz="0" w:space="0" w:color="auto"/>
        <w:bottom w:val="none" w:sz="0" w:space="0" w:color="auto"/>
        <w:right w:val="none" w:sz="0" w:space="0" w:color="auto"/>
      </w:divBdr>
    </w:div>
    <w:div w:id="1279948534">
      <w:marLeft w:val="0"/>
      <w:marRight w:val="0"/>
      <w:marTop w:val="60"/>
      <w:marBottom w:val="60"/>
      <w:divBdr>
        <w:top w:val="none" w:sz="0" w:space="0" w:color="auto"/>
        <w:left w:val="none" w:sz="0" w:space="0" w:color="auto"/>
        <w:bottom w:val="none" w:sz="0" w:space="0" w:color="auto"/>
        <w:right w:val="none" w:sz="0" w:space="0" w:color="auto"/>
      </w:divBdr>
    </w:div>
    <w:div w:id="1280137856">
      <w:marLeft w:val="0"/>
      <w:marRight w:val="0"/>
      <w:marTop w:val="180"/>
      <w:marBottom w:val="180"/>
      <w:divBdr>
        <w:top w:val="none" w:sz="0" w:space="0" w:color="auto"/>
        <w:left w:val="none" w:sz="0" w:space="0" w:color="auto"/>
        <w:bottom w:val="none" w:sz="0" w:space="0" w:color="auto"/>
        <w:right w:val="none" w:sz="0" w:space="0" w:color="auto"/>
      </w:divBdr>
    </w:div>
    <w:div w:id="1281455777">
      <w:marLeft w:val="0"/>
      <w:marRight w:val="0"/>
      <w:marTop w:val="60"/>
      <w:marBottom w:val="60"/>
      <w:divBdr>
        <w:top w:val="none" w:sz="0" w:space="0" w:color="auto"/>
        <w:left w:val="none" w:sz="0" w:space="0" w:color="auto"/>
        <w:bottom w:val="none" w:sz="0" w:space="0" w:color="auto"/>
        <w:right w:val="none" w:sz="0" w:space="0" w:color="auto"/>
      </w:divBdr>
      <w:divsChild>
        <w:div w:id="259803636">
          <w:marLeft w:val="0"/>
          <w:marRight w:val="0"/>
          <w:marTop w:val="0"/>
          <w:marBottom w:val="0"/>
          <w:divBdr>
            <w:top w:val="none" w:sz="0" w:space="0" w:color="auto"/>
            <w:left w:val="none" w:sz="0" w:space="0" w:color="auto"/>
            <w:bottom w:val="none" w:sz="0" w:space="0" w:color="auto"/>
            <w:right w:val="none" w:sz="0" w:space="0" w:color="auto"/>
          </w:divBdr>
        </w:div>
        <w:div w:id="858665701">
          <w:marLeft w:val="0"/>
          <w:marRight w:val="0"/>
          <w:marTop w:val="0"/>
          <w:marBottom w:val="0"/>
          <w:divBdr>
            <w:top w:val="none" w:sz="0" w:space="0" w:color="auto"/>
            <w:left w:val="none" w:sz="0" w:space="0" w:color="auto"/>
            <w:bottom w:val="none" w:sz="0" w:space="0" w:color="auto"/>
            <w:right w:val="none" w:sz="0" w:space="0" w:color="auto"/>
          </w:divBdr>
        </w:div>
        <w:div w:id="2146267150">
          <w:marLeft w:val="0"/>
          <w:marRight w:val="0"/>
          <w:marTop w:val="0"/>
          <w:marBottom w:val="0"/>
          <w:divBdr>
            <w:top w:val="none" w:sz="0" w:space="0" w:color="auto"/>
            <w:left w:val="none" w:sz="0" w:space="0" w:color="auto"/>
            <w:bottom w:val="none" w:sz="0" w:space="0" w:color="auto"/>
            <w:right w:val="none" w:sz="0" w:space="0" w:color="auto"/>
          </w:divBdr>
        </w:div>
        <w:div w:id="1782141110">
          <w:marLeft w:val="0"/>
          <w:marRight w:val="0"/>
          <w:marTop w:val="0"/>
          <w:marBottom w:val="0"/>
          <w:divBdr>
            <w:top w:val="none" w:sz="0" w:space="0" w:color="auto"/>
            <w:left w:val="none" w:sz="0" w:space="0" w:color="auto"/>
            <w:bottom w:val="none" w:sz="0" w:space="0" w:color="auto"/>
            <w:right w:val="none" w:sz="0" w:space="0" w:color="auto"/>
          </w:divBdr>
        </w:div>
        <w:div w:id="2007971175">
          <w:marLeft w:val="0"/>
          <w:marRight w:val="0"/>
          <w:marTop w:val="0"/>
          <w:marBottom w:val="0"/>
          <w:divBdr>
            <w:top w:val="none" w:sz="0" w:space="0" w:color="auto"/>
            <w:left w:val="none" w:sz="0" w:space="0" w:color="auto"/>
            <w:bottom w:val="none" w:sz="0" w:space="0" w:color="auto"/>
            <w:right w:val="none" w:sz="0" w:space="0" w:color="auto"/>
          </w:divBdr>
        </w:div>
        <w:div w:id="994605621">
          <w:marLeft w:val="0"/>
          <w:marRight w:val="0"/>
          <w:marTop w:val="0"/>
          <w:marBottom w:val="0"/>
          <w:divBdr>
            <w:top w:val="none" w:sz="0" w:space="0" w:color="auto"/>
            <w:left w:val="none" w:sz="0" w:space="0" w:color="auto"/>
            <w:bottom w:val="none" w:sz="0" w:space="0" w:color="auto"/>
            <w:right w:val="none" w:sz="0" w:space="0" w:color="auto"/>
          </w:divBdr>
        </w:div>
      </w:divsChild>
    </w:div>
    <w:div w:id="1281693233">
      <w:marLeft w:val="0"/>
      <w:marRight w:val="0"/>
      <w:marTop w:val="60"/>
      <w:marBottom w:val="60"/>
      <w:divBdr>
        <w:top w:val="none" w:sz="0" w:space="0" w:color="auto"/>
        <w:left w:val="none" w:sz="0" w:space="0" w:color="auto"/>
        <w:bottom w:val="none" w:sz="0" w:space="0" w:color="auto"/>
        <w:right w:val="none" w:sz="0" w:space="0" w:color="auto"/>
      </w:divBdr>
    </w:div>
    <w:div w:id="1284460803">
      <w:marLeft w:val="0"/>
      <w:marRight w:val="0"/>
      <w:marTop w:val="60"/>
      <w:marBottom w:val="60"/>
      <w:divBdr>
        <w:top w:val="none" w:sz="0" w:space="0" w:color="auto"/>
        <w:left w:val="none" w:sz="0" w:space="0" w:color="auto"/>
        <w:bottom w:val="none" w:sz="0" w:space="0" w:color="auto"/>
        <w:right w:val="none" w:sz="0" w:space="0" w:color="auto"/>
      </w:divBdr>
    </w:div>
    <w:div w:id="1287469905">
      <w:marLeft w:val="0"/>
      <w:marRight w:val="0"/>
      <w:marTop w:val="0"/>
      <w:marBottom w:val="0"/>
      <w:divBdr>
        <w:top w:val="none" w:sz="0" w:space="0" w:color="auto"/>
        <w:left w:val="none" w:sz="0" w:space="0" w:color="auto"/>
        <w:bottom w:val="none" w:sz="0" w:space="0" w:color="auto"/>
        <w:right w:val="none" w:sz="0" w:space="0" w:color="auto"/>
      </w:divBdr>
      <w:divsChild>
        <w:div w:id="863253740">
          <w:marLeft w:val="0"/>
          <w:marRight w:val="0"/>
          <w:marTop w:val="180"/>
          <w:marBottom w:val="180"/>
          <w:divBdr>
            <w:top w:val="none" w:sz="0" w:space="0" w:color="auto"/>
            <w:left w:val="none" w:sz="0" w:space="0" w:color="auto"/>
            <w:bottom w:val="none" w:sz="0" w:space="0" w:color="auto"/>
            <w:right w:val="none" w:sz="0" w:space="0" w:color="auto"/>
          </w:divBdr>
        </w:div>
      </w:divsChild>
    </w:div>
    <w:div w:id="1287813879">
      <w:marLeft w:val="0"/>
      <w:marRight w:val="0"/>
      <w:marTop w:val="0"/>
      <w:marBottom w:val="0"/>
      <w:divBdr>
        <w:top w:val="none" w:sz="0" w:space="0" w:color="auto"/>
        <w:left w:val="none" w:sz="0" w:space="0" w:color="auto"/>
        <w:bottom w:val="none" w:sz="0" w:space="0" w:color="auto"/>
        <w:right w:val="none" w:sz="0" w:space="0" w:color="auto"/>
      </w:divBdr>
      <w:divsChild>
        <w:div w:id="1507017424">
          <w:marLeft w:val="0"/>
          <w:marRight w:val="0"/>
          <w:marTop w:val="0"/>
          <w:marBottom w:val="0"/>
          <w:divBdr>
            <w:top w:val="none" w:sz="0" w:space="0" w:color="auto"/>
            <w:left w:val="none" w:sz="0" w:space="0" w:color="auto"/>
            <w:bottom w:val="none" w:sz="0" w:space="0" w:color="auto"/>
            <w:right w:val="none" w:sz="0" w:space="0" w:color="auto"/>
          </w:divBdr>
          <w:divsChild>
            <w:div w:id="9449690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8122044">
      <w:marLeft w:val="0"/>
      <w:marRight w:val="0"/>
      <w:marTop w:val="180"/>
      <w:marBottom w:val="180"/>
      <w:divBdr>
        <w:top w:val="none" w:sz="0" w:space="0" w:color="auto"/>
        <w:left w:val="none" w:sz="0" w:space="0" w:color="auto"/>
        <w:bottom w:val="none" w:sz="0" w:space="0" w:color="auto"/>
        <w:right w:val="none" w:sz="0" w:space="0" w:color="auto"/>
      </w:divBdr>
    </w:div>
    <w:div w:id="1289701394">
      <w:marLeft w:val="0"/>
      <w:marRight w:val="0"/>
      <w:marTop w:val="0"/>
      <w:marBottom w:val="0"/>
      <w:divBdr>
        <w:top w:val="none" w:sz="0" w:space="0" w:color="auto"/>
        <w:left w:val="none" w:sz="0" w:space="0" w:color="auto"/>
        <w:bottom w:val="none" w:sz="0" w:space="0" w:color="auto"/>
        <w:right w:val="none" w:sz="0" w:space="0" w:color="auto"/>
      </w:divBdr>
      <w:divsChild>
        <w:div w:id="257182330">
          <w:marLeft w:val="0"/>
          <w:marRight w:val="0"/>
          <w:marTop w:val="0"/>
          <w:marBottom w:val="0"/>
          <w:divBdr>
            <w:top w:val="none" w:sz="0" w:space="0" w:color="auto"/>
            <w:left w:val="none" w:sz="0" w:space="0" w:color="auto"/>
            <w:bottom w:val="none" w:sz="0" w:space="0" w:color="auto"/>
            <w:right w:val="none" w:sz="0" w:space="0" w:color="auto"/>
          </w:divBdr>
          <w:divsChild>
            <w:div w:id="2229109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1789902">
      <w:marLeft w:val="0"/>
      <w:marRight w:val="0"/>
      <w:marTop w:val="0"/>
      <w:marBottom w:val="0"/>
      <w:divBdr>
        <w:top w:val="none" w:sz="0" w:space="0" w:color="auto"/>
        <w:left w:val="none" w:sz="0" w:space="0" w:color="auto"/>
        <w:bottom w:val="none" w:sz="0" w:space="0" w:color="auto"/>
        <w:right w:val="none" w:sz="0" w:space="0" w:color="auto"/>
      </w:divBdr>
      <w:divsChild>
        <w:div w:id="456069457">
          <w:marLeft w:val="0"/>
          <w:marRight w:val="0"/>
          <w:marTop w:val="0"/>
          <w:marBottom w:val="0"/>
          <w:divBdr>
            <w:top w:val="none" w:sz="0" w:space="0" w:color="auto"/>
            <w:left w:val="none" w:sz="0" w:space="0" w:color="auto"/>
            <w:bottom w:val="none" w:sz="0" w:space="0" w:color="auto"/>
            <w:right w:val="none" w:sz="0" w:space="0" w:color="auto"/>
          </w:divBdr>
          <w:divsChild>
            <w:div w:id="20815208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2059645">
      <w:marLeft w:val="0"/>
      <w:marRight w:val="0"/>
      <w:marTop w:val="180"/>
      <w:marBottom w:val="180"/>
      <w:divBdr>
        <w:top w:val="none" w:sz="0" w:space="0" w:color="auto"/>
        <w:left w:val="none" w:sz="0" w:space="0" w:color="auto"/>
        <w:bottom w:val="none" w:sz="0" w:space="0" w:color="auto"/>
        <w:right w:val="none" w:sz="0" w:space="0" w:color="auto"/>
      </w:divBdr>
    </w:div>
    <w:div w:id="1293442414">
      <w:marLeft w:val="0"/>
      <w:marRight w:val="0"/>
      <w:marTop w:val="180"/>
      <w:marBottom w:val="180"/>
      <w:divBdr>
        <w:top w:val="none" w:sz="0" w:space="0" w:color="auto"/>
        <w:left w:val="none" w:sz="0" w:space="0" w:color="auto"/>
        <w:bottom w:val="none" w:sz="0" w:space="0" w:color="auto"/>
        <w:right w:val="none" w:sz="0" w:space="0" w:color="auto"/>
      </w:divBdr>
    </w:div>
    <w:div w:id="1295866445">
      <w:marLeft w:val="0"/>
      <w:marRight w:val="0"/>
      <w:marTop w:val="180"/>
      <w:marBottom w:val="180"/>
      <w:divBdr>
        <w:top w:val="none" w:sz="0" w:space="0" w:color="auto"/>
        <w:left w:val="none" w:sz="0" w:space="0" w:color="auto"/>
        <w:bottom w:val="none" w:sz="0" w:space="0" w:color="auto"/>
        <w:right w:val="none" w:sz="0" w:space="0" w:color="auto"/>
      </w:divBdr>
    </w:div>
    <w:div w:id="1296837374">
      <w:marLeft w:val="0"/>
      <w:marRight w:val="0"/>
      <w:marTop w:val="0"/>
      <w:marBottom w:val="0"/>
      <w:divBdr>
        <w:top w:val="none" w:sz="0" w:space="0" w:color="auto"/>
        <w:left w:val="none" w:sz="0" w:space="0" w:color="auto"/>
        <w:bottom w:val="none" w:sz="0" w:space="0" w:color="auto"/>
        <w:right w:val="none" w:sz="0" w:space="0" w:color="auto"/>
      </w:divBdr>
      <w:divsChild>
        <w:div w:id="151454225">
          <w:marLeft w:val="0"/>
          <w:marRight w:val="0"/>
          <w:marTop w:val="180"/>
          <w:marBottom w:val="180"/>
          <w:divBdr>
            <w:top w:val="none" w:sz="0" w:space="0" w:color="auto"/>
            <w:left w:val="none" w:sz="0" w:space="0" w:color="auto"/>
            <w:bottom w:val="none" w:sz="0" w:space="0" w:color="auto"/>
            <w:right w:val="none" w:sz="0" w:space="0" w:color="auto"/>
          </w:divBdr>
        </w:div>
      </w:divsChild>
    </w:div>
    <w:div w:id="1297493053">
      <w:marLeft w:val="0"/>
      <w:marRight w:val="0"/>
      <w:marTop w:val="180"/>
      <w:marBottom w:val="180"/>
      <w:divBdr>
        <w:top w:val="none" w:sz="0" w:space="0" w:color="auto"/>
        <w:left w:val="none" w:sz="0" w:space="0" w:color="auto"/>
        <w:bottom w:val="none" w:sz="0" w:space="0" w:color="auto"/>
        <w:right w:val="none" w:sz="0" w:space="0" w:color="auto"/>
      </w:divBdr>
    </w:div>
    <w:div w:id="1297837852">
      <w:marLeft w:val="0"/>
      <w:marRight w:val="0"/>
      <w:marTop w:val="180"/>
      <w:marBottom w:val="180"/>
      <w:divBdr>
        <w:top w:val="none" w:sz="0" w:space="0" w:color="auto"/>
        <w:left w:val="none" w:sz="0" w:space="0" w:color="auto"/>
        <w:bottom w:val="none" w:sz="0" w:space="0" w:color="auto"/>
        <w:right w:val="none" w:sz="0" w:space="0" w:color="auto"/>
      </w:divBdr>
    </w:div>
    <w:div w:id="1298727425">
      <w:marLeft w:val="0"/>
      <w:marRight w:val="0"/>
      <w:marTop w:val="180"/>
      <w:marBottom w:val="60"/>
      <w:divBdr>
        <w:top w:val="none" w:sz="0" w:space="0" w:color="auto"/>
        <w:left w:val="none" w:sz="0" w:space="0" w:color="auto"/>
        <w:bottom w:val="none" w:sz="0" w:space="0" w:color="auto"/>
        <w:right w:val="none" w:sz="0" w:space="0" w:color="auto"/>
      </w:divBdr>
    </w:div>
    <w:div w:id="1299844344">
      <w:marLeft w:val="0"/>
      <w:marRight w:val="0"/>
      <w:marTop w:val="180"/>
      <w:marBottom w:val="180"/>
      <w:divBdr>
        <w:top w:val="none" w:sz="0" w:space="0" w:color="auto"/>
        <w:left w:val="none" w:sz="0" w:space="0" w:color="auto"/>
        <w:bottom w:val="none" w:sz="0" w:space="0" w:color="auto"/>
        <w:right w:val="none" w:sz="0" w:space="0" w:color="auto"/>
      </w:divBdr>
    </w:div>
    <w:div w:id="1300266815">
      <w:marLeft w:val="0"/>
      <w:marRight w:val="0"/>
      <w:marTop w:val="180"/>
      <w:marBottom w:val="180"/>
      <w:divBdr>
        <w:top w:val="none" w:sz="0" w:space="0" w:color="auto"/>
        <w:left w:val="none" w:sz="0" w:space="0" w:color="auto"/>
        <w:bottom w:val="none" w:sz="0" w:space="0" w:color="auto"/>
        <w:right w:val="none" w:sz="0" w:space="0" w:color="auto"/>
      </w:divBdr>
    </w:div>
    <w:div w:id="1301808236">
      <w:marLeft w:val="0"/>
      <w:marRight w:val="0"/>
      <w:marTop w:val="60"/>
      <w:marBottom w:val="60"/>
      <w:divBdr>
        <w:top w:val="none" w:sz="0" w:space="0" w:color="auto"/>
        <w:left w:val="none" w:sz="0" w:space="0" w:color="auto"/>
        <w:bottom w:val="none" w:sz="0" w:space="0" w:color="auto"/>
        <w:right w:val="none" w:sz="0" w:space="0" w:color="auto"/>
      </w:divBdr>
    </w:div>
    <w:div w:id="1301836967">
      <w:marLeft w:val="0"/>
      <w:marRight w:val="0"/>
      <w:marTop w:val="60"/>
      <w:marBottom w:val="60"/>
      <w:divBdr>
        <w:top w:val="none" w:sz="0" w:space="0" w:color="auto"/>
        <w:left w:val="none" w:sz="0" w:space="0" w:color="auto"/>
        <w:bottom w:val="none" w:sz="0" w:space="0" w:color="auto"/>
        <w:right w:val="none" w:sz="0" w:space="0" w:color="auto"/>
      </w:divBdr>
    </w:div>
    <w:div w:id="1302611521">
      <w:marLeft w:val="0"/>
      <w:marRight w:val="0"/>
      <w:marTop w:val="180"/>
      <w:marBottom w:val="180"/>
      <w:divBdr>
        <w:top w:val="none" w:sz="0" w:space="0" w:color="auto"/>
        <w:left w:val="none" w:sz="0" w:space="0" w:color="auto"/>
        <w:bottom w:val="none" w:sz="0" w:space="0" w:color="auto"/>
        <w:right w:val="none" w:sz="0" w:space="0" w:color="auto"/>
      </w:divBdr>
    </w:div>
    <w:div w:id="1304695445">
      <w:marLeft w:val="0"/>
      <w:marRight w:val="0"/>
      <w:marTop w:val="0"/>
      <w:marBottom w:val="0"/>
      <w:divBdr>
        <w:top w:val="none" w:sz="0" w:space="0" w:color="auto"/>
        <w:left w:val="none" w:sz="0" w:space="0" w:color="auto"/>
        <w:bottom w:val="none" w:sz="0" w:space="0" w:color="auto"/>
        <w:right w:val="none" w:sz="0" w:space="0" w:color="auto"/>
      </w:divBdr>
      <w:divsChild>
        <w:div w:id="570895051">
          <w:marLeft w:val="0"/>
          <w:marRight w:val="0"/>
          <w:marTop w:val="180"/>
          <w:marBottom w:val="180"/>
          <w:divBdr>
            <w:top w:val="none" w:sz="0" w:space="0" w:color="auto"/>
            <w:left w:val="none" w:sz="0" w:space="0" w:color="auto"/>
            <w:bottom w:val="none" w:sz="0" w:space="0" w:color="auto"/>
            <w:right w:val="none" w:sz="0" w:space="0" w:color="auto"/>
          </w:divBdr>
        </w:div>
      </w:divsChild>
    </w:div>
    <w:div w:id="1304893222">
      <w:marLeft w:val="0"/>
      <w:marRight w:val="0"/>
      <w:marTop w:val="60"/>
      <w:marBottom w:val="60"/>
      <w:divBdr>
        <w:top w:val="none" w:sz="0" w:space="0" w:color="auto"/>
        <w:left w:val="none" w:sz="0" w:space="0" w:color="auto"/>
        <w:bottom w:val="none" w:sz="0" w:space="0" w:color="auto"/>
        <w:right w:val="none" w:sz="0" w:space="0" w:color="auto"/>
      </w:divBdr>
    </w:div>
    <w:div w:id="1307855459">
      <w:marLeft w:val="0"/>
      <w:marRight w:val="0"/>
      <w:marTop w:val="180"/>
      <w:marBottom w:val="180"/>
      <w:divBdr>
        <w:top w:val="none" w:sz="0" w:space="0" w:color="auto"/>
        <w:left w:val="none" w:sz="0" w:space="0" w:color="auto"/>
        <w:bottom w:val="none" w:sz="0" w:space="0" w:color="auto"/>
        <w:right w:val="none" w:sz="0" w:space="0" w:color="auto"/>
      </w:divBdr>
    </w:div>
    <w:div w:id="1309822009">
      <w:marLeft w:val="0"/>
      <w:marRight w:val="0"/>
      <w:marTop w:val="180"/>
      <w:marBottom w:val="180"/>
      <w:divBdr>
        <w:top w:val="none" w:sz="0" w:space="0" w:color="auto"/>
        <w:left w:val="none" w:sz="0" w:space="0" w:color="auto"/>
        <w:bottom w:val="none" w:sz="0" w:space="0" w:color="auto"/>
        <w:right w:val="none" w:sz="0" w:space="0" w:color="auto"/>
      </w:divBdr>
    </w:div>
    <w:div w:id="1310401035">
      <w:marLeft w:val="0"/>
      <w:marRight w:val="0"/>
      <w:marTop w:val="180"/>
      <w:marBottom w:val="180"/>
      <w:divBdr>
        <w:top w:val="none" w:sz="0" w:space="0" w:color="auto"/>
        <w:left w:val="none" w:sz="0" w:space="0" w:color="auto"/>
        <w:bottom w:val="none" w:sz="0" w:space="0" w:color="auto"/>
        <w:right w:val="none" w:sz="0" w:space="0" w:color="auto"/>
      </w:divBdr>
    </w:div>
    <w:div w:id="1311472588">
      <w:marLeft w:val="0"/>
      <w:marRight w:val="0"/>
      <w:marTop w:val="180"/>
      <w:marBottom w:val="180"/>
      <w:divBdr>
        <w:top w:val="none" w:sz="0" w:space="0" w:color="auto"/>
        <w:left w:val="none" w:sz="0" w:space="0" w:color="auto"/>
        <w:bottom w:val="none" w:sz="0" w:space="0" w:color="auto"/>
        <w:right w:val="none" w:sz="0" w:space="0" w:color="auto"/>
      </w:divBdr>
    </w:div>
    <w:div w:id="1311668062">
      <w:marLeft w:val="0"/>
      <w:marRight w:val="0"/>
      <w:marTop w:val="60"/>
      <w:marBottom w:val="60"/>
      <w:divBdr>
        <w:top w:val="none" w:sz="0" w:space="0" w:color="auto"/>
        <w:left w:val="none" w:sz="0" w:space="0" w:color="auto"/>
        <w:bottom w:val="none" w:sz="0" w:space="0" w:color="auto"/>
        <w:right w:val="none" w:sz="0" w:space="0" w:color="auto"/>
      </w:divBdr>
      <w:divsChild>
        <w:div w:id="1098793341">
          <w:marLeft w:val="0"/>
          <w:marRight w:val="0"/>
          <w:marTop w:val="0"/>
          <w:marBottom w:val="0"/>
          <w:divBdr>
            <w:top w:val="none" w:sz="0" w:space="0" w:color="auto"/>
            <w:left w:val="none" w:sz="0" w:space="0" w:color="auto"/>
            <w:bottom w:val="none" w:sz="0" w:space="0" w:color="auto"/>
            <w:right w:val="none" w:sz="0" w:space="0" w:color="auto"/>
          </w:divBdr>
        </w:div>
        <w:div w:id="1845242749">
          <w:marLeft w:val="0"/>
          <w:marRight w:val="0"/>
          <w:marTop w:val="0"/>
          <w:marBottom w:val="0"/>
          <w:divBdr>
            <w:top w:val="none" w:sz="0" w:space="0" w:color="auto"/>
            <w:left w:val="none" w:sz="0" w:space="0" w:color="auto"/>
            <w:bottom w:val="none" w:sz="0" w:space="0" w:color="auto"/>
            <w:right w:val="none" w:sz="0" w:space="0" w:color="auto"/>
          </w:divBdr>
        </w:div>
        <w:div w:id="1969777441">
          <w:marLeft w:val="0"/>
          <w:marRight w:val="0"/>
          <w:marTop w:val="0"/>
          <w:marBottom w:val="0"/>
          <w:divBdr>
            <w:top w:val="none" w:sz="0" w:space="0" w:color="auto"/>
            <w:left w:val="none" w:sz="0" w:space="0" w:color="auto"/>
            <w:bottom w:val="none" w:sz="0" w:space="0" w:color="auto"/>
            <w:right w:val="none" w:sz="0" w:space="0" w:color="auto"/>
          </w:divBdr>
        </w:div>
        <w:div w:id="114910762">
          <w:marLeft w:val="0"/>
          <w:marRight w:val="0"/>
          <w:marTop w:val="0"/>
          <w:marBottom w:val="0"/>
          <w:divBdr>
            <w:top w:val="none" w:sz="0" w:space="0" w:color="auto"/>
            <w:left w:val="none" w:sz="0" w:space="0" w:color="auto"/>
            <w:bottom w:val="none" w:sz="0" w:space="0" w:color="auto"/>
            <w:right w:val="none" w:sz="0" w:space="0" w:color="auto"/>
          </w:divBdr>
        </w:div>
      </w:divsChild>
    </w:div>
    <w:div w:id="1311789186">
      <w:marLeft w:val="0"/>
      <w:marRight w:val="0"/>
      <w:marTop w:val="180"/>
      <w:marBottom w:val="180"/>
      <w:divBdr>
        <w:top w:val="none" w:sz="0" w:space="0" w:color="auto"/>
        <w:left w:val="none" w:sz="0" w:space="0" w:color="auto"/>
        <w:bottom w:val="none" w:sz="0" w:space="0" w:color="auto"/>
        <w:right w:val="none" w:sz="0" w:space="0" w:color="auto"/>
      </w:divBdr>
    </w:div>
    <w:div w:id="1313220268">
      <w:marLeft w:val="0"/>
      <w:marRight w:val="0"/>
      <w:marTop w:val="180"/>
      <w:marBottom w:val="180"/>
      <w:divBdr>
        <w:top w:val="none" w:sz="0" w:space="0" w:color="auto"/>
        <w:left w:val="none" w:sz="0" w:space="0" w:color="auto"/>
        <w:bottom w:val="none" w:sz="0" w:space="0" w:color="auto"/>
        <w:right w:val="none" w:sz="0" w:space="0" w:color="auto"/>
      </w:divBdr>
    </w:div>
    <w:div w:id="1315373347">
      <w:marLeft w:val="0"/>
      <w:marRight w:val="0"/>
      <w:marTop w:val="180"/>
      <w:marBottom w:val="180"/>
      <w:divBdr>
        <w:top w:val="none" w:sz="0" w:space="0" w:color="auto"/>
        <w:left w:val="none" w:sz="0" w:space="0" w:color="auto"/>
        <w:bottom w:val="none" w:sz="0" w:space="0" w:color="auto"/>
        <w:right w:val="none" w:sz="0" w:space="0" w:color="auto"/>
      </w:divBdr>
    </w:div>
    <w:div w:id="1317762396">
      <w:marLeft w:val="0"/>
      <w:marRight w:val="0"/>
      <w:marTop w:val="60"/>
      <w:marBottom w:val="60"/>
      <w:divBdr>
        <w:top w:val="none" w:sz="0" w:space="0" w:color="auto"/>
        <w:left w:val="none" w:sz="0" w:space="0" w:color="auto"/>
        <w:bottom w:val="none" w:sz="0" w:space="0" w:color="auto"/>
        <w:right w:val="none" w:sz="0" w:space="0" w:color="auto"/>
      </w:divBdr>
    </w:div>
    <w:div w:id="1317764419">
      <w:marLeft w:val="0"/>
      <w:marRight w:val="0"/>
      <w:marTop w:val="60"/>
      <w:marBottom w:val="60"/>
      <w:divBdr>
        <w:top w:val="none" w:sz="0" w:space="0" w:color="auto"/>
        <w:left w:val="none" w:sz="0" w:space="0" w:color="auto"/>
        <w:bottom w:val="none" w:sz="0" w:space="0" w:color="auto"/>
        <w:right w:val="none" w:sz="0" w:space="0" w:color="auto"/>
      </w:divBdr>
      <w:divsChild>
        <w:div w:id="1401438354">
          <w:marLeft w:val="0"/>
          <w:marRight w:val="0"/>
          <w:marTop w:val="0"/>
          <w:marBottom w:val="0"/>
          <w:divBdr>
            <w:top w:val="none" w:sz="0" w:space="0" w:color="auto"/>
            <w:left w:val="none" w:sz="0" w:space="0" w:color="auto"/>
            <w:bottom w:val="none" w:sz="0" w:space="0" w:color="auto"/>
            <w:right w:val="none" w:sz="0" w:space="0" w:color="auto"/>
          </w:divBdr>
        </w:div>
        <w:div w:id="743648450">
          <w:marLeft w:val="0"/>
          <w:marRight w:val="0"/>
          <w:marTop w:val="0"/>
          <w:marBottom w:val="0"/>
          <w:divBdr>
            <w:top w:val="none" w:sz="0" w:space="0" w:color="auto"/>
            <w:left w:val="none" w:sz="0" w:space="0" w:color="auto"/>
            <w:bottom w:val="none" w:sz="0" w:space="0" w:color="auto"/>
            <w:right w:val="none" w:sz="0" w:space="0" w:color="auto"/>
          </w:divBdr>
        </w:div>
      </w:divsChild>
    </w:div>
    <w:div w:id="1318802026">
      <w:marLeft w:val="0"/>
      <w:marRight w:val="0"/>
      <w:marTop w:val="180"/>
      <w:marBottom w:val="180"/>
      <w:divBdr>
        <w:top w:val="none" w:sz="0" w:space="0" w:color="auto"/>
        <w:left w:val="none" w:sz="0" w:space="0" w:color="auto"/>
        <w:bottom w:val="none" w:sz="0" w:space="0" w:color="auto"/>
        <w:right w:val="none" w:sz="0" w:space="0" w:color="auto"/>
      </w:divBdr>
    </w:div>
    <w:div w:id="1319267585">
      <w:marLeft w:val="0"/>
      <w:marRight w:val="0"/>
      <w:marTop w:val="180"/>
      <w:marBottom w:val="180"/>
      <w:divBdr>
        <w:top w:val="none" w:sz="0" w:space="0" w:color="auto"/>
        <w:left w:val="none" w:sz="0" w:space="0" w:color="auto"/>
        <w:bottom w:val="none" w:sz="0" w:space="0" w:color="auto"/>
        <w:right w:val="none" w:sz="0" w:space="0" w:color="auto"/>
      </w:divBdr>
    </w:div>
    <w:div w:id="1320883454">
      <w:marLeft w:val="0"/>
      <w:marRight w:val="0"/>
      <w:marTop w:val="180"/>
      <w:marBottom w:val="180"/>
      <w:divBdr>
        <w:top w:val="none" w:sz="0" w:space="0" w:color="auto"/>
        <w:left w:val="none" w:sz="0" w:space="0" w:color="auto"/>
        <w:bottom w:val="none" w:sz="0" w:space="0" w:color="auto"/>
        <w:right w:val="none" w:sz="0" w:space="0" w:color="auto"/>
      </w:divBdr>
    </w:div>
    <w:div w:id="1322083147">
      <w:marLeft w:val="0"/>
      <w:marRight w:val="0"/>
      <w:marTop w:val="180"/>
      <w:marBottom w:val="180"/>
      <w:divBdr>
        <w:top w:val="none" w:sz="0" w:space="0" w:color="auto"/>
        <w:left w:val="none" w:sz="0" w:space="0" w:color="auto"/>
        <w:bottom w:val="none" w:sz="0" w:space="0" w:color="auto"/>
        <w:right w:val="none" w:sz="0" w:space="0" w:color="auto"/>
      </w:divBdr>
    </w:div>
    <w:div w:id="1323050213">
      <w:marLeft w:val="0"/>
      <w:marRight w:val="0"/>
      <w:marTop w:val="180"/>
      <w:marBottom w:val="180"/>
      <w:divBdr>
        <w:top w:val="none" w:sz="0" w:space="0" w:color="auto"/>
        <w:left w:val="none" w:sz="0" w:space="0" w:color="auto"/>
        <w:bottom w:val="none" w:sz="0" w:space="0" w:color="auto"/>
        <w:right w:val="none" w:sz="0" w:space="0" w:color="auto"/>
      </w:divBdr>
    </w:div>
    <w:div w:id="1324506960">
      <w:marLeft w:val="0"/>
      <w:marRight w:val="0"/>
      <w:marTop w:val="180"/>
      <w:marBottom w:val="180"/>
      <w:divBdr>
        <w:top w:val="none" w:sz="0" w:space="0" w:color="auto"/>
        <w:left w:val="none" w:sz="0" w:space="0" w:color="auto"/>
        <w:bottom w:val="none" w:sz="0" w:space="0" w:color="auto"/>
        <w:right w:val="none" w:sz="0" w:space="0" w:color="auto"/>
      </w:divBdr>
    </w:div>
    <w:div w:id="1326545824">
      <w:marLeft w:val="0"/>
      <w:marRight w:val="0"/>
      <w:marTop w:val="60"/>
      <w:marBottom w:val="60"/>
      <w:divBdr>
        <w:top w:val="none" w:sz="0" w:space="0" w:color="auto"/>
        <w:left w:val="none" w:sz="0" w:space="0" w:color="auto"/>
        <w:bottom w:val="none" w:sz="0" w:space="0" w:color="auto"/>
        <w:right w:val="none" w:sz="0" w:space="0" w:color="auto"/>
      </w:divBdr>
    </w:div>
    <w:div w:id="1329599354">
      <w:marLeft w:val="0"/>
      <w:marRight w:val="0"/>
      <w:marTop w:val="180"/>
      <w:marBottom w:val="180"/>
      <w:divBdr>
        <w:top w:val="none" w:sz="0" w:space="0" w:color="auto"/>
        <w:left w:val="none" w:sz="0" w:space="0" w:color="auto"/>
        <w:bottom w:val="none" w:sz="0" w:space="0" w:color="auto"/>
        <w:right w:val="none" w:sz="0" w:space="0" w:color="auto"/>
      </w:divBdr>
    </w:div>
    <w:div w:id="1330062334">
      <w:marLeft w:val="0"/>
      <w:marRight w:val="0"/>
      <w:marTop w:val="60"/>
      <w:marBottom w:val="60"/>
      <w:divBdr>
        <w:top w:val="none" w:sz="0" w:space="0" w:color="auto"/>
        <w:left w:val="none" w:sz="0" w:space="0" w:color="auto"/>
        <w:bottom w:val="none" w:sz="0" w:space="0" w:color="auto"/>
        <w:right w:val="none" w:sz="0" w:space="0" w:color="auto"/>
      </w:divBdr>
    </w:div>
    <w:div w:id="1330601224">
      <w:marLeft w:val="0"/>
      <w:marRight w:val="0"/>
      <w:marTop w:val="180"/>
      <w:marBottom w:val="180"/>
      <w:divBdr>
        <w:top w:val="none" w:sz="0" w:space="0" w:color="auto"/>
        <w:left w:val="none" w:sz="0" w:space="0" w:color="auto"/>
        <w:bottom w:val="none" w:sz="0" w:space="0" w:color="auto"/>
        <w:right w:val="none" w:sz="0" w:space="0" w:color="auto"/>
      </w:divBdr>
    </w:div>
    <w:div w:id="1333144054">
      <w:marLeft w:val="0"/>
      <w:marRight w:val="0"/>
      <w:marTop w:val="180"/>
      <w:marBottom w:val="60"/>
      <w:divBdr>
        <w:top w:val="none" w:sz="0" w:space="0" w:color="auto"/>
        <w:left w:val="none" w:sz="0" w:space="0" w:color="auto"/>
        <w:bottom w:val="none" w:sz="0" w:space="0" w:color="auto"/>
        <w:right w:val="none" w:sz="0" w:space="0" w:color="auto"/>
      </w:divBdr>
    </w:div>
    <w:div w:id="1333340080">
      <w:marLeft w:val="0"/>
      <w:marRight w:val="0"/>
      <w:marTop w:val="180"/>
      <w:marBottom w:val="180"/>
      <w:divBdr>
        <w:top w:val="none" w:sz="0" w:space="0" w:color="auto"/>
        <w:left w:val="none" w:sz="0" w:space="0" w:color="auto"/>
        <w:bottom w:val="none" w:sz="0" w:space="0" w:color="auto"/>
        <w:right w:val="none" w:sz="0" w:space="0" w:color="auto"/>
      </w:divBdr>
    </w:div>
    <w:div w:id="1333527077">
      <w:marLeft w:val="0"/>
      <w:marRight w:val="0"/>
      <w:marTop w:val="0"/>
      <w:marBottom w:val="180"/>
      <w:divBdr>
        <w:top w:val="none" w:sz="0" w:space="0" w:color="auto"/>
        <w:left w:val="none" w:sz="0" w:space="0" w:color="auto"/>
        <w:bottom w:val="none" w:sz="0" w:space="0" w:color="auto"/>
        <w:right w:val="none" w:sz="0" w:space="0" w:color="auto"/>
      </w:divBdr>
    </w:div>
    <w:div w:id="1333609324">
      <w:marLeft w:val="0"/>
      <w:marRight w:val="0"/>
      <w:marTop w:val="180"/>
      <w:marBottom w:val="180"/>
      <w:divBdr>
        <w:top w:val="none" w:sz="0" w:space="0" w:color="auto"/>
        <w:left w:val="none" w:sz="0" w:space="0" w:color="auto"/>
        <w:bottom w:val="none" w:sz="0" w:space="0" w:color="auto"/>
        <w:right w:val="none" w:sz="0" w:space="0" w:color="auto"/>
      </w:divBdr>
    </w:div>
    <w:div w:id="1335106892">
      <w:marLeft w:val="0"/>
      <w:marRight w:val="0"/>
      <w:marTop w:val="180"/>
      <w:marBottom w:val="180"/>
      <w:divBdr>
        <w:top w:val="none" w:sz="0" w:space="0" w:color="auto"/>
        <w:left w:val="none" w:sz="0" w:space="0" w:color="auto"/>
        <w:bottom w:val="none" w:sz="0" w:space="0" w:color="auto"/>
        <w:right w:val="none" w:sz="0" w:space="0" w:color="auto"/>
      </w:divBdr>
    </w:div>
    <w:div w:id="1336886670">
      <w:marLeft w:val="0"/>
      <w:marRight w:val="0"/>
      <w:marTop w:val="180"/>
      <w:marBottom w:val="180"/>
      <w:divBdr>
        <w:top w:val="none" w:sz="0" w:space="0" w:color="auto"/>
        <w:left w:val="none" w:sz="0" w:space="0" w:color="auto"/>
        <w:bottom w:val="none" w:sz="0" w:space="0" w:color="auto"/>
        <w:right w:val="none" w:sz="0" w:space="0" w:color="auto"/>
      </w:divBdr>
    </w:div>
    <w:div w:id="1337420280">
      <w:marLeft w:val="0"/>
      <w:marRight w:val="0"/>
      <w:marTop w:val="60"/>
      <w:marBottom w:val="60"/>
      <w:divBdr>
        <w:top w:val="none" w:sz="0" w:space="0" w:color="auto"/>
        <w:left w:val="none" w:sz="0" w:space="0" w:color="auto"/>
        <w:bottom w:val="none" w:sz="0" w:space="0" w:color="auto"/>
        <w:right w:val="none" w:sz="0" w:space="0" w:color="auto"/>
      </w:divBdr>
    </w:div>
    <w:div w:id="1337995879">
      <w:marLeft w:val="0"/>
      <w:marRight w:val="0"/>
      <w:marTop w:val="180"/>
      <w:marBottom w:val="180"/>
      <w:divBdr>
        <w:top w:val="none" w:sz="0" w:space="0" w:color="auto"/>
        <w:left w:val="none" w:sz="0" w:space="0" w:color="auto"/>
        <w:bottom w:val="none" w:sz="0" w:space="0" w:color="auto"/>
        <w:right w:val="none" w:sz="0" w:space="0" w:color="auto"/>
      </w:divBdr>
    </w:div>
    <w:div w:id="1338457799">
      <w:marLeft w:val="0"/>
      <w:marRight w:val="0"/>
      <w:marTop w:val="0"/>
      <w:marBottom w:val="180"/>
      <w:divBdr>
        <w:top w:val="none" w:sz="0" w:space="0" w:color="auto"/>
        <w:left w:val="none" w:sz="0" w:space="0" w:color="auto"/>
        <w:bottom w:val="none" w:sz="0" w:space="0" w:color="auto"/>
        <w:right w:val="none" w:sz="0" w:space="0" w:color="auto"/>
      </w:divBdr>
    </w:div>
    <w:div w:id="1338652117">
      <w:marLeft w:val="0"/>
      <w:marRight w:val="0"/>
      <w:marTop w:val="60"/>
      <w:marBottom w:val="60"/>
      <w:divBdr>
        <w:top w:val="none" w:sz="0" w:space="0" w:color="auto"/>
        <w:left w:val="none" w:sz="0" w:space="0" w:color="auto"/>
        <w:bottom w:val="none" w:sz="0" w:space="0" w:color="auto"/>
        <w:right w:val="none" w:sz="0" w:space="0" w:color="auto"/>
      </w:divBdr>
    </w:div>
    <w:div w:id="1338998219">
      <w:marLeft w:val="0"/>
      <w:marRight w:val="0"/>
      <w:marTop w:val="0"/>
      <w:marBottom w:val="0"/>
      <w:divBdr>
        <w:top w:val="none" w:sz="0" w:space="0" w:color="auto"/>
        <w:left w:val="none" w:sz="0" w:space="0" w:color="auto"/>
        <w:bottom w:val="none" w:sz="0" w:space="0" w:color="auto"/>
        <w:right w:val="none" w:sz="0" w:space="0" w:color="auto"/>
      </w:divBdr>
      <w:divsChild>
        <w:div w:id="126969738">
          <w:marLeft w:val="0"/>
          <w:marRight w:val="0"/>
          <w:marTop w:val="0"/>
          <w:marBottom w:val="0"/>
          <w:divBdr>
            <w:top w:val="none" w:sz="0" w:space="0" w:color="auto"/>
            <w:left w:val="none" w:sz="0" w:space="0" w:color="auto"/>
            <w:bottom w:val="none" w:sz="0" w:space="0" w:color="auto"/>
            <w:right w:val="none" w:sz="0" w:space="0" w:color="auto"/>
          </w:divBdr>
          <w:divsChild>
            <w:div w:id="979199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1468192">
      <w:marLeft w:val="0"/>
      <w:marRight w:val="0"/>
      <w:marTop w:val="60"/>
      <w:marBottom w:val="60"/>
      <w:divBdr>
        <w:top w:val="none" w:sz="0" w:space="0" w:color="auto"/>
        <w:left w:val="none" w:sz="0" w:space="0" w:color="auto"/>
        <w:bottom w:val="none" w:sz="0" w:space="0" w:color="auto"/>
        <w:right w:val="none" w:sz="0" w:space="0" w:color="auto"/>
      </w:divBdr>
    </w:div>
    <w:div w:id="1341813732">
      <w:marLeft w:val="0"/>
      <w:marRight w:val="0"/>
      <w:marTop w:val="0"/>
      <w:marBottom w:val="0"/>
      <w:divBdr>
        <w:top w:val="none" w:sz="0" w:space="0" w:color="auto"/>
        <w:left w:val="none" w:sz="0" w:space="0" w:color="auto"/>
        <w:bottom w:val="none" w:sz="0" w:space="0" w:color="auto"/>
        <w:right w:val="none" w:sz="0" w:space="0" w:color="auto"/>
      </w:divBdr>
      <w:divsChild>
        <w:div w:id="1793667581">
          <w:marLeft w:val="0"/>
          <w:marRight w:val="0"/>
          <w:marTop w:val="0"/>
          <w:marBottom w:val="0"/>
          <w:divBdr>
            <w:top w:val="none" w:sz="0" w:space="0" w:color="auto"/>
            <w:left w:val="none" w:sz="0" w:space="0" w:color="auto"/>
            <w:bottom w:val="none" w:sz="0" w:space="0" w:color="auto"/>
            <w:right w:val="none" w:sz="0" w:space="0" w:color="auto"/>
          </w:divBdr>
          <w:divsChild>
            <w:div w:id="17992942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2007967">
      <w:marLeft w:val="0"/>
      <w:marRight w:val="0"/>
      <w:marTop w:val="0"/>
      <w:marBottom w:val="0"/>
      <w:divBdr>
        <w:top w:val="none" w:sz="0" w:space="0" w:color="auto"/>
        <w:left w:val="none" w:sz="0" w:space="0" w:color="auto"/>
        <w:bottom w:val="none" w:sz="0" w:space="0" w:color="auto"/>
        <w:right w:val="none" w:sz="0" w:space="0" w:color="auto"/>
      </w:divBdr>
    </w:div>
    <w:div w:id="1343508703">
      <w:marLeft w:val="0"/>
      <w:marRight w:val="0"/>
      <w:marTop w:val="0"/>
      <w:marBottom w:val="0"/>
      <w:divBdr>
        <w:top w:val="none" w:sz="0" w:space="0" w:color="auto"/>
        <w:left w:val="none" w:sz="0" w:space="0" w:color="auto"/>
        <w:bottom w:val="none" w:sz="0" w:space="0" w:color="auto"/>
        <w:right w:val="none" w:sz="0" w:space="0" w:color="auto"/>
      </w:divBdr>
    </w:div>
    <w:div w:id="1344745505">
      <w:marLeft w:val="0"/>
      <w:marRight w:val="0"/>
      <w:marTop w:val="60"/>
      <w:marBottom w:val="60"/>
      <w:divBdr>
        <w:top w:val="none" w:sz="0" w:space="0" w:color="auto"/>
        <w:left w:val="none" w:sz="0" w:space="0" w:color="auto"/>
        <w:bottom w:val="none" w:sz="0" w:space="0" w:color="auto"/>
        <w:right w:val="none" w:sz="0" w:space="0" w:color="auto"/>
      </w:divBdr>
    </w:div>
    <w:div w:id="1347292755">
      <w:marLeft w:val="0"/>
      <w:marRight w:val="0"/>
      <w:marTop w:val="180"/>
      <w:marBottom w:val="180"/>
      <w:divBdr>
        <w:top w:val="none" w:sz="0" w:space="0" w:color="auto"/>
        <w:left w:val="none" w:sz="0" w:space="0" w:color="auto"/>
        <w:bottom w:val="none" w:sz="0" w:space="0" w:color="auto"/>
        <w:right w:val="none" w:sz="0" w:space="0" w:color="auto"/>
      </w:divBdr>
    </w:div>
    <w:div w:id="1347705821">
      <w:marLeft w:val="0"/>
      <w:marRight w:val="0"/>
      <w:marTop w:val="0"/>
      <w:marBottom w:val="0"/>
      <w:divBdr>
        <w:top w:val="none" w:sz="0" w:space="0" w:color="auto"/>
        <w:left w:val="none" w:sz="0" w:space="0" w:color="auto"/>
        <w:bottom w:val="none" w:sz="0" w:space="0" w:color="auto"/>
        <w:right w:val="none" w:sz="0" w:space="0" w:color="auto"/>
      </w:divBdr>
      <w:divsChild>
        <w:div w:id="1277523184">
          <w:marLeft w:val="0"/>
          <w:marRight w:val="0"/>
          <w:marTop w:val="0"/>
          <w:marBottom w:val="0"/>
          <w:divBdr>
            <w:top w:val="none" w:sz="0" w:space="0" w:color="auto"/>
            <w:left w:val="none" w:sz="0" w:space="0" w:color="auto"/>
            <w:bottom w:val="none" w:sz="0" w:space="0" w:color="auto"/>
            <w:right w:val="none" w:sz="0" w:space="0" w:color="auto"/>
          </w:divBdr>
          <w:divsChild>
            <w:div w:id="10077541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8405429">
      <w:marLeft w:val="0"/>
      <w:marRight w:val="0"/>
      <w:marTop w:val="0"/>
      <w:marBottom w:val="0"/>
      <w:divBdr>
        <w:top w:val="none" w:sz="0" w:space="0" w:color="auto"/>
        <w:left w:val="none" w:sz="0" w:space="0" w:color="auto"/>
        <w:bottom w:val="none" w:sz="0" w:space="0" w:color="auto"/>
        <w:right w:val="none" w:sz="0" w:space="0" w:color="auto"/>
      </w:divBdr>
    </w:div>
    <w:div w:id="1348486486">
      <w:marLeft w:val="0"/>
      <w:marRight w:val="0"/>
      <w:marTop w:val="0"/>
      <w:marBottom w:val="0"/>
      <w:divBdr>
        <w:top w:val="none" w:sz="0" w:space="0" w:color="auto"/>
        <w:left w:val="none" w:sz="0" w:space="0" w:color="auto"/>
        <w:bottom w:val="none" w:sz="0" w:space="0" w:color="auto"/>
        <w:right w:val="none" w:sz="0" w:space="0" w:color="auto"/>
      </w:divBdr>
      <w:divsChild>
        <w:div w:id="227571926">
          <w:marLeft w:val="0"/>
          <w:marRight w:val="0"/>
          <w:marTop w:val="0"/>
          <w:marBottom w:val="0"/>
          <w:divBdr>
            <w:top w:val="none" w:sz="0" w:space="0" w:color="auto"/>
            <w:left w:val="none" w:sz="0" w:space="0" w:color="auto"/>
            <w:bottom w:val="none" w:sz="0" w:space="0" w:color="auto"/>
            <w:right w:val="none" w:sz="0" w:space="0" w:color="auto"/>
          </w:divBdr>
          <w:divsChild>
            <w:div w:id="5073348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1953194">
      <w:marLeft w:val="0"/>
      <w:marRight w:val="0"/>
      <w:marTop w:val="180"/>
      <w:marBottom w:val="180"/>
      <w:divBdr>
        <w:top w:val="none" w:sz="0" w:space="0" w:color="auto"/>
        <w:left w:val="none" w:sz="0" w:space="0" w:color="auto"/>
        <w:bottom w:val="none" w:sz="0" w:space="0" w:color="auto"/>
        <w:right w:val="none" w:sz="0" w:space="0" w:color="auto"/>
      </w:divBdr>
    </w:div>
    <w:div w:id="1352102117">
      <w:marLeft w:val="0"/>
      <w:marRight w:val="0"/>
      <w:marTop w:val="100"/>
      <w:marBottom w:val="0"/>
      <w:divBdr>
        <w:top w:val="none" w:sz="0" w:space="0" w:color="auto"/>
        <w:left w:val="none" w:sz="0" w:space="0" w:color="auto"/>
        <w:bottom w:val="none" w:sz="0" w:space="0" w:color="auto"/>
        <w:right w:val="none" w:sz="0" w:space="0" w:color="auto"/>
      </w:divBdr>
    </w:div>
    <w:div w:id="1355232395">
      <w:marLeft w:val="0"/>
      <w:marRight w:val="0"/>
      <w:marTop w:val="180"/>
      <w:marBottom w:val="180"/>
      <w:divBdr>
        <w:top w:val="none" w:sz="0" w:space="0" w:color="auto"/>
        <w:left w:val="none" w:sz="0" w:space="0" w:color="auto"/>
        <w:bottom w:val="none" w:sz="0" w:space="0" w:color="auto"/>
        <w:right w:val="none" w:sz="0" w:space="0" w:color="auto"/>
      </w:divBdr>
    </w:div>
    <w:div w:id="1359577067">
      <w:marLeft w:val="0"/>
      <w:marRight w:val="0"/>
      <w:marTop w:val="180"/>
      <w:marBottom w:val="180"/>
      <w:divBdr>
        <w:top w:val="none" w:sz="0" w:space="0" w:color="auto"/>
        <w:left w:val="none" w:sz="0" w:space="0" w:color="auto"/>
        <w:bottom w:val="none" w:sz="0" w:space="0" w:color="auto"/>
        <w:right w:val="none" w:sz="0" w:space="0" w:color="auto"/>
      </w:divBdr>
    </w:div>
    <w:div w:id="1361858004">
      <w:marLeft w:val="0"/>
      <w:marRight w:val="0"/>
      <w:marTop w:val="180"/>
      <w:marBottom w:val="180"/>
      <w:divBdr>
        <w:top w:val="none" w:sz="0" w:space="0" w:color="auto"/>
        <w:left w:val="none" w:sz="0" w:space="0" w:color="auto"/>
        <w:bottom w:val="none" w:sz="0" w:space="0" w:color="auto"/>
        <w:right w:val="none" w:sz="0" w:space="0" w:color="auto"/>
      </w:divBdr>
    </w:div>
    <w:div w:id="1363702845">
      <w:marLeft w:val="0"/>
      <w:marRight w:val="0"/>
      <w:marTop w:val="60"/>
      <w:marBottom w:val="60"/>
      <w:divBdr>
        <w:top w:val="none" w:sz="0" w:space="0" w:color="auto"/>
        <w:left w:val="none" w:sz="0" w:space="0" w:color="auto"/>
        <w:bottom w:val="none" w:sz="0" w:space="0" w:color="auto"/>
        <w:right w:val="none" w:sz="0" w:space="0" w:color="auto"/>
      </w:divBdr>
    </w:div>
    <w:div w:id="1365789614">
      <w:marLeft w:val="0"/>
      <w:marRight w:val="0"/>
      <w:marTop w:val="180"/>
      <w:marBottom w:val="180"/>
      <w:divBdr>
        <w:top w:val="none" w:sz="0" w:space="0" w:color="auto"/>
        <w:left w:val="none" w:sz="0" w:space="0" w:color="auto"/>
        <w:bottom w:val="none" w:sz="0" w:space="0" w:color="auto"/>
        <w:right w:val="none" w:sz="0" w:space="0" w:color="auto"/>
      </w:divBdr>
    </w:div>
    <w:div w:id="1365905038">
      <w:marLeft w:val="0"/>
      <w:marRight w:val="0"/>
      <w:marTop w:val="60"/>
      <w:marBottom w:val="60"/>
      <w:divBdr>
        <w:top w:val="none" w:sz="0" w:space="0" w:color="auto"/>
        <w:left w:val="none" w:sz="0" w:space="0" w:color="auto"/>
        <w:bottom w:val="none" w:sz="0" w:space="0" w:color="auto"/>
        <w:right w:val="none" w:sz="0" w:space="0" w:color="auto"/>
      </w:divBdr>
    </w:div>
    <w:div w:id="1367291371">
      <w:marLeft w:val="0"/>
      <w:marRight w:val="0"/>
      <w:marTop w:val="180"/>
      <w:marBottom w:val="180"/>
      <w:divBdr>
        <w:top w:val="none" w:sz="0" w:space="0" w:color="auto"/>
        <w:left w:val="none" w:sz="0" w:space="0" w:color="auto"/>
        <w:bottom w:val="none" w:sz="0" w:space="0" w:color="auto"/>
        <w:right w:val="none" w:sz="0" w:space="0" w:color="auto"/>
      </w:divBdr>
    </w:div>
    <w:div w:id="1368484388">
      <w:marLeft w:val="0"/>
      <w:marRight w:val="0"/>
      <w:marTop w:val="180"/>
      <w:marBottom w:val="180"/>
      <w:divBdr>
        <w:top w:val="none" w:sz="0" w:space="0" w:color="auto"/>
        <w:left w:val="none" w:sz="0" w:space="0" w:color="auto"/>
        <w:bottom w:val="none" w:sz="0" w:space="0" w:color="auto"/>
        <w:right w:val="none" w:sz="0" w:space="0" w:color="auto"/>
      </w:divBdr>
    </w:div>
    <w:div w:id="1368943166">
      <w:marLeft w:val="0"/>
      <w:marRight w:val="0"/>
      <w:marTop w:val="60"/>
      <w:marBottom w:val="60"/>
      <w:divBdr>
        <w:top w:val="none" w:sz="0" w:space="0" w:color="auto"/>
        <w:left w:val="none" w:sz="0" w:space="0" w:color="auto"/>
        <w:bottom w:val="none" w:sz="0" w:space="0" w:color="auto"/>
        <w:right w:val="none" w:sz="0" w:space="0" w:color="auto"/>
      </w:divBdr>
    </w:div>
    <w:div w:id="1369138050">
      <w:marLeft w:val="0"/>
      <w:marRight w:val="0"/>
      <w:marTop w:val="180"/>
      <w:marBottom w:val="180"/>
      <w:divBdr>
        <w:top w:val="none" w:sz="0" w:space="0" w:color="auto"/>
        <w:left w:val="none" w:sz="0" w:space="0" w:color="auto"/>
        <w:bottom w:val="none" w:sz="0" w:space="0" w:color="auto"/>
        <w:right w:val="none" w:sz="0" w:space="0" w:color="auto"/>
      </w:divBdr>
    </w:div>
    <w:div w:id="1370908348">
      <w:marLeft w:val="0"/>
      <w:marRight w:val="0"/>
      <w:marTop w:val="180"/>
      <w:marBottom w:val="180"/>
      <w:divBdr>
        <w:top w:val="none" w:sz="0" w:space="0" w:color="auto"/>
        <w:left w:val="none" w:sz="0" w:space="0" w:color="auto"/>
        <w:bottom w:val="none" w:sz="0" w:space="0" w:color="auto"/>
        <w:right w:val="none" w:sz="0" w:space="0" w:color="auto"/>
      </w:divBdr>
    </w:div>
    <w:div w:id="1374234701">
      <w:marLeft w:val="0"/>
      <w:marRight w:val="0"/>
      <w:marTop w:val="180"/>
      <w:marBottom w:val="180"/>
      <w:divBdr>
        <w:top w:val="none" w:sz="0" w:space="0" w:color="auto"/>
        <w:left w:val="none" w:sz="0" w:space="0" w:color="auto"/>
        <w:bottom w:val="none" w:sz="0" w:space="0" w:color="auto"/>
        <w:right w:val="none" w:sz="0" w:space="0" w:color="auto"/>
      </w:divBdr>
    </w:div>
    <w:div w:id="1375040076">
      <w:marLeft w:val="0"/>
      <w:marRight w:val="0"/>
      <w:marTop w:val="180"/>
      <w:marBottom w:val="180"/>
      <w:divBdr>
        <w:top w:val="none" w:sz="0" w:space="0" w:color="auto"/>
        <w:left w:val="none" w:sz="0" w:space="0" w:color="auto"/>
        <w:bottom w:val="none" w:sz="0" w:space="0" w:color="auto"/>
        <w:right w:val="none" w:sz="0" w:space="0" w:color="auto"/>
      </w:divBdr>
    </w:div>
    <w:div w:id="1376392082">
      <w:marLeft w:val="0"/>
      <w:marRight w:val="0"/>
      <w:marTop w:val="60"/>
      <w:marBottom w:val="60"/>
      <w:divBdr>
        <w:top w:val="none" w:sz="0" w:space="0" w:color="auto"/>
        <w:left w:val="none" w:sz="0" w:space="0" w:color="auto"/>
        <w:bottom w:val="none" w:sz="0" w:space="0" w:color="auto"/>
        <w:right w:val="none" w:sz="0" w:space="0" w:color="auto"/>
      </w:divBdr>
    </w:div>
    <w:div w:id="1377848600">
      <w:marLeft w:val="0"/>
      <w:marRight w:val="0"/>
      <w:marTop w:val="180"/>
      <w:marBottom w:val="180"/>
      <w:divBdr>
        <w:top w:val="none" w:sz="0" w:space="0" w:color="auto"/>
        <w:left w:val="none" w:sz="0" w:space="0" w:color="auto"/>
        <w:bottom w:val="none" w:sz="0" w:space="0" w:color="auto"/>
        <w:right w:val="none" w:sz="0" w:space="0" w:color="auto"/>
      </w:divBdr>
    </w:div>
    <w:div w:id="1378817476">
      <w:marLeft w:val="0"/>
      <w:marRight w:val="0"/>
      <w:marTop w:val="180"/>
      <w:marBottom w:val="180"/>
      <w:divBdr>
        <w:top w:val="none" w:sz="0" w:space="0" w:color="auto"/>
        <w:left w:val="none" w:sz="0" w:space="0" w:color="auto"/>
        <w:bottom w:val="none" w:sz="0" w:space="0" w:color="auto"/>
        <w:right w:val="none" w:sz="0" w:space="0" w:color="auto"/>
      </w:divBdr>
    </w:div>
    <w:div w:id="1379818260">
      <w:marLeft w:val="0"/>
      <w:marRight w:val="0"/>
      <w:marTop w:val="180"/>
      <w:marBottom w:val="180"/>
      <w:divBdr>
        <w:top w:val="none" w:sz="0" w:space="0" w:color="auto"/>
        <w:left w:val="none" w:sz="0" w:space="0" w:color="auto"/>
        <w:bottom w:val="none" w:sz="0" w:space="0" w:color="auto"/>
        <w:right w:val="none" w:sz="0" w:space="0" w:color="auto"/>
      </w:divBdr>
    </w:div>
    <w:div w:id="1382557001">
      <w:marLeft w:val="0"/>
      <w:marRight w:val="0"/>
      <w:marTop w:val="180"/>
      <w:marBottom w:val="180"/>
      <w:divBdr>
        <w:top w:val="none" w:sz="0" w:space="0" w:color="auto"/>
        <w:left w:val="none" w:sz="0" w:space="0" w:color="auto"/>
        <w:bottom w:val="none" w:sz="0" w:space="0" w:color="auto"/>
        <w:right w:val="none" w:sz="0" w:space="0" w:color="auto"/>
      </w:divBdr>
    </w:div>
    <w:div w:id="1382903334">
      <w:marLeft w:val="0"/>
      <w:marRight w:val="0"/>
      <w:marTop w:val="180"/>
      <w:marBottom w:val="180"/>
      <w:divBdr>
        <w:top w:val="none" w:sz="0" w:space="0" w:color="auto"/>
        <w:left w:val="none" w:sz="0" w:space="0" w:color="auto"/>
        <w:bottom w:val="none" w:sz="0" w:space="0" w:color="auto"/>
        <w:right w:val="none" w:sz="0" w:space="0" w:color="auto"/>
      </w:divBdr>
    </w:div>
    <w:div w:id="1384213508">
      <w:marLeft w:val="0"/>
      <w:marRight w:val="0"/>
      <w:marTop w:val="180"/>
      <w:marBottom w:val="180"/>
      <w:divBdr>
        <w:top w:val="none" w:sz="0" w:space="0" w:color="auto"/>
        <w:left w:val="none" w:sz="0" w:space="0" w:color="auto"/>
        <w:bottom w:val="none" w:sz="0" w:space="0" w:color="auto"/>
        <w:right w:val="none" w:sz="0" w:space="0" w:color="auto"/>
      </w:divBdr>
    </w:div>
    <w:div w:id="1384909959">
      <w:marLeft w:val="0"/>
      <w:marRight w:val="0"/>
      <w:marTop w:val="180"/>
      <w:marBottom w:val="180"/>
      <w:divBdr>
        <w:top w:val="none" w:sz="0" w:space="0" w:color="auto"/>
        <w:left w:val="none" w:sz="0" w:space="0" w:color="auto"/>
        <w:bottom w:val="none" w:sz="0" w:space="0" w:color="auto"/>
        <w:right w:val="none" w:sz="0" w:space="0" w:color="auto"/>
      </w:divBdr>
    </w:div>
    <w:div w:id="1385567767">
      <w:marLeft w:val="0"/>
      <w:marRight w:val="0"/>
      <w:marTop w:val="180"/>
      <w:marBottom w:val="180"/>
      <w:divBdr>
        <w:top w:val="none" w:sz="0" w:space="0" w:color="auto"/>
        <w:left w:val="none" w:sz="0" w:space="0" w:color="auto"/>
        <w:bottom w:val="none" w:sz="0" w:space="0" w:color="auto"/>
        <w:right w:val="none" w:sz="0" w:space="0" w:color="auto"/>
      </w:divBdr>
    </w:div>
    <w:div w:id="1386761386">
      <w:marLeft w:val="0"/>
      <w:marRight w:val="0"/>
      <w:marTop w:val="0"/>
      <w:marBottom w:val="0"/>
      <w:divBdr>
        <w:top w:val="none" w:sz="0" w:space="0" w:color="auto"/>
        <w:left w:val="none" w:sz="0" w:space="0" w:color="auto"/>
        <w:bottom w:val="none" w:sz="0" w:space="0" w:color="auto"/>
        <w:right w:val="none" w:sz="0" w:space="0" w:color="auto"/>
      </w:divBdr>
      <w:divsChild>
        <w:div w:id="468785152">
          <w:marLeft w:val="0"/>
          <w:marRight w:val="0"/>
          <w:marTop w:val="180"/>
          <w:marBottom w:val="180"/>
          <w:divBdr>
            <w:top w:val="none" w:sz="0" w:space="0" w:color="auto"/>
            <w:left w:val="none" w:sz="0" w:space="0" w:color="auto"/>
            <w:bottom w:val="none" w:sz="0" w:space="0" w:color="auto"/>
            <w:right w:val="none" w:sz="0" w:space="0" w:color="auto"/>
          </w:divBdr>
        </w:div>
      </w:divsChild>
    </w:div>
    <w:div w:id="1389183027">
      <w:marLeft w:val="0"/>
      <w:marRight w:val="0"/>
      <w:marTop w:val="60"/>
      <w:marBottom w:val="60"/>
      <w:divBdr>
        <w:top w:val="none" w:sz="0" w:space="0" w:color="auto"/>
        <w:left w:val="none" w:sz="0" w:space="0" w:color="auto"/>
        <w:bottom w:val="none" w:sz="0" w:space="0" w:color="auto"/>
        <w:right w:val="none" w:sz="0" w:space="0" w:color="auto"/>
      </w:divBdr>
    </w:div>
    <w:div w:id="1389524770">
      <w:marLeft w:val="0"/>
      <w:marRight w:val="0"/>
      <w:marTop w:val="180"/>
      <w:marBottom w:val="60"/>
      <w:divBdr>
        <w:top w:val="none" w:sz="0" w:space="0" w:color="auto"/>
        <w:left w:val="none" w:sz="0" w:space="0" w:color="auto"/>
        <w:bottom w:val="none" w:sz="0" w:space="0" w:color="auto"/>
        <w:right w:val="none" w:sz="0" w:space="0" w:color="auto"/>
      </w:divBdr>
    </w:div>
    <w:div w:id="1389572454">
      <w:marLeft w:val="0"/>
      <w:marRight w:val="0"/>
      <w:marTop w:val="180"/>
      <w:marBottom w:val="180"/>
      <w:divBdr>
        <w:top w:val="none" w:sz="0" w:space="0" w:color="auto"/>
        <w:left w:val="none" w:sz="0" w:space="0" w:color="auto"/>
        <w:bottom w:val="none" w:sz="0" w:space="0" w:color="auto"/>
        <w:right w:val="none" w:sz="0" w:space="0" w:color="auto"/>
      </w:divBdr>
    </w:div>
    <w:div w:id="1389770169">
      <w:marLeft w:val="0"/>
      <w:marRight w:val="0"/>
      <w:marTop w:val="180"/>
      <w:marBottom w:val="180"/>
      <w:divBdr>
        <w:top w:val="none" w:sz="0" w:space="0" w:color="auto"/>
        <w:left w:val="none" w:sz="0" w:space="0" w:color="auto"/>
        <w:bottom w:val="none" w:sz="0" w:space="0" w:color="auto"/>
        <w:right w:val="none" w:sz="0" w:space="0" w:color="auto"/>
      </w:divBdr>
    </w:div>
    <w:div w:id="1390347809">
      <w:marLeft w:val="0"/>
      <w:marRight w:val="0"/>
      <w:marTop w:val="60"/>
      <w:marBottom w:val="60"/>
      <w:divBdr>
        <w:top w:val="none" w:sz="0" w:space="0" w:color="auto"/>
        <w:left w:val="none" w:sz="0" w:space="0" w:color="auto"/>
        <w:bottom w:val="none" w:sz="0" w:space="0" w:color="auto"/>
        <w:right w:val="none" w:sz="0" w:space="0" w:color="auto"/>
      </w:divBdr>
    </w:div>
    <w:div w:id="1392265165">
      <w:marLeft w:val="0"/>
      <w:marRight w:val="0"/>
      <w:marTop w:val="180"/>
      <w:marBottom w:val="180"/>
      <w:divBdr>
        <w:top w:val="none" w:sz="0" w:space="0" w:color="auto"/>
        <w:left w:val="none" w:sz="0" w:space="0" w:color="auto"/>
        <w:bottom w:val="none" w:sz="0" w:space="0" w:color="auto"/>
        <w:right w:val="none" w:sz="0" w:space="0" w:color="auto"/>
      </w:divBdr>
    </w:div>
    <w:div w:id="1395734963">
      <w:marLeft w:val="0"/>
      <w:marRight w:val="0"/>
      <w:marTop w:val="60"/>
      <w:marBottom w:val="60"/>
      <w:divBdr>
        <w:top w:val="none" w:sz="0" w:space="0" w:color="auto"/>
        <w:left w:val="none" w:sz="0" w:space="0" w:color="auto"/>
        <w:bottom w:val="none" w:sz="0" w:space="0" w:color="auto"/>
        <w:right w:val="none" w:sz="0" w:space="0" w:color="auto"/>
      </w:divBdr>
    </w:div>
    <w:div w:id="1396246734">
      <w:marLeft w:val="0"/>
      <w:marRight w:val="0"/>
      <w:marTop w:val="180"/>
      <w:marBottom w:val="0"/>
      <w:divBdr>
        <w:top w:val="none" w:sz="0" w:space="0" w:color="auto"/>
        <w:left w:val="none" w:sz="0" w:space="0" w:color="auto"/>
        <w:bottom w:val="none" w:sz="0" w:space="0" w:color="auto"/>
        <w:right w:val="none" w:sz="0" w:space="0" w:color="auto"/>
      </w:divBdr>
    </w:div>
    <w:div w:id="1396313487">
      <w:marLeft w:val="0"/>
      <w:marRight w:val="0"/>
      <w:marTop w:val="60"/>
      <w:marBottom w:val="60"/>
      <w:divBdr>
        <w:top w:val="none" w:sz="0" w:space="0" w:color="auto"/>
        <w:left w:val="none" w:sz="0" w:space="0" w:color="auto"/>
        <w:bottom w:val="none" w:sz="0" w:space="0" w:color="auto"/>
        <w:right w:val="none" w:sz="0" w:space="0" w:color="auto"/>
      </w:divBdr>
    </w:div>
    <w:div w:id="1397358640">
      <w:marLeft w:val="0"/>
      <w:marRight w:val="0"/>
      <w:marTop w:val="100"/>
      <w:marBottom w:val="100"/>
      <w:divBdr>
        <w:top w:val="none" w:sz="0" w:space="0" w:color="auto"/>
        <w:left w:val="none" w:sz="0" w:space="0" w:color="auto"/>
        <w:bottom w:val="none" w:sz="0" w:space="0" w:color="auto"/>
        <w:right w:val="none" w:sz="0" w:space="0" w:color="auto"/>
      </w:divBdr>
      <w:divsChild>
        <w:div w:id="1947804488">
          <w:marLeft w:val="0"/>
          <w:marRight w:val="0"/>
          <w:marTop w:val="0"/>
          <w:marBottom w:val="0"/>
          <w:divBdr>
            <w:top w:val="none" w:sz="0" w:space="0" w:color="auto"/>
            <w:left w:val="none" w:sz="0" w:space="0" w:color="auto"/>
            <w:bottom w:val="none" w:sz="0" w:space="0" w:color="auto"/>
            <w:right w:val="none" w:sz="0" w:space="0" w:color="auto"/>
          </w:divBdr>
        </w:div>
        <w:div w:id="88429465">
          <w:marLeft w:val="0"/>
          <w:marRight w:val="0"/>
          <w:marTop w:val="0"/>
          <w:marBottom w:val="0"/>
          <w:divBdr>
            <w:top w:val="none" w:sz="0" w:space="0" w:color="auto"/>
            <w:left w:val="none" w:sz="0" w:space="0" w:color="auto"/>
            <w:bottom w:val="none" w:sz="0" w:space="0" w:color="auto"/>
            <w:right w:val="none" w:sz="0" w:space="0" w:color="auto"/>
          </w:divBdr>
        </w:div>
      </w:divsChild>
    </w:div>
    <w:div w:id="1397699624">
      <w:marLeft w:val="0"/>
      <w:marRight w:val="0"/>
      <w:marTop w:val="180"/>
      <w:marBottom w:val="180"/>
      <w:divBdr>
        <w:top w:val="none" w:sz="0" w:space="0" w:color="auto"/>
        <w:left w:val="none" w:sz="0" w:space="0" w:color="auto"/>
        <w:bottom w:val="none" w:sz="0" w:space="0" w:color="auto"/>
        <w:right w:val="none" w:sz="0" w:space="0" w:color="auto"/>
      </w:divBdr>
    </w:div>
    <w:div w:id="1399010605">
      <w:marLeft w:val="0"/>
      <w:marRight w:val="0"/>
      <w:marTop w:val="180"/>
      <w:marBottom w:val="60"/>
      <w:divBdr>
        <w:top w:val="none" w:sz="0" w:space="0" w:color="auto"/>
        <w:left w:val="none" w:sz="0" w:space="0" w:color="auto"/>
        <w:bottom w:val="none" w:sz="0" w:space="0" w:color="auto"/>
        <w:right w:val="none" w:sz="0" w:space="0" w:color="auto"/>
      </w:divBdr>
    </w:div>
    <w:div w:id="1399934190">
      <w:marLeft w:val="0"/>
      <w:marRight w:val="0"/>
      <w:marTop w:val="180"/>
      <w:marBottom w:val="180"/>
      <w:divBdr>
        <w:top w:val="none" w:sz="0" w:space="0" w:color="auto"/>
        <w:left w:val="none" w:sz="0" w:space="0" w:color="auto"/>
        <w:bottom w:val="none" w:sz="0" w:space="0" w:color="auto"/>
        <w:right w:val="none" w:sz="0" w:space="0" w:color="auto"/>
      </w:divBdr>
    </w:div>
    <w:div w:id="1400595328">
      <w:marLeft w:val="0"/>
      <w:marRight w:val="0"/>
      <w:marTop w:val="180"/>
      <w:marBottom w:val="180"/>
      <w:divBdr>
        <w:top w:val="none" w:sz="0" w:space="0" w:color="auto"/>
        <w:left w:val="none" w:sz="0" w:space="0" w:color="auto"/>
        <w:bottom w:val="none" w:sz="0" w:space="0" w:color="auto"/>
        <w:right w:val="none" w:sz="0" w:space="0" w:color="auto"/>
      </w:divBdr>
    </w:div>
    <w:div w:id="1402556432">
      <w:marLeft w:val="0"/>
      <w:marRight w:val="0"/>
      <w:marTop w:val="60"/>
      <w:marBottom w:val="60"/>
      <w:divBdr>
        <w:top w:val="none" w:sz="0" w:space="0" w:color="auto"/>
        <w:left w:val="none" w:sz="0" w:space="0" w:color="auto"/>
        <w:bottom w:val="none" w:sz="0" w:space="0" w:color="auto"/>
        <w:right w:val="none" w:sz="0" w:space="0" w:color="auto"/>
      </w:divBdr>
    </w:div>
    <w:div w:id="1403605208">
      <w:marLeft w:val="0"/>
      <w:marRight w:val="0"/>
      <w:marTop w:val="180"/>
      <w:marBottom w:val="180"/>
      <w:divBdr>
        <w:top w:val="none" w:sz="0" w:space="0" w:color="auto"/>
        <w:left w:val="none" w:sz="0" w:space="0" w:color="auto"/>
        <w:bottom w:val="none" w:sz="0" w:space="0" w:color="auto"/>
        <w:right w:val="none" w:sz="0" w:space="0" w:color="auto"/>
      </w:divBdr>
    </w:div>
    <w:div w:id="1404718323">
      <w:marLeft w:val="0"/>
      <w:marRight w:val="0"/>
      <w:marTop w:val="180"/>
      <w:marBottom w:val="180"/>
      <w:divBdr>
        <w:top w:val="none" w:sz="0" w:space="0" w:color="auto"/>
        <w:left w:val="none" w:sz="0" w:space="0" w:color="auto"/>
        <w:bottom w:val="none" w:sz="0" w:space="0" w:color="auto"/>
        <w:right w:val="none" w:sz="0" w:space="0" w:color="auto"/>
      </w:divBdr>
    </w:div>
    <w:div w:id="1408846054">
      <w:marLeft w:val="0"/>
      <w:marRight w:val="0"/>
      <w:marTop w:val="0"/>
      <w:marBottom w:val="0"/>
      <w:divBdr>
        <w:top w:val="none" w:sz="0" w:space="0" w:color="auto"/>
        <w:left w:val="none" w:sz="0" w:space="0" w:color="auto"/>
        <w:bottom w:val="none" w:sz="0" w:space="0" w:color="auto"/>
        <w:right w:val="none" w:sz="0" w:space="0" w:color="auto"/>
      </w:divBdr>
      <w:divsChild>
        <w:div w:id="1734159098">
          <w:marLeft w:val="0"/>
          <w:marRight w:val="0"/>
          <w:marTop w:val="0"/>
          <w:marBottom w:val="0"/>
          <w:divBdr>
            <w:top w:val="none" w:sz="0" w:space="0" w:color="auto"/>
            <w:left w:val="none" w:sz="0" w:space="0" w:color="auto"/>
            <w:bottom w:val="none" w:sz="0" w:space="0" w:color="auto"/>
            <w:right w:val="none" w:sz="0" w:space="0" w:color="auto"/>
          </w:divBdr>
          <w:divsChild>
            <w:div w:id="7715565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08916999">
      <w:marLeft w:val="0"/>
      <w:marRight w:val="0"/>
      <w:marTop w:val="180"/>
      <w:marBottom w:val="180"/>
      <w:divBdr>
        <w:top w:val="none" w:sz="0" w:space="0" w:color="auto"/>
        <w:left w:val="none" w:sz="0" w:space="0" w:color="auto"/>
        <w:bottom w:val="none" w:sz="0" w:space="0" w:color="auto"/>
        <w:right w:val="none" w:sz="0" w:space="0" w:color="auto"/>
      </w:divBdr>
    </w:div>
    <w:div w:id="1409962601">
      <w:marLeft w:val="0"/>
      <w:marRight w:val="0"/>
      <w:marTop w:val="180"/>
      <w:marBottom w:val="180"/>
      <w:divBdr>
        <w:top w:val="none" w:sz="0" w:space="0" w:color="auto"/>
        <w:left w:val="none" w:sz="0" w:space="0" w:color="auto"/>
        <w:bottom w:val="none" w:sz="0" w:space="0" w:color="auto"/>
        <w:right w:val="none" w:sz="0" w:space="0" w:color="auto"/>
      </w:divBdr>
    </w:div>
    <w:div w:id="1410271561">
      <w:marLeft w:val="0"/>
      <w:marRight w:val="0"/>
      <w:marTop w:val="180"/>
      <w:marBottom w:val="180"/>
      <w:divBdr>
        <w:top w:val="none" w:sz="0" w:space="0" w:color="auto"/>
        <w:left w:val="none" w:sz="0" w:space="0" w:color="auto"/>
        <w:bottom w:val="none" w:sz="0" w:space="0" w:color="auto"/>
        <w:right w:val="none" w:sz="0" w:space="0" w:color="auto"/>
      </w:divBdr>
    </w:div>
    <w:div w:id="1410545370">
      <w:marLeft w:val="0"/>
      <w:marRight w:val="0"/>
      <w:marTop w:val="100"/>
      <w:marBottom w:val="100"/>
      <w:divBdr>
        <w:top w:val="none" w:sz="0" w:space="0" w:color="auto"/>
        <w:left w:val="none" w:sz="0" w:space="0" w:color="auto"/>
        <w:bottom w:val="none" w:sz="0" w:space="0" w:color="auto"/>
        <w:right w:val="none" w:sz="0" w:space="0" w:color="auto"/>
      </w:divBdr>
      <w:divsChild>
        <w:div w:id="1052080098">
          <w:marLeft w:val="0"/>
          <w:marRight w:val="0"/>
          <w:marTop w:val="0"/>
          <w:marBottom w:val="0"/>
          <w:divBdr>
            <w:top w:val="none" w:sz="0" w:space="0" w:color="auto"/>
            <w:left w:val="none" w:sz="0" w:space="0" w:color="auto"/>
            <w:bottom w:val="none" w:sz="0" w:space="0" w:color="auto"/>
            <w:right w:val="none" w:sz="0" w:space="0" w:color="auto"/>
          </w:divBdr>
        </w:div>
        <w:div w:id="849609888">
          <w:marLeft w:val="0"/>
          <w:marRight w:val="0"/>
          <w:marTop w:val="0"/>
          <w:marBottom w:val="0"/>
          <w:divBdr>
            <w:top w:val="none" w:sz="0" w:space="0" w:color="auto"/>
            <w:left w:val="none" w:sz="0" w:space="0" w:color="auto"/>
            <w:bottom w:val="none" w:sz="0" w:space="0" w:color="auto"/>
            <w:right w:val="none" w:sz="0" w:space="0" w:color="auto"/>
          </w:divBdr>
        </w:div>
      </w:divsChild>
    </w:div>
    <w:div w:id="1410693964">
      <w:marLeft w:val="0"/>
      <w:marRight w:val="0"/>
      <w:marTop w:val="180"/>
      <w:marBottom w:val="180"/>
      <w:divBdr>
        <w:top w:val="none" w:sz="0" w:space="0" w:color="auto"/>
        <w:left w:val="none" w:sz="0" w:space="0" w:color="auto"/>
        <w:bottom w:val="none" w:sz="0" w:space="0" w:color="auto"/>
        <w:right w:val="none" w:sz="0" w:space="0" w:color="auto"/>
      </w:divBdr>
    </w:div>
    <w:div w:id="1411125132">
      <w:marLeft w:val="0"/>
      <w:marRight w:val="0"/>
      <w:marTop w:val="60"/>
      <w:marBottom w:val="60"/>
      <w:divBdr>
        <w:top w:val="none" w:sz="0" w:space="0" w:color="auto"/>
        <w:left w:val="none" w:sz="0" w:space="0" w:color="auto"/>
        <w:bottom w:val="none" w:sz="0" w:space="0" w:color="auto"/>
        <w:right w:val="none" w:sz="0" w:space="0" w:color="auto"/>
      </w:divBdr>
    </w:div>
    <w:div w:id="1411582754">
      <w:marLeft w:val="0"/>
      <w:marRight w:val="0"/>
      <w:marTop w:val="60"/>
      <w:marBottom w:val="60"/>
      <w:divBdr>
        <w:top w:val="none" w:sz="0" w:space="0" w:color="auto"/>
        <w:left w:val="none" w:sz="0" w:space="0" w:color="auto"/>
        <w:bottom w:val="none" w:sz="0" w:space="0" w:color="auto"/>
        <w:right w:val="none" w:sz="0" w:space="0" w:color="auto"/>
      </w:divBdr>
    </w:div>
    <w:div w:id="1411779400">
      <w:marLeft w:val="0"/>
      <w:marRight w:val="0"/>
      <w:marTop w:val="60"/>
      <w:marBottom w:val="60"/>
      <w:divBdr>
        <w:top w:val="none" w:sz="0" w:space="0" w:color="auto"/>
        <w:left w:val="none" w:sz="0" w:space="0" w:color="auto"/>
        <w:bottom w:val="none" w:sz="0" w:space="0" w:color="auto"/>
        <w:right w:val="none" w:sz="0" w:space="0" w:color="auto"/>
      </w:divBdr>
    </w:div>
    <w:div w:id="1414857800">
      <w:marLeft w:val="0"/>
      <w:marRight w:val="0"/>
      <w:marTop w:val="180"/>
      <w:marBottom w:val="180"/>
      <w:divBdr>
        <w:top w:val="none" w:sz="0" w:space="0" w:color="auto"/>
        <w:left w:val="none" w:sz="0" w:space="0" w:color="auto"/>
        <w:bottom w:val="none" w:sz="0" w:space="0" w:color="auto"/>
        <w:right w:val="none" w:sz="0" w:space="0" w:color="auto"/>
      </w:divBdr>
    </w:div>
    <w:div w:id="1415084342">
      <w:marLeft w:val="0"/>
      <w:marRight w:val="0"/>
      <w:marTop w:val="180"/>
      <w:marBottom w:val="180"/>
      <w:divBdr>
        <w:top w:val="none" w:sz="0" w:space="0" w:color="auto"/>
        <w:left w:val="none" w:sz="0" w:space="0" w:color="auto"/>
        <w:bottom w:val="none" w:sz="0" w:space="0" w:color="auto"/>
        <w:right w:val="none" w:sz="0" w:space="0" w:color="auto"/>
      </w:divBdr>
    </w:div>
    <w:div w:id="1417094756">
      <w:marLeft w:val="0"/>
      <w:marRight w:val="0"/>
      <w:marTop w:val="0"/>
      <w:marBottom w:val="0"/>
      <w:divBdr>
        <w:top w:val="none" w:sz="0" w:space="0" w:color="auto"/>
        <w:left w:val="none" w:sz="0" w:space="0" w:color="auto"/>
        <w:bottom w:val="none" w:sz="0" w:space="0" w:color="auto"/>
        <w:right w:val="none" w:sz="0" w:space="0" w:color="auto"/>
      </w:divBdr>
      <w:divsChild>
        <w:div w:id="1354264119">
          <w:marLeft w:val="0"/>
          <w:marRight w:val="0"/>
          <w:marTop w:val="0"/>
          <w:marBottom w:val="0"/>
          <w:divBdr>
            <w:top w:val="none" w:sz="0" w:space="0" w:color="auto"/>
            <w:left w:val="none" w:sz="0" w:space="0" w:color="auto"/>
            <w:bottom w:val="none" w:sz="0" w:space="0" w:color="auto"/>
            <w:right w:val="none" w:sz="0" w:space="0" w:color="auto"/>
          </w:divBdr>
          <w:divsChild>
            <w:div w:id="4468552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8403625">
      <w:marLeft w:val="0"/>
      <w:marRight w:val="0"/>
      <w:marTop w:val="60"/>
      <w:marBottom w:val="60"/>
      <w:divBdr>
        <w:top w:val="none" w:sz="0" w:space="0" w:color="auto"/>
        <w:left w:val="none" w:sz="0" w:space="0" w:color="auto"/>
        <w:bottom w:val="none" w:sz="0" w:space="0" w:color="auto"/>
        <w:right w:val="none" w:sz="0" w:space="0" w:color="auto"/>
      </w:divBdr>
    </w:div>
    <w:div w:id="1418593990">
      <w:marLeft w:val="0"/>
      <w:marRight w:val="0"/>
      <w:marTop w:val="180"/>
      <w:marBottom w:val="180"/>
      <w:divBdr>
        <w:top w:val="none" w:sz="0" w:space="0" w:color="auto"/>
        <w:left w:val="none" w:sz="0" w:space="0" w:color="auto"/>
        <w:bottom w:val="none" w:sz="0" w:space="0" w:color="auto"/>
        <w:right w:val="none" w:sz="0" w:space="0" w:color="auto"/>
      </w:divBdr>
    </w:div>
    <w:div w:id="1419134845">
      <w:marLeft w:val="0"/>
      <w:marRight w:val="0"/>
      <w:marTop w:val="100"/>
      <w:marBottom w:val="100"/>
      <w:divBdr>
        <w:top w:val="none" w:sz="0" w:space="0" w:color="auto"/>
        <w:left w:val="none" w:sz="0" w:space="0" w:color="auto"/>
        <w:bottom w:val="none" w:sz="0" w:space="0" w:color="auto"/>
        <w:right w:val="none" w:sz="0" w:space="0" w:color="auto"/>
      </w:divBdr>
    </w:div>
    <w:div w:id="1420558558">
      <w:marLeft w:val="0"/>
      <w:marRight w:val="0"/>
      <w:marTop w:val="0"/>
      <w:marBottom w:val="0"/>
      <w:divBdr>
        <w:top w:val="none" w:sz="0" w:space="0" w:color="auto"/>
        <w:left w:val="none" w:sz="0" w:space="0" w:color="auto"/>
        <w:bottom w:val="none" w:sz="0" w:space="0" w:color="auto"/>
        <w:right w:val="none" w:sz="0" w:space="0" w:color="auto"/>
      </w:divBdr>
      <w:divsChild>
        <w:div w:id="1305161657">
          <w:marLeft w:val="0"/>
          <w:marRight w:val="0"/>
          <w:marTop w:val="0"/>
          <w:marBottom w:val="0"/>
          <w:divBdr>
            <w:top w:val="none" w:sz="0" w:space="0" w:color="auto"/>
            <w:left w:val="none" w:sz="0" w:space="0" w:color="auto"/>
            <w:bottom w:val="none" w:sz="0" w:space="0" w:color="auto"/>
            <w:right w:val="none" w:sz="0" w:space="0" w:color="auto"/>
          </w:divBdr>
          <w:divsChild>
            <w:div w:id="16875561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0712279">
      <w:marLeft w:val="0"/>
      <w:marRight w:val="0"/>
      <w:marTop w:val="180"/>
      <w:marBottom w:val="180"/>
      <w:divBdr>
        <w:top w:val="none" w:sz="0" w:space="0" w:color="auto"/>
        <w:left w:val="none" w:sz="0" w:space="0" w:color="auto"/>
        <w:bottom w:val="none" w:sz="0" w:space="0" w:color="auto"/>
        <w:right w:val="none" w:sz="0" w:space="0" w:color="auto"/>
      </w:divBdr>
    </w:div>
    <w:div w:id="1422674912">
      <w:marLeft w:val="0"/>
      <w:marRight w:val="0"/>
      <w:marTop w:val="180"/>
      <w:marBottom w:val="180"/>
      <w:divBdr>
        <w:top w:val="none" w:sz="0" w:space="0" w:color="auto"/>
        <w:left w:val="none" w:sz="0" w:space="0" w:color="auto"/>
        <w:bottom w:val="none" w:sz="0" w:space="0" w:color="auto"/>
        <w:right w:val="none" w:sz="0" w:space="0" w:color="auto"/>
      </w:divBdr>
    </w:div>
    <w:div w:id="1425033180">
      <w:marLeft w:val="0"/>
      <w:marRight w:val="0"/>
      <w:marTop w:val="180"/>
      <w:marBottom w:val="180"/>
      <w:divBdr>
        <w:top w:val="none" w:sz="0" w:space="0" w:color="auto"/>
        <w:left w:val="none" w:sz="0" w:space="0" w:color="auto"/>
        <w:bottom w:val="none" w:sz="0" w:space="0" w:color="auto"/>
        <w:right w:val="none" w:sz="0" w:space="0" w:color="auto"/>
      </w:divBdr>
    </w:div>
    <w:div w:id="1425765248">
      <w:marLeft w:val="0"/>
      <w:marRight w:val="0"/>
      <w:marTop w:val="60"/>
      <w:marBottom w:val="60"/>
      <w:divBdr>
        <w:top w:val="none" w:sz="0" w:space="0" w:color="auto"/>
        <w:left w:val="none" w:sz="0" w:space="0" w:color="auto"/>
        <w:bottom w:val="none" w:sz="0" w:space="0" w:color="auto"/>
        <w:right w:val="none" w:sz="0" w:space="0" w:color="auto"/>
      </w:divBdr>
    </w:div>
    <w:div w:id="1426417914">
      <w:marLeft w:val="0"/>
      <w:marRight w:val="0"/>
      <w:marTop w:val="180"/>
      <w:marBottom w:val="180"/>
      <w:divBdr>
        <w:top w:val="none" w:sz="0" w:space="0" w:color="auto"/>
        <w:left w:val="none" w:sz="0" w:space="0" w:color="auto"/>
        <w:bottom w:val="none" w:sz="0" w:space="0" w:color="auto"/>
        <w:right w:val="none" w:sz="0" w:space="0" w:color="auto"/>
      </w:divBdr>
    </w:div>
    <w:div w:id="1426732356">
      <w:marLeft w:val="0"/>
      <w:marRight w:val="0"/>
      <w:marTop w:val="180"/>
      <w:marBottom w:val="60"/>
      <w:divBdr>
        <w:top w:val="none" w:sz="0" w:space="0" w:color="auto"/>
        <w:left w:val="none" w:sz="0" w:space="0" w:color="auto"/>
        <w:bottom w:val="none" w:sz="0" w:space="0" w:color="auto"/>
        <w:right w:val="none" w:sz="0" w:space="0" w:color="auto"/>
      </w:divBdr>
    </w:div>
    <w:div w:id="1426877400">
      <w:marLeft w:val="0"/>
      <w:marRight w:val="0"/>
      <w:marTop w:val="60"/>
      <w:marBottom w:val="60"/>
      <w:divBdr>
        <w:top w:val="none" w:sz="0" w:space="0" w:color="auto"/>
        <w:left w:val="none" w:sz="0" w:space="0" w:color="auto"/>
        <w:bottom w:val="none" w:sz="0" w:space="0" w:color="auto"/>
        <w:right w:val="none" w:sz="0" w:space="0" w:color="auto"/>
      </w:divBdr>
    </w:div>
    <w:div w:id="1429694489">
      <w:marLeft w:val="0"/>
      <w:marRight w:val="0"/>
      <w:marTop w:val="0"/>
      <w:marBottom w:val="0"/>
      <w:divBdr>
        <w:top w:val="none" w:sz="0" w:space="0" w:color="auto"/>
        <w:left w:val="none" w:sz="0" w:space="0" w:color="auto"/>
        <w:bottom w:val="none" w:sz="0" w:space="0" w:color="auto"/>
        <w:right w:val="none" w:sz="0" w:space="0" w:color="auto"/>
      </w:divBdr>
      <w:divsChild>
        <w:div w:id="712774256">
          <w:marLeft w:val="0"/>
          <w:marRight w:val="0"/>
          <w:marTop w:val="0"/>
          <w:marBottom w:val="0"/>
          <w:divBdr>
            <w:top w:val="none" w:sz="0" w:space="0" w:color="auto"/>
            <w:left w:val="none" w:sz="0" w:space="0" w:color="auto"/>
            <w:bottom w:val="none" w:sz="0" w:space="0" w:color="auto"/>
            <w:right w:val="none" w:sz="0" w:space="0" w:color="auto"/>
          </w:divBdr>
          <w:divsChild>
            <w:div w:id="16101569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9888268">
      <w:marLeft w:val="0"/>
      <w:marRight w:val="0"/>
      <w:marTop w:val="180"/>
      <w:marBottom w:val="180"/>
      <w:divBdr>
        <w:top w:val="none" w:sz="0" w:space="0" w:color="auto"/>
        <w:left w:val="none" w:sz="0" w:space="0" w:color="auto"/>
        <w:bottom w:val="none" w:sz="0" w:space="0" w:color="auto"/>
        <w:right w:val="none" w:sz="0" w:space="0" w:color="auto"/>
      </w:divBdr>
    </w:div>
    <w:div w:id="1430005397">
      <w:marLeft w:val="0"/>
      <w:marRight w:val="0"/>
      <w:marTop w:val="60"/>
      <w:marBottom w:val="60"/>
      <w:divBdr>
        <w:top w:val="none" w:sz="0" w:space="0" w:color="auto"/>
        <w:left w:val="none" w:sz="0" w:space="0" w:color="auto"/>
        <w:bottom w:val="none" w:sz="0" w:space="0" w:color="auto"/>
        <w:right w:val="none" w:sz="0" w:space="0" w:color="auto"/>
      </w:divBdr>
    </w:div>
    <w:div w:id="1432122543">
      <w:marLeft w:val="0"/>
      <w:marRight w:val="0"/>
      <w:marTop w:val="180"/>
      <w:marBottom w:val="180"/>
      <w:divBdr>
        <w:top w:val="none" w:sz="0" w:space="0" w:color="auto"/>
        <w:left w:val="none" w:sz="0" w:space="0" w:color="auto"/>
        <w:bottom w:val="none" w:sz="0" w:space="0" w:color="auto"/>
        <w:right w:val="none" w:sz="0" w:space="0" w:color="auto"/>
      </w:divBdr>
    </w:div>
    <w:div w:id="1433743791">
      <w:marLeft w:val="0"/>
      <w:marRight w:val="0"/>
      <w:marTop w:val="180"/>
      <w:marBottom w:val="60"/>
      <w:divBdr>
        <w:top w:val="none" w:sz="0" w:space="0" w:color="auto"/>
        <w:left w:val="none" w:sz="0" w:space="0" w:color="auto"/>
        <w:bottom w:val="none" w:sz="0" w:space="0" w:color="auto"/>
        <w:right w:val="none" w:sz="0" w:space="0" w:color="auto"/>
      </w:divBdr>
    </w:div>
    <w:div w:id="1434739391">
      <w:marLeft w:val="0"/>
      <w:marRight w:val="0"/>
      <w:marTop w:val="180"/>
      <w:marBottom w:val="180"/>
      <w:divBdr>
        <w:top w:val="none" w:sz="0" w:space="0" w:color="auto"/>
        <w:left w:val="none" w:sz="0" w:space="0" w:color="auto"/>
        <w:bottom w:val="none" w:sz="0" w:space="0" w:color="auto"/>
        <w:right w:val="none" w:sz="0" w:space="0" w:color="auto"/>
      </w:divBdr>
    </w:div>
    <w:div w:id="1435785211">
      <w:marLeft w:val="0"/>
      <w:marRight w:val="0"/>
      <w:marTop w:val="60"/>
      <w:marBottom w:val="60"/>
      <w:divBdr>
        <w:top w:val="none" w:sz="0" w:space="0" w:color="auto"/>
        <w:left w:val="none" w:sz="0" w:space="0" w:color="auto"/>
        <w:bottom w:val="none" w:sz="0" w:space="0" w:color="auto"/>
        <w:right w:val="none" w:sz="0" w:space="0" w:color="auto"/>
      </w:divBdr>
    </w:div>
    <w:div w:id="1436637281">
      <w:marLeft w:val="0"/>
      <w:marRight w:val="0"/>
      <w:marTop w:val="60"/>
      <w:marBottom w:val="60"/>
      <w:divBdr>
        <w:top w:val="none" w:sz="0" w:space="0" w:color="auto"/>
        <w:left w:val="none" w:sz="0" w:space="0" w:color="auto"/>
        <w:bottom w:val="none" w:sz="0" w:space="0" w:color="auto"/>
        <w:right w:val="none" w:sz="0" w:space="0" w:color="auto"/>
      </w:divBdr>
      <w:divsChild>
        <w:div w:id="1230964317">
          <w:marLeft w:val="0"/>
          <w:marRight w:val="0"/>
          <w:marTop w:val="0"/>
          <w:marBottom w:val="0"/>
          <w:divBdr>
            <w:top w:val="none" w:sz="0" w:space="0" w:color="auto"/>
            <w:left w:val="none" w:sz="0" w:space="0" w:color="auto"/>
            <w:bottom w:val="none" w:sz="0" w:space="0" w:color="auto"/>
            <w:right w:val="none" w:sz="0" w:space="0" w:color="auto"/>
          </w:divBdr>
        </w:div>
      </w:divsChild>
    </w:div>
    <w:div w:id="1439105181">
      <w:marLeft w:val="0"/>
      <w:marRight w:val="0"/>
      <w:marTop w:val="180"/>
      <w:marBottom w:val="180"/>
      <w:divBdr>
        <w:top w:val="none" w:sz="0" w:space="0" w:color="auto"/>
        <w:left w:val="none" w:sz="0" w:space="0" w:color="auto"/>
        <w:bottom w:val="none" w:sz="0" w:space="0" w:color="auto"/>
        <w:right w:val="none" w:sz="0" w:space="0" w:color="auto"/>
      </w:divBdr>
    </w:div>
    <w:div w:id="1439250204">
      <w:marLeft w:val="0"/>
      <w:marRight w:val="0"/>
      <w:marTop w:val="60"/>
      <w:marBottom w:val="60"/>
      <w:divBdr>
        <w:top w:val="none" w:sz="0" w:space="0" w:color="auto"/>
        <w:left w:val="none" w:sz="0" w:space="0" w:color="auto"/>
        <w:bottom w:val="none" w:sz="0" w:space="0" w:color="auto"/>
        <w:right w:val="none" w:sz="0" w:space="0" w:color="auto"/>
      </w:divBdr>
    </w:div>
    <w:div w:id="1441491212">
      <w:marLeft w:val="0"/>
      <w:marRight w:val="0"/>
      <w:marTop w:val="180"/>
      <w:marBottom w:val="180"/>
      <w:divBdr>
        <w:top w:val="none" w:sz="0" w:space="0" w:color="auto"/>
        <w:left w:val="none" w:sz="0" w:space="0" w:color="auto"/>
        <w:bottom w:val="none" w:sz="0" w:space="0" w:color="auto"/>
        <w:right w:val="none" w:sz="0" w:space="0" w:color="auto"/>
      </w:divBdr>
    </w:div>
    <w:div w:id="1444811768">
      <w:marLeft w:val="0"/>
      <w:marRight w:val="0"/>
      <w:marTop w:val="180"/>
      <w:marBottom w:val="60"/>
      <w:divBdr>
        <w:top w:val="none" w:sz="0" w:space="0" w:color="auto"/>
        <w:left w:val="none" w:sz="0" w:space="0" w:color="auto"/>
        <w:bottom w:val="none" w:sz="0" w:space="0" w:color="auto"/>
        <w:right w:val="none" w:sz="0" w:space="0" w:color="auto"/>
      </w:divBdr>
    </w:div>
    <w:div w:id="1446461892">
      <w:marLeft w:val="0"/>
      <w:marRight w:val="0"/>
      <w:marTop w:val="180"/>
      <w:marBottom w:val="180"/>
      <w:divBdr>
        <w:top w:val="none" w:sz="0" w:space="0" w:color="auto"/>
        <w:left w:val="none" w:sz="0" w:space="0" w:color="auto"/>
        <w:bottom w:val="none" w:sz="0" w:space="0" w:color="auto"/>
        <w:right w:val="none" w:sz="0" w:space="0" w:color="auto"/>
      </w:divBdr>
    </w:div>
    <w:div w:id="1447119569">
      <w:marLeft w:val="0"/>
      <w:marRight w:val="0"/>
      <w:marTop w:val="0"/>
      <w:marBottom w:val="0"/>
      <w:divBdr>
        <w:top w:val="none" w:sz="0" w:space="0" w:color="auto"/>
        <w:left w:val="none" w:sz="0" w:space="0" w:color="auto"/>
        <w:bottom w:val="none" w:sz="0" w:space="0" w:color="auto"/>
        <w:right w:val="none" w:sz="0" w:space="0" w:color="auto"/>
      </w:divBdr>
      <w:divsChild>
        <w:div w:id="915365106">
          <w:marLeft w:val="0"/>
          <w:marRight w:val="0"/>
          <w:marTop w:val="180"/>
          <w:marBottom w:val="180"/>
          <w:divBdr>
            <w:top w:val="none" w:sz="0" w:space="0" w:color="auto"/>
            <w:left w:val="none" w:sz="0" w:space="0" w:color="auto"/>
            <w:bottom w:val="none" w:sz="0" w:space="0" w:color="auto"/>
            <w:right w:val="none" w:sz="0" w:space="0" w:color="auto"/>
          </w:divBdr>
        </w:div>
      </w:divsChild>
    </w:div>
    <w:div w:id="1450584846">
      <w:marLeft w:val="0"/>
      <w:marRight w:val="0"/>
      <w:marTop w:val="0"/>
      <w:marBottom w:val="180"/>
      <w:divBdr>
        <w:top w:val="none" w:sz="0" w:space="0" w:color="auto"/>
        <w:left w:val="none" w:sz="0" w:space="0" w:color="auto"/>
        <w:bottom w:val="none" w:sz="0" w:space="0" w:color="auto"/>
        <w:right w:val="none" w:sz="0" w:space="0" w:color="auto"/>
      </w:divBdr>
    </w:div>
    <w:div w:id="1452826578">
      <w:marLeft w:val="0"/>
      <w:marRight w:val="0"/>
      <w:marTop w:val="160"/>
      <w:marBottom w:val="160"/>
      <w:divBdr>
        <w:top w:val="none" w:sz="0" w:space="0" w:color="auto"/>
        <w:left w:val="none" w:sz="0" w:space="0" w:color="auto"/>
        <w:bottom w:val="none" w:sz="0" w:space="0" w:color="auto"/>
        <w:right w:val="none" w:sz="0" w:space="0" w:color="auto"/>
      </w:divBdr>
      <w:divsChild>
        <w:div w:id="89393049">
          <w:marLeft w:val="0"/>
          <w:marRight w:val="0"/>
          <w:marTop w:val="0"/>
          <w:marBottom w:val="0"/>
          <w:divBdr>
            <w:top w:val="none" w:sz="0" w:space="0" w:color="auto"/>
            <w:left w:val="none" w:sz="0" w:space="0" w:color="auto"/>
            <w:bottom w:val="none" w:sz="0" w:space="0" w:color="auto"/>
            <w:right w:val="none" w:sz="0" w:space="0" w:color="auto"/>
          </w:divBdr>
        </w:div>
        <w:div w:id="261452786">
          <w:marLeft w:val="0"/>
          <w:marRight w:val="0"/>
          <w:marTop w:val="0"/>
          <w:marBottom w:val="0"/>
          <w:divBdr>
            <w:top w:val="none" w:sz="0" w:space="0" w:color="auto"/>
            <w:left w:val="none" w:sz="0" w:space="0" w:color="auto"/>
            <w:bottom w:val="none" w:sz="0" w:space="0" w:color="auto"/>
            <w:right w:val="none" w:sz="0" w:space="0" w:color="auto"/>
          </w:divBdr>
        </w:div>
        <w:div w:id="666329304">
          <w:marLeft w:val="0"/>
          <w:marRight w:val="0"/>
          <w:marTop w:val="0"/>
          <w:marBottom w:val="0"/>
          <w:divBdr>
            <w:top w:val="none" w:sz="0" w:space="0" w:color="auto"/>
            <w:left w:val="none" w:sz="0" w:space="0" w:color="auto"/>
            <w:bottom w:val="none" w:sz="0" w:space="0" w:color="auto"/>
            <w:right w:val="none" w:sz="0" w:space="0" w:color="auto"/>
          </w:divBdr>
        </w:div>
      </w:divsChild>
    </w:div>
    <w:div w:id="1453356056">
      <w:marLeft w:val="0"/>
      <w:marRight w:val="0"/>
      <w:marTop w:val="60"/>
      <w:marBottom w:val="60"/>
      <w:divBdr>
        <w:top w:val="none" w:sz="0" w:space="0" w:color="auto"/>
        <w:left w:val="none" w:sz="0" w:space="0" w:color="auto"/>
        <w:bottom w:val="none" w:sz="0" w:space="0" w:color="auto"/>
        <w:right w:val="none" w:sz="0" w:space="0" w:color="auto"/>
      </w:divBdr>
    </w:div>
    <w:div w:id="1453404912">
      <w:marLeft w:val="0"/>
      <w:marRight w:val="0"/>
      <w:marTop w:val="180"/>
      <w:marBottom w:val="180"/>
      <w:divBdr>
        <w:top w:val="none" w:sz="0" w:space="0" w:color="auto"/>
        <w:left w:val="none" w:sz="0" w:space="0" w:color="auto"/>
        <w:bottom w:val="none" w:sz="0" w:space="0" w:color="auto"/>
        <w:right w:val="none" w:sz="0" w:space="0" w:color="auto"/>
      </w:divBdr>
    </w:div>
    <w:div w:id="1453986134">
      <w:marLeft w:val="0"/>
      <w:marRight w:val="0"/>
      <w:marTop w:val="180"/>
      <w:marBottom w:val="180"/>
      <w:divBdr>
        <w:top w:val="none" w:sz="0" w:space="0" w:color="auto"/>
        <w:left w:val="none" w:sz="0" w:space="0" w:color="auto"/>
        <w:bottom w:val="none" w:sz="0" w:space="0" w:color="auto"/>
        <w:right w:val="none" w:sz="0" w:space="0" w:color="auto"/>
      </w:divBdr>
    </w:div>
    <w:div w:id="1454322254">
      <w:marLeft w:val="0"/>
      <w:marRight w:val="0"/>
      <w:marTop w:val="60"/>
      <w:marBottom w:val="60"/>
      <w:divBdr>
        <w:top w:val="none" w:sz="0" w:space="0" w:color="auto"/>
        <w:left w:val="none" w:sz="0" w:space="0" w:color="auto"/>
        <w:bottom w:val="none" w:sz="0" w:space="0" w:color="auto"/>
        <w:right w:val="none" w:sz="0" w:space="0" w:color="auto"/>
      </w:divBdr>
    </w:div>
    <w:div w:id="1455951484">
      <w:marLeft w:val="0"/>
      <w:marRight w:val="0"/>
      <w:marTop w:val="180"/>
      <w:marBottom w:val="180"/>
      <w:divBdr>
        <w:top w:val="none" w:sz="0" w:space="0" w:color="auto"/>
        <w:left w:val="none" w:sz="0" w:space="0" w:color="auto"/>
        <w:bottom w:val="none" w:sz="0" w:space="0" w:color="auto"/>
        <w:right w:val="none" w:sz="0" w:space="0" w:color="auto"/>
      </w:divBdr>
    </w:div>
    <w:div w:id="1458380078">
      <w:marLeft w:val="0"/>
      <w:marRight w:val="0"/>
      <w:marTop w:val="60"/>
      <w:marBottom w:val="60"/>
      <w:divBdr>
        <w:top w:val="none" w:sz="0" w:space="0" w:color="auto"/>
        <w:left w:val="none" w:sz="0" w:space="0" w:color="auto"/>
        <w:bottom w:val="none" w:sz="0" w:space="0" w:color="auto"/>
        <w:right w:val="none" w:sz="0" w:space="0" w:color="auto"/>
      </w:divBdr>
    </w:div>
    <w:div w:id="1459181381">
      <w:marLeft w:val="0"/>
      <w:marRight w:val="0"/>
      <w:marTop w:val="0"/>
      <w:marBottom w:val="0"/>
      <w:divBdr>
        <w:top w:val="none" w:sz="0" w:space="0" w:color="auto"/>
        <w:left w:val="none" w:sz="0" w:space="0" w:color="auto"/>
        <w:bottom w:val="none" w:sz="0" w:space="0" w:color="auto"/>
        <w:right w:val="none" w:sz="0" w:space="0" w:color="auto"/>
      </w:divBdr>
    </w:div>
    <w:div w:id="1460613896">
      <w:marLeft w:val="0"/>
      <w:marRight w:val="0"/>
      <w:marTop w:val="180"/>
      <w:marBottom w:val="180"/>
      <w:divBdr>
        <w:top w:val="none" w:sz="0" w:space="0" w:color="auto"/>
        <w:left w:val="none" w:sz="0" w:space="0" w:color="auto"/>
        <w:bottom w:val="none" w:sz="0" w:space="0" w:color="auto"/>
        <w:right w:val="none" w:sz="0" w:space="0" w:color="auto"/>
      </w:divBdr>
    </w:div>
    <w:div w:id="1460954850">
      <w:marLeft w:val="0"/>
      <w:marRight w:val="0"/>
      <w:marTop w:val="180"/>
      <w:marBottom w:val="180"/>
      <w:divBdr>
        <w:top w:val="none" w:sz="0" w:space="0" w:color="auto"/>
        <w:left w:val="none" w:sz="0" w:space="0" w:color="auto"/>
        <w:bottom w:val="none" w:sz="0" w:space="0" w:color="auto"/>
        <w:right w:val="none" w:sz="0" w:space="0" w:color="auto"/>
      </w:divBdr>
    </w:div>
    <w:div w:id="1463040157">
      <w:marLeft w:val="0"/>
      <w:marRight w:val="0"/>
      <w:marTop w:val="0"/>
      <w:marBottom w:val="0"/>
      <w:divBdr>
        <w:top w:val="none" w:sz="0" w:space="0" w:color="auto"/>
        <w:left w:val="none" w:sz="0" w:space="0" w:color="auto"/>
        <w:bottom w:val="none" w:sz="0" w:space="0" w:color="auto"/>
        <w:right w:val="none" w:sz="0" w:space="0" w:color="auto"/>
      </w:divBdr>
      <w:divsChild>
        <w:div w:id="1100568147">
          <w:marLeft w:val="0"/>
          <w:marRight w:val="0"/>
          <w:marTop w:val="0"/>
          <w:marBottom w:val="0"/>
          <w:divBdr>
            <w:top w:val="none" w:sz="0" w:space="0" w:color="auto"/>
            <w:left w:val="none" w:sz="0" w:space="0" w:color="auto"/>
            <w:bottom w:val="none" w:sz="0" w:space="0" w:color="auto"/>
            <w:right w:val="none" w:sz="0" w:space="0" w:color="auto"/>
          </w:divBdr>
          <w:divsChild>
            <w:div w:id="13204953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4426998">
      <w:marLeft w:val="0"/>
      <w:marRight w:val="0"/>
      <w:marTop w:val="180"/>
      <w:marBottom w:val="180"/>
      <w:divBdr>
        <w:top w:val="none" w:sz="0" w:space="0" w:color="auto"/>
        <w:left w:val="none" w:sz="0" w:space="0" w:color="auto"/>
        <w:bottom w:val="none" w:sz="0" w:space="0" w:color="auto"/>
        <w:right w:val="none" w:sz="0" w:space="0" w:color="auto"/>
      </w:divBdr>
    </w:div>
    <w:div w:id="1464541362">
      <w:marLeft w:val="0"/>
      <w:marRight w:val="0"/>
      <w:marTop w:val="180"/>
      <w:marBottom w:val="180"/>
      <w:divBdr>
        <w:top w:val="none" w:sz="0" w:space="0" w:color="auto"/>
        <w:left w:val="none" w:sz="0" w:space="0" w:color="auto"/>
        <w:bottom w:val="none" w:sz="0" w:space="0" w:color="auto"/>
        <w:right w:val="none" w:sz="0" w:space="0" w:color="auto"/>
      </w:divBdr>
    </w:div>
    <w:div w:id="1464688374">
      <w:marLeft w:val="0"/>
      <w:marRight w:val="0"/>
      <w:marTop w:val="60"/>
      <w:marBottom w:val="60"/>
      <w:divBdr>
        <w:top w:val="none" w:sz="0" w:space="0" w:color="auto"/>
        <w:left w:val="none" w:sz="0" w:space="0" w:color="auto"/>
        <w:bottom w:val="none" w:sz="0" w:space="0" w:color="auto"/>
        <w:right w:val="none" w:sz="0" w:space="0" w:color="auto"/>
      </w:divBdr>
      <w:divsChild>
        <w:div w:id="1261327912">
          <w:marLeft w:val="0"/>
          <w:marRight w:val="0"/>
          <w:marTop w:val="0"/>
          <w:marBottom w:val="0"/>
          <w:divBdr>
            <w:top w:val="none" w:sz="0" w:space="0" w:color="auto"/>
            <w:left w:val="none" w:sz="0" w:space="0" w:color="auto"/>
            <w:bottom w:val="none" w:sz="0" w:space="0" w:color="auto"/>
            <w:right w:val="none" w:sz="0" w:space="0" w:color="auto"/>
          </w:divBdr>
        </w:div>
      </w:divsChild>
    </w:div>
    <w:div w:id="1466968260">
      <w:marLeft w:val="0"/>
      <w:marRight w:val="0"/>
      <w:marTop w:val="180"/>
      <w:marBottom w:val="60"/>
      <w:divBdr>
        <w:top w:val="none" w:sz="0" w:space="0" w:color="auto"/>
        <w:left w:val="none" w:sz="0" w:space="0" w:color="auto"/>
        <w:bottom w:val="none" w:sz="0" w:space="0" w:color="auto"/>
        <w:right w:val="none" w:sz="0" w:space="0" w:color="auto"/>
      </w:divBdr>
    </w:div>
    <w:div w:id="1467548807">
      <w:marLeft w:val="0"/>
      <w:marRight w:val="0"/>
      <w:marTop w:val="180"/>
      <w:marBottom w:val="180"/>
      <w:divBdr>
        <w:top w:val="none" w:sz="0" w:space="0" w:color="auto"/>
        <w:left w:val="none" w:sz="0" w:space="0" w:color="auto"/>
        <w:bottom w:val="none" w:sz="0" w:space="0" w:color="auto"/>
        <w:right w:val="none" w:sz="0" w:space="0" w:color="auto"/>
      </w:divBdr>
    </w:div>
    <w:div w:id="1468815914">
      <w:marLeft w:val="0"/>
      <w:marRight w:val="0"/>
      <w:marTop w:val="180"/>
      <w:marBottom w:val="180"/>
      <w:divBdr>
        <w:top w:val="none" w:sz="0" w:space="0" w:color="auto"/>
        <w:left w:val="none" w:sz="0" w:space="0" w:color="auto"/>
        <w:bottom w:val="none" w:sz="0" w:space="0" w:color="auto"/>
        <w:right w:val="none" w:sz="0" w:space="0" w:color="auto"/>
      </w:divBdr>
    </w:div>
    <w:div w:id="1469786548">
      <w:marLeft w:val="0"/>
      <w:marRight w:val="0"/>
      <w:marTop w:val="180"/>
      <w:marBottom w:val="180"/>
      <w:divBdr>
        <w:top w:val="none" w:sz="0" w:space="0" w:color="auto"/>
        <w:left w:val="none" w:sz="0" w:space="0" w:color="auto"/>
        <w:bottom w:val="none" w:sz="0" w:space="0" w:color="auto"/>
        <w:right w:val="none" w:sz="0" w:space="0" w:color="auto"/>
      </w:divBdr>
    </w:div>
    <w:div w:id="1470321242">
      <w:marLeft w:val="0"/>
      <w:marRight w:val="0"/>
      <w:marTop w:val="180"/>
      <w:marBottom w:val="180"/>
      <w:divBdr>
        <w:top w:val="none" w:sz="0" w:space="0" w:color="auto"/>
        <w:left w:val="none" w:sz="0" w:space="0" w:color="auto"/>
        <w:bottom w:val="none" w:sz="0" w:space="0" w:color="auto"/>
        <w:right w:val="none" w:sz="0" w:space="0" w:color="auto"/>
      </w:divBdr>
    </w:div>
    <w:div w:id="1470710625">
      <w:marLeft w:val="0"/>
      <w:marRight w:val="0"/>
      <w:marTop w:val="180"/>
      <w:marBottom w:val="180"/>
      <w:divBdr>
        <w:top w:val="none" w:sz="0" w:space="0" w:color="auto"/>
        <w:left w:val="none" w:sz="0" w:space="0" w:color="auto"/>
        <w:bottom w:val="none" w:sz="0" w:space="0" w:color="auto"/>
        <w:right w:val="none" w:sz="0" w:space="0" w:color="auto"/>
      </w:divBdr>
    </w:div>
    <w:div w:id="1471703387">
      <w:marLeft w:val="0"/>
      <w:marRight w:val="0"/>
      <w:marTop w:val="60"/>
      <w:marBottom w:val="60"/>
      <w:divBdr>
        <w:top w:val="none" w:sz="0" w:space="0" w:color="auto"/>
        <w:left w:val="none" w:sz="0" w:space="0" w:color="auto"/>
        <w:bottom w:val="none" w:sz="0" w:space="0" w:color="auto"/>
        <w:right w:val="none" w:sz="0" w:space="0" w:color="auto"/>
      </w:divBdr>
    </w:div>
    <w:div w:id="1473475250">
      <w:marLeft w:val="0"/>
      <w:marRight w:val="0"/>
      <w:marTop w:val="180"/>
      <w:marBottom w:val="180"/>
      <w:divBdr>
        <w:top w:val="none" w:sz="0" w:space="0" w:color="auto"/>
        <w:left w:val="none" w:sz="0" w:space="0" w:color="auto"/>
        <w:bottom w:val="none" w:sz="0" w:space="0" w:color="auto"/>
        <w:right w:val="none" w:sz="0" w:space="0" w:color="auto"/>
      </w:divBdr>
    </w:div>
    <w:div w:id="1475175047">
      <w:marLeft w:val="0"/>
      <w:marRight w:val="0"/>
      <w:marTop w:val="0"/>
      <w:marBottom w:val="0"/>
      <w:divBdr>
        <w:top w:val="none" w:sz="0" w:space="0" w:color="auto"/>
        <w:left w:val="none" w:sz="0" w:space="0" w:color="auto"/>
        <w:bottom w:val="none" w:sz="0" w:space="0" w:color="auto"/>
        <w:right w:val="none" w:sz="0" w:space="0" w:color="auto"/>
      </w:divBdr>
      <w:divsChild>
        <w:div w:id="1218084742">
          <w:marLeft w:val="0"/>
          <w:marRight w:val="0"/>
          <w:marTop w:val="180"/>
          <w:marBottom w:val="180"/>
          <w:divBdr>
            <w:top w:val="none" w:sz="0" w:space="0" w:color="auto"/>
            <w:left w:val="none" w:sz="0" w:space="0" w:color="auto"/>
            <w:bottom w:val="none" w:sz="0" w:space="0" w:color="auto"/>
            <w:right w:val="none" w:sz="0" w:space="0" w:color="auto"/>
          </w:divBdr>
        </w:div>
      </w:divsChild>
    </w:div>
    <w:div w:id="1476677905">
      <w:marLeft w:val="0"/>
      <w:marRight w:val="0"/>
      <w:marTop w:val="180"/>
      <w:marBottom w:val="180"/>
      <w:divBdr>
        <w:top w:val="none" w:sz="0" w:space="0" w:color="auto"/>
        <w:left w:val="none" w:sz="0" w:space="0" w:color="auto"/>
        <w:bottom w:val="none" w:sz="0" w:space="0" w:color="auto"/>
        <w:right w:val="none" w:sz="0" w:space="0" w:color="auto"/>
      </w:divBdr>
    </w:div>
    <w:div w:id="1478035348">
      <w:marLeft w:val="0"/>
      <w:marRight w:val="0"/>
      <w:marTop w:val="180"/>
      <w:marBottom w:val="180"/>
      <w:divBdr>
        <w:top w:val="none" w:sz="0" w:space="0" w:color="auto"/>
        <w:left w:val="none" w:sz="0" w:space="0" w:color="auto"/>
        <w:bottom w:val="none" w:sz="0" w:space="0" w:color="auto"/>
        <w:right w:val="none" w:sz="0" w:space="0" w:color="auto"/>
      </w:divBdr>
    </w:div>
    <w:div w:id="1478915885">
      <w:marLeft w:val="0"/>
      <w:marRight w:val="0"/>
      <w:marTop w:val="180"/>
      <w:marBottom w:val="180"/>
      <w:divBdr>
        <w:top w:val="none" w:sz="0" w:space="0" w:color="auto"/>
        <w:left w:val="none" w:sz="0" w:space="0" w:color="auto"/>
        <w:bottom w:val="none" w:sz="0" w:space="0" w:color="auto"/>
        <w:right w:val="none" w:sz="0" w:space="0" w:color="auto"/>
      </w:divBdr>
    </w:div>
    <w:div w:id="1479345993">
      <w:marLeft w:val="0"/>
      <w:marRight w:val="0"/>
      <w:marTop w:val="180"/>
      <w:marBottom w:val="180"/>
      <w:divBdr>
        <w:top w:val="none" w:sz="0" w:space="0" w:color="auto"/>
        <w:left w:val="none" w:sz="0" w:space="0" w:color="auto"/>
        <w:bottom w:val="none" w:sz="0" w:space="0" w:color="auto"/>
        <w:right w:val="none" w:sz="0" w:space="0" w:color="auto"/>
      </w:divBdr>
    </w:div>
    <w:div w:id="1479571095">
      <w:marLeft w:val="0"/>
      <w:marRight w:val="0"/>
      <w:marTop w:val="180"/>
      <w:marBottom w:val="180"/>
      <w:divBdr>
        <w:top w:val="none" w:sz="0" w:space="0" w:color="auto"/>
        <w:left w:val="none" w:sz="0" w:space="0" w:color="auto"/>
        <w:bottom w:val="none" w:sz="0" w:space="0" w:color="auto"/>
        <w:right w:val="none" w:sz="0" w:space="0" w:color="auto"/>
      </w:divBdr>
    </w:div>
    <w:div w:id="1481658320">
      <w:marLeft w:val="0"/>
      <w:marRight w:val="0"/>
      <w:marTop w:val="180"/>
      <w:marBottom w:val="180"/>
      <w:divBdr>
        <w:top w:val="none" w:sz="0" w:space="0" w:color="auto"/>
        <w:left w:val="none" w:sz="0" w:space="0" w:color="auto"/>
        <w:bottom w:val="none" w:sz="0" w:space="0" w:color="auto"/>
        <w:right w:val="none" w:sz="0" w:space="0" w:color="auto"/>
      </w:divBdr>
    </w:div>
    <w:div w:id="1485511677">
      <w:marLeft w:val="0"/>
      <w:marRight w:val="0"/>
      <w:marTop w:val="180"/>
      <w:marBottom w:val="180"/>
      <w:divBdr>
        <w:top w:val="none" w:sz="0" w:space="0" w:color="auto"/>
        <w:left w:val="none" w:sz="0" w:space="0" w:color="auto"/>
        <w:bottom w:val="none" w:sz="0" w:space="0" w:color="auto"/>
        <w:right w:val="none" w:sz="0" w:space="0" w:color="auto"/>
      </w:divBdr>
    </w:div>
    <w:div w:id="1486358149">
      <w:marLeft w:val="0"/>
      <w:marRight w:val="0"/>
      <w:marTop w:val="180"/>
      <w:marBottom w:val="180"/>
      <w:divBdr>
        <w:top w:val="none" w:sz="0" w:space="0" w:color="auto"/>
        <w:left w:val="none" w:sz="0" w:space="0" w:color="auto"/>
        <w:bottom w:val="none" w:sz="0" w:space="0" w:color="auto"/>
        <w:right w:val="none" w:sz="0" w:space="0" w:color="auto"/>
      </w:divBdr>
    </w:div>
    <w:div w:id="1487628086">
      <w:marLeft w:val="0"/>
      <w:marRight w:val="0"/>
      <w:marTop w:val="180"/>
      <w:marBottom w:val="180"/>
      <w:divBdr>
        <w:top w:val="none" w:sz="0" w:space="0" w:color="auto"/>
        <w:left w:val="none" w:sz="0" w:space="0" w:color="auto"/>
        <w:bottom w:val="none" w:sz="0" w:space="0" w:color="auto"/>
        <w:right w:val="none" w:sz="0" w:space="0" w:color="auto"/>
      </w:divBdr>
    </w:div>
    <w:div w:id="1492525469">
      <w:marLeft w:val="0"/>
      <w:marRight w:val="0"/>
      <w:marTop w:val="180"/>
      <w:marBottom w:val="180"/>
      <w:divBdr>
        <w:top w:val="none" w:sz="0" w:space="0" w:color="auto"/>
        <w:left w:val="none" w:sz="0" w:space="0" w:color="auto"/>
        <w:bottom w:val="none" w:sz="0" w:space="0" w:color="auto"/>
        <w:right w:val="none" w:sz="0" w:space="0" w:color="auto"/>
      </w:divBdr>
    </w:div>
    <w:div w:id="1493719636">
      <w:marLeft w:val="0"/>
      <w:marRight w:val="0"/>
      <w:marTop w:val="60"/>
      <w:marBottom w:val="60"/>
      <w:divBdr>
        <w:top w:val="none" w:sz="0" w:space="0" w:color="auto"/>
        <w:left w:val="none" w:sz="0" w:space="0" w:color="auto"/>
        <w:bottom w:val="none" w:sz="0" w:space="0" w:color="auto"/>
        <w:right w:val="none" w:sz="0" w:space="0" w:color="auto"/>
      </w:divBdr>
    </w:div>
    <w:div w:id="1494028192">
      <w:marLeft w:val="0"/>
      <w:marRight w:val="0"/>
      <w:marTop w:val="180"/>
      <w:marBottom w:val="180"/>
      <w:divBdr>
        <w:top w:val="none" w:sz="0" w:space="0" w:color="auto"/>
        <w:left w:val="none" w:sz="0" w:space="0" w:color="auto"/>
        <w:bottom w:val="none" w:sz="0" w:space="0" w:color="auto"/>
        <w:right w:val="none" w:sz="0" w:space="0" w:color="auto"/>
      </w:divBdr>
    </w:div>
    <w:div w:id="1497263475">
      <w:marLeft w:val="0"/>
      <w:marRight w:val="0"/>
      <w:marTop w:val="180"/>
      <w:marBottom w:val="180"/>
      <w:divBdr>
        <w:top w:val="none" w:sz="0" w:space="0" w:color="auto"/>
        <w:left w:val="none" w:sz="0" w:space="0" w:color="auto"/>
        <w:bottom w:val="none" w:sz="0" w:space="0" w:color="auto"/>
        <w:right w:val="none" w:sz="0" w:space="0" w:color="auto"/>
      </w:divBdr>
    </w:div>
    <w:div w:id="1498958114">
      <w:marLeft w:val="0"/>
      <w:marRight w:val="0"/>
      <w:marTop w:val="180"/>
      <w:marBottom w:val="180"/>
      <w:divBdr>
        <w:top w:val="none" w:sz="0" w:space="0" w:color="auto"/>
        <w:left w:val="none" w:sz="0" w:space="0" w:color="auto"/>
        <w:bottom w:val="none" w:sz="0" w:space="0" w:color="auto"/>
        <w:right w:val="none" w:sz="0" w:space="0" w:color="auto"/>
      </w:divBdr>
    </w:div>
    <w:div w:id="1499613804">
      <w:marLeft w:val="0"/>
      <w:marRight w:val="0"/>
      <w:marTop w:val="60"/>
      <w:marBottom w:val="60"/>
      <w:divBdr>
        <w:top w:val="none" w:sz="0" w:space="0" w:color="auto"/>
        <w:left w:val="none" w:sz="0" w:space="0" w:color="auto"/>
        <w:bottom w:val="none" w:sz="0" w:space="0" w:color="auto"/>
        <w:right w:val="none" w:sz="0" w:space="0" w:color="auto"/>
      </w:divBdr>
    </w:div>
    <w:div w:id="1500266174">
      <w:marLeft w:val="0"/>
      <w:marRight w:val="0"/>
      <w:marTop w:val="180"/>
      <w:marBottom w:val="180"/>
      <w:divBdr>
        <w:top w:val="none" w:sz="0" w:space="0" w:color="auto"/>
        <w:left w:val="none" w:sz="0" w:space="0" w:color="auto"/>
        <w:bottom w:val="none" w:sz="0" w:space="0" w:color="auto"/>
        <w:right w:val="none" w:sz="0" w:space="0" w:color="auto"/>
      </w:divBdr>
    </w:div>
    <w:div w:id="1501042914">
      <w:marLeft w:val="0"/>
      <w:marRight w:val="0"/>
      <w:marTop w:val="100"/>
      <w:marBottom w:val="100"/>
      <w:divBdr>
        <w:top w:val="none" w:sz="0" w:space="0" w:color="auto"/>
        <w:left w:val="none" w:sz="0" w:space="0" w:color="auto"/>
        <w:bottom w:val="none" w:sz="0" w:space="0" w:color="auto"/>
        <w:right w:val="none" w:sz="0" w:space="0" w:color="auto"/>
      </w:divBdr>
      <w:divsChild>
        <w:div w:id="424498085">
          <w:marLeft w:val="0"/>
          <w:marRight w:val="0"/>
          <w:marTop w:val="0"/>
          <w:marBottom w:val="0"/>
          <w:divBdr>
            <w:top w:val="none" w:sz="0" w:space="0" w:color="auto"/>
            <w:left w:val="none" w:sz="0" w:space="0" w:color="auto"/>
            <w:bottom w:val="none" w:sz="0" w:space="0" w:color="auto"/>
            <w:right w:val="none" w:sz="0" w:space="0" w:color="auto"/>
          </w:divBdr>
        </w:div>
        <w:div w:id="310445389">
          <w:marLeft w:val="0"/>
          <w:marRight w:val="0"/>
          <w:marTop w:val="0"/>
          <w:marBottom w:val="0"/>
          <w:divBdr>
            <w:top w:val="none" w:sz="0" w:space="0" w:color="auto"/>
            <w:left w:val="none" w:sz="0" w:space="0" w:color="auto"/>
            <w:bottom w:val="none" w:sz="0" w:space="0" w:color="auto"/>
            <w:right w:val="none" w:sz="0" w:space="0" w:color="auto"/>
          </w:divBdr>
        </w:div>
      </w:divsChild>
    </w:div>
    <w:div w:id="1502160347">
      <w:marLeft w:val="0"/>
      <w:marRight w:val="0"/>
      <w:marTop w:val="60"/>
      <w:marBottom w:val="60"/>
      <w:divBdr>
        <w:top w:val="none" w:sz="0" w:space="0" w:color="auto"/>
        <w:left w:val="none" w:sz="0" w:space="0" w:color="auto"/>
        <w:bottom w:val="none" w:sz="0" w:space="0" w:color="auto"/>
        <w:right w:val="none" w:sz="0" w:space="0" w:color="auto"/>
      </w:divBdr>
    </w:div>
    <w:div w:id="1502618205">
      <w:marLeft w:val="0"/>
      <w:marRight w:val="0"/>
      <w:marTop w:val="180"/>
      <w:marBottom w:val="180"/>
      <w:divBdr>
        <w:top w:val="none" w:sz="0" w:space="0" w:color="auto"/>
        <w:left w:val="none" w:sz="0" w:space="0" w:color="auto"/>
        <w:bottom w:val="none" w:sz="0" w:space="0" w:color="auto"/>
        <w:right w:val="none" w:sz="0" w:space="0" w:color="auto"/>
      </w:divBdr>
    </w:div>
    <w:div w:id="1503084356">
      <w:marLeft w:val="0"/>
      <w:marRight w:val="0"/>
      <w:marTop w:val="100"/>
      <w:marBottom w:val="100"/>
      <w:divBdr>
        <w:top w:val="none" w:sz="0" w:space="0" w:color="auto"/>
        <w:left w:val="none" w:sz="0" w:space="0" w:color="auto"/>
        <w:bottom w:val="none" w:sz="0" w:space="0" w:color="auto"/>
        <w:right w:val="none" w:sz="0" w:space="0" w:color="auto"/>
      </w:divBdr>
    </w:div>
    <w:div w:id="1506435146">
      <w:marLeft w:val="0"/>
      <w:marRight w:val="0"/>
      <w:marTop w:val="100"/>
      <w:marBottom w:val="100"/>
      <w:divBdr>
        <w:top w:val="none" w:sz="0" w:space="0" w:color="auto"/>
        <w:left w:val="none" w:sz="0" w:space="0" w:color="auto"/>
        <w:bottom w:val="none" w:sz="0" w:space="0" w:color="auto"/>
        <w:right w:val="none" w:sz="0" w:space="0" w:color="auto"/>
      </w:divBdr>
      <w:divsChild>
        <w:div w:id="684551356">
          <w:marLeft w:val="0"/>
          <w:marRight w:val="0"/>
          <w:marTop w:val="0"/>
          <w:marBottom w:val="0"/>
          <w:divBdr>
            <w:top w:val="none" w:sz="0" w:space="0" w:color="auto"/>
            <w:left w:val="none" w:sz="0" w:space="0" w:color="auto"/>
            <w:bottom w:val="none" w:sz="0" w:space="0" w:color="auto"/>
            <w:right w:val="none" w:sz="0" w:space="0" w:color="auto"/>
          </w:divBdr>
        </w:div>
      </w:divsChild>
    </w:div>
    <w:div w:id="1506705291">
      <w:marLeft w:val="0"/>
      <w:marRight w:val="0"/>
      <w:marTop w:val="180"/>
      <w:marBottom w:val="180"/>
      <w:divBdr>
        <w:top w:val="none" w:sz="0" w:space="0" w:color="auto"/>
        <w:left w:val="none" w:sz="0" w:space="0" w:color="auto"/>
        <w:bottom w:val="none" w:sz="0" w:space="0" w:color="auto"/>
        <w:right w:val="none" w:sz="0" w:space="0" w:color="auto"/>
      </w:divBdr>
    </w:div>
    <w:div w:id="1507750663">
      <w:marLeft w:val="0"/>
      <w:marRight w:val="0"/>
      <w:marTop w:val="180"/>
      <w:marBottom w:val="60"/>
      <w:divBdr>
        <w:top w:val="none" w:sz="0" w:space="0" w:color="auto"/>
        <w:left w:val="none" w:sz="0" w:space="0" w:color="auto"/>
        <w:bottom w:val="none" w:sz="0" w:space="0" w:color="auto"/>
        <w:right w:val="none" w:sz="0" w:space="0" w:color="auto"/>
      </w:divBdr>
    </w:div>
    <w:div w:id="1508785307">
      <w:marLeft w:val="0"/>
      <w:marRight w:val="0"/>
      <w:marTop w:val="180"/>
      <w:marBottom w:val="180"/>
      <w:divBdr>
        <w:top w:val="none" w:sz="0" w:space="0" w:color="auto"/>
        <w:left w:val="none" w:sz="0" w:space="0" w:color="auto"/>
        <w:bottom w:val="none" w:sz="0" w:space="0" w:color="auto"/>
        <w:right w:val="none" w:sz="0" w:space="0" w:color="auto"/>
      </w:divBdr>
    </w:div>
    <w:div w:id="1509059888">
      <w:marLeft w:val="0"/>
      <w:marRight w:val="0"/>
      <w:marTop w:val="180"/>
      <w:marBottom w:val="180"/>
      <w:divBdr>
        <w:top w:val="none" w:sz="0" w:space="0" w:color="auto"/>
        <w:left w:val="none" w:sz="0" w:space="0" w:color="auto"/>
        <w:bottom w:val="none" w:sz="0" w:space="0" w:color="auto"/>
        <w:right w:val="none" w:sz="0" w:space="0" w:color="auto"/>
      </w:divBdr>
    </w:div>
    <w:div w:id="1510483556">
      <w:marLeft w:val="0"/>
      <w:marRight w:val="0"/>
      <w:marTop w:val="60"/>
      <w:marBottom w:val="100"/>
      <w:divBdr>
        <w:top w:val="none" w:sz="0" w:space="0" w:color="auto"/>
        <w:left w:val="none" w:sz="0" w:space="0" w:color="auto"/>
        <w:bottom w:val="none" w:sz="0" w:space="0" w:color="auto"/>
        <w:right w:val="none" w:sz="0" w:space="0" w:color="auto"/>
      </w:divBdr>
      <w:divsChild>
        <w:div w:id="630474708">
          <w:marLeft w:val="0"/>
          <w:marRight w:val="0"/>
          <w:marTop w:val="0"/>
          <w:marBottom w:val="0"/>
          <w:divBdr>
            <w:top w:val="none" w:sz="0" w:space="0" w:color="auto"/>
            <w:left w:val="none" w:sz="0" w:space="0" w:color="auto"/>
            <w:bottom w:val="none" w:sz="0" w:space="0" w:color="auto"/>
            <w:right w:val="none" w:sz="0" w:space="0" w:color="auto"/>
          </w:divBdr>
        </w:div>
      </w:divsChild>
    </w:div>
    <w:div w:id="1510871335">
      <w:marLeft w:val="0"/>
      <w:marRight w:val="0"/>
      <w:marTop w:val="180"/>
      <w:marBottom w:val="180"/>
      <w:divBdr>
        <w:top w:val="none" w:sz="0" w:space="0" w:color="auto"/>
        <w:left w:val="none" w:sz="0" w:space="0" w:color="auto"/>
        <w:bottom w:val="none" w:sz="0" w:space="0" w:color="auto"/>
        <w:right w:val="none" w:sz="0" w:space="0" w:color="auto"/>
      </w:divBdr>
    </w:div>
    <w:div w:id="1510945751">
      <w:marLeft w:val="0"/>
      <w:marRight w:val="0"/>
      <w:marTop w:val="180"/>
      <w:marBottom w:val="180"/>
      <w:divBdr>
        <w:top w:val="none" w:sz="0" w:space="0" w:color="auto"/>
        <w:left w:val="none" w:sz="0" w:space="0" w:color="auto"/>
        <w:bottom w:val="none" w:sz="0" w:space="0" w:color="auto"/>
        <w:right w:val="none" w:sz="0" w:space="0" w:color="auto"/>
      </w:divBdr>
    </w:div>
    <w:div w:id="1511527431">
      <w:marLeft w:val="0"/>
      <w:marRight w:val="0"/>
      <w:marTop w:val="180"/>
      <w:marBottom w:val="180"/>
      <w:divBdr>
        <w:top w:val="none" w:sz="0" w:space="0" w:color="auto"/>
        <w:left w:val="none" w:sz="0" w:space="0" w:color="auto"/>
        <w:bottom w:val="none" w:sz="0" w:space="0" w:color="auto"/>
        <w:right w:val="none" w:sz="0" w:space="0" w:color="auto"/>
      </w:divBdr>
    </w:div>
    <w:div w:id="1511791831">
      <w:marLeft w:val="0"/>
      <w:marRight w:val="0"/>
      <w:marTop w:val="0"/>
      <w:marBottom w:val="0"/>
      <w:divBdr>
        <w:top w:val="none" w:sz="0" w:space="0" w:color="auto"/>
        <w:left w:val="none" w:sz="0" w:space="0" w:color="auto"/>
        <w:bottom w:val="none" w:sz="0" w:space="0" w:color="auto"/>
        <w:right w:val="none" w:sz="0" w:space="0" w:color="auto"/>
      </w:divBdr>
      <w:divsChild>
        <w:div w:id="564532581">
          <w:marLeft w:val="0"/>
          <w:marRight w:val="0"/>
          <w:marTop w:val="0"/>
          <w:marBottom w:val="0"/>
          <w:divBdr>
            <w:top w:val="none" w:sz="0" w:space="0" w:color="auto"/>
            <w:left w:val="none" w:sz="0" w:space="0" w:color="auto"/>
            <w:bottom w:val="none" w:sz="0" w:space="0" w:color="auto"/>
            <w:right w:val="none" w:sz="0" w:space="0" w:color="auto"/>
          </w:divBdr>
          <w:divsChild>
            <w:div w:id="13471758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2406889">
      <w:marLeft w:val="0"/>
      <w:marRight w:val="0"/>
      <w:marTop w:val="60"/>
      <w:marBottom w:val="60"/>
      <w:divBdr>
        <w:top w:val="none" w:sz="0" w:space="0" w:color="auto"/>
        <w:left w:val="none" w:sz="0" w:space="0" w:color="auto"/>
        <w:bottom w:val="none" w:sz="0" w:space="0" w:color="auto"/>
        <w:right w:val="none" w:sz="0" w:space="0" w:color="auto"/>
      </w:divBdr>
    </w:div>
    <w:div w:id="1512718938">
      <w:marLeft w:val="0"/>
      <w:marRight w:val="0"/>
      <w:marTop w:val="180"/>
      <w:marBottom w:val="180"/>
      <w:divBdr>
        <w:top w:val="none" w:sz="0" w:space="0" w:color="auto"/>
        <w:left w:val="none" w:sz="0" w:space="0" w:color="auto"/>
        <w:bottom w:val="none" w:sz="0" w:space="0" w:color="auto"/>
        <w:right w:val="none" w:sz="0" w:space="0" w:color="auto"/>
      </w:divBdr>
    </w:div>
    <w:div w:id="1512991182">
      <w:marLeft w:val="0"/>
      <w:marRight w:val="0"/>
      <w:marTop w:val="180"/>
      <w:marBottom w:val="180"/>
      <w:divBdr>
        <w:top w:val="none" w:sz="0" w:space="0" w:color="auto"/>
        <w:left w:val="none" w:sz="0" w:space="0" w:color="auto"/>
        <w:bottom w:val="none" w:sz="0" w:space="0" w:color="auto"/>
        <w:right w:val="none" w:sz="0" w:space="0" w:color="auto"/>
      </w:divBdr>
    </w:div>
    <w:div w:id="1513299532">
      <w:marLeft w:val="0"/>
      <w:marRight w:val="0"/>
      <w:marTop w:val="180"/>
      <w:marBottom w:val="180"/>
      <w:divBdr>
        <w:top w:val="none" w:sz="0" w:space="0" w:color="auto"/>
        <w:left w:val="none" w:sz="0" w:space="0" w:color="auto"/>
        <w:bottom w:val="none" w:sz="0" w:space="0" w:color="auto"/>
        <w:right w:val="none" w:sz="0" w:space="0" w:color="auto"/>
      </w:divBdr>
    </w:div>
    <w:div w:id="1513686423">
      <w:marLeft w:val="0"/>
      <w:marRight w:val="0"/>
      <w:marTop w:val="0"/>
      <w:marBottom w:val="0"/>
      <w:divBdr>
        <w:top w:val="none" w:sz="0" w:space="0" w:color="auto"/>
        <w:left w:val="none" w:sz="0" w:space="0" w:color="auto"/>
        <w:bottom w:val="none" w:sz="0" w:space="0" w:color="auto"/>
        <w:right w:val="none" w:sz="0" w:space="0" w:color="auto"/>
      </w:divBdr>
    </w:div>
    <w:div w:id="1517378665">
      <w:marLeft w:val="0"/>
      <w:marRight w:val="0"/>
      <w:marTop w:val="180"/>
      <w:marBottom w:val="180"/>
      <w:divBdr>
        <w:top w:val="none" w:sz="0" w:space="0" w:color="auto"/>
        <w:left w:val="none" w:sz="0" w:space="0" w:color="auto"/>
        <w:bottom w:val="none" w:sz="0" w:space="0" w:color="auto"/>
        <w:right w:val="none" w:sz="0" w:space="0" w:color="auto"/>
      </w:divBdr>
    </w:div>
    <w:div w:id="1517884690">
      <w:marLeft w:val="0"/>
      <w:marRight w:val="0"/>
      <w:marTop w:val="180"/>
      <w:marBottom w:val="180"/>
      <w:divBdr>
        <w:top w:val="none" w:sz="0" w:space="0" w:color="auto"/>
        <w:left w:val="none" w:sz="0" w:space="0" w:color="auto"/>
        <w:bottom w:val="none" w:sz="0" w:space="0" w:color="auto"/>
        <w:right w:val="none" w:sz="0" w:space="0" w:color="auto"/>
      </w:divBdr>
    </w:div>
    <w:div w:id="1518232101">
      <w:marLeft w:val="0"/>
      <w:marRight w:val="0"/>
      <w:marTop w:val="60"/>
      <w:marBottom w:val="60"/>
      <w:divBdr>
        <w:top w:val="none" w:sz="0" w:space="0" w:color="auto"/>
        <w:left w:val="none" w:sz="0" w:space="0" w:color="auto"/>
        <w:bottom w:val="none" w:sz="0" w:space="0" w:color="auto"/>
        <w:right w:val="none" w:sz="0" w:space="0" w:color="auto"/>
      </w:divBdr>
    </w:div>
    <w:div w:id="1519735420">
      <w:marLeft w:val="0"/>
      <w:marRight w:val="0"/>
      <w:marTop w:val="0"/>
      <w:marBottom w:val="0"/>
      <w:divBdr>
        <w:top w:val="none" w:sz="0" w:space="0" w:color="auto"/>
        <w:left w:val="none" w:sz="0" w:space="0" w:color="auto"/>
        <w:bottom w:val="none" w:sz="0" w:space="0" w:color="auto"/>
        <w:right w:val="none" w:sz="0" w:space="0" w:color="auto"/>
      </w:divBdr>
      <w:divsChild>
        <w:div w:id="450705361">
          <w:marLeft w:val="0"/>
          <w:marRight w:val="0"/>
          <w:marTop w:val="0"/>
          <w:marBottom w:val="0"/>
          <w:divBdr>
            <w:top w:val="none" w:sz="0" w:space="0" w:color="auto"/>
            <w:left w:val="none" w:sz="0" w:space="0" w:color="auto"/>
            <w:bottom w:val="none" w:sz="0" w:space="0" w:color="auto"/>
            <w:right w:val="none" w:sz="0" w:space="0" w:color="auto"/>
          </w:divBdr>
          <w:divsChild>
            <w:div w:id="11791250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9736289">
      <w:marLeft w:val="0"/>
      <w:marRight w:val="0"/>
      <w:marTop w:val="0"/>
      <w:marBottom w:val="0"/>
      <w:divBdr>
        <w:top w:val="none" w:sz="0" w:space="0" w:color="auto"/>
        <w:left w:val="none" w:sz="0" w:space="0" w:color="auto"/>
        <w:bottom w:val="none" w:sz="0" w:space="0" w:color="auto"/>
        <w:right w:val="none" w:sz="0" w:space="0" w:color="auto"/>
      </w:divBdr>
    </w:div>
    <w:div w:id="1520462987">
      <w:marLeft w:val="0"/>
      <w:marRight w:val="0"/>
      <w:marTop w:val="0"/>
      <w:marBottom w:val="0"/>
      <w:divBdr>
        <w:top w:val="none" w:sz="0" w:space="0" w:color="auto"/>
        <w:left w:val="none" w:sz="0" w:space="0" w:color="auto"/>
        <w:bottom w:val="none" w:sz="0" w:space="0" w:color="auto"/>
        <w:right w:val="none" w:sz="0" w:space="0" w:color="auto"/>
      </w:divBdr>
      <w:divsChild>
        <w:div w:id="1834030701">
          <w:marLeft w:val="0"/>
          <w:marRight w:val="0"/>
          <w:marTop w:val="0"/>
          <w:marBottom w:val="0"/>
          <w:divBdr>
            <w:top w:val="none" w:sz="0" w:space="0" w:color="auto"/>
            <w:left w:val="none" w:sz="0" w:space="0" w:color="auto"/>
            <w:bottom w:val="none" w:sz="0" w:space="0" w:color="auto"/>
            <w:right w:val="none" w:sz="0" w:space="0" w:color="auto"/>
          </w:divBdr>
          <w:divsChild>
            <w:div w:id="13416581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0662761">
      <w:marLeft w:val="0"/>
      <w:marRight w:val="0"/>
      <w:marTop w:val="180"/>
      <w:marBottom w:val="180"/>
      <w:divBdr>
        <w:top w:val="none" w:sz="0" w:space="0" w:color="auto"/>
        <w:left w:val="none" w:sz="0" w:space="0" w:color="auto"/>
        <w:bottom w:val="none" w:sz="0" w:space="0" w:color="auto"/>
        <w:right w:val="none" w:sz="0" w:space="0" w:color="auto"/>
      </w:divBdr>
    </w:div>
    <w:div w:id="1522235538">
      <w:marLeft w:val="0"/>
      <w:marRight w:val="0"/>
      <w:marTop w:val="0"/>
      <w:marBottom w:val="0"/>
      <w:divBdr>
        <w:top w:val="none" w:sz="0" w:space="0" w:color="auto"/>
        <w:left w:val="none" w:sz="0" w:space="0" w:color="auto"/>
        <w:bottom w:val="none" w:sz="0" w:space="0" w:color="auto"/>
        <w:right w:val="none" w:sz="0" w:space="0" w:color="auto"/>
      </w:divBdr>
      <w:divsChild>
        <w:div w:id="144664198">
          <w:marLeft w:val="0"/>
          <w:marRight w:val="0"/>
          <w:marTop w:val="180"/>
          <w:marBottom w:val="180"/>
          <w:divBdr>
            <w:top w:val="none" w:sz="0" w:space="0" w:color="auto"/>
            <w:left w:val="none" w:sz="0" w:space="0" w:color="auto"/>
            <w:bottom w:val="none" w:sz="0" w:space="0" w:color="auto"/>
            <w:right w:val="none" w:sz="0" w:space="0" w:color="auto"/>
          </w:divBdr>
        </w:div>
      </w:divsChild>
    </w:div>
    <w:div w:id="1522816626">
      <w:marLeft w:val="0"/>
      <w:marRight w:val="0"/>
      <w:marTop w:val="60"/>
      <w:marBottom w:val="60"/>
      <w:divBdr>
        <w:top w:val="none" w:sz="0" w:space="0" w:color="auto"/>
        <w:left w:val="none" w:sz="0" w:space="0" w:color="auto"/>
        <w:bottom w:val="none" w:sz="0" w:space="0" w:color="auto"/>
        <w:right w:val="none" w:sz="0" w:space="0" w:color="auto"/>
      </w:divBdr>
    </w:div>
    <w:div w:id="1524515868">
      <w:marLeft w:val="0"/>
      <w:marRight w:val="0"/>
      <w:marTop w:val="0"/>
      <w:marBottom w:val="0"/>
      <w:divBdr>
        <w:top w:val="none" w:sz="0" w:space="0" w:color="auto"/>
        <w:left w:val="none" w:sz="0" w:space="0" w:color="auto"/>
        <w:bottom w:val="none" w:sz="0" w:space="0" w:color="auto"/>
        <w:right w:val="none" w:sz="0" w:space="0" w:color="auto"/>
      </w:divBdr>
    </w:div>
    <w:div w:id="1525440393">
      <w:marLeft w:val="0"/>
      <w:marRight w:val="0"/>
      <w:marTop w:val="180"/>
      <w:marBottom w:val="180"/>
      <w:divBdr>
        <w:top w:val="none" w:sz="0" w:space="0" w:color="auto"/>
        <w:left w:val="none" w:sz="0" w:space="0" w:color="auto"/>
        <w:bottom w:val="none" w:sz="0" w:space="0" w:color="auto"/>
        <w:right w:val="none" w:sz="0" w:space="0" w:color="auto"/>
      </w:divBdr>
    </w:div>
    <w:div w:id="1528565358">
      <w:marLeft w:val="0"/>
      <w:marRight w:val="0"/>
      <w:marTop w:val="180"/>
      <w:marBottom w:val="180"/>
      <w:divBdr>
        <w:top w:val="none" w:sz="0" w:space="0" w:color="auto"/>
        <w:left w:val="none" w:sz="0" w:space="0" w:color="auto"/>
        <w:bottom w:val="none" w:sz="0" w:space="0" w:color="auto"/>
        <w:right w:val="none" w:sz="0" w:space="0" w:color="auto"/>
      </w:divBdr>
    </w:div>
    <w:div w:id="1528714250">
      <w:marLeft w:val="0"/>
      <w:marRight w:val="0"/>
      <w:marTop w:val="180"/>
      <w:marBottom w:val="180"/>
      <w:divBdr>
        <w:top w:val="none" w:sz="0" w:space="0" w:color="auto"/>
        <w:left w:val="none" w:sz="0" w:space="0" w:color="auto"/>
        <w:bottom w:val="none" w:sz="0" w:space="0" w:color="auto"/>
        <w:right w:val="none" w:sz="0" w:space="0" w:color="auto"/>
      </w:divBdr>
    </w:div>
    <w:div w:id="1530098597">
      <w:marLeft w:val="0"/>
      <w:marRight w:val="0"/>
      <w:marTop w:val="60"/>
      <w:marBottom w:val="60"/>
      <w:divBdr>
        <w:top w:val="none" w:sz="0" w:space="0" w:color="auto"/>
        <w:left w:val="none" w:sz="0" w:space="0" w:color="auto"/>
        <w:bottom w:val="none" w:sz="0" w:space="0" w:color="auto"/>
        <w:right w:val="none" w:sz="0" w:space="0" w:color="auto"/>
      </w:divBdr>
    </w:div>
    <w:div w:id="1530992831">
      <w:marLeft w:val="0"/>
      <w:marRight w:val="0"/>
      <w:marTop w:val="180"/>
      <w:marBottom w:val="180"/>
      <w:divBdr>
        <w:top w:val="none" w:sz="0" w:space="0" w:color="auto"/>
        <w:left w:val="none" w:sz="0" w:space="0" w:color="auto"/>
        <w:bottom w:val="none" w:sz="0" w:space="0" w:color="auto"/>
        <w:right w:val="none" w:sz="0" w:space="0" w:color="auto"/>
      </w:divBdr>
    </w:div>
    <w:div w:id="1534612461">
      <w:marLeft w:val="0"/>
      <w:marRight w:val="0"/>
      <w:marTop w:val="180"/>
      <w:marBottom w:val="180"/>
      <w:divBdr>
        <w:top w:val="none" w:sz="0" w:space="0" w:color="auto"/>
        <w:left w:val="none" w:sz="0" w:space="0" w:color="auto"/>
        <w:bottom w:val="none" w:sz="0" w:space="0" w:color="auto"/>
        <w:right w:val="none" w:sz="0" w:space="0" w:color="auto"/>
      </w:divBdr>
    </w:div>
    <w:div w:id="1535579120">
      <w:marLeft w:val="0"/>
      <w:marRight w:val="0"/>
      <w:marTop w:val="180"/>
      <w:marBottom w:val="180"/>
      <w:divBdr>
        <w:top w:val="none" w:sz="0" w:space="0" w:color="auto"/>
        <w:left w:val="none" w:sz="0" w:space="0" w:color="auto"/>
        <w:bottom w:val="none" w:sz="0" w:space="0" w:color="auto"/>
        <w:right w:val="none" w:sz="0" w:space="0" w:color="auto"/>
      </w:divBdr>
    </w:div>
    <w:div w:id="1535918233">
      <w:marLeft w:val="0"/>
      <w:marRight w:val="0"/>
      <w:marTop w:val="180"/>
      <w:marBottom w:val="0"/>
      <w:divBdr>
        <w:top w:val="none" w:sz="0" w:space="0" w:color="auto"/>
        <w:left w:val="none" w:sz="0" w:space="0" w:color="auto"/>
        <w:bottom w:val="none" w:sz="0" w:space="0" w:color="auto"/>
        <w:right w:val="none" w:sz="0" w:space="0" w:color="auto"/>
      </w:divBdr>
    </w:div>
    <w:div w:id="1537039462">
      <w:marLeft w:val="0"/>
      <w:marRight w:val="0"/>
      <w:marTop w:val="60"/>
      <w:marBottom w:val="60"/>
      <w:divBdr>
        <w:top w:val="none" w:sz="0" w:space="0" w:color="auto"/>
        <w:left w:val="none" w:sz="0" w:space="0" w:color="auto"/>
        <w:bottom w:val="none" w:sz="0" w:space="0" w:color="auto"/>
        <w:right w:val="none" w:sz="0" w:space="0" w:color="auto"/>
      </w:divBdr>
    </w:div>
    <w:div w:id="1539514098">
      <w:marLeft w:val="0"/>
      <w:marRight w:val="0"/>
      <w:marTop w:val="180"/>
      <w:marBottom w:val="180"/>
      <w:divBdr>
        <w:top w:val="none" w:sz="0" w:space="0" w:color="auto"/>
        <w:left w:val="none" w:sz="0" w:space="0" w:color="auto"/>
        <w:bottom w:val="none" w:sz="0" w:space="0" w:color="auto"/>
        <w:right w:val="none" w:sz="0" w:space="0" w:color="auto"/>
      </w:divBdr>
    </w:div>
    <w:div w:id="1540556978">
      <w:marLeft w:val="0"/>
      <w:marRight w:val="0"/>
      <w:marTop w:val="0"/>
      <w:marBottom w:val="0"/>
      <w:divBdr>
        <w:top w:val="none" w:sz="0" w:space="0" w:color="auto"/>
        <w:left w:val="none" w:sz="0" w:space="0" w:color="auto"/>
        <w:bottom w:val="none" w:sz="0" w:space="0" w:color="auto"/>
        <w:right w:val="none" w:sz="0" w:space="0" w:color="auto"/>
      </w:divBdr>
    </w:div>
    <w:div w:id="1540627368">
      <w:marLeft w:val="0"/>
      <w:marRight w:val="0"/>
      <w:marTop w:val="180"/>
      <w:marBottom w:val="180"/>
      <w:divBdr>
        <w:top w:val="none" w:sz="0" w:space="0" w:color="auto"/>
        <w:left w:val="none" w:sz="0" w:space="0" w:color="auto"/>
        <w:bottom w:val="none" w:sz="0" w:space="0" w:color="auto"/>
        <w:right w:val="none" w:sz="0" w:space="0" w:color="auto"/>
      </w:divBdr>
    </w:div>
    <w:div w:id="1543135132">
      <w:marLeft w:val="0"/>
      <w:marRight w:val="0"/>
      <w:marTop w:val="180"/>
      <w:marBottom w:val="180"/>
      <w:divBdr>
        <w:top w:val="none" w:sz="0" w:space="0" w:color="auto"/>
        <w:left w:val="none" w:sz="0" w:space="0" w:color="auto"/>
        <w:bottom w:val="none" w:sz="0" w:space="0" w:color="auto"/>
        <w:right w:val="none" w:sz="0" w:space="0" w:color="auto"/>
      </w:divBdr>
    </w:div>
    <w:div w:id="1544519157">
      <w:marLeft w:val="0"/>
      <w:marRight w:val="0"/>
      <w:marTop w:val="60"/>
      <w:marBottom w:val="0"/>
      <w:divBdr>
        <w:top w:val="none" w:sz="0" w:space="0" w:color="auto"/>
        <w:left w:val="none" w:sz="0" w:space="0" w:color="auto"/>
        <w:bottom w:val="none" w:sz="0" w:space="0" w:color="auto"/>
        <w:right w:val="none" w:sz="0" w:space="0" w:color="auto"/>
      </w:divBdr>
    </w:div>
    <w:div w:id="1547453895">
      <w:marLeft w:val="0"/>
      <w:marRight w:val="0"/>
      <w:marTop w:val="0"/>
      <w:marBottom w:val="0"/>
      <w:divBdr>
        <w:top w:val="none" w:sz="0" w:space="0" w:color="auto"/>
        <w:left w:val="none" w:sz="0" w:space="0" w:color="auto"/>
        <w:bottom w:val="none" w:sz="0" w:space="0" w:color="auto"/>
        <w:right w:val="none" w:sz="0" w:space="0" w:color="auto"/>
      </w:divBdr>
      <w:divsChild>
        <w:div w:id="2059626489">
          <w:marLeft w:val="0"/>
          <w:marRight w:val="0"/>
          <w:marTop w:val="180"/>
          <w:marBottom w:val="180"/>
          <w:divBdr>
            <w:top w:val="none" w:sz="0" w:space="0" w:color="auto"/>
            <w:left w:val="none" w:sz="0" w:space="0" w:color="auto"/>
            <w:bottom w:val="none" w:sz="0" w:space="0" w:color="auto"/>
            <w:right w:val="none" w:sz="0" w:space="0" w:color="auto"/>
          </w:divBdr>
        </w:div>
      </w:divsChild>
    </w:div>
    <w:div w:id="1554543433">
      <w:marLeft w:val="0"/>
      <w:marRight w:val="0"/>
      <w:marTop w:val="60"/>
      <w:marBottom w:val="60"/>
      <w:divBdr>
        <w:top w:val="none" w:sz="0" w:space="0" w:color="auto"/>
        <w:left w:val="none" w:sz="0" w:space="0" w:color="auto"/>
        <w:bottom w:val="none" w:sz="0" w:space="0" w:color="auto"/>
        <w:right w:val="none" w:sz="0" w:space="0" w:color="auto"/>
      </w:divBdr>
    </w:div>
    <w:div w:id="1560824342">
      <w:marLeft w:val="0"/>
      <w:marRight w:val="0"/>
      <w:marTop w:val="60"/>
      <w:marBottom w:val="60"/>
      <w:divBdr>
        <w:top w:val="none" w:sz="0" w:space="0" w:color="auto"/>
        <w:left w:val="none" w:sz="0" w:space="0" w:color="auto"/>
        <w:bottom w:val="none" w:sz="0" w:space="0" w:color="auto"/>
        <w:right w:val="none" w:sz="0" w:space="0" w:color="auto"/>
      </w:divBdr>
    </w:div>
    <w:div w:id="1562986472">
      <w:marLeft w:val="0"/>
      <w:marRight w:val="0"/>
      <w:marTop w:val="0"/>
      <w:marBottom w:val="0"/>
      <w:divBdr>
        <w:top w:val="none" w:sz="0" w:space="0" w:color="auto"/>
        <w:left w:val="none" w:sz="0" w:space="0" w:color="auto"/>
        <w:bottom w:val="none" w:sz="0" w:space="0" w:color="auto"/>
        <w:right w:val="none" w:sz="0" w:space="0" w:color="auto"/>
      </w:divBdr>
      <w:divsChild>
        <w:div w:id="692850621">
          <w:marLeft w:val="0"/>
          <w:marRight w:val="0"/>
          <w:marTop w:val="180"/>
          <w:marBottom w:val="180"/>
          <w:divBdr>
            <w:top w:val="none" w:sz="0" w:space="0" w:color="auto"/>
            <w:left w:val="none" w:sz="0" w:space="0" w:color="auto"/>
            <w:bottom w:val="none" w:sz="0" w:space="0" w:color="auto"/>
            <w:right w:val="none" w:sz="0" w:space="0" w:color="auto"/>
          </w:divBdr>
        </w:div>
      </w:divsChild>
    </w:div>
    <w:div w:id="1563130194">
      <w:marLeft w:val="0"/>
      <w:marRight w:val="0"/>
      <w:marTop w:val="180"/>
      <w:marBottom w:val="180"/>
      <w:divBdr>
        <w:top w:val="none" w:sz="0" w:space="0" w:color="auto"/>
        <w:left w:val="none" w:sz="0" w:space="0" w:color="auto"/>
        <w:bottom w:val="none" w:sz="0" w:space="0" w:color="auto"/>
        <w:right w:val="none" w:sz="0" w:space="0" w:color="auto"/>
      </w:divBdr>
    </w:div>
    <w:div w:id="1571840812">
      <w:marLeft w:val="0"/>
      <w:marRight w:val="0"/>
      <w:marTop w:val="180"/>
      <w:marBottom w:val="180"/>
      <w:divBdr>
        <w:top w:val="none" w:sz="0" w:space="0" w:color="auto"/>
        <w:left w:val="none" w:sz="0" w:space="0" w:color="auto"/>
        <w:bottom w:val="none" w:sz="0" w:space="0" w:color="auto"/>
        <w:right w:val="none" w:sz="0" w:space="0" w:color="auto"/>
      </w:divBdr>
    </w:div>
    <w:div w:id="1576360081">
      <w:marLeft w:val="0"/>
      <w:marRight w:val="0"/>
      <w:marTop w:val="100"/>
      <w:marBottom w:val="100"/>
      <w:divBdr>
        <w:top w:val="none" w:sz="0" w:space="0" w:color="auto"/>
        <w:left w:val="none" w:sz="0" w:space="0" w:color="auto"/>
        <w:bottom w:val="none" w:sz="0" w:space="0" w:color="auto"/>
        <w:right w:val="none" w:sz="0" w:space="0" w:color="auto"/>
      </w:divBdr>
      <w:divsChild>
        <w:div w:id="456605667">
          <w:marLeft w:val="0"/>
          <w:marRight w:val="0"/>
          <w:marTop w:val="0"/>
          <w:marBottom w:val="0"/>
          <w:divBdr>
            <w:top w:val="none" w:sz="0" w:space="0" w:color="auto"/>
            <w:left w:val="none" w:sz="0" w:space="0" w:color="auto"/>
            <w:bottom w:val="none" w:sz="0" w:space="0" w:color="auto"/>
            <w:right w:val="none" w:sz="0" w:space="0" w:color="auto"/>
          </w:divBdr>
        </w:div>
      </w:divsChild>
    </w:div>
    <w:div w:id="1576624285">
      <w:marLeft w:val="0"/>
      <w:marRight w:val="0"/>
      <w:marTop w:val="0"/>
      <w:marBottom w:val="0"/>
      <w:divBdr>
        <w:top w:val="none" w:sz="0" w:space="0" w:color="auto"/>
        <w:left w:val="none" w:sz="0" w:space="0" w:color="auto"/>
        <w:bottom w:val="none" w:sz="0" w:space="0" w:color="auto"/>
        <w:right w:val="none" w:sz="0" w:space="0" w:color="auto"/>
      </w:divBdr>
      <w:divsChild>
        <w:div w:id="833566166">
          <w:marLeft w:val="0"/>
          <w:marRight w:val="0"/>
          <w:marTop w:val="0"/>
          <w:marBottom w:val="0"/>
          <w:divBdr>
            <w:top w:val="none" w:sz="0" w:space="0" w:color="auto"/>
            <w:left w:val="none" w:sz="0" w:space="0" w:color="auto"/>
            <w:bottom w:val="none" w:sz="0" w:space="0" w:color="auto"/>
            <w:right w:val="none" w:sz="0" w:space="0" w:color="auto"/>
          </w:divBdr>
          <w:divsChild>
            <w:div w:id="18173380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8129456">
      <w:marLeft w:val="0"/>
      <w:marRight w:val="0"/>
      <w:marTop w:val="180"/>
      <w:marBottom w:val="180"/>
      <w:divBdr>
        <w:top w:val="none" w:sz="0" w:space="0" w:color="auto"/>
        <w:left w:val="none" w:sz="0" w:space="0" w:color="auto"/>
        <w:bottom w:val="none" w:sz="0" w:space="0" w:color="auto"/>
        <w:right w:val="none" w:sz="0" w:space="0" w:color="auto"/>
      </w:divBdr>
    </w:div>
    <w:div w:id="1578520003">
      <w:marLeft w:val="0"/>
      <w:marRight w:val="0"/>
      <w:marTop w:val="180"/>
      <w:marBottom w:val="180"/>
      <w:divBdr>
        <w:top w:val="none" w:sz="0" w:space="0" w:color="auto"/>
        <w:left w:val="none" w:sz="0" w:space="0" w:color="auto"/>
        <w:bottom w:val="none" w:sz="0" w:space="0" w:color="auto"/>
        <w:right w:val="none" w:sz="0" w:space="0" w:color="auto"/>
      </w:divBdr>
    </w:div>
    <w:div w:id="1580167795">
      <w:marLeft w:val="0"/>
      <w:marRight w:val="0"/>
      <w:marTop w:val="60"/>
      <w:marBottom w:val="60"/>
      <w:divBdr>
        <w:top w:val="none" w:sz="0" w:space="0" w:color="auto"/>
        <w:left w:val="none" w:sz="0" w:space="0" w:color="auto"/>
        <w:bottom w:val="none" w:sz="0" w:space="0" w:color="auto"/>
        <w:right w:val="none" w:sz="0" w:space="0" w:color="auto"/>
      </w:divBdr>
    </w:div>
    <w:div w:id="1580820943">
      <w:marLeft w:val="0"/>
      <w:marRight w:val="0"/>
      <w:marTop w:val="60"/>
      <w:marBottom w:val="60"/>
      <w:divBdr>
        <w:top w:val="none" w:sz="0" w:space="0" w:color="auto"/>
        <w:left w:val="none" w:sz="0" w:space="0" w:color="auto"/>
        <w:bottom w:val="none" w:sz="0" w:space="0" w:color="auto"/>
        <w:right w:val="none" w:sz="0" w:space="0" w:color="auto"/>
      </w:divBdr>
      <w:divsChild>
        <w:div w:id="591863395">
          <w:marLeft w:val="0"/>
          <w:marRight w:val="0"/>
          <w:marTop w:val="0"/>
          <w:marBottom w:val="0"/>
          <w:divBdr>
            <w:top w:val="none" w:sz="0" w:space="0" w:color="auto"/>
            <w:left w:val="none" w:sz="0" w:space="0" w:color="auto"/>
            <w:bottom w:val="none" w:sz="0" w:space="0" w:color="auto"/>
            <w:right w:val="none" w:sz="0" w:space="0" w:color="auto"/>
          </w:divBdr>
        </w:div>
        <w:div w:id="1528905825">
          <w:marLeft w:val="0"/>
          <w:marRight w:val="0"/>
          <w:marTop w:val="0"/>
          <w:marBottom w:val="0"/>
          <w:divBdr>
            <w:top w:val="none" w:sz="0" w:space="0" w:color="auto"/>
            <w:left w:val="none" w:sz="0" w:space="0" w:color="auto"/>
            <w:bottom w:val="none" w:sz="0" w:space="0" w:color="auto"/>
            <w:right w:val="none" w:sz="0" w:space="0" w:color="auto"/>
          </w:divBdr>
        </w:div>
      </w:divsChild>
    </w:div>
    <w:div w:id="1582133172">
      <w:marLeft w:val="0"/>
      <w:marRight w:val="0"/>
      <w:marTop w:val="180"/>
      <w:marBottom w:val="180"/>
      <w:divBdr>
        <w:top w:val="none" w:sz="0" w:space="0" w:color="auto"/>
        <w:left w:val="none" w:sz="0" w:space="0" w:color="auto"/>
        <w:bottom w:val="none" w:sz="0" w:space="0" w:color="auto"/>
        <w:right w:val="none" w:sz="0" w:space="0" w:color="auto"/>
      </w:divBdr>
    </w:div>
    <w:div w:id="1583299985">
      <w:marLeft w:val="0"/>
      <w:marRight w:val="0"/>
      <w:marTop w:val="60"/>
      <w:marBottom w:val="60"/>
      <w:divBdr>
        <w:top w:val="none" w:sz="0" w:space="0" w:color="auto"/>
        <w:left w:val="none" w:sz="0" w:space="0" w:color="auto"/>
        <w:bottom w:val="none" w:sz="0" w:space="0" w:color="auto"/>
        <w:right w:val="none" w:sz="0" w:space="0" w:color="auto"/>
      </w:divBdr>
    </w:div>
    <w:div w:id="1584797346">
      <w:marLeft w:val="0"/>
      <w:marRight w:val="0"/>
      <w:marTop w:val="60"/>
      <w:marBottom w:val="60"/>
      <w:divBdr>
        <w:top w:val="none" w:sz="0" w:space="0" w:color="auto"/>
        <w:left w:val="none" w:sz="0" w:space="0" w:color="auto"/>
        <w:bottom w:val="none" w:sz="0" w:space="0" w:color="auto"/>
        <w:right w:val="none" w:sz="0" w:space="0" w:color="auto"/>
      </w:divBdr>
    </w:div>
    <w:div w:id="1587618113">
      <w:marLeft w:val="0"/>
      <w:marRight w:val="0"/>
      <w:marTop w:val="60"/>
      <w:marBottom w:val="60"/>
      <w:divBdr>
        <w:top w:val="none" w:sz="0" w:space="0" w:color="auto"/>
        <w:left w:val="none" w:sz="0" w:space="0" w:color="auto"/>
        <w:bottom w:val="none" w:sz="0" w:space="0" w:color="auto"/>
        <w:right w:val="none" w:sz="0" w:space="0" w:color="auto"/>
      </w:divBdr>
    </w:div>
    <w:div w:id="1587694042">
      <w:marLeft w:val="0"/>
      <w:marRight w:val="0"/>
      <w:marTop w:val="0"/>
      <w:marBottom w:val="0"/>
      <w:divBdr>
        <w:top w:val="none" w:sz="0" w:space="0" w:color="auto"/>
        <w:left w:val="none" w:sz="0" w:space="0" w:color="auto"/>
        <w:bottom w:val="none" w:sz="0" w:space="0" w:color="auto"/>
        <w:right w:val="none" w:sz="0" w:space="0" w:color="auto"/>
      </w:divBdr>
      <w:divsChild>
        <w:div w:id="228535735">
          <w:marLeft w:val="0"/>
          <w:marRight w:val="0"/>
          <w:marTop w:val="180"/>
          <w:marBottom w:val="180"/>
          <w:divBdr>
            <w:top w:val="none" w:sz="0" w:space="0" w:color="auto"/>
            <w:left w:val="none" w:sz="0" w:space="0" w:color="auto"/>
            <w:bottom w:val="none" w:sz="0" w:space="0" w:color="auto"/>
            <w:right w:val="none" w:sz="0" w:space="0" w:color="auto"/>
          </w:divBdr>
        </w:div>
      </w:divsChild>
    </w:div>
    <w:div w:id="1588226185">
      <w:marLeft w:val="0"/>
      <w:marRight w:val="0"/>
      <w:marTop w:val="180"/>
      <w:marBottom w:val="60"/>
      <w:divBdr>
        <w:top w:val="none" w:sz="0" w:space="0" w:color="auto"/>
        <w:left w:val="none" w:sz="0" w:space="0" w:color="auto"/>
        <w:bottom w:val="none" w:sz="0" w:space="0" w:color="auto"/>
        <w:right w:val="none" w:sz="0" w:space="0" w:color="auto"/>
      </w:divBdr>
    </w:div>
    <w:div w:id="1590653174">
      <w:marLeft w:val="0"/>
      <w:marRight w:val="0"/>
      <w:marTop w:val="0"/>
      <w:marBottom w:val="0"/>
      <w:divBdr>
        <w:top w:val="none" w:sz="0" w:space="0" w:color="auto"/>
        <w:left w:val="none" w:sz="0" w:space="0" w:color="auto"/>
        <w:bottom w:val="none" w:sz="0" w:space="0" w:color="auto"/>
        <w:right w:val="none" w:sz="0" w:space="0" w:color="auto"/>
      </w:divBdr>
      <w:divsChild>
        <w:div w:id="1245987934">
          <w:marLeft w:val="0"/>
          <w:marRight w:val="0"/>
          <w:marTop w:val="0"/>
          <w:marBottom w:val="0"/>
          <w:divBdr>
            <w:top w:val="none" w:sz="0" w:space="0" w:color="auto"/>
            <w:left w:val="none" w:sz="0" w:space="0" w:color="auto"/>
            <w:bottom w:val="none" w:sz="0" w:space="0" w:color="auto"/>
            <w:right w:val="none" w:sz="0" w:space="0" w:color="auto"/>
          </w:divBdr>
          <w:divsChild>
            <w:div w:id="16808867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0895229">
      <w:marLeft w:val="0"/>
      <w:marRight w:val="0"/>
      <w:marTop w:val="180"/>
      <w:marBottom w:val="180"/>
      <w:divBdr>
        <w:top w:val="none" w:sz="0" w:space="0" w:color="auto"/>
        <w:left w:val="none" w:sz="0" w:space="0" w:color="auto"/>
        <w:bottom w:val="none" w:sz="0" w:space="0" w:color="auto"/>
        <w:right w:val="none" w:sz="0" w:space="0" w:color="auto"/>
      </w:divBdr>
    </w:div>
    <w:div w:id="1591693276">
      <w:marLeft w:val="0"/>
      <w:marRight w:val="0"/>
      <w:marTop w:val="180"/>
      <w:marBottom w:val="180"/>
      <w:divBdr>
        <w:top w:val="none" w:sz="0" w:space="0" w:color="auto"/>
        <w:left w:val="none" w:sz="0" w:space="0" w:color="auto"/>
        <w:bottom w:val="none" w:sz="0" w:space="0" w:color="auto"/>
        <w:right w:val="none" w:sz="0" w:space="0" w:color="auto"/>
      </w:divBdr>
    </w:div>
    <w:div w:id="1592928352">
      <w:marLeft w:val="0"/>
      <w:marRight w:val="0"/>
      <w:marTop w:val="180"/>
      <w:marBottom w:val="180"/>
      <w:divBdr>
        <w:top w:val="none" w:sz="0" w:space="0" w:color="auto"/>
        <w:left w:val="none" w:sz="0" w:space="0" w:color="auto"/>
        <w:bottom w:val="none" w:sz="0" w:space="0" w:color="auto"/>
        <w:right w:val="none" w:sz="0" w:space="0" w:color="auto"/>
      </w:divBdr>
    </w:div>
    <w:div w:id="1593121159">
      <w:marLeft w:val="0"/>
      <w:marRight w:val="0"/>
      <w:marTop w:val="0"/>
      <w:marBottom w:val="0"/>
      <w:divBdr>
        <w:top w:val="none" w:sz="0" w:space="0" w:color="auto"/>
        <w:left w:val="none" w:sz="0" w:space="0" w:color="auto"/>
        <w:bottom w:val="none" w:sz="0" w:space="0" w:color="auto"/>
        <w:right w:val="none" w:sz="0" w:space="0" w:color="auto"/>
      </w:divBdr>
      <w:divsChild>
        <w:div w:id="804203118">
          <w:marLeft w:val="0"/>
          <w:marRight w:val="0"/>
          <w:marTop w:val="0"/>
          <w:marBottom w:val="0"/>
          <w:divBdr>
            <w:top w:val="none" w:sz="0" w:space="0" w:color="auto"/>
            <w:left w:val="none" w:sz="0" w:space="0" w:color="auto"/>
            <w:bottom w:val="none" w:sz="0" w:space="0" w:color="auto"/>
            <w:right w:val="none" w:sz="0" w:space="0" w:color="auto"/>
          </w:divBdr>
          <w:divsChild>
            <w:div w:id="11909941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3397092">
      <w:marLeft w:val="0"/>
      <w:marRight w:val="0"/>
      <w:marTop w:val="60"/>
      <w:marBottom w:val="60"/>
      <w:divBdr>
        <w:top w:val="none" w:sz="0" w:space="0" w:color="auto"/>
        <w:left w:val="none" w:sz="0" w:space="0" w:color="auto"/>
        <w:bottom w:val="none" w:sz="0" w:space="0" w:color="auto"/>
        <w:right w:val="none" w:sz="0" w:space="0" w:color="auto"/>
      </w:divBdr>
    </w:div>
    <w:div w:id="1595169998">
      <w:marLeft w:val="0"/>
      <w:marRight w:val="0"/>
      <w:marTop w:val="180"/>
      <w:marBottom w:val="180"/>
      <w:divBdr>
        <w:top w:val="none" w:sz="0" w:space="0" w:color="auto"/>
        <w:left w:val="none" w:sz="0" w:space="0" w:color="auto"/>
        <w:bottom w:val="none" w:sz="0" w:space="0" w:color="auto"/>
        <w:right w:val="none" w:sz="0" w:space="0" w:color="auto"/>
      </w:divBdr>
    </w:div>
    <w:div w:id="1598632561">
      <w:marLeft w:val="0"/>
      <w:marRight w:val="0"/>
      <w:marTop w:val="60"/>
      <w:marBottom w:val="60"/>
      <w:divBdr>
        <w:top w:val="none" w:sz="0" w:space="0" w:color="auto"/>
        <w:left w:val="none" w:sz="0" w:space="0" w:color="auto"/>
        <w:bottom w:val="none" w:sz="0" w:space="0" w:color="auto"/>
        <w:right w:val="none" w:sz="0" w:space="0" w:color="auto"/>
      </w:divBdr>
    </w:div>
    <w:div w:id="1598900421">
      <w:marLeft w:val="0"/>
      <w:marRight w:val="0"/>
      <w:marTop w:val="180"/>
      <w:marBottom w:val="0"/>
      <w:divBdr>
        <w:top w:val="none" w:sz="0" w:space="0" w:color="auto"/>
        <w:left w:val="none" w:sz="0" w:space="0" w:color="auto"/>
        <w:bottom w:val="none" w:sz="0" w:space="0" w:color="auto"/>
        <w:right w:val="none" w:sz="0" w:space="0" w:color="auto"/>
      </w:divBdr>
    </w:div>
    <w:div w:id="1600068547">
      <w:marLeft w:val="0"/>
      <w:marRight w:val="0"/>
      <w:marTop w:val="0"/>
      <w:marBottom w:val="0"/>
      <w:divBdr>
        <w:top w:val="none" w:sz="0" w:space="0" w:color="auto"/>
        <w:left w:val="none" w:sz="0" w:space="0" w:color="auto"/>
        <w:bottom w:val="none" w:sz="0" w:space="0" w:color="auto"/>
        <w:right w:val="none" w:sz="0" w:space="0" w:color="auto"/>
      </w:divBdr>
      <w:divsChild>
        <w:div w:id="312763114">
          <w:marLeft w:val="0"/>
          <w:marRight w:val="0"/>
          <w:marTop w:val="0"/>
          <w:marBottom w:val="0"/>
          <w:divBdr>
            <w:top w:val="none" w:sz="0" w:space="0" w:color="auto"/>
            <w:left w:val="none" w:sz="0" w:space="0" w:color="auto"/>
            <w:bottom w:val="none" w:sz="0" w:space="0" w:color="auto"/>
            <w:right w:val="none" w:sz="0" w:space="0" w:color="auto"/>
          </w:divBdr>
          <w:divsChild>
            <w:div w:id="15092518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2759490">
      <w:marLeft w:val="0"/>
      <w:marRight w:val="0"/>
      <w:marTop w:val="180"/>
      <w:marBottom w:val="180"/>
      <w:divBdr>
        <w:top w:val="none" w:sz="0" w:space="0" w:color="auto"/>
        <w:left w:val="none" w:sz="0" w:space="0" w:color="auto"/>
        <w:bottom w:val="none" w:sz="0" w:space="0" w:color="auto"/>
        <w:right w:val="none" w:sz="0" w:space="0" w:color="auto"/>
      </w:divBdr>
    </w:div>
    <w:div w:id="1606112152">
      <w:marLeft w:val="0"/>
      <w:marRight w:val="0"/>
      <w:marTop w:val="180"/>
      <w:marBottom w:val="180"/>
      <w:divBdr>
        <w:top w:val="none" w:sz="0" w:space="0" w:color="auto"/>
        <w:left w:val="none" w:sz="0" w:space="0" w:color="auto"/>
        <w:bottom w:val="none" w:sz="0" w:space="0" w:color="auto"/>
        <w:right w:val="none" w:sz="0" w:space="0" w:color="auto"/>
      </w:divBdr>
    </w:div>
    <w:div w:id="1609465411">
      <w:marLeft w:val="0"/>
      <w:marRight w:val="0"/>
      <w:marTop w:val="180"/>
      <w:marBottom w:val="180"/>
      <w:divBdr>
        <w:top w:val="none" w:sz="0" w:space="0" w:color="auto"/>
        <w:left w:val="none" w:sz="0" w:space="0" w:color="auto"/>
        <w:bottom w:val="none" w:sz="0" w:space="0" w:color="auto"/>
        <w:right w:val="none" w:sz="0" w:space="0" w:color="auto"/>
      </w:divBdr>
    </w:div>
    <w:div w:id="1611083468">
      <w:marLeft w:val="0"/>
      <w:marRight w:val="0"/>
      <w:marTop w:val="180"/>
      <w:marBottom w:val="180"/>
      <w:divBdr>
        <w:top w:val="none" w:sz="0" w:space="0" w:color="auto"/>
        <w:left w:val="none" w:sz="0" w:space="0" w:color="auto"/>
        <w:bottom w:val="none" w:sz="0" w:space="0" w:color="auto"/>
        <w:right w:val="none" w:sz="0" w:space="0" w:color="auto"/>
      </w:divBdr>
    </w:div>
    <w:div w:id="1611473154">
      <w:marLeft w:val="0"/>
      <w:marRight w:val="0"/>
      <w:marTop w:val="180"/>
      <w:marBottom w:val="60"/>
      <w:divBdr>
        <w:top w:val="none" w:sz="0" w:space="0" w:color="auto"/>
        <w:left w:val="none" w:sz="0" w:space="0" w:color="auto"/>
        <w:bottom w:val="none" w:sz="0" w:space="0" w:color="auto"/>
        <w:right w:val="none" w:sz="0" w:space="0" w:color="auto"/>
      </w:divBdr>
    </w:div>
    <w:div w:id="1612085056">
      <w:marLeft w:val="0"/>
      <w:marRight w:val="0"/>
      <w:marTop w:val="180"/>
      <w:marBottom w:val="180"/>
      <w:divBdr>
        <w:top w:val="none" w:sz="0" w:space="0" w:color="auto"/>
        <w:left w:val="none" w:sz="0" w:space="0" w:color="auto"/>
        <w:bottom w:val="none" w:sz="0" w:space="0" w:color="auto"/>
        <w:right w:val="none" w:sz="0" w:space="0" w:color="auto"/>
      </w:divBdr>
    </w:div>
    <w:div w:id="1613708067">
      <w:marLeft w:val="0"/>
      <w:marRight w:val="0"/>
      <w:marTop w:val="0"/>
      <w:marBottom w:val="0"/>
      <w:divBdr>
        <w:top w:val="none" w:sz="0" w:space="0" w:color="auto"/>
        <w:left w:val="none" w:sz="0" w:space="0" w:color="auto"/>
        <w:bottom w:val="none" w:sz="0" w:space="0" w:color="auto"/>
        <w:right w:val="none" w:sz="0" w:space="0" w:color="auto"/>
      </w:divBdr>
    </w:div>
    <w:div w:id="1615673351">
      <w:marLeft w:val="0"/>
      <w:marRight w:val="0"/>
      <w:marTop w:val="0"/>
      <w:marBottom w:val="0"/>
      <w:divBdr>
        <w:top w:val="none" w:sz="0" w:space="0" w:color="auto"/>
        <w:left w:val="none" w:sz="0" w:space="0" w:color="auto"/>
        <w:bottom w:val="none" w:sz="0" w:space="0" w:color="auto"/>
        <w:right w:val="none" w:sz="0" w:space="0" w:color="auto"/>
      </w:divBdr>
    </w:div>
    <w:div w:id="1617328248">
      <w:marLeft w:val="0"/>
      <w:marRight w:val="0"/>
      <w:marTop w:val="180"/>
      <w:marBottom w:val="180"/>
      <w:divBdr>
        <w:top w:val="none" w:sz="0" w:space="0" w:color="auto"/>
        <w:left w:val="none" w:sz="0" w:space="0" w:color="auto"/>
        <w:bottom w:val="none" w:sz="0" w:space="0" w:color="auto"/>
        <w:right w:val="none" w:sz="0" w:space="0" w:color="auto"/>
      </w:divBdr>
    </w:div>
    <w:div w:id="1623074560">
      <w:marLeft w:val="0"/>
      <w:marRight w:val="0"/>
      <w:marTop w:val="180"/>
      <w:marBottom w:val="180"/>
      <w:divBdr>
        <w:top w:val="none" w:sz="0" w:space="0" w:color="auto"/>
        <w:left w:val="none" w:sz="0" w:space="0" w:color="auto"/>
        <w:bottom w:val="none" w:sz="0" w:space="0" w:color="auto"/>
        <w:right w:val="none" w:sz="0" w:space="0" w:color="auto"/>
      </w:divBdr>
    </w:div>
    <w:div w:id="1624456219">
      <w:marLeft w:val="0"/>
      <w:marRight w:val="0"/>
      <w:marTop w:val="0"/>
      <w:marBottom w:val="0"/>
      <w:divBdr>
        <w:top w:val="none" w:sz="0" w:space="0" w:color="auto"/>
        <w:left w:val="none" w:sz="0" w:space="0" w:color="auto"/>
        <w:bottom w:val="none" w:sz="0" w:space="0" w:color="auto"/>
        <w:right w:val="none" w:sz="0" w:space="0" w:color="auto"/>
      </w:divBdr>
      <w:divsChild>
        <w:div w:id="637878976">
          <w:marLeft w:val="0"/>
          <w:marRight w:val="0"/>
          <w:marTop w:val="180"/>
          <w:marBottom w:val="180"/>
          <w:divBdr>
            <w:top w:val="none" w:sz="0" w:space="0" w:color="auto"/>
            <w:left w:val="none" w:sz="0" w:space="0" w:color="auto"/>
            <w:bottom w:val="none" w:sz="0" w:space="0" w:color="auto"/>
            <w:right w:val="none" w:sz="0" w:space="0" w:color="auto"/>
          </w:divBdr>
        </w:div>
      </w:divsChild>
    </w:div>
    <w:div w:id="1624581623">
      <w:marLeft w:val="0"/>
      <w:marRight w:val="0"/>
      <w:marTop w:val="180"/>
      <w:marBottom w:val="180"/>
      <w:divBdr>
        <w:top w:val="none" w:sz="0" w:space="0" w:color="auto"/>
        <w:left w:val="none" w:sz="0" w:space="0" w:color="auto"/>
        <w:bottom w:val="none" w:sz="0" w:space="0" w:color="auto"/>
        <w:right w:val="none" w:sz="0" w:space="0" w:color="auto"/>
      </w:divBdr>
    </w:div>
    <w:div w:id="1624917606">
      <w:marLeft w:val="0"/>
      <w:marRight w:val="0"/>
      <w:marTop w:val="60"/>
      <w:marBottom w:val="60"/>
      <w:divBdr>
        <w:top w:val="none" w:sz="0" w:space="0" w:color="auto"/>
        <w:left w:val="none" w:sz="0" w:space="0" w:color="auto"/>
        <w:bottom w:val="none" w:sz="0" w:space="0" w:color="auto"/>
        <w:right w:val="none" w:sz="0" w:space="0" w:color="auto"/>
      </w:divBdr>
    </w:div>
    <w:div w:id="1625455671">
      <w:marLeft w:val="0"/>
      <w:marRight w:val="0"/>
      <w:marTop w:val="100"/>
      <w:marBottom w:val="280"/>
      <w:divBdr>
        <w:top w:val="none" w:sz="0" w:space="0" w:color="auto"/>
        <w:left w:val="none" w:sz="0" w:space="0" w:color="auto"/>
        <w:bottom w:val="none" w:sz="0" w:space="0" w:color="auto"/>
        <w:right w:val="none" w:sz="0" w:space="0" w:color="auto"/>
      </w:divBdr>
    </w:div>
    <w:div w:id="1627544234">
      <w:marLeft w:val="0"/>
      <w:marRight w:val="0"/>
      <w:marTop w:val="180"/>
      <w:marBottom w:val="180"/>
      <w:divBdr>
        <w:top w:val="none" w:sz="0" w:space="0" w:color="auto"/>
        <w:left w:val="none" w:sz="0" w:space="0" w:color="auto"/>
        <w:bottom w:val="none" w:sz="0" w:space="0" w:color="auto"/>
        <w:right w:val="none" w:sz="0" w:space="0" w:color="auto"/>
      </w:divBdr>
    </w:div>
    <w:div w:id="1628852394">
      <w:marLeft w:val="0"/>
      <w:marRight w:val="0"/>
      <w:marTop w:val="180"/>
      <w:marBottom w:val="180"/>
      <w:divBdr>
        <w:top w:val="none" w:sz="0" w:space="0" w:color="auto"/>
        <w:left w:val="none" w:sz="0" w:space="0" w:color="auto"/>
        <w:bottom w:val="none" w:sz="0" w:space="0" w:color="auto"/>
        <w:right w:val="none" w:sz="0" w:space="0" w:color="auto"/>
      </w:divBdr>
    </w:div>
    <w:div w:id="1631010680">
      <w:marLeft w:val="0"/>
      <w:marRight w:val="0"/>
      <w:marTop w:val="0"/>
      <w:marBottom w:val="0"/>
      <w:divBdr>
        <w:top w:val="none" w:sz="0" w:space="0" w:color="auto"/>
        <w:left w:val="none" w:sz="0" w:space="0" w:color="auto"/>
        <w:bottom w:val="none" w:sz="0" w:space="0" w:color="auto"/>
        <w:right w:val="none" w:sz="0" w:space="0" w:color="auto"/>
      </w:divBdr>
      <w:divsChild>
        <w:div w:id="746807178">
          <w:marLeft w:val="0"/>
          <w:marRight w:val="0"/>
          <w:marTop w:val="0"/>
          <w:marBottom w:val="180"/>
          <w:divBdr>
            <w:top w:val="none" w:sz="0" w:space="0" w:color="auto"/>
            <w:left w:val="none" w:sz="0" w:space="0" w:color="auto"/>
            <w:bottom w:val="none" w:sz="0" w:space="0" w:color="auto"/>
            <w:right w:val="none" w:sz="0" w:space="0" w:color="auto"/>
          </w:divBdr>
        </w:div>
      </w:divsChild>
    </w:div>
    <w:div w:id="1631351621">
      <w:marLeft w:val="0"/>
      <w:marRight w:val="0"/>
      <w:marTop w:val="180"/>
      <w:marBottom w:val="180"/>
      <w:divBdr>
        <w:top w:val="none" w:sz="0" w:space="0" w:color="auto"/>
        <w:left w:val="none" w:sz="0" w:space="0" w:color="auto"/>
        <w:bottom w:val="none" w:sz="0" w:space="0" w:color="auto"/>
        <w:right w:val="none" w:sz="0" w:space="0" w:color="auto"/>
      </w:divBdr>
    </w:div>
    <w:div w:id="1632134566">
      <w:marLeft w:val="0"/>
      <w:marRight w:val="0"/>
      <w:marTop w:val="180"/>
      <w:marBottom w:val="180"/>
      <w:divBdr>
        <w:top w:val="none" w:sz="0" w:space="0" w:color="auto"/>
        <w:left w:val="none" w:sz="0" w:space="0" w:color="auto"/>
        <w:bottom w:val="none" w:sz="0" w:space="0" w:color="auto"/>
        <w:right w:val="none" w:sz="0" w:space="0" w:color="auto"/>
      </w:divBdr>
    </w:div>
    <w:div w:id="1637905034">
      <w:marLeft w:val="0"/>
      <w:marRight w:val="0"/>
      <w:marTop w:val="0"/>
      <w:marBottom w:val="0"/>
      <w:divBdr>
        <w:top w:val="none" w:sz="0" w:space="0" w:color="auto"/>
        <w:left w:val="none" w:sz="0" w:space="0" w:color="auto"/>
        <w:bottom w:val="none" w:sz="0" w:space="0" w:color="auto"/>
        <w:right w:val="none" w:sz="0" w:space="0" w:color="auto"/>
      </w:divBdr>
      <w:divsChild>
        <w:div w:id="314577053">
          <w:marLeft w:val="0"/>
          <w:marRight w:val="0"/>
          <w:marTop w:val="0"/>
          <w:marBottom w:val="0"/>
          <w:divBdr>
            <w:top w:val="none" w:sz="0" w:space="0" w:color="auto"/>
            <w:left w:val="none" w:sz="0" w:space="0" w:color="auto"/>
            <w:bottom w:val="none" w:sz="0" w:space="0" w:color="auto"/>
            <w:right w:val="none" w:sz="0" w:space="0" w:color="auto"/>
          </w:divBdr>
          <w:divsChild>
            <w:div w:id="19449932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0528362">
      <w:marLeft w:val="0"/>
      <w:marRight w:val="0"/>
      <w:marTop w:val="60"/>
      <w:marBottom w:val="60"/>
      <w:divBdr>
        <w:top w:val="none" w:sz="0" w:space="0" w:color="auto"/>
        <w:left w:val="none" w:sz="0" w:space="0" w:color="auto"/>
        <w:bottom w:val="none" w:sz="0" w:space="0" w:color="auto"/>
        <w:right w:val="none" w:sz="0" w:space="0" w:color="auto"/>
      </w:divBdr>
    </w:div>
    <w:div w:id="1640845025">
      <w:marLeft w:val="0"/>
      <w:marRight w:val="0"/>
      <w:marTop w:val="180"/>
      <w:marBottom w:val="180"/>
      <w:divBdr>
        <w:top w:val="none" w:sz="0" w:space="0" w:color="auto"/>
        <w:left w:val="none" w:sz="0" w:space="0" w:color="auto"/>
        <w:bottom w:val="none" w:sz="0" w:space="0" w:color="auto"/>
        <w:right w:val="none" w:sz="0" w:space="0" w:color="auto"/>
      </w:divBdr>
    </w:div>
    <w:div w:id="1642150017">
      <w:marLeft w:val="0"/>
      <w:marRight w:val="0"/>
      <w:marTop w:val="160"/>
      <w:marBottom w:val="160"/>
      <w:divBdr>
        <w:top w:val="none" w:sz="0" w:space="0" w:color="auto"/>
        <w:left w:val="none" w:sz="0" w:space="0" w:color="auto"/>
        <w:bottom w:val="none" w:sz="0" w:space="0" w:color="auto"/>
        <w:right w:val="none" w:sz="0" w:space="0" w:color="auto"/>
      </w:divBdr>
    </w:div>
    <w:div w:id="1644039080">
      <w:marLeft w:val="0"/>
      <w:marRight w:val="0"/>
      <w:marTop w:val="0"/>
      <w:marBottom w:val="0"/>
      <w:divBdr>
        <w:top w:val="none" w:sz="0" w:space="0" w:color="auto"/>
        <w:left w:val="none" w:sz="0" w:space="0" w:color="auto"/>
        <w:bottom w:val="none" w:sz="0" w:space="0" w:color="auto"/>
        <w:right w:val="none" w:sz="0" w:space="0" w:color="auto"/>
      </w:divBdr>
    </w:div>
    <w:div w:id="1648045866">
      <w:marLeft w:val="0"/>
      <w:marRight w:val="0"/>
      <w:marTop w:val="180"/>
      <w:marBottom w:val="180"/>
      <w:divBdr>
        <w:top w:val="none" w:sz="0" w:space="0" w:color="auto"/>
        <w:left w:val="none" w:sz="0" w:space="0" w:color="auto"/>
        <w:bottom w:val="none" w:sz="0" w:space="0" w:color="auto"/>
        <w:right w:val="none" w:sz="0" w:space="0" w:color="auto"/>
      </w:divBdr>
    </w:div>
    <w:div w:id="1648976463">
      <w:marLeft w:val="0"/>
      <w:marRight w:val="0"/>
      <w:marTop w:val="60"/>
      <w:marBottom w:val="60"/>
      <w:divBdr>
        <w:top w:val="none" w:sz="0" w:space="0" w:color="auto"/>
        <w:left w:val="none" w:sz="0" w:space="0" w:color="auto"/>
        <w:bottom w:val="none" w:sz="0" w:space="0" w:color="auto"/>
        <w:right w:val="none" w:sz="0" w:space="0" w:color="auto"/>
      </w:divBdr>
    </w:div>
    <w:div w:id="1650210466">
      <w:marLeft w:val="0"/>
      <w:marRight w:val="0"/>
      <w:marTop w:val="180"/>
      <w:marBottom w:val="180"/>
      <w:divBdr>
        <w:top w:val="none" w:sz="0" w:space="0" w:color="auto"/>
        <w:left w:val="none" w:sz="0" w:space="0" w:color="auto"/>
        <w:bottom w:val="none" w:sz="0" w:space="0" w:color="auto"/>
        <w:right w:val="none" w:sz="0" w:space="0" w:color="auto"/>
      </w:divBdr>
    </w:div>
    <w:div w:id="1651136618">
      <w:marLeft w:val="0"/>
      <w:marRight w:val="0"/>
      <w:marTop w:val="60"/>
      <w:marBottom w:val="60"/>
      <w:divBdr>
        <w:top w:val="none" w:sz="0" w:space="0" w:color="auto"/>
        <w:left w:val="none" w:sz="0" w:space="0" w:color="auto"/>
        <w:bottom w:val="none" w:sz="0" w:space="0" w:color="auto"/>
        <w:right w:val="none" w:sz="0" w:space="0" w:color="auto"/>
      </w:divBdr>
    </w:div>
    <w:div w:id="1651398887">
      <w:marLeft w:val="0"/>
      <w:marRight w:val="0"/>
      <w:marTop w:val="100"/>
      <w:marBottom w:val="100"/>
      <w:divBdr>
        <w:top w:val="none" w:sz="0" w:space="0" w:color="auto"/>
        <w:left w:val="none" w:sz="0" w:space="0" w:color="auto"/>
        <w:bottom w:val="none" w:sz="0" w:space="0" w:color="auto"/>
        <w:right w:val="none" w:sz="0" w:space="0" w:color="auto"/>
      </w:divBdr>
    </w:div>
    <w:div w:id="1651523897">
      <w:marLeft w:val="0"/>
      <w:marRight w:val="0"/>
      <w:marTop w:val="180"/>
      <w:marBottom w:val="180"/>
      <w:divBdr>
        <w:top w:val="none" w:sz="0" w:space="0" w:color="auto"/>
        <w:left w:val="none" w:sz="0" w:space="0" w:color="auto"/>
        <w:bottom w:val="none" w:sz="0" w:space="0" w:color="auto"/>
        <w:right w:val="none" w:sz="0" w:space="0" w:color="auto"/>
      </w:divBdr>
    </w:div>
    <w:div w:id="1651978322">
      <w:marLeft w:val="0"/>
      <w:marRight w:val="0"/>
      <w:marTop w:val="0"/>
      <w:marBottom w:val="0"/>
      <w:divBdr>
        <w:top w:val="none" w:sz="0" w:space="0" w:color="auto"/>
        <w:left w:val="none" w:sz="0" w:space="0" w:color="auto"/>
        <w:bottom w:val="none" w:sz="0" w:space="0" w:color="auto"/>
        <w:right w:val="none" w:sz="0" w:space="0" w:color="auto"/>
      </w:divBdr>
      <w:divsChild>
        <w:div w:id="1566334825">
          <w:marLeft w:val="0"/>
          <w:marRight w:val="0"/>
          <w:marTop w:val="180"/>
          <w:marBottom w:val="180"/>
          <w:divBdr>
            <w:top w:val="none" w:sz="0" w:space="0" w:color="auto"/>
            <w:left w:val="none" w:sz="0" w:space="0" w:color="auto"/>
            <w:bottom w:val="none" w:sz="0" w:space="0" w:color="auto"/>
            <w:right w:val="none" w:sz="0" w:space="0" w:color="auto"/>
          </w:divBdr>
        </w:div>
      </w:divsChild>
    </w:div>
    <w:div w:id="1652170145">
      <w:marLeft w:val="0"/>
      <w:marRight w:val="0"/>
      <w:marTop w:val="60"/>
      <w:marBottom w:val="60"/>
      <w:divBdr>
        <w:top w:val="none" w:sz="0" w:space="0" w:color="auto"/>
        <w:left w:val="none" w:sz="0" w:space="0" w:color="auto"/>
        <w:bottom w:val="none" w:sz="0" w:space="0" w:color="auto"/>
        <w:right w:val="none" w:sz="0" w:space="0" w:color="auto"/>
      </w:divBdr>
    </w:div>
    <w:div w:id="1653411001">
      <w:marLeft w:val="0"/>
      <w:marRight w:val="0"/>
      <w:marTop w:val="0"/>
      <w:marBottom w:val="0"/>
      <w:divBdr>
        <w:top w:val="none" w:sz="0" w:space="0" w:color="auto"/>
        <w:left w:val="none" w:sz="0" w:space="0" w:color="auto"/>
        <w:bottom w:val="none" w:sz="0" w:space="0" w:color="auto"/>
        <w:right w:val="none" w:sz="0" w:space="0" w:color="auto"/>
      </w:divBdr>
      <w:divsChild>
        <w:div w:id="659310393">
          <w:marLeft w:val="0"/>
          <w:marRight w:val="0"/>
          <w:marTop w:val="0"/>
          <w:marBottom w:val="0"/>
          <w:divBdr>
            <w:top w:val="none" w:sz="0" w:space="0" w:color="auto"/>
            <w:left w:val="none" w:sz="0" w:space="0" w:color="auto"/>
            <w:bottom w:val="none" w:sz="0" w:space="0" w:color="auto"/>
            <w:right w:val="none" w:sz="0" w:space="0" w:color="auto"/>
          </w:divBdr>
          <w:divsChild>
            <w:div w:id="18635446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3483202">
      <w:marLeft w:val="0"/>
      <w:marRight w:val="0"/>
      <w:marTop w:val="180"/>
      <w:marBottom w:val="180"/>
      <w:divBdr>
        <w:top w:val="none" w:sz="0" w:space="0" w:color="auto"/>
        <w:left w:val="none" w:sz="0" w:space="0" w:color="auto"/>
        <w:bottom w:val="none" w:sz="0" w:space="0" w:color="auto"/>
        <w:right w:val="none" w:sz="0" w:space="0" w:color="auto"/>
      </w:divBdr>
    </w:div>
    <w:div w:id="1654022001">
      <w:marLeft w:val="0"/>
      <w:marRight w:val="0"/>
      <w:marTop w:val="180"/>
      <w:marBottom w:val="60"/>
      <w:divBdr>
        <w:top w:val="none" w:sz="0" w:space="0" w:color="auto"/>
        <w:left w:val="none" w:sz="0" w:space="0" w:color="auto"/>
        <w:bottom w:val="none" w:sz="0" w:space="0" w:color="auto"/>
        <w:right w:val="none" w:sz="0" w:space="0" w:color="auto"/>
      </w:divBdr>
    </w:div>
    <w:div w:id="1654291465">
      <w:marLeft w:val="0"/>
      <w:marRight w:val="0"/>
      <w:marTop w:val="180"/>
      <w:marBottom w:val="180"/>
      <w:divBdr>
        <w:top w:val="none" w:sz="0" w:space="0" w:color="auto"/>
        <w:left w:val="none" w:sz="0" w:space="0" w:color="auto"/>
        <w:bottom w:val="none" w:sz="0" w:space="0" w:color="auto"/>
        <w:right w:val="none" w:sz="0" w:space="0" w:color="auto"/>
      </w:divBdr>
    </w:div>
    <w:div w:id="1654338290">
      <w:marLeft w:val="0"/>
      <w:marRight w:val="0"/>
      <w:marTop w:val="0"/>
      <w:marBottom w:val="0"/>
      <w:divBdr>
        <w:top w:val="none" w:sz="0" w:space="0" w:color="auto"/>
        <w:left w:val="none" w:sz="0" w:space="0" w:color="auto"/>
        <w:bottom w:val="none" w:sz="0" w:space="0" w:color="auto"/>
        <w:right w:val="none" w:sz="0" w:space="0" w:color="auto"/>
      </w:divBdr>
      <w:divsChild>
        <w:div w:id="1493835394">
          <w:marLeft w:val="0"/>
          <w:marRight w:val="0"/>
          <w:marTop w:val="180"/>
          <w:marBottom w:val="180"/>
          <w:divBdr>
            <w:top w:val="none" w:sz="0" w:space="0" w:color="auto"/>
            <w:left w:val="none" w:sz="0" w:space="0" w:color="auto"/>
            <w:bottom w:val="none" w:sz="0" w:space="0" w:color="auto"/>
            <w:right w:val="none" w:sz="0" w:space="0" w:color="auto"/>
          </w:divBdr>
        </w:div>
      </w:divsChild>
    </w:div>
    <w:div w:id="1656911752">
      <w:marLeft w:val="0"/>
      <w:marRight w:val="0"/>
      <w:marTop w:val="180"/>
      <w:marBottom w:val="180"/>
      <w:divBdr>
        <w:top w:val="none" w:sz="0" w:space="0" w:color="auto"/>
        <w:left w:val="none" w:sz="0" w:space="0" w:color="auto"/>
        <w:bottom w:val="none" w:sz="0" w:space="0" w:color="auto"/>
        <w:right w:val="none" w:sz="0" w:space="0" w:color="auto"/>
      </w:divBdr>
    </w:div>
    <w:div w:id="1656952481">
      <w:marLeft w:val="0"/>
      <w:marRight w:val="0"/>
      <w:marTop w:val="180"/>
      <w:marBottom w:val="180"/>
      <w:divBdr>
        <w:top w:val="none" w:sz="0" w:space="0" w:color="auto"/>
        <w:left w:val="none" w:sz="0" w:space="0" w:color="auto"/>
        <w:bottom w:val="none" w:sz="0" w:space="0" w:color="auto"/>
        <w:right w:val="none" w:sz="0" w:space="0" w:color="auto"/>
      </w:divBdr>
    </w:div>
    <w:div w:id="1657107407">
      <w:marLeft w:val="0"/>
      <w:marRight w:val="0"/>
      <w:marTop w:val="180"/>
      <w:marBottom w:val="180"/>
      <w:divBdr>
        <w:top w:val="none" w:sz="0" w:space="0" w:color="auto"/>
        <w:left w:val="none" w:sz="0" w:space="0" w:color="auto"/>
        <w:bottom w:val="none" w:sz="0" w:space="0" w:color="auto"/>
        <w:right w:val="none" w:sz="0" w:space="0" w:color="auto"/>
      </w:divBdr>
    </w:div>
    <w:div w:id="1659773417">
      <w:marLeft w:val="0"/>
      <w:marRight w:val="0"/>
      <w:marTop w:val="180"/>
      <w:marBottom w:val="180"/>
      <w:divBdr>
        <w:top w:val="none" w:sz="0" w:space="0" w:color="auto"/>
        <w:left w:val="none" w:sz="0" w:space="0" w:color="auto"/>
        <w:bottom w:val="none" w:sz="0" w:space="0" w:color="auto"/>
        <w:right w:val="none" w:sz="0" w:space="0" w:color="auto"/>
      </w:divBdr>
    </w:div>
    <w:div w:id="1660160435">
      <w:marLeft w:val="0"/>
      <w:marRight w:val="0"/>
      <w:marTop w:val="60"/>
      <w:marBottom w:val="60"/>
      <w:divBdr>
        <w:top w:val="none" w:sz="0" w:space="0" w:color="auto"/>
        <w:left w:val="none" w:sz="0" w:space="0" w:color="auto"/>
        <w:bottom w:val="none" w:sz="0" w:space="0" w:color="auto"/>
        <w:right w:val="none" w:sz="0" w:space="0" w:color="auto"/>
      </w:divBdr>
    </w:div>
    <w:div w:id="1661107698">
      <w:marLeft w:val="0"/>
      <w:marRight w:val="0"/>
      <w:marTop w:val="180"/>
      <w:marBottom w:val="180"/>
      <w:divBdr>
        <w:top w:val="none" w:sz="0" w:space="0" w:color="auto"/>
        <w:left w:val="none" w:sz="0" w:space="0" w:color="auto"/>
        <w:bottom w:val="none" w:sz="0" w:space="0" w:color="auto"/>
        <w:right w:val="none" w:sz="0" w:space="0" w:color="auto"/>
      </w:divBdr>
    </w:div>
    <w:div w:id="1661500156">
      <w:marLeft w:val="0"/>
      <w:marRight w:val="0"/>
      <w:marTop w:val="180"/>
      <w:marBottom w:val="180"/>
      <w:divBdr>
        <w:top w:val="none" w:sz="0" w:space="0" w:color="auto"/>
        <w:left w:val="none" w:sz="0" w:space="0" w:color="auto"/>
        <w:bottom w:val="none" w:sz="0" w:space="0" w:color="auto"/>
        <w:right w:val="none" w:sz="0" w:space="0" w:color="auto"/>
      </w:divBdr>
    </w:div>
    <w:div w:id="1661543213">
      <w:marLeft w:val="0"/>
      <w:marRight w:val="0"/>
      <w:marTop w:val="180"/>
      <w:marBottom w:val="180"/>
      <w:divBdr>
        <w:top w:val="none" w:sz="0" w:space="0" w:color="auto"/>
        <w:left w:val="none" w:sz="0" w:space="0" w:color="auto"/>
        <w:bottom w:val="none" w:sz="0" w:space="0" w:color="auto"/>
        <w:right w:val="none" w:sz="0" w:space="0" w:color="auto"/>
      </w:divBdr>
    </w:div>
    <w:div w:id="1662155597">
      <w:marLeft w:val="0"/>
      <w:marRight w:val="0"/>
      <w:marTop w:val="180"/>
      <w:marBottom w:val="180"/>
      <w:divBdr>
        <w:top w:val="none" w:sz="0" w:space="0" w:color="auto"/>
        <w:left w:val="none" w:sz="0" w:space="0" w:color="auto"/>
        <w:bottom w:val="none" w:sz="0" w:space="0" w:color="auto"/>
        <w:right w:val="none" w:sz="0" w:space="0" w:color="auto"/>
      </w:divBdr>
    </w:div>
    <w:div w:id="1663117601">
      <w:marLeft w:val="0"/>
      <w:marRight w:val="0"/>
      <w:marTop w:val="0"/>
      <w:marBottom w:val="0"/>
      <w:divBdr>
        <w:top w:val="none" w:sz="0" w:space="0" w:color="auto"/>
        <w:left w:val="none" w:sz="0" w:space="0" w:color="auto"/>
        <w:bottom w:val="none" w:sz="0" w:space="0" w:color="auto"/>
        <w:right w:val="none" w:sz="0" w:space="0" w:color="auto"/>
      </w:divBdr>
      <w:divsChild>
        <w:div w:id="295912652">
          <w:marLeft w:val="0"/>
          <w:marRight w:val="0"/>
          <w:marTop w:val="0"/>
          <w:marBottom w:val="0"/>
          <w:divBdr>
            <w:top w:val="none" w:sz="0" w:space="0" w:color="auto"/>
            <w:left w:val="none" w:sz="0" w:space="0" w:color="auto"/>
            <w:bottom w:val="none" w:sz="0" w:space="0" w:color="auto"/>
            <w:right w:val="none" w:sz="0" w:space="0" w:color="auto"/>
          </w:divBdr>
          <w:divsChild>
            <w:div w:id="16172469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3659876">
      <w:marLeft w:val="0"/>
      <w:marRight w:val="0"/>
      <w:marTop w:val="180"/>
      <w:marBottom w:val="180"/>
      <w:divBdr>
        <w:top w:val="none" w:sz="0" w:space="0" w:color="auto"/>
        <w:left w:val="none" w:sz="0" w:space="0" w:color="auto"/>
        <w:bottom w:val="none" w:sz="0" w:space="0" w:color="auto"/>
        <w:right w:val="none" w:sz="0" w:space="0" w:color="auto"/>
      </w:divBdr>
    </w:div>
    <w:div w:id="1665668207">
      <w:marLeft w:val="0"/>
      <w:marRight w:val="0"/>
      <w:marTop w:val="180"/>
      <w:marBottom w:val="180"/>
      <w:divBdr>
        <w:top w:val="none" w:sz="0" w:space="0" w:color="auto"/>
        <w:left w:val="none" w:sz="0" w:space="0" w:color="auto"/>
        <w:bottom w:val="none" w:sz="0" w:space="0" w:color="auto"/>
        <w:right w:val="none" w:sz="0" w:space="0" w:color="auto"/>
      </w:divBdr>
    </w:div>
    <w:div w:id="1666974270">
      <w:marLeft w:val="0"/>
      <w:marRight w:val="0"/>
      <w:marTop w:val="180"/>
      <w:marBottom w:val="180"/>
      <w:divBdr>
        <w:top w:val="none" w:sz="0" w:space="0" w:color="auto"/>
        <w:left w:val="none" w:sz="0" w:space="0" w:color="auto"/>
        <w:bottom w:val="none" w:sz="0" w:space="0" w:color="auto"/>
        <w:right w:val="none" w:sz="0" w:space="0" w:color="auto"/>
      </w:divBdr>
    </w:div>
    <w:div w:id="1667855774">
      <w:marLeft w:val="0"/>
      <w:marRight w:val="0"/>
      <w:marTop w:val="180"/>
      <w:marBottom w:val="180"/>
      <w:divBdr>
        <w:top w:val="none" w:sz="0" w:space="0" w:color="auto"/>
        <w:left w:val="none" w:sz="0" w:space="0" w:color="auto"/>
        <w:bottom w:val="none" w:sz="0" w:space="0" w:color="auto"/>
        <w:right w:val="none" w:sz="0" w:space="0" w:color="auto"/>
      </w:divBdr>
    </w:div>
    <w:div w:id="1668822950">
      <w:marLeft w:val="0"/>
      <w:marRight w:val="0"/>
      <w:marTop w:val="180"/>
      <w:marBottom w:val="180"/>
      <w:divBdr>
        <w:top w:val="none" w:sz="0" w:space="0" w:color="auto"/>
        <w:left w:val="none" w:sz="0" w:space="0" w:color="auto"/>
        <w:bottom w:val="none" w:sz="0" w:space="0" w:color="auto"/>
        <w:right w:val="none" w:sz="0" w:space="0" w:color="auto"/>
      </w:divBdr>
    </w:div>
    <w:div w:id="1669361404">
      <w:marLeft w:val="0"/>
      <w:marRight w:val="0"/>
      <w:marTop w:val="180"/>
      <w:marBottom w:val="180"/>
      <w:divBdr>
        <w:top w:val="none" w:sz="0" w:space="0" w:color="auto"/>
        <w:left w:val="none" w:sz="0" w:space="0" w:color="auto"/>
        <w:bottom w:val="none" w:sz="0" w:space="0" w:color="auto"/>
        <w:right w:val="none" w:sz="0" w:space="0" w:color="auto"/>
      </w:divBdr>
    </w:div>
    <w:div w:id="1669945554">
      <w:marLeft w:val="0"/>
      <w:marRight w:val="0"/>
      <w:marTop w:val="0"/>
      <w:marBottom w:val="0"/>
      <w:divBdr>
        <w:top w:val="none" w:sz="0" w:space="0" w:color="auto"/>
        <w:left w:val="none" w:sz="0" w:space="0" w:color="auto"/>
        <w:bottom w:val="none" w:sz="0" w:space="0" w:color="auto"/>
        <w:right w:val="none" w:sz="0" w:space="0" w:color="auto"/>
      </w:divBdr>
      <w:divsChild>
        <w:div w:id="1452240593">
          <w:marLeft w:val="0"/>
          <w:marRight w:val="0"/>
          <w:marTop w:val="0"/>
          <w:marBottom w:val="0"/>
          <w:divBdr>
            <w:top w:val="none" w:sz="0" w:space="0" w:color="auto"/>
            <w:left w:val="none" w:sz="0" w:space="0" w:color="auto"/>
            <w:bottom w:val="none" w:sz="0" w:space="0" w:color="auto"/>
            <w:right w:val="none" w:sz="0" w:space="0" w:color="auto"/>
          </w:divBdr>
          <w:divsChild>
            <w:div w:id="18007588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0517209">
      <w:marLeft w:val="0"/>
      <w:marRight w:val="0"/>
      <w:marTop w:val="60"/>
      <w:marBottom w:val="100"/>
      <w:divBdr>
        <w:top w:val="none" w:sz="0" w:space="0" w:color="auto"/>
        <w:left w:val="none" w:sz="0" w:space="0" w:color="auto"/>
        <w:bottom w:val="none" w:sz="0" w:space="0" w:color="auto"/>
        <w:right w:val="none" w:sz="0" w:space="0" w:color="auto"/>
      </w:divBdr>
    </w:div>
    <w:div w:id="1670715438">
      <w:marLeft w:val="0"/>
      <w:marRight w:val="0"/>
      <w:marTop w:val="180"/>
      <w:marBottom w:val="60"/>
      <w:divBdr>
        <w:top w:val="none" w:sz="0" w:space="0" w:color="auto"/>
        <w:left w:val="none" w:sz="0" w:space="0" w:color="auto"/>
        <w:bottom w:val="none" w:sz="0" w:space="0" w:color="auto"/>
        <w:right w:val="none" w:sz="0" w:space="0" w:color="auto"/>
      </w:divBdr>
    </w:div>
    <w:div w:id="1673213705">
      <w:marLeft w:val="0"/>
      <w:marRight w:val="0"/>
      <w:marTop w:val="180"/>
      <w:marBottom w:val="180"/>
      <w:divBdr>
        <w:top w:val="none" w:sz="0" w:space="0" w:color="auto"/>
        <w:left w:val="none" w:sz="0" w:space="0" w:color="auto"/>
        <w:bottom w:val="none" w:sz="0" w:space="0" w:color="auto"/>
        <w:right w:val="none" w:sz="0" w:space="0" w:color="auto"/>
      </w:divBdr>
    </w:div>
    <w:div w:id="1675574698">
      <w:marLeft w:val="0"/>
      <w:marRight w:val="0"/>
      <w:marTop w:val="100"/>
      <w:marBottom w:val="100"/>
      <w:divBdr>
        <w:top w:val="none" w:sz="0" w:space="0" w:color="auto"/>
        <w:left w:val="none" w:sz="0" w:space="0" w:color="auto"/>
        <w:bottom w:val="none" w:sz="0" w:space="0" w:color="auto"/>
        <w:right w:val="none" w:sz="0" w:space="0" w:color="auto"/>
      </w:divBdr>
      <w:divsChild>
        <w:div w:id="2045520027">
          <w:marLeft w:val="0"/>
          <w:marRight w:val="0"/>
          <w:marTop w:val="0"/>
          <w:marBottom w:val="0"/>
          <w:divBdr>
            <w:top w:val="none" w:sz="0" w:space="0" w:color="auto"/>
            <w:left w:val="none" w:sz="0" w:space="0" w:color="auto"/>
            <w:bottom w:val="none" w:sz="0" w:space="0" w:color="auto"/>
            <w:right w:val="none" w:sz="0" w:space="0" w:color="auto"/>
          </w:divBdr>
        </w:div>
        <w:div w:id="1676154329">
          <w:marLeft w:val="0"/>
          <w:marRight w:val="0"/>
          <w:marTop w:val="0"/>
          <w:marBottom w:val="0"/>
          <w:divBdr>
            <w:top w:val="none" w:sz="0" w:space="0" w:color="auto"/>
            <w:left w:val="none" w:sz="0" w:space="0" w:color="auto"/>
            <w:bottom w:val="none" w:sz="0" w:space="0" w:color="auto"/>
            <w:right w:val="none" w:sz="0" w:space="0" w:color="auto"/>
          </w:divBdr>
        </w:div>
        <w:div w:id="758450518">
          <w:marLeft w:val="0"/>
          <w:marRight w:val="0"/>
          <w:marTop w:val="0"/>
          <w:marBottom w:val="0"/>
          <w:divBdr>
            <w:top w:val="none" w:sz="0" w:space="0" w:color="auto"/>
            <w:left w:val="none" w:sz="0" w:space="0" w:color="auto"/>
            <w:bottom w:val="none" w:sz="0" w:space="0" w:color="auto"/>
            <w:right w:val="none" w:sz="0" w:space="0" w:color="auto"/>
          </w:divBdr>
        </w:div>
        <w:div w:id="537084187">
          <w:marLeft w:val="0"/>
          <w:marRight w:val="0"/>
          <w:marTop w:val="0"/>
          <w:marBottom w:val="0"/>
          <w:divBdr>
            <w:top w:val="none" w:sz="0" w:space="0" w:color="auto"/>
            <w:left w:val="none" w:sz="0" w:space="0" w:color="auto"/>
            <w:bottom w:val="none" w:sz="0" w:space="0" w:color="auto"/>
            <w:right w:val="none" w:sz="0" w:space="0" w:color="auto"/>
          </w:divBdr>
        </w:div>
        <w:div w:id="1105879237">
          <w:marLeft w:val="0"/>
          <w:marRight w:val="0"/>
          <w:marTop w:val="0"/>
          <w:marBottom w:val="0"/>
          <w:divBdr>
            <w:top w:val="none" w:sz="0" w:space="0" w:color="auto"/>
            <w:left w:val="none" w:sz="0" w:space="0" w:color="auto"/>
            <w:bottom w:val="none" w:sz="0" w:space="0" w:color="auto"/>
            <w:right w:val="none" w:sz="0" w:space="0" w:color="auto"/>
          </w:divBdr>
        </w:div>
        <w:div w:id="2055961066">
          <w:marLeft w:val="0"/>
          <w:marRight w:val="0"/>
          <w:marTop w:val="0"/>
          <w:marBottom w:val="0"/>
          <w:divBdr>
            <w:top w:val="none" w:sz="0" w:space="0" w:color="auto"/>
            <w:left w:val="none" w:sz="0" w:space="0" w:color="auto"/>
            <w:bottom w:val="none" w:sz="0" w:space="0" w:color="auto"/>
            <w:right w:val="none" w:sz="0" w:space="0" w:color="auto"/>
          </w:divBdr>
        </w:div>
        <w:div w:id="876085428">
          <w:marLeft w:val="0"/>
          <w:marRight w:val="0"/>
          <w:marTop w:val="0"/>
          <w:marBottom w:val="0"/>
          <w:divBdr>
            <w:top w:val="none" w:sz="0" w:space="0" w:color="auto"/>
            <w:left w:val="none" w:sz="0" w:space="0" w:color="auto"/>
            <w:bottom w:val="none" w:sz="0" w:space="0" w:color="auto"/>
            <w:right w:val="none" w:sz="0" w:space="0" w:color="auto"/>
          </w:divBdr>
        </w:div>
        <w:div w:id="2031906877">
          <w:marLeft w:val="0"/>
          <w:marRight w:val="0"/>
          <w:marTop w:val="0"/>
          <w:marBottom w:val="0"/>
          <w:divBdr>
            <w:top w:val="none" w:sz="0" w:space="0" w:color="auto"/>
            <w:left w:val="none" w:sz="0" w:space="0" w:color="auto"/>
            <w:bottom w:val="none" w:sz="0" w:space="0" w:color="auto"/>
            <w:right w:val="none" w:sz="0" w:space="0" w:color="auto"/>
          </w:divBdr>
        </w:div>
        <w:div w:id="12272466">
          <w:marLeft w:val="0"/>
          <w:marRight w:val="0"/>
          <w:marTop w:val="0"/>
          <w:marBottom w:val="0"/>
          <w:divBdr>
            <w:top w:val="none" w:sz="0" w:space="0" w:color="auto"/>
            <w:left w:val="none" w:sz="0" w:space="0" w:color="auto"/>
            <w:bottom w:val="none" w:sz="0" w:space="0" w:color="auto"/>
            <w:right w:val="none" w:sz="0" w:space="0" w:color="auto"/>
          </w:divBdr>
        </w:div>
      </w:divsChild>
    </w:div>
    <w:div w:id="1675841310">
      <w:marLeft w:val="0"/>
      <w:marRight w:val="0"/>
      <w:marTop w:val="60"/>
      <w:marBottom w:val="60"/>
      <w:divBdr>
        <w:top w:val="none" w:sz="0" w:space="0" w:color="auto"/>
        <w:left w:val="none" w:sz="0" w:space="0" w:color="auto"/>
        <w:bottom w:val="none" w:sz="0" w:space="0" w:color="auto"/>
        <w:right w:val="none" w:sz="0" w:space="0" w:color="auto"/>
      </w:divBdr>
    </w:div>
    <w:div w:id="1676223219">
      <w:marLeft w:val="0"/>
      <w:marRight w:val="0"/>
      <w:marTop w:val="180"/>
      <w:marBottom w:val="180"/>
      <w:divBdr>
        <w:top w:val="none" w:sz="0" w:space="0" w:color="auto"/>
        <w:left w:val="none" w:sz="0" w:space="0" w:color="auto"/>
        <w:bottom w:val="none" w:sz="0" w:space="0" w:color="auto"/>
        <w:right w:val="none" w:sz="0" w:space="0" w:color="auto"/>
      </w:divBdr>
    </w:div>
    <w:div w:id="1679455787">
      <w:marLeft w:val="0"/>
      <w:marRight w:val="0"/>
      <w:marTop w:val="60"/>
      <w:marBottom w:val="60"/>
      <w:divBdr>
        <w:top w:val="none" w:sz="0" w:space="0" w:color="auto"/>
        <w:left w:val="none" w:sz="0" w:space="0" w:color="auto"/>
        <w:bottom w:val="none" w:sz="0" w:space="0" w:color="auto"/>
        <w:right w:val="none" w:sz="0" w:space="0" w:color="auto"/>
      </w:divBdr>
    </w:div>
    <w:div w:id="1680693076">
      <w:marLeft w:val="0"/>
      <w:marRight w:val="0"/>
      <w:marTop w:val="180"/>
      <w:marBottom w:val="180"/>
      <w:divBdr>
        <w:top w:val="none" w:sz="0" w:space="0" w:color="auto"/>
        <w:left w:val="none" w:sz="0" w:space="0" w:color="auto"/>
        <w:bottom w:val="none" w:sz="0" w:space="0" w:color="auto"/>
        <w:right w:val="none" w:sz="0" w:space="0" w:color="auto"/>
      </w:divBdr>
    </w:div>
    <w:div w:id="1686395515">
      <w:marLeft w:val="0"/>
      <w:marRight w:val="0"/>
      <w:marTop w:val="60"/>
      <w:marBottom w:val="60"/>
      <w:divBdr>
        <w:top w:val="none" w:sz="0" w:space="0" w:color="auto"/>
        <w:left w:val="none" w:sz="0" w:space="0" w:color="auto"/>
        <w:bottom w:val="none" w:sz="0" w:space="0" w:color="auto"/>
        <w:right w:val="none" w:sz="0" w:space="0" w:color="auto"/>
      </w:divBdr>
    </w:div>
    <w:div w:id="1687713307">
      <w:marLeft w:val="0"/>
      <w:marRight w:val="0"/>
      <w:marTop w:val="180"/>
      <w:marBottom w:val="180"/>
      <w:divBdr>
        <w:top w:val="none" w:sz="0" w:space="0" w:color="auto"/>
        <w:left w:val="none" w:sz="0" w:space="0" w:color="auto"/>
        <w:bottom w:val="none" w:sz="0" w:space="0" w:color="auto"/>
        <w:right w:val="none" w:sz="0" w:space="0" w:color="auto"/>
      </w:divBdr>
    </w:div>
    <w:div w:id="1689066137">
      <w:marLeft w:val="0"/>
      <w:marRight w:val="0"/>
      <w:marTop w:val="180"/>
      <w:marBottom w:val="180"/>
      <w:divBdr>
        <w:top w:val="none" w:sz="0" w:space="0" w:color="auto"/>
        <w:left w:val="none" w:sz="0" w:space="0" w:color="auto"/>
        <w:bottom w:val="none" w:sz="0" w:space="0" w:color="auto"/>
        <w:right w:val="none" w:sz="0" w:space="0" w:color="auto"/>
      </w:divBdr>
    </w:div>
    <w:div w:id="1690331333">
      <w:marLeft w:val="0"/>
      <w:marRight w:val="0"/>
      <w:marTop w:val="160"/>
      <w:marBottom w:val="100"/>
      <w:divBdr>
        <w:top w:val="none" w:sz="0" w:space="0" w:color="auto"/>
        <w:left w:val="none" w:sz="0" w:space="0" w:color="auto"/>
        <w:bottom w:val="none" w:sz="0" w:space="0" w:color="auto"/>
        <w:right w:val="none" w:sz="0" w:space="0" w:color="auto"/>
      </w:divBdr>
    </w:div>
    <w:div w:id="1691179084">
      <w:marLeft w:val="0"/>
      <w:marRight w:val="0"/>
      <w:marTop w:val="180"/>
      <w:marBottom w:val="180"/>
      <w:divBdr>
        <w:top w:val="none" w:sz="0" w:space="0" w:color="auto"/>
        <w:left w:val="none" w:sz="0" w:space="0" w:color="auto"/>
        <w:bottom w:val="none" w:sz="0" w:space="0" w:color="auto"/>
        <w:right w:val="none" w:sz="0" w:space="0" w:color="auto"/>
      </w:divBdr>
    </w:div>
    <w:div w:id="1692218069">
      <w:marLeft w:val="0"/>
      <w:marRight w:val="0"/>
      <w:marTop w:val="180"/>
      <w:marBottom w:val="180"/>
      <w:divBdr>
        <w:top w:val="none" w:sz="0" w:space="0" w:color="auto"/>
        <w:left w:val="none" w:sz="0" w:space="0" w:color="auto"/>
        <w:bottom w:val="none" w:sz="0" w:space="0" w:color="auto"/>
        <w:right w:val="none" w:sz="0" w:space="0" w:color="auto"/>
      </w:divBdr>
    </w:div>
    <w:div w:id="1693844961">
      <w:marLeft w:val="0"/>
      <w:marRight w:val="0"/>
      <w:marTop w:val="0"/>
      <w:marBottom w:val="0"/>
      <w:divBdr>
        <w:top w:val="none" w:sz="0" w:space="0" w:color="auto"/>
        <w:left w:val="none" w:sz="0" w:space="0" w:color="auto"/>
        <w:bottom w:val="none" w:sz="0" w:space="0" w:color="auto"/>
        <w:right w:val="none" w:sz="0" w:space="0" w:color="auto"/>
      </w:divBdr>
      <w:divsChild>
        <w:div w:id="1077828363">
          <w:marLeft w:val="0"/>
          <w:marRight w:val="0"/>
          <w:marTop w:val="0"/>
          <w:marBottom w:val="0"/>
          <w:divBdr>
            <w:top w:val="none" w:sz="0" w:space="0" w:color="auto"/>
            <w:left w:val="none" w:sz="0" w:space="0" w:color="auto"/>
            <w:bottom w:val="none" w:sz="0" w:space="0" w:color="auto"/>
            <w:right w:val="none" w:sz="0" w:space="0" w:color="auto"/>
          </w:divBdr>
          <w:divsChild>
            <w:div w:id="12478363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4376138">
      <w:marLeft w:val="0"/>
      <w:marRight w:val="0"/>
      <w:marTop w:val="60"/>
      <w:marBottom w:val="60"/>
      <w:divBdr>
        <w:top w:val="none" w:sz="0" w:space="0" w:color="auto"/>
        <w:left w:val="none" w:sz="0" w:space="0" w:color="auto"/>
        <w:bottom w:val="none" w:sz="0" w:space="0" w:color="auto"/>
        <w:right w:val="none" w:sz="0" w:space="0" w:color="auto"/>
      </w:divBdr>
    </w:div>
    <w:div w:id="1694649602">
      <w:marLeft w:val="0"/>
      <w:marRight w:val="0"/>
      <w:marTop w:val="60"/>
      <w:marBottom w:val="60"/>
      <w:divBdr>
        <w:top w:val="none" w:sz="0" w:space="0" w:color="auto"/>
        <w:left w:val="none" w:sz="0" w:space="0" w:color="auto"/>
        <w:bottom w:val="none" w:sz="0" w:space="0" w:color="auto"/>
        <w:right w:val="none" w:sz="0" w:space="0" w:color="auto"/>
      </w:divBdr>
    </w:div>
    <w:div w:id="1698189430">
      <w:marLeft w:val="0"/>
      <w:marRight w:val="0"/>
      <w:marTop w:val="60"/>
      <w:marBottom w:val="60"/>
      <w:divBdr>
        <w:top w:val="none" w:sz="0" w:space="0" w:color="auto"/>
        <w:left w:val="none" w:sz="0" w:space="0" w:color="auto"/>
        <w:bottom w:val="none" w:sz="0" w:space="0" w:color="auto"/>
        <w:right w:val="none" w:sz="0" w:space="0" w:color="auto"/>
      </w:divBdr>
    </w:div>
    <w:div w:id="1700083622">
      <w:marLeft w:val="0"/>
      <w:marRight w:val="0"/>
      <w:marTop w:val="180"/>
      <w:marBottom w:val="180"/>
      <w:divBdr>
        <w:top w:val="none" w:sz="0" w:space="0" w:color="auto"/>
        <w:left w:val="none" w:sz="0" w:space="0" w:color="auto"/>
        <w:bottom w:val="none" w:sz="0" w:space="0" w:color="auto"/>
        <w:right w:val="none" w:sz="0" w:space="0" w:color="auto"/>
      </w:divBdr>
    </w:div>
    <w:div w:id="1707293825">
      <w:marLeft w:val="0"/>
      <w:marRight w:val="0"/>
      <w:marTop w:val="0"/>
      <w:marBottom w:val="0"/>
      <w:divBdr>
        <w:top w:val="none" w:sz="0" w:space="0" w:color="auto"/>
        <w:left w:val="none" w:sz="0" w:space="0" w:color="auto"/>
        <w:bottom w:val="none" w:sz="0" w:space="0" w:color="auto"/>
        <w:right w:val="none" w:sz="0" w:space="0" w:color="auto"/>
      </w:divBdr>
    </w:div>
    <w:div w:id="1708141017">
      <w:marLeft w:val="0"/>
      <w:marRight w:val="0"/>
      <w:marTop w:val="180"/>
      <w:marBottom w:val="180"/>
      <w:divBdr>
        <w:top w:val="none" w:sz="0" w:space="0" w:color="auto"/>
        <w:left w:val="none" w:sz="0" w:space="0" w:color="auto"/>
        <w:bottom w:val="none" w:sz="0" w:space="0" w:color="auto"/>
        <w:right w:val="none" w:sz="0" w:space="0" w:color="auto"/>
      </w:divBdr>
    </w:div>
    <w:div w:id="1710569667">
      <w:marLeft w:val="0"/>
      <w:marRight w:val="0"/>
      <w:marTop w:val="180"/>
      <w:marBottom w:val="180"/>
      <w:divBdr>
        <w:top w:val="none" w:sz="0" w:space="0" w:color="auto"/>
        <w:left w:val="none" w:sz="0" w:space="0" w:color="auto"/>
        <w:bottom w:val="none" w:sz="0" w:space="0" w:color="auto"/>
        <w:right w:val="none" w:sz="0" w:space="0" w:color="auto"/>
      </w:divBdr>
    </w:div>
    <w:div w:id="1718310911">
      <w:marLeft w:val="0"/>
      <w:marRight w:val="0"/>
      <w:marTop w:val="60"/>
      <w:marBottom w:val="60"/>
      <w:divBdr>
        <w:top w:val="none" w:sz="0" w:space="0" w:color="auto"/>
        <w:left w:val="none" w:sz="0" w:space="0" w:color="auto"/>
        <w:bottom w:val="none" w:sz="0" w:space="0" w:color="auto"/>
        <w:right w:val="none" w:sz="0" w:space="0" w:color="auto"/>
      </w:divBdr>
    </w:div>
    <w:div w:id="1718578873">
      <w:marLeft w:val="0"/>
      <w:marRight w:val="0"/>
      <w:marTop w:val="180"/>
      <w:marBottom w:val="180"/>
      <w:divBdr>
        <w:top w:val="none" w:sz="0" w:space="0" w:color="auto"/>
        <w:left w:val="none" w:sz="0" w:space="0" w:color="auto"/>
        <w:bottom w:val="none" w:sz="0" w:space="0" w:color="auto"/>
        <w:right w:val="none" w:sz="0" w:space="0" w:color="auto"/>
      </w:divBdr>
    </w:div>
    <w:div w:id="1725250211">
      <w:marLeft w:val="0"/>
      <w:marRight w:val="0"/>
      <w:marTop w:val="180"/>
      <w:marBottom w:val="180"/>
      <w:divBdr>
        <w:top w:val="none" w:sz="0" w:space="0" w:color="auto"/>
        <w:left w:val="none" w:sz="0" w:space="0" w:color="auto"/>
        <w:bottom w:val="none" w:sz="0" w:space="0" w:color="auto"/>
        <w:right w:val="none" w:sz="0" w:space="0" w:color="auto"/>
      </w:divBdr>
    </w:div>
    <w:div w:id="1726566814">
      <w:marLeft w:val="0"/>
      <w:marRight w:val="0"/>
      <w:marTop w:val="60"/>
      <w:marBottom w:val="60"/>
      <w:divBdr>
        <w:top w:val="none" w:sz="0" w:space="0" w:color="auto"/>
        <w:left w:val="none" w:sz="0" w:space="0" w:color="auto"/>
        <w:bottom w:val="none" w:sz="0" w:space="0" w:color="auto"/>
        <w:right w:val="none" w:sz="0" w:space="0" w:color="auto"/>
      </w:divBdr>
    </w:div>
    <w:div w:id="1730106154">
      <w:marLeft w:val="0"/>
      <w:marRight w:val="0"/>
      <w:marTop w:val="100"/>
      <w:marBottom w:val="100"/>
      <w:divBdr>
        <w:top w:val="none" w:sz="0" w:space="0" w:color="auto"/>
        <w:left w:val="none" w:sz="0" w:space="0" w:color="auto"/>
        <w:bottom w:val="none" w:sz="0" w:space="0" w:color="auto"/>
        <w:right w:val="none" w:sz="0" w:space="0" w:color="auto"/>
      </w:divBdr>
    </w:div>
    <w:div w:id="1733966167">
      <w:marLeft w:val="0"/>
      <w:marRight w:val="0"/>
      <w:marTop w:val="60"/>
      <w:marBottom w:val="0"/>
      <w:divBdr>
        <w:top w:val="none" w:sz="0" w:space="0" w:color="auto"/>
        <w:left w:val="none" w:sz="0" w:space="0" w:color="auto"/>
        <w:bottom w:val="none" w:sz="0" w:space="0" w:color="auto"/>
        <w:right w:val="none" w:sz="0" w:space="0" w:color="auto"/>
      </w:divBdr>
    </w:div>
    <w:div w:id="1734279753">
      <w:marLeft w:val="0"/>
      <w:marRight w:val="0"/>
      <w:marTop w:val="60"/>
      <w:marBottom w:val="60"/>
      <w:divBdr>
        <w:top w:val="none" w:sz="0" w:space="0" w:color="auto"/>
        <w:left w:val="none" w:sz="0" w:space="0" w:color="auto"/>
        <w:bottom w:val="none" w:sz="0" w:space="0" w:color="auto"/>
        <w:right w:val="none" w:sz="0" w:space="0" w:color="auto"/>
      </w:divBdr>
    </w:div>
    <w:div w:id="1734965569">
      <w:marLeft w:val="0"/>
      <w:marRight w:val="0"/>
      <w:marTop w:val="180"/>
      <w:marBottom w:val="180"/>
      <w:divBdr>
        <w:top w:val="none" w:sz="0" w:space="0" w:color="auto"/>
        <w:left w:val="none" w:sz="0" w:space="0" w:color="auto"/>
        <w:bottom w:val="none" w:sz="0" w:space="0" w:color="auto"/>
        <w:right w:val="none" w:sz="0" w:space="0" w:color="auto"/>
      </w:divBdr>
    </w:div>
    <w:div w:id="1735425155">
      <w:marLeft w:val="0"/>
      <w:marRight w:val="0"/>
      <w:marTop w:val="0"/>
      <w:marBottom w:val="0"/>
      <w:divBdr>
        <w:top w:val="none" w:sz="0" w:space="0" w:color="auto"/>
        <w:left w:val="none" w:sz="0" w:space="0" w:color="auto"/>
        <w:bottom w:val="none" w:sz="0" w:space="0" w:color="auto"/>
        <w:right w:val="none" w:sz="0" w:space="0" w:color="auto"/>
      </w:divBdr>
    </w:div>
    <w:div w:id="1736705547">
      <w:marLeft w:val="0"/>
      <w:marRight w:val="0"/>
      <w:marTop w:val="0"/>
      <w:marBottom w:val="0"/>
      <w:divBdr>
        <w:top w:val="none" w:sz="0" w:space="0" w:color="auto"/>
        <w:left w:val="none" w:sz="0" w:space="0" w:color="auto"/>
        <w:bottom w:val="none" w:sz="0" w:space="0" w:color="auto"/>
        <w:right w:val="none" w:sz="0" w:space="0" w:color="auto"/>
      </w:divBdr>
      <w:divsChild>
        <w:div w:id="639652539">
          <w:marLeft w:val="0"/>
          <w:marRight w:val="0"/>
          <w:marTop w:val="180"/>
          <w:marBottom w:val="180"/>
          <w:divBdr>
            <w:top w:val="none" w:sz="0" w:space="0" w:color="auto"/>
            <w:left w:val="none" w:sz="0" w:space="0" w:color="auto"/>
            <w:bottom w:val="none" w:sz="0" w:space="0" w:color="auto"/>
            <w:right w:val="none" w:sz="0" w:space="0" w:color="auto"/>
          </w:divBdr>
        </w:div>
      </w:divsChild>
    </w:div>
    <w:div w:id="1737703292">
      <w:marLeft w:val="0"/>
      <w:marRight w:val="0"/>
      <w:marTop w:val="180"/>
      <w:marBottom w:val="180"/>
      <w:divBdr>
        <w:top w:val="none" w:sz="0" w:space="0" w:color="auto"/>
        <w:left w:val="none" w:sz="0" w:space="0" w:color="auto"/>
        <w:bottom w:val="none" w:sz="0" w:space="0" w:color="auto"/>
        <w:right w:val="none" w:sz="0" w:space="0" w:color="auto"/>
      </w:divBdr>
    </w:div>
    <w:div w:id="1739160173">
      <w:marLeft w:val="0"/>
      <w:marRight w:val="0"/>
      <w:marTop w:val="180"/>
      <w:marBottom w:val="180"/>
      <w:divBdr>
        <w:top w:val="none" w:sz="0" w:space="0" w:color="auto"/>
        <w:left w:val="none" w:sz="0" w:space="0" w:color="auto"/>
        <w:bottom w:val="none" w:sz="0" w:space="0" w:color="auto"/>
        <w:right w:val="none" w:sz="0" w:space="0" w:color="auto"/>
      </w:divBdr>
    </w:div>
    <w:div w:id="1740322178">
      <w:marLeft w:val="0"/>
      <w:marRight w:val="0"/>
      <w:marTop w:val="180"/>
      <w:marBottom w:val="180"/>
      <w:divBdr>
        <w:top w:val="none" w:sz="0" w:space="0" w:color="auto"/>
        <w:left w:val="none" w:sz="0" w:space="0" w:color="auto"/>
        <w:bottom w:val="none" w:sz="0" w:space="0" w:color="auto"/>
        <w:right w:val="none" w:sz="0" w:space="0" w:color="auto"/>
      </w:divBdr>
    </w:div>
    <w:div w:id="1741713959">
      <w:marLeft w:val="0"/>
      <w:marRight w:val="0"/>
      <w:marTop w:val="0"/>
      <w:marBottom w:val="0"/>
      <w:divBdr>
        <w:top w:val="none" w:sz="0" w:space="0" w:color="auto"/>
        <w:left w:val="none" w:sz="0" w:space="0" w:color="auto"/>
        <w:bottom w:val="none" w:sz="0" w:space="0" w:color="auto"/>
        <w:right w:val="none" w:sz="0" w:space="0" w:color="auto"/>
      </w:divBdr>
    </w:div>
    <w:div w:id="1742098848">
      <w:marLeft w:val="0"/>
      <w:marRight w:val="0"/>
      <w:marTop w:val="180"/>
      <w:marBottom w:val="180"/>
      <w:divBdr>
        <w:top w:val="none" w:sz="0" w:space="0" w:color="auto"/>
        <w:left w:val="none" w:sz="0" w:space="0" w:color="auto"/>
        <w:bottom w:val="none" w:sz="0" w:space="0" w:color="auto"/>
        <w:right w:val="none" w:sz="0" w:space="0" w:color="auto"/>
      </w:divBdr>
    </w:div>
    <w:div w:id="1746419346">
      <w:marLeft w:val="0"/>
      <w:marRight w:val="0"/>
      <w:marTop w:val="180"/>
      <w:marBottom w:val="180"/>
      <w:divBdr>
        <w:top w:val="none" w:sz="0" w:space="0" w:color="auto"/>
        <w:left w:val="none" w:sz="0" w:space="0" w:color="auto"/>
        <w:bottom w:val="none" w:sz="0" w:space="0" w:color="auto"/>
        <w:right w:val="none" w:sz="0" w:space="0" w:color="auto"/>
      </w:divBdr>
    </w:div>
    <w:div w:id="1746493847">
      <w:marLeft w:val="0"/>
      <w:marRight w:val="0"/>
      <w:marTop w:val="60"/>
      <w:marBottom w:val="60"/>
      <w:divBdr>
        <w:top w:val="none" w:sz="0" w:space="0" w:color="auto"/>
        <w:left w:val="none" w:sz="0" w:space="0" w:color="auto"/>
        <w:bottom w:val="none" w:sz="0" w:space="0" w:color="auto"/>
        <w:right w:val="none" w:sz="0" w:space="0" w:color="auto"/>
      </w:divBdr>
    </w:div>
    <w:div w:id="1747068111">
      <w:marLeft w:val="0"/>
      <w:marRight w:val="0"/>
      <w:marTop w:val="180"/>
      <w:marBottom w:val="180"/>
      <w:divBdr>
        <w:top w:val="none" w:sz="0" w:space="0" w:color="auto"/>
        <w:left w:val="none" w:sz="0" w:space="0" w:color="auto"/>
        <w:bottom w:val="none" w:sz="0" w:space="0" w:color="auto"/>
        <w:right w:val="none" w:sz="0" w:space="0" w:color="auto"/>
      </w:divBdr>
    </w:div>
    <w:div w:id="1747415820">
      <w:marLeft w:val="0"/>
      <w:marRight w:val="0"/>
      <w:marTop w:val="180"/>
      <w:marBottom w:val="180"/>
      <w:divBdr>
        <w:top w:val="none" w:sz="0" w:space="0" w:color="auto"/>
        <w:left w:val="none" w:sz="0" w:space="0" w:color="auto"/>
        <w:bottom w:val="none" w:sz="0" w:space="0" w:color="auto"/>
        <w:right w:val="none" w:sz="0" w:space="0" w:color="auto"/>
      </w:divBdr>
    </w:div>
    <w:div w:id="1747872934">
      <w:marLeft w:val="0"/>
      <w:marRight w:val="0"/>
      <w:marTop w:val="180"/>
      <w:marBottom w:val="180"/>
      <w:divBdr>
        <w:top w:val="none" w:sz="0" w:space="0" w:color="auto"/>
        <w:left w:val="none" w:sz="0" w:space="0" w:color="auto"/>
        <w:bottom w:val="none" w:sz="0" w:space="0" w:color="auto"/>
        <w:right w:val="none" w:sz="0" w:space="0" w:color="auto"/>
      </w:divBdr>
    </w:div>
    <w:div w:id="1748309137">
      <w:marLeft w:val="0"/>
      <w:marRight w:val="0"/>
      <w:marTop w:val="60"/>
      <w:marBottom w:val="60"/>
      <w:divBdr>
        <w:top w:val="none" w:sz="0" w:space="0" w:color="auto"/>
        <w:left w:val="none" w:sz="0" w:space="0" w:color="auto"/>
        <w:bottom w:val="none" w:sz="0" w:space="0" w:color="auto"/>
        <w:right w:val="none" w:sz="0" w:space="0" w:color="auto"/>
      </w:divBdr>
    </w:div>
    <w:div w:id="1750468793">
      <w:marLeft w:val="0"/>
      <w:marRight w:val="0"/>
      <w:marTop w:val="0"/>
      <w:marBottom w:val="0"/>
      <w:divBdr>
        <w:top w:val="none" w:sz="0" w:space="0" w:color="auto"/>
        <w:left w:val="none" w:sz="0" w:space="0" w:color="auto"/>
        <w:bottom w:val="none" w:sz="0" w:space="0" w:color="auto"/>
        <w:right w:val="none" w:sz="0" w:space="0" w:color="auto"/>
      </w:divBdr>
    </w:div>
    <w:div w:id="1752464982">
      <w:marLeft w:val="0"/>
      <w:marRight w:val="0"/>
      <w:marTop w:val="60"/>
      <w:marBottom w:val="60"/>
      <w:divBdr>
        <w:top w:val="none" w:sz="0" w:space="0" w:color="auto"/>
        <w:left w:val="none" w:sz="0" w:space="0" w:color="auto"/>
        <w:bottom w:val="none" w:sz="0" w:space="0" w:color="auto"/>
        <w:right w:val="none" w:sz="0" w:space="0" w:color="auto"/>
      </w:divBdr>
    </w:div>
    <w:div w:id="1753045571">
      <w:marLeft w:val="0"/>
      <w:marRight w:val="0"/>
      <w:marTop w:val="180"/>
      <w:marBottom w:val="180"/>
      <w:divBdr>
        <w:top w:val="none" w:sz="0" w:space="0" w:color="auto"/>
        <w:left w:val="none" w:sz="0" w:space="0" w:color="auto"/>
        <w:bottom w:val="none" w:sz="0" w:space="0" w:color="auto"/>
        <w:right w:val="none" w:sz="0" w:space="0" w:color="auto"/>
      </w:divBdr>
    </w:div>
    <w:div w:id="1755398067">
      <w:marLeft w:val="0"/>
      <w:marRight w:val="0"/>
      <w:marTop w:val="180"/>
      <w:marBottom w:val="180"/>
      <w:divBdr>
        <w:top w:val="none" w:sz="0" w:space="0" w:color="auto"/>
        <w:left w:val="none" w:sz="0" w:space="0" w:color="auto"/>
        <w:bottom w:val="none" w:sz="0" w:space="0" w:color="auto"/>
        <w:right w:val="none" w:sz="0" w:space="0" w:color="auto"/>
      </w:divBdr>
    </w:div>
    <w:div w:id="1758477609">
      <w:marLeft w:val="0"/>
      <w:marRight w:val="0"/>
      <w:marTop w:val="180"/>
      <w:marBottom w:val="180"/>
      <w:divBdr>
        <w:top w:val="none" w:sz="0" w:space="0" w:color="auto"/>
        <w:left w:val="none" w:sz="0" w:space="0" w:color="auto"/>
        <w:bottom w:val="none" w:sz="0" w:space="0" w:color="auto"/>
        <w:right w:val="none" w:sz="0" w:space="0" w:color="auto"/>
      </w:divBdr>
    </w:div>
    <w:div w:id="1759132753">
      <w:marLeft w:val="0"/>
      <w:marRight w:val="0"/>
      <w:marTop w:val="180"/>
      <w:marBottom w:val="180"/>
      <w:divBdr>
        <w:top w:val="none" w:sz="0" w:space="0" w:color="auto"/>
        <w:left w:val="none" w:sz="0" w:space="0" w:color="auto"/>
        <w:bottom w:val="none" w:sz="0" w:space="0" w:color="auto"/>
        <w:right w:val="none" w:sz="0" w:space="0" w:color="auto"/>
      </w:divBdr>
    </w:div>
    <w:div w:id="1759211814">
      <w:marLeft w:val="0"/>
      <w:marRight w:val="0"/>
      <w:marTop w:val="0"/>
      <w:marBottom w:val="0"/>
      <w:divBdr>
        <w:top w:val="none" w:sz="0" w:space="0" w:color="auto"/>
        <w:left w:val="none" w:sz="0" w:space="0" w:color="auto"/>
        <w:bottom w:val="none" w:sz="0" w:space="0" w:color="auto"/>
        <w:right w:val="none" w:sz="0" w:space="0" w:color="auto"/>
      </w:divBdr>
      <w:divsChild>
        <w:div w:id="179897183">
          <w:marLeft w:val="0"/>
          <w:marRight w:val="0"/>
          <w:marTop w:val="0"/>
          <w:marBottom w:val="0"/>
          <w:divBdr>
            <w:top w:val="none" w:sz="0" w:space="0" w:color="auto"/>
            <w:left w:val="none" w:sz="0" w:space="0" w:color="auto"/>
            <w:bottom w:val="none" w:sz="0" w:space="0" w:color="auto"/>
            <w:right w:val="none" w:sz="0" w:space="0" w:color="auto"/>
          </w:divBdr>
          <w:divsChild>
            <w:div w:id="3850322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0906941">
      <w:marLeft w:val="0"/>
      <w:marRight w:val="0"/>
      <w:marTop w:val="180"/>
      <w:marBottom w:val="180"/>
      <w:divBdr>
        <w:top w:val="none" w:sz="0" w:space="0" w:color="auto"/>
        <w:left w:val="none" w:sz="0" w:space="0" w:color="auto"/>
        <w:bottom w:val="none" w:sz="0" w:space="0" w:color="auto"/>
        <w:right w:val="none" w:sz="0" w:space="0" w:color="auto"/>
      </w:divBdr>
    </w:div>
    <w:div w:id="1761177887">
      <w:marLeft w:val="0"/>
      <w:marRight w:val="0"/>
      <w:marTop w:val="60"/>
      <w:marBottom w:val="60"/>
      <w:divBdr>
        <w:top w:val="none" w:sz="0" w:space="0" w:color="auto"/>
        <w:left w:val="none" w:sz="0" w:space="0" w:color="auto"/>
        <w:bottom w:val="none" w:sz="0" w:space="0" w:color="auto"/>
        <w:right w:val="none" w:sz="0" w:space="0" w:color="auto"/>
      </w:divBdr>
    </w:div>
    <w:div w:id="1762490169">
      <w:marLeft w:val="0"/>
      <w:marRight w:val="0"/>
      <w:marTop w:val="180"/>
      <w:marBottom w:val="180"/>
      <w:divBdr>
        <w:top w:val="none" w:sz="0" w:space="0" w:color="auto"/>
        <w:left w:val="none" w:sz="0" w:space="0" w:color="auto"/>
        <w:bottom w:val="none" w:sz="0" w:space="0" w:color="auto"/>
        <w:right w:val="none" w:sz="0" w:space="0" w:color="auto"/>
      </w:divBdr>
    </w:div>
    <w:div w:id="1762993750">
      <w:marLeft w:val="0"/>
      <w:marRight w:val="0"/>
      <w:marTop w:val="180"/>
      <w:marBottom w:val="60"/>
      <w:divBdr>
        <w:top w:val="none" w:sz="0" w:space="0" w:color="auto"/>
        <w:left w:val="none" w:sz="0" w:space="0" w:color="auto"/>
        <w:bottom w:val="none" w:sz="0" w:space="0" w:color="auto"/>
        <w:right w:val="none" w:sz="0" w:space="0" w:color="auto"/>
      </w:divBdr>
    </w:div>
    <w:div w:id="1768691398">
      <w:marLeft w:val="0"/>
      <w:marRight w:val="0"/>
      <w:marTop w:val="60"/>
      <w:marBottom w:val="60"/>
      <w:divBdr>
        <w:top w:val="none" w:sz="0" w:space="0" w:color="auto"/>
        <w:left w:val="none" w:sz="0" w:space="0" w:color="auto"/>
        <w:bottom w:val="none" w:sz="0" w:space="0" w:color="auto"/>
        <w:right w:val="none" w:sz="0" w:space="0" w:color="auto"/>
      </w:divBdr>
    </w:div>
    <w:div w:id="1768772709">
      <w:marLeft w:val="0"/>
      <w:marRight w:val="0"/>
      <w:marTop w:val="0"/>
      <w:marBottom w:val="0"/>
      <w:divBdr>
        <w:top w:val="none" w:sz="0" w:space="0" w:color="auto"/>
        <w:left w:val="none" w:sz="0" w:space="0" w:color="auto"/>
        <w:bottom w:val="none" w:sz="0" w:space="0" w:color="auto"/>
        <w:right w:val="none" w:sz="0" w:space="0" w:color="auto"/>
      </w:divBdr>
      <w:divsChild>
        <w:div w:id="187060326">
          <w:marLeft w:val="0"/>
          <w:marRight w:val="0"/>
          <w:marTop w:val="0"/>
          <w:marBottom w:val="0"/>
          <w:divBdr>
            <w:top w:val="none" w:sz="0" w:space="0" w:color="auto"/>
            <w:left w:val="none" w:sz="0" w:space="0" w:color="auto"/>
            <w:bottom w:val="none" w:sz="0" w:space="0" w:color="auto"/>
            <w:right w:val="none" w:sz="0" w:space="0" w:color="auto"/>
          </w:divBdr>
          <w:divsChild>
            <w:div w:id="420252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0462927">
      <w:marLeft w:val="0"/>
      <w:marRight w:val="0"/>
      <w:marTop w:val="60"/>
      <w:marBottom w:val="60"/>
      <w:divBdr>
        <w:top w:val="none" w:sz="0" w:space="0" w:color="auto"/>
        <w:left w:val="none" w:sz="0" w:space="0" w:color="auto"/>
        <w:bottom w:val="none" w:sz="0" w:space="0" w:color="auto"/>
        <w:right w:val="none" w:sz="0" w:space="0" w:color="auto"/>
      </w:divBdr>
    </w:div>
    <w:div w:id="1770811768">
      <w:marLeft w:val="0"/>
      <w:marRight w:val="0"/>
      <w:marTop w:val="180"/>
      <w:marBottom w:val="180"/>
      <w:divBdr>
        <w:top w:val="none" w:sz="0" w:space="0" w:color="auto"/>
        <w:left w:val="none" w:sz="0" w:space="0" w:color="auto"/>
        <w:bottom w:val="none" w:sz="0" w:space="0" w:color="auto"/>
        <w:right w:val="none" w:sz="0" w:space="0" w:color="auto"/>
      </w:divBdr>
    </w:div>
    <w:div w:id="1771463548">
      <w:marLeft w:val="0"/>
      <w:marRight w:val="0"/>
      <w:marTop w:val="60"/>
      <w:marBottom w:val="60"/>
      <w:divBdr>
        <w:top w:val="none" w:sz="0" w:space="0" w:color="auto"/>
        <w:left w:val="none" w:sz="0" w:space="0" w:color="auto"/>
        <w:bottom w:val="none" w:sz="0" w:space="0" w:color="auto"/>
        <w:right w:val="none" w:sz="0" w:space="0" w:color="auto"/>
      </w:divBdr>
    </w:div>
    <w:div w:id="1772356837">
      <w:marLeft w:val="0"/>
      <w:marRight w:val="0"/>
      <w:marTop w:val="180"/>
      <w:marBottom w:val="180"/>
      <w:divBdr>
        <w:top w:val="none" w:sz="0" w:space="0" w:color="auto"/>
        <w:left w:val="none" w:sz="0" w:space="0" w:color="auto"/>
        <w:bottom w:val="none" w:sz="0" w:space="0" w:color="auto"/>
        <w:right w:val="none" w:sz="0" w:space="0" w:color="auto"/>
      </w:divBdr>
    </w:div>
    <w:div w:id="1772435985">
      <w:marLeft w:val="0"/>
      <w:marRight w:val="0"/>
      <w:marTop w:val="100"/>
      <w:marBottom w:val="100"/>
      <w:divBdr>
        <w:top w:val="none" w:sz="0" w:space="0" w:color="auto"/>
        <w:left w:val="none" w:sz="0" w:space="0" w:color="auto"/>
        <w:bottom w:val="none" w:sz="0" w:space="0" w:color="auto"/>
        <w:right w:val="none" w:sz="0" w:space="0" w:color="auto"/>
      </w:divBdr>
      <w:divsChild>
        <w:div w:id="592588488">
          <w:marLeft w:val="0"/>
          <w:marRight w:val="0"/>
          <w:marTop w:val="0"/>
          <w:marBottom w:val="0"/>
          <w:divBdr>
            <w:top w:val="none" w:sz="0" w:space="0" w:color="auto"/>
            <w:left w:val="none" w:sz="0" w:space="0" w:color="auto"/>
            <w:bottom w:val="none" w:sz="0" w:space="0" w:color="auto"/>
            <w:right w:val="none" w:sz="0" w:space="0" w:color="auto"/>
          </w:divBdr>
        </w:div>
        <w:div w:id="1281107838">
          <w:marLeft w:val="0"/>
          <w:marRight w:val="0"/>
          <w:marTop w:val="0"/>
          <w:marBottom w:val="0"/>
          <w:divBdr>
            <w:top w:val="none" w:sz="0" w:space="0" w:color="auto"/>
            <w:left w:val="none" w:sz="0" w:space="0" w:color="auto"/>
            <w:bottom w:val="none" w:sz="0" w:space="0" w:color="auto"/>
            <w:right w:val="none" w:sz="0" w:space="0" w:color="auto"/>
          </w:divBdr>
        </w:div>
      </w:divsChild>
    </w:div>
    <w:div w:id="1772504067">
      <w:marLeft w:val="0"/>
      <w:marRight w:val="0"/>
      <w:marTop w:val="180"/>
      <w:marBottom w:val="180"/>
      <w:divBdr>
        <w:top w:val="none" w:sz="0" w:space="0" w:color="auto"/>
        <w:left w:val="none" w:sz="0" w:space="0" w:color="auto"/>
        <w:bottom w:val="none" w:sz="0" w:space="0" w:color="auto"/>
        <w:right w:val="none" w:sz="0" w:space="0" w:color="auto"/>
      </w:divBdr>
    </w:div>
    <w:div w:id="1775442147">
      <w:marLeft w:val="0"/>
      <w:marRight w:val="0"/>
      <w:marTop w:val="0"/>
      <w:marBottom w:val="0"/>
      <w:divBdr>
        <w:top w:val="none" w:sz="0" w:space="0" w:color="auto"/>
        <w:left w:val="none" w:sz="0" w:space="0" w:color="auto"/>
        <w:bottom w:val="none" w:sz="0" w:space="0" w:color="auto"/>
        <w:right w:val="none" w:sz="0" w:space="0" w:color="auto"/>
      </w:divBdr>
      <w:divsChild>
        <w:div w:id="811601653">
          <w:marLeft w:val="0"/>
          <w:marRight w:val="0"/>
          <w:marTop w:val="0"/>
          <w:marBottom w:val="0"/>
          <w:divBdr>
            <w:top w:val="none" w:sz="0" w:space="0" w:color="auto"/>
            <w:left w:val="none" w:sz="0" w:space="0" w:color="auto"/>
            <w:bottom w:val="none" w:sz="0" w:space="0" w:color="auto"/>
            <w:right w:val="none" w:sz="0" w:space="0" w:color="auto"/>
          </w:divBdr>
          <w:divsChild>
            <w:div w:id="395737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5981123">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235004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1607976">
      <w:marLeft w:val="0"/>
      <w:marRight w:val="0"/>
      <w:marTop w:val="180"/>
      <w:marBottom w:val="180"/>
      <w:divBdr>
        <w:top w:val="none" w:sz="0" w:space="0" w:color="auto"/>
        <w:left w:val="none" w:sz="0" w:space="0" w:color="auto"/>
        <w:bottom w:val="none" w:sz="0" w:space="0" w:color="auto"/>
        <w:right w:val="none" w:sz="0" w:space="0" w:color="auto"/>
      </w:divBdr>
    </w:div>
    <w:div w:id="1782916902">
      <w:marLeft w:val="0"/>
      <w:marRight w:val="0"/>
      <w:marTop w:val="100"/>
      <w:marBottom w:val="100"/>
      <w:divBdr>
        <w:top w:val="none" w:sz="0" w:space="0" w:color="auto"/>
        <w:left w:val="none" w:sz="0" w:space="0" w:color="auto"/>
        <w:bottom w:val="none" w:sz="0" w:space="0" w:color="auto"/>
        <w:right w:val="none" w:sz="0" w:space="0" w:color="auto"/>
      </w:divBdr>
      <w:divsChild>
        <w:div w:id="1302616048">
          <w:marLeft w:val="0"/>
          <w:marRight w:val="0"/>
          <w:marTop w:val="0"/>
          <w:marBottom w:val="0"/>
          <w:divBdr>
            <w:top w:val="none" w:sz="0" w:space="0" w:color="auto"/>
            <w:left w:val="none" w:sz="0" w:space="0" w:color="auto"/>
            <w:bottom w:val="none" w:sz="0" w:space="0" w:color="auto"/>
            <w:right w:val="none" w:sz="0" w:space="0" w:color="auto"/>
          </w:divBdr>
        </w:div>
      </w:divsChild>
    </w:div>
    <w:div w:id="1783383722">
      <w:marLeft w:val="0"/>
      <w:marRight w:val="0"/>
      <w:marTop w:val="180"/>
      <w:marBottom w:val="180"/>
      <w:divBdr>
        <w:top w:val="none" w:sz="0" w:space="0" w:color="auto"/>
        <w:left w:val="none" w:sz="0" w:space="0" w:color="auto"/>
        <w:bottom w:val="none" w:sz="0" w:space="0" w:color="auto"/>
        <w:right w:val="none" w:sz="0" w:space="0" w:color="auto"/>
      </w:divBdr>
    </w:div>
    <w:div w:id="1786074066">
      <w:marLeft w:val="0"/>
      <w:marRight w:val="0"/>
      <w:marTop w:val="180"/>
      <w:marBottom w:val="180"/>
      <w:divBdr>
        <w:top w:val="none" w:sz="0" w:space="0" w:color="auto"/>
        <w:left w:val="none" w:sz="0" w:space="0" w:color="auto"/>
        <w:bottom w:val="none" w:sz="0" w:space="0" w:color="auto"/>
        <w:right w:val="none" w:sz="0" w:space="0" w:color="auto"/>
      </w:divBdr>
    </w:div>
    <w:div w:id="1786536496">
      <w:marLeft w:val="0"/>
      <w:marRight w:val="0"/>
      <w:marTop w:val="180"/>
      <w:marBottom w:val="180"/>
      <w:divBdr>
        <w:top w:val="none" w:sz="0" w:space="0" w:color="auto"/>
        <w:left w:val="none" w:sz="0" w:space="0" w:color="auto"/>
        <w:bottom w:val="none" w:sz="0" w:space="0" w:color="auto"/>
        <w:right w:val="none" w:sz="0" w:space="0" w:color="auto"/>
      </w:divBdr>
    </w:div>
    <w:div w:id="1788353559">
      <w:marLeft w:val="0"/>
      <w:marRight w:val="0"/>
      <w:marTop w:val="180"/>
      <w:marBottom w:val="180"/>
      <w:divBdr>
        <w:top w:val="none" w:sz="0" w:space="0" w:color="auto"/>
        <w:left w:val="none" w:sz="0" w:space="0" w:color="auto"/>
        <w:bottom w:val="none" w:sz="0" w:space="0" w:color="auto"/>
        <w:right w:val="none" w:sz="0" w:space="0" w:color="auto"/>
      </w:divBdr>
    </w:div>
    <w:div w:id="1789352418">
      <w:marLeft w:val="0"/>
      <w:marRight w:val="0"/>
      <w:marTop w:val="180"/>
      <w:marBottom w:val="180"/>
      <w:divBdr>
        <w:top w:val="none" w:sz="0" w:space="0" w:color="auto"/>
        <w:left w:val="none" w:sz="0" w:space="0" w:color="auto"/>
        <w:bottom w:val="none" w:sz="0" w:space="0" w:color="auto"/>
        <w:right w:val="none" w:sz="0" w:space="0" w:color="auto"/>
      </w:divBdr>
    </w:div>
    <w:div w:id="1790247463">
      <w:marLeft w:val="0"/>
      <w:marRight w:val="0"/>
      <w:marTop w:val="180"/>
      <w:marBottom w:val="180"/>
      <w:divBdr>
        <w:top w:val="none" w:sz="0" w:space="0" w:color="auto"/>
        <w:left w:val="none" w:sz="0" w:space="0" w:color="auto"/>
        <w:bottom w:val="none" w:sz="0" w:space="0" w:color="auto"/>
        <w:right w:val="none" w:sz="0" w:space="0" w:color="auto"/>
      </w:divBdr>
    </w:div>
    <w:div w:id="1794211266">
      <w:marLeft w:val="0"/>
      <w:marRight w:val="0"/>
      <w:marTop w:val="180"/>
      <w:marBottom w:val="160"/>
      <w:divBdr>
        <w:top w:val="none" w:sz="0" w:space="0" w:color="auto"/>
        <w:left w:val="none" w:sz="0" w:space="0" w:color="auto"/>
        <w:bottom w:val="none" w:sz="0" w:space="0" w:color="auto"/>
        <w:right w:val="none" w:sz="0" w:space="0" w:color="auto"/>
      </w:divBdr>
      <w:divsChild>
        <w:div w:id="1059326819">
          <w:marLeft w:val="0"/>
          <w:marRight w:val="0"/>
          <w:marTop w:val="0"/>
          <w:marBottom w:val="0"/>
          <w:divBdr>
            <w:top w:val="none" w:sz="0" w:space="0" w:color="auto"/>
            <w:left w:val="none" w:sz="0" w:space="0" w:color="auto"/>
            <w:bottom w:val="none" w:sz="0" w:space="0" w:color="auto"/>
            <w:right w:val="none" w:sz="0" w:space="0" w:color="auto"/>
          </w:divBdr>
        </w:div>
        <w:div w:id="1509172983">
          <w:marLeft w:val="0"/>
          <w:marRight w:val="0"/>
          <w:marTop w:val="0"/>
          <w:marBottom w:val="0"/>
          <w:divBdr>
            <w:top w:val="none" w:sz="0" w:space="0" w:color="auto"/>
            <w:left w:val="none" w:sz="0" w:space="0" w:color="auto"/>
            <w:bottom w:val="none" w:sz="0" w:space="0" w:color="auto"/>
            <w:right w:val="none" w:sz="0" w:space="0" w:color="auto"/>
          </w:divBdr>
        </w:div>
        <w:div w:id="1462965589">
          <w:marLeft w:val="0"/>
          <w:marRight w:val="0"/>
          <w:marTop w:val="0"/>
          <w:marBottom w:val="0"/>
          <w:divBdr>
            <w:top w:val="none" w:sz="0" w:space="0" w:color="auto"/>
            <w:left w:val="none" w:sz="0" w:space="0" w:color="auto"/>
            <w:bottom w:val="none" w:sz="0" w:space="0" w:color="auto"/>
            <w:right w:val="none" w:sz="0" w:space="0" w:color="auto"/>
          </w:divBdr>
        </w:div>
      </w:divsChild>
    </w:div>
    <w:div w:id="1794444004">
      <w:marLeft w:val="0"/>
      <w:marRight w:val="0"/>
      <w:marTop w:val="180"/>
      <w:marBottom w:val="180"/>
      <w:divBdr>
        <w:top w:val="none" w:sz="0" w:space="0" w:color="auto"/>
        <w:left w:val="none" w:sz="0" w:space="0" w:color="auto"/>
        <w:bottom w:val="none" w:sz="0" w:space="0" w:color="auto"/>
        <w:right w:val="none" w:sz="0" w:space="0" w:color="auto"/>
      </w:divBdr>
    </w:div>
    <w:div w:id="1794669284">
      <w:marLeft w:val="0"/>
      <w:marRight w:val="0"/>
      <w:marTop w:val="180"/>
      <w:marBottom w:val="180"/>
      <w:divBdr>
        <w:top w:val="none" w:sz="0" w:space="0" w:color="auto"/>
        <w:left w:val="none" w:sz="0" w:space="0" w:color="auto"/>
        <w:bottom w:val="none" w:sz="0" w:space="0" w:color="auto"/>
        <w:right w:val="none" w:sz="0" w:space="0" w:color="auto"/>
      </w:divBdr>
    </w:div>
    <w:div w:id="1796368679">
      <w:marLeft w:val="0"/>
      <w:marRight w:val="0"/>
      <w:marTop w:val="0"/>
      <w:marBottom w:val="0"/>
      <w:divBdr>
        <w:top w:val="none" w:sz="0" w:space="0" w:color="auto"/>
        <w:left w:val="none" w:sz="0" w:space="0" w:color="auto"/>
        <w:bottom w:val="none" w:sz="0" w:space="0" w:color="auto"/>
        <w:right w:val="none" w:sz="0" w:space="0" w:color="auto"/>
      </w:divBdr>
      <w:divsChild>
        <w:div w:id="25908099">
          <w:marLeft w:val="0"/>
          <w:marRight w:val="0"/>
          <w:marTop w:val="180"/>
          <w:marBottom w:val="180"/>
          <w:divBdr>
            <w:top w:val="none" w:sz="0" w:space="0" w:color="auto"/>
            <w:left w:val="none" w:sz="0" w:space="0" w:color="auto"/>
            <w:bottom w:val="none" w:sz="0" w:space="0" w:color="auto"/>
            <w:right w:val="none" w:sz="0" w:space="0" w:color="auto"/>
          </w:divBdr>
        </w:div>
      </w:divsChild>
    </w:div>
    <w:div w:id="1797020286">
      <w:marLeft w:val="0"/>
      <w:marRight w:val="0"/>
      <w:marTop w:val="180"/>
      <w:marBottom w:val="180"/>
      <w:divBdr>
        <w:top w:val="none" w:sz="0" w:space="0" w:color="auto"/>
        <w:left w:val="none" w:sz="0" w:space="0" w:color="auto"/>
        <w:bottom w:val="none" w:sz="0" w:space="0" w:color="auto"/>
        <w:right w:val="none" w:sz="0" w:space="0" w:color="auto"/>
      </w:divBdr>
    </w:div>
    <w:div w:id="1798066790">
      <w:marLeft w:val="0"/>
      <w:marRight w:val="0"/>
      <w:marTop w:val="0"/>
      <w:marBottom w:val="0"/>
      <w:divBdr>
        <w:top w:val="none" w:sz="0" w:space="0" w:color="auto"/>
        <w:left w:val="none" w:sz="0" w:space="0" w:color="auto"/>
        <w:bottom w:val="none" w:sz="0" w:space="0" w:color="auto"/>
        <w:right w:val="none" w:sz="0" w:space="0" w:color="auto"/>
      </w:divBdr>
      <w:divsChild>
        <w:div w:id="757873854">
          <w:marLeft w:val="0"/>
          <w:marRight w:val="0"/>
          <w:marTop w:val="0"/>
          <w:marBottom w:val="0"/>
          <w:divBdr>
            <w:top w:val="none" w:sz="0" w:space="0" w:color="auto"/>
            <w:left w:val="none" w:sz="0" w:space="0" w:color="auto"/>
            <w:bottom w:val="none" w:sz="0" w:space="0" w:color="auto"/>
            <w:right w:val="none" w:sz="0" w:space="0" w:color="auto"/>
          </w:divBdr>
          <w:divsChild>
            <w:div w:id="14843540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8834410">
      <w:marLeft w:val="0"/>
      <w:marRight w:val="0"/>
      <w:marTop w:val="180"/>
      <w:marBottom w:val="180"/>
      <w:divBdr>
        <w:top w:val="none" w:sz="0" w:space="0" w:color="auto"/>
        <w:left w:val="none" w:sz="0" w:space="0" w:color="auto"/>
        <w:bottom w:val="none" w:sz="0" w:space="0" w:color="auto"/>
        <w:right w:val="none" w:sz="0" w:space="0" w:color="auto"/>
      </w:divBdr>
    </w:div>
    <w:div w:id="1798983135">
      <w:marLeft w:val="0"/>
      <w:marRight w:val="0"/>
      <w:marTop w:val="180"/>
      <w:marBottom w:val="0"/>
      <w:divBdr>
        <w:top w:val="none" w:sz="0" w:space="0" w:color="auto"/>
        <w:left w:val="none" w:sz="0" w:space="0" w:color="auto"/>
        <w:bottom w:val="none" w:sz="0" w:space="0" w:color="auto"/>
        <w:right w:val="none" w:sz="0" w:space="0" w:color="auto"/>
      </w:divBdr>
    </w:div>
    <w:div w:id="1799909841">
      <w:marLeft w:val="0"/>
      <w:marRight w:val="0"/>
      <w:marTop w:val="0"/>
      <w:marBottom w:val="0"/>
      <w:divBdr>
        <w:top w:val="none" w:sz="0" w:space="0" w:color="auto"/>
        <w:left w:val="none" w:sz="0" w:space="0" w:color="auto"/>
        <w:bottom w:val="none" w:sz="0" w:space="0" w:color="auto"/>
        <w:right w:val="none" w:sz="0" w:space="0" w:color="auto"/>
      </w:divBdr>
    </w:div>
    <w:div w:id="1800341396">
      <w:marLeft w:val="0"/>
      <w:marRight w:val="0"/>
      <w:marTop w:val="100"/>
      <w:marBottom w:val="100"/>
      <w:divBdr>
        <w:top w:val="none" w:sz="0" w:space="0" w:color="auto"/>
        <w:left w:val="none" w:sz="0" w:space="0" w:color="auto"/>
        <w:bottom w:val="none" w:sz="0" w:space="0" w:color="auto"/>
        <w:right w:val="none" w:sz="0" w:space="0" w:color="auto"/>
      </w:divBdr>
      <w:divsChild>
        <w:div w:id="1058629795">
          <w:marLeft w:val="0"/>
          <w:marRight w:val="0"/>
          <w:marTop w:val="0"/>
          <w:marBottom w:val="0"/>
          <w:divBdr>
            <w:top w:val="none" w:sz="0" w:space="0" w:color="auto"/>
            <w:left w:val="none" w:sz="0" w:space="0" w:color="auto"/>
            <w:bottom w:val="none" w:sz="0" w:space="0" w:color="auto"/>
            <w:right w:val="none" w:sz="0" w:space="0" w:color="auto"/>
          </w:divBdr>
        </w:div>
        <w:div w:id="1821193200">
          <w:marLeft w:val="0"/>
          <w:marRight w:val="0"/>
          <w:marTop w:val="0"/>
          <w:marBottom w:val="0"/>
          <w:divBdr>
            <w:top w:val="none" w:sz="0" w:space="0" w:color="auto"/>
            <w:left w:val="none" w:sz="0" w:space="0" w:color="auto"/>
            <w:bottom w:val="none" w:sz="0" w:space="0" w:color="auto"/>
            <w:right w:val="none" w:sz="0" w:space="0" w:color="auto"/>
          </w:divBdr>
        </w:div>
        <w:div w:id="260261279">
          <w:marLeft w:val="0"/>
          <w:marRight w:val="0"/>
          <w:marTop w:val="0"/>
          <w:marBottom w:val="0"/>
          <w:divBdr>
            <w:top w:val="none" w:sz="0" w:space="0" w:color="auto"/>
            <w:left w:val="none" w:sz="0" w:space="0" w:color="auto"/>
            <w:bottom w:val="none" w:sz="0" w:space="0" w:color="auto"/>
            <w:right w:val="none" w:sz="0" w:space="0" w:color="auto"/>
          </w:divBdr>
        </w:div>
        <w:div w:id="2049185751">
          <w:marLeft w:val="0"/>
          <w:marRight w:val="0"/>
          <w:marTop w:val="0"/>
          <w:marBottom w:val="0"/>
          <w:divBdr>
            <w:top w:val="none" w:sz="0" w:space="0" w:color="auto"/>
            <w:left w:val="none" w:sz="0" w:space="0" w:color="auto"/>
            <w:bottom w:val="none" w:sz="0" w:space="0" w:color="auto"/>
            <w:right w:val="none" w:sz="0" w:space="0" w:color="auto"/>
          </w:divBdr>
        </w:div>
        <w:div w:id="691803327">
          <w:marLeft w:val="0"/>
          <w:marRight w:val="0"/>
          <w:marTop w:val="0"/>
          <w:marBottom w:val="0"/>
          <w:divBdr>
            <w:top w:val="none" w:sz="0" w:space="0" w:color="auto"/>
            <w:left w:val="none" w:sz="0" w:space="0" w:color="auto"/>
            <w:bottom w:val="none" w:sz="0" w:space="0" w:color="auto"/>
            <w:right w:val="none" w:sz="0" w:space="0" w:color="auto"/>
          </w:divBdr>
        </w:div>
      </w:divsChild>
    </w:div>
    <w:div w:id="1801068039">
      <w:marLeft w:val="0"/>
      <w:marRight w:val="0"/>
      <w:marTop w:val="0"/>
      <w:marBottom w:val="0"/>
      <w:divBdr>
        <w:top w:val="none" w:sz="0" w:space="0" w:color="auto"/>
        <w:left w:val="none" w:sz="0" w:space="0" w:color="auto"/>
        <w:bottom w:val="none" w:sz="0" w:space="0" w:color="auto"/>
        <w:right w:val="none" w:sz="0" w:space="0" w:color="auto"/>
      </w:divBdr>
      <w:divsChild>
        <w:div w:id="965044104">
          <w:marLeft w:val="0"/>
          <w:marRight w:val="0"/>
          <w:marTop w:val="0"/>
          <w:marBottom w:val="0"/>
          <w:divBdr>
            <w:top w:val="none" w:sz="0" w:space="0" w:color="auto"/>
            <w:left w:val="none" w:sz="0" w:space="0" w:color="auto"/>
            <w:bottom w:val="none" w:sz="0" w:space="0" w:color="auto"/>
            <w:right w:val="none" w:sz="0" w:space="0" w:color="auto"/>
          </w:divBdr>
          <w:divsChild>
            <w:div w:id="20343818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2183786">
      <w:marLeft w:val="0"/>
      <w:marRight w:val="0"/>
      <w:marTop w:val="100"/>
      <w:marBottom w:val="100"/>
      <w:divBdr>
        <w:top w:val="none" w:sz="0" w:space="0" w:color="auto"/>
        <w:left w:val="none" w:sz="0" w:space="0" w:color="auto"/>
        <w:bottom w:val="none" w:sz="0" w:space="0" w:color="auto"/>
        <w:right w:val="none" w:sz="0" w:space="0" w:color="auto"/>
      </w:divBdr>
    </w:div>
    <w:div w:id="1803378802">
      <w:marLeft w:val="0"/>
      <w:marRight w:val="0"/>
      <w:marTop w:val="180"/>
      <w:marBottom w:val="180"/>
      <w:divBdr>
        <w:top w:val="none" w:sz="0" w:space="0" w:color="auto"/>
        <w:left w:val="none" w:sz="0" w:space="0" w:color="auto"/>
        <w:bottom w:val="none" w:sz="0" w:space="0" w:color="auto"/>
        <w:right w:val="none" w:sz="0" w:space="0" w:color="auto"/>
      </w:divBdr>
    </w:div>
    <w:div w:id="1803771963">
      <w:marLeft w:val="0"/>
      <w:marRight w:val="0"/>
      <w:marTop w:val="60"/>
      <w:marBottom w:val="60"/>
      <w:divBdr>
        <w:top w:val="none" w:sz="0" w:space="0" w:color="auto"/>
        <w:left w:val="none" w:sz="0" w:space="0" w:color="auto"/>
        <w:bottom w:val="none" w:sz="0" w:space="0" w:color="auto"/>
        <w:right w:val="none" w:sz="0" w:space="0" w:color="auto"/>
      </w:divBdr>
    </w:div>
    <w:div w:id="1806463167">
      <w:marLeft w:val="0"/>
      <w:marRight w:val="0"/>
      <w:marTop w:val="60"/>
      <w:marBottom w:val="60"/>
      <w:divBdr>
        <w:top w:val="none" w:sz="0" w:space="0" w:color="auto"/>
        <w:left w:val="none" w:sz="0" w:space="0" w:color="auto"/>
        <w:bottom w:val="none" w:sz="0" w:space="0" w:color="auto"/>
        <w:right w:val="none" w:sz="0" w:space="0" w:color="auto"/>
      </w:divBdr>
    </w:div>
    <w:div w:id="1806848517">
      <w:marLeft w:val="0"/>
      <w:marRight w:val="0"/>
      <w:marTop w:val="180"/>
      <w:marBottom w:val="180"/>
      <w:divBdr>
        <w:top w:val="none" w:sz="0" w:space="0" w:color="auto"/>
        <w:left w:val="none" w:sz="0" w:space="0" w:color="auto"/>
        <w:bottom w:val="none" w:sz="0" w:space="0" w:color="auto"/>
        <w:right w:val="none" w:sz="0" w:space="0" w:color="auto"/>
      </w:divBdr>
    </w:div>
    <w:div w:id="1807160051">
      <w:marLeft w:val="0"/>
      <w:marRight w:val="0"/>
      <w:marTop w:val="180"/>
      <w:marBottom w:val="60"/>
      <w:divBdr>
        <w:top w:val="none" w:sz="0" w:space="0" w:color="auto"/>
        <w:left w:val="none" w:sz="0" w:space="0" w:color="auto"/>
        <w:bottom w:val="none" w:sz="0" w:space="0" w:color="auto"/>
        <w:right w:val="none" w:sz="0" w:space="0" w:color="auto"/>
      </w:divBdr>
    </w:div>
    <w:div w:id="1808624334">
      <w:marLeft w:val="0"/>
      <w:marRight w:val="0"/>
      <w:marTop w:val="100"/>
      <w:marBottom w:val="100"/>
      <w:divBdr>
        <w:top w:val="none" w:sz="0" w:space="0" w:color="auto"/>
        <w:left w:val="none" w:sz="0" w:space="0" w:color="auto"/>
        <w:bottom w:val="none" w:sz="0" w:space="0" w:color="auto"/>
        <w:right w:val="none" w:sz="0" w:space="0" w:color="auto"/>
      </w:divBdr>
      <w:divsChild>
        <w:div w:id="925696548">
          <w:marLeft w:val="0"/>
          <w:marRight w:val="0"/>
          <w:marTop w:val="0"/>
          <w:marBottom w:val="0"/>
          <w:divBdr>
            <w:top w:val="none" w:sz="0" w:space="0" w:color="auto"/>
            <w:left w:val="none" w:sz="0" w:space="0" w:color="auto"/>
            <w:bottom w:val="none" w:sz="0" w:space="0" w:color="auto"/>
            <w:right w:val="none" w:sz="0" w:space="0" w:color="auto"/>
          </w:divBdr>
        </w:div>
        <w:div w:id="883370577">
          <w:marLeft w:val="0"/>
          <w:marRight w:val="0"/>
          <w:marTop w:val="0"/>
          <w:marBottom w:val="0"/>
          <w:divBdr>
            <w:top w:val="none" w:sz="0" w:space="0" w:color="auto"/>
            <w:left w:val="none" w:sz="0" w:space="0" w:color="auto"/>
            <w:bottom w:val="none" w:sz="0" w:space="0" w:color="auto"/>
            <w:right w:val="none" w:sz="0" w:space="0" w:color="auto"/>
          </w:divBdr>
        </w:div>
        <w:div w:id="2114739173">
          <w:marLeft w:val="0"/>
          <w:marRight w:val="0"/>
          <w:marTop w:val="0"/>
          <w:marBottom w:val="0"/>
          <w:divBdr>
            <w:top w:val="none" w:sz="0" w:space="0" w:color="auto"/>
            <w:left w:val="none" w:sz="0" w:space="0" w:color="auto"/>
            <w:bottom w:val="none" w:sz="0" w:space="0" w:color="auto"/>
            <w:right w:val="none" w:sz="0" w:space="0" w:color="auto"/>
          </w:divBdr>
        </w:div>
        <w:div w:id="300230561">
          <w:marLeft w:val="0"/>
          <w:marRight w:val="0"/>
          <w:marTop w:val="0"/>
          <w:marBottom w:val="0"/>
          <w:divBdr>
            <w:top w:val="none" w:sz="0" w:space="0" w:color="auto"/>
            <w:left w:val="none" w:sz="0" w:space="0" w:color="auto"/>
            <w:bottom w:val="none" w:sz="0" w:space="0" w:color="auto"/>
            <w:right w:val="none" w:sz="0" w:space="0" w:color="auto"/>
          </w:divBdr>
        </w:div>
        <w:div w:id="1667978726">
          <w:marLeft w:val="0"/>
          <w:marRight w:val="0"/>
          <w:marTop w:val="0"/>
          <w:marBottom w:val="0"/>
          <w:divBdr>
            <w:top w:val="none" w:sz="0" w:space="0" w:color="auto"/>
            <w:left w:val="none" w:sz="0" w:space="0" w:color="auto"/>
            <w:bottom w:val="none" w:sz="0" w:space="0" w:color="auto"/>
            <w:right w:val="none" w:sz="0" w:space="0" w:color="auto"/>
          </w:divBdr>
        </w:div>
        <w:div w:id="1797718972">
          <w:marLeft w:val="0"/>
          <w:marRight w:val="0"/>
          <w:marTop w:val="0"/>
          <w:marBottom w:val="0"/>
          <w:divBdr>
            <w:top w:val="none" w:sz="0" w:space="0" w:color="auto"/>
            <w:left w:val="none" w:sz="0" w:space="0" w:color="auto"/>
            <w:bottom w:val="none" w:sz="0" w:space="0" w:color="auto"/>
            <w:right w:val="none" w:sz="0" w:space="0" w:color="auto"/>
          </w:divBdr>
        </w:div>
        <w:div w:id="1543592103">
          <w:marLeft w:val="0"/>
          <w:marRight w:val="0"/>
          <w:marTop w:val="0"/>
          <w:marBottom w:val="0"/>
          <w:divBdr>
            <w:top w:val="none" w:sz="0" w:space="0" w:color="auto"/>
            <w:left w:val="none" w:sz="0" w:space="0" w:color="auto"/>
            <w:bottom w:val="none" w:sz="0" w:space="0" w:color="auto"/>
            <w:right w:val="none" w:sz="0" w:space="0" w:color="auto"/>
          </w:divBdr>
        </w:div>
        <w:div w:id="601839976">
          <w:marLeft w:val="0"/>
          <w:marRight w:val="0"/>
          <w:marTop w:val="0"/>
          <w:marBottom w:val="0"/>
          <w:divBdr>
            <w:top w:val="none" w:sz="0" w:space="0" w:color="auto"/>
            <w:left w:val="none" w:sz="0" w:space="0" w:color="auto"/>
            <w:bottom w:val="none" w:sz="0" w:space="0" w:color="auto"/>
            <w:right w:val="none" w:sz="0" w:space="0" w:color="auto"/>
          </w:divBdr>
        </w:div>
        <w:div w:id="243151001">
          <w:marLeft w:val="0"/>
          <w:marRight w:val="0"/>
          <w:marTop w:val="0"/>
          <w:marBottom w:val="0"/>
          <w:divBdr>
            <w:top w:val="none" w:sz="0" w:space="0" w:color="auto"/>
            <w:left w:val="none" w:sz="0" w:space="0" w:color="auto"/>
            <w:bottom w:val="none" w:sz="0" w:space="0" w:color="auto"/>
            <w:right w:val="none" w:sz="0" w:space="0" w:color="auto"/>
          </w:divBdr>
        </w:div>
        <w:div w:id="31929360">
          <w:marLeft w:val="0"/>
          <w:marRight w:val="0"/>
          <w:marTop w:val="0"/>
          <w:marBottom w:val="0"/>
          <w:divBdr>
            <w:top w:val="none" w:sz="0" w:space="0" w:color="auto"/>
            <w:left w:val="none" w:sz="0" w:space="0" w:color="auto"/>
            <w:bottom w:val="none" w:sz="0" w:space="0" w:color="auto"/>
            <w:right w:val="none" w:sz="0" w:space="0" w:color="auto"/>
          </w:divBdr>
        </w:div>
        <w:div w:id="1513296919">
          <w:marLeft w:val="0"/>
          <w:marRight w:val="0"/>
          <w:marTop w:val="0"/>
          <w:marBottom w:val="0"/>
          <w:divBdr>
            <w:top w:val="none" w:sz="0" w:space="0" w:color="auto"/>
            <w:left w:val="none" w:sz="0" w:space="0" w:color="auto"/>
            <w:bottom w:val="none" w:sz="0" w:space="0" w:color="auto"/>
            <w:right w:val="none" w:sz="0" w:space="0" w:color="auto"/>
          </w:divBdr>
        </w:div>
        <w:div w:id="1441148119">
          <w:marLeft w:val="0"/>
          <w:marRight w:val="0"/>
          <w:marTop w:val="0"/>
          <w:marBottom w:val="0"/>
          <w:divBdr>
            <w:top w:val="none" w:sz="0" w:space="0" w:color="auto"/>
            <w:left w:val="none" w:sz="0" w:space="0" w:color="auto"/>
            <w:bottom w:val="none" w:sz="0" w:space="0" w:color="auto"/>
            <w:right w:val="none" w:sz="0" w:space="0" w:color="auto"/>
          </w:divBdr>
        </w:div>
        <w:div w:id="1339697931">
          <w:marLeft w:val="0"/>
          <w:marRight w:val="0"/>
          <w:marTop w:val="0"/>
          <w:marBottom w:val="0"/>
          <w:divBdr>
            <w:top w:val="none" w:sz="0" w:space="0" w:color="auto"/>
            <w:left w:val="none" w:sz="0" w:space="0" w:color="auto"/>
            <w:bottom w:val="none" w:sz="0" w:space="0" w:color="auto"/>
            <w:right w:val="none" w:sz="0" w:space="0" w:color="auto"/>
          </w:divBdr>
        </w:div>
        <w:div w:id="1463570796">
          <w:marLeft w:val="0"/>
          <w:marRight w:val="0"/>
          <w:marTop w:val="0"/>
          <w:marBottom w:val="0"/>
          <w:divBdr>
            <w:top w:val="none" w:sz="0" w:space="0" w:color="auto"/>
            <w:left w:val="none" w:sz="0" w:space="0" w:color="auto"/>
            <w:bottom w:val="none" w:sz="0" w:space="0" w:color="auto"/>
            <w:right w:val="none" w:sz="0" w:space="0" w:color="auto"/>
          </w:divBdr>
        </w:div>
        <w:div w:id="1251038186">
          <w:marLeft w:val="0"/>
          <w:marRight w:val="0"/>
          <w:marTop w:val="0"/>
          <w:marBottom w:val="0"/>
          <w:divBdr>
            <w:top w:val="none" w:sz="0" w:space="0" w:color="auto"/>
            <w:left w:val="none" w:sz="0" w:space="0" w:color="auto"/>
            <w:bottom w:val="none" w:sz="0" w:space="0" w:color="auto"/>
            <w:right w:val="none" w:sz="0" w:space="0" w:color="auto"/>
          </w:divBdr>
        </w:div>
        <w:div w:id="1365671276">
          <w:marLeft w:val="0"/>
          <w:marRight w:val="0"/>
          <w:marTop w:val="0"/>
          <w:marBottom w:val="0"/>
          <w:divBdr>
            <w:top w:val="none" w:sz="0" w:space="0" w:color="auto"/>
            <w:left w:val="none" w:sz="0" w:space="0" w:color="auto"/>
            <w:bottom w:val="none" w:sz="0" w:space="0" w:color="auto"/>
            <w:right w:val="none" w:sz="0" w:space="0" w:color="auto"/>
          </w:divBdr>
        </w:div>
        <w:div w:id="887454551">
          <w:marLeft w:val="0"/>
          <w:marRight w:val="0"/>
          <w:marTop w:val="0"/>
          <w:marBottom w:val="0"/>
          <w:divBdr>
            <w:top w:val="none" w:sz="0" w:space="0" w:color="auto"/>
            <w:left w:val="none" w:sz="0" w:space="0" w:color="auto"/>
            <w:bottom w:val="none" w:sz="0" w:space="0" w:color="auto"/>
            <w:right w:val="none" w:sz="0" w:space="0" w:color="auto"/>
          </w:divBdr>
        </w:div>
        <w:div w:id="1525360172">
          <w:marLeft w:val="0"/>
          <w:marRight w:val="0"/>
          <w:marTop w:val="0"/>
          <w:marBottom w:val="0"/>
          <w:divBdr>
            <w:top w:val="none" w:sz="0" w:space="0" w:color="auto"/>
            <w:left w:val="none" w:sz="0" w:space="0" w:color="auto"/>
            <w:bottom w:val="none" w:sz="0" w:space="0" w:color="auto"/>
            <w:right w:val="none" w:sz="0" w:space="0" w:color="auto"/>
          </w:divBdr>
        </w:div>
        <w:div w:id="1903984333">
          <w:marLeft w:val="0"/>
          <w:marRight w:val="0"/>
          <w:marTop w:val="0"/>
          <w:marBottom w:val="0"/>
          <w:divBdr>
            <w:top w:val="none" w:sz="0" w:space="0" w:color="auto"/>
            <w:left w:val="none" w:sz="0" w:space="0" w:color="auto"/>
            <w:bottom w:val="none" w:sz="0" w:space="0" w:color="auto"/>
            <w:right w:val="none" w:sz="0" w:space="0" w:color="auto"/>
          </w:divBdr>
        </w:div>
        <w:div w:id="730084441">
          <w:marLeft w:val="0"/>
          <w:marRight w:val="0"/>
          <w:marTop w:val="0"/>
          <w:marBottom w:val="0"/>
          <w:divBdr>
            <w:top w:val="none" w:sz="0" w:space="0" w:color="auto"/>
            <w:left w:val="none" w:sz="0" w:space="0" w:color="auto"/>
            <w:bottom w:val="none" w:sz="0" w:space="0" w:color="auto"/>
            <w:right w:val="none" w:sz="0" w:space="0" w:color="auto"/>
          </w:divBdr>
        </w:div>
        <w:div w:id="1216046131">
          <w:marLeft w:val="0"/>
          <w:marRight w:val="0"/>
          <w:marTop w:val="0"/>
          <w:marBottom w:val="0"/>
          <w:divBdr>
            <w:top w:val="none" w:sz="0" w:space="0" w:color="auto"/>
            <w:left w:val="none" w:sz="0" w:space="0" w:color="auto"/>
            <w:bottom w:val="none" w:sz="0" w:space="0" w:color="auto"/>
            <w:right w:val="none" w:sz="0" w:space="0" w:color="auto"/>
          </w:divBdr>
        </w:div>
      </w:divsChild>
    </w:div>
    <w:div w:id="1808861533">
      <w:marLeft w:val="0"/>
      <w:marRight w:val="0"/>
      <w:marTop w:val="180"/>
      <w:marBottom w:val="60"/>
      <w:divBdr>
        <w:top w:val="none" w:sz="0" w:space="0" w:color="auto"/>
        <w:left w:val="none" w:sz="0" w:space="0" w:color="auto"/>
        <w:bottom w:val="none" w:sz="0" w:space="0" w:color="auto"/>
        <w:right w:val="none" w:sz="0" w:space="0" w:color="auto"/>
      </w:divBdr>
    </w:div>
    <w:div w:id="1808937532">
      <w:marLeft w:val="0"/>
      <w:marRight w:val="0"/>
      <w:marTop w:val="60"/>
      <w:marBottom w:val="60"/>
      <w:divBdr>
        <w:top w:val="none" w:sz="0" w:space="0" w:color="auto"/>
        <w:left w:val="none" w:sz="0" w:space="0" w:color="auto"/>
        <w:bottom w:val="none" w:sz="0" w:space="0" w:color="auto"/>
        <w:right w:val="none" w:sz="0" w:space="0" w:color="auto"/>
      </w:divBdr>
    </w:div>
    <w:div w:id="1809011378">
      <w:marLeft w:val="0"/>
      <w:marRight w:val="0"/>
      <w:marTop w:val="180"/>
      <w:marBottom w:val="180"/>
      <w:divBdr>
        <w:top w:val="none" w:sz="0" w:space="0" w:color="auto"/>
        <w:left w:val="none" w:sz="0" w:space="0" w:color="auto"/>
        <w:bottom w:val="none" w:sz="0" w:space="0" w:color="auto"/>
        <w:right w:val="none" w:sz="0" w:space="0" w:color="auto"/>
      </w:divBdr>
    </w:div>
    <w:div w:id="1809198251">
      <w:marLeft w:val="0"/>
      <w:marRight w:val="0"/>
      <w:marTop w:val="180"/>
      <w:marBottom w:val="180"/>
      <w:divBdr>
        <w:top w:val="none" w:sz="0" w:space="0" w:color="auto"/>
        <w:left w:val="none" w:sz="0" w:space="0" w:color="auto"/>
        <w:bottom w:val="none" w:sz="0" w:space="0" w:color="auto"/>
        <w:right w:val="none" w:sz="0" w:space="0" w:color="auto"/>
      </w:divBdr>
    </w:div>
    <w:div w:id="1809778340">
      <w:marLeft w:val="0"/>
      <w:marRight w:val="0"/>
      <w:marTop w:val="180"/>
      <w:marBottom w:val="100"/>
      <w:divBdr>
        <w:top w:val="none" w:sz="0" w:space="0" w:color="auto"/>
        <w:left w:val="none" w:sz="0" w:space="0" w:color="auto"/>
        <w:bottom w:val="none" w:sz="0" w:space="0" w:color="auto"/>
        <w:right w:val="none" w:sz="0" w:space="0" w:color="auto"/>
      </w:divBdr>
      <w:divsChild>
        <w:div w:id="726950140">
          <w:marLeft w:val="0"/>
          <w:marRight w:val="0"/>
          <w:marTop w:val="60"/>
          <w:marBottom w:val="60"/>
          <w:divBdr>
            <w:top w:val="none" w:sz="0" w:space="0" w:color="auto"/>
            <w:left w:val="none" w:sz="0" w:space="0" w:color="auto"/>
            <w:bottom w:val="none" w:sz="0" w:space="0" w:color="auto"/>
            <w:right w:val="none" w:sz="0" w:space="0" w:color="auto"/>
          </w:divBdr>
        </w:div>
        <w:div w:id="1506895024">
          <w:marLeft w:val="0"/>
          <w:marRight w:val="0"/>
          <w:marTop w:val="60"/>
          <w:marBottom w:val="60"/>
          <w:divBdr>
            <w:top w:val="none" w:sz="0" w:space="0" w:color="auto"/>
            <w:left w:val="none" w:sz="0" w:space="0" w:color="auto"/>
            <w:bottom w:val="none" w:sz="0" w:space="0" w:color="auto"/>
            <w:right w:val="none" w:sz="0" w:space="0" w:color="auto"/>
          </w:divBdr>
        </w:div>
        <w:div w:id="1528373918">
          <w:marLeft w:val="0"/>
          <w:marRight w:val="0"/>
          <w:marTop w:val="60"/>
          <w:marBottom w:val="60"/>
          <w:divBdr>
            <w:top w:val="none" w:sz="0" w:space="0" w:color="auto"/>
            <w:left w:val="none" w:sz="0" w:space="0" w:color="auto"/>
            <w:bottom w:val="none" w:sz="0" w:space="0" w:color="auto"/>
            <w:right w:val="none" w:sz="0" w:space="0" w:color="auto"/>
          </w:divBdr>
        </w:div>
        <w:div w:id="700937546">
          <w:marLeft w:val="0"/>
          <w:marRight w:val="0"/>
          <w:marTop w:val="60"/>
          <w:marBottom w:val="60"/>
          <w:divBdr>
            <w:top w:val="none" w:sz="0" w:space="0" w:color="auto"/>
            <w:left w:val="none" w:sz="0" w:space="0" w:color="auto"/>
            <w:bottom w:val="none" w:sz="0" w:space="0" w:color="auto"/>
            <w:right w:val="none" w:sz="0" w:space="0" w:color="auto"/>
          </w:divBdr>
        </w:div>
      </w:divsChild>
    </w:div>
    <w:div w:id="1811046534">
      <w:marLeft w:val="0"/>
      <w:marRight w:val="0"/>
      <w:marTop w:val="100"/>
      <w:marBottom w:val="60"/>
      <w:divBdr>
        <w:top w:val="none" w:sz="0" w:space="0" w:color="auto"/>
        <w:left w:val="none" w:sz="0" w:space="0" w:color="auto"/>
        <w:bottom w:val="none" w:sz="0" w:space="0" w:color="auto"/>
        <w:right w:val="none" w:sz="0" w:space="0" w:color="auto"/>
      </w:divBdr>
    </w:div>
    <w:div w:id="1811360608">
      <w:marLeft w:val="0"/>
      <w:marRight w:val="0"/>
      <w:marTop w:val="60"/>
      <w:marBottom w:val="60"/>
      <w:divBdr>
        <w:top w:val="none" w:sz="0" w:space="0" w:color="auto"/>
        <w:left w:val="none" w:sz="0" w:space="0" w:color="auto"/>
        <w:bottom w:val="none" w:sz="0" w:space="0" w:color="auto"/>
        <w:right w:val="none" w:sz="0" w:space="0" w:color="auto"/>
      </w:divBdr>
    </w:div>
    <w:div w:id="1811753218">
      <w:marLeft w:val="0"/>
      <w:marRight w:val="0"/>
      <w:marTop w:val="180"/>
      <w:marBottom w:val="180"/>
      <w:divBdr>
        <w:top w:val="none" w:sz="0" w:space="0" w:color="auto"/>
        <w:left w:val="none" w:sz="0" w:space="0" w:color="auto"/>
        <w:bottom w:val="none" w:sz="0" w:space="0" w:color="auto"/>
        <w:right w:val="none" w:sz="0" w:space="0" w:color="auto"/>
      </w:divBdr>
    </w:div>
    <w:div w:id="1812476405">
      <w:marLeft w:val="0"/>
      <w:marRight w:val="0"/>
      <w:marTop w:val="60"/>
      <w:marBottom w:val="60"/>
      <w:divBdr>
        <w:top w:val="none" w:sz="0" w:space="0" w:color="auto"/>
        <w:left w:val="none" w:sz="0" w:space="0" w:color="auto"/>
        <w:bottom w:val="none" w:sz="0" w:space="0" w:color="auto"/>
        <w:right w:val="none" w:sz="0" w:space="0" w:color="auto"/>
      </w:divBdr>
    </w:div>
    <w:div w:id="1812939076">
      <w:marLeft w:val="0"/>
      <w:marRight w:val="0"/>
      <w:marTop w:val="180"/>
      <w:marBottom w:val="180"/>
      <w:divBdr>
        <w:top w:val="none" w:sz="0" w:space="0" w:color="auto"/>
        <w:left w:val="none" w:sz="0" w:space="0" w:color="auto"/>
        <w:bottom w:val="none" w:sz="0" w:space="0" w:color="auto"/>
        <w:right w:val="none" w:sz="0" w:space="0" w:color="auto"/>
      </w:divBdr>
    </w:div>
    <w:div w:id="1817837863">
      <w:marLeft w:val="0"/>
      <w:marRight w:val="0"/>
      <w:marTop w:val="180"/>
      <w:marBottom w:val="180"/>
      <w:divBdr>
        <w:top w:val="none" w:sz="0" w:space="0" w:color="auto"/>
        <w:left w:val="none" w:sz="0" w:space="0" w:color="auto"/>
        <w:bottom w:val="none" w:sz="0" w:space="0" w:color="auto"/>
        <w:right w:val="none" w:sz="0" w:space="0" w:color="auto"/>
      </w:divBdr>
    </w:div>
    <w:div w:id="1820028669">
      <w:marLeft w:val="0"/>
      <w:marRight w:val="0"/>
      <w:marTop w:val="60"/>
      <w:marBottom w:val="60"/>
      <w:divBdr>
        <w:top w:val="none" w:sz="0" w:space="0" w:color="auto"/>
        <w:left w:val="none" w:sz="0" w:space="0" w:color="auto"/>
        <w:bottom w:val="none" w:sz="0" w:space="0" w:color="auto"/>
        <w:right w:val="none" w:sz="0" w:space="0" w:color="auto"/>
      </w:divBdr>
    </w:div>
    <w:div w:id="1821458760">
      <w:marLeft w:val="0"/>
      <w:marRight w:val="0"/>
      <w:marTop w:val="180"/>
      <w:marBottom w:val="180"/>
      <w:divBdr>
        <w:top w:val="none" w:sz="0" w:space="0" w:color="auto"/>
        <w:left w:val="none" w:sz="0" w:space="0" w:color="auto"/>
        <w:bottom w:val="none" w:sz="0" w:space="0" w:color="auto"/>
        <w:right w:val="none" w:sz="0" w:space="0" w:color="auto"/>
      </w:divBdr>
    </w:div>
    <w:div w:id="1821538970">
      <w:marLeft w:val="0"/>
      <w:marRight w:val="0"/>
      <w:marTop w:val="0"/>
      <w:marBottom w:val="0"/>
      <w:divBdr>
        <w:top w:val="none" w:sz="0" w:space="0" w:color="auto"/>
        <w:left w:val="none" w:sz="0" w:space="0" w:color="auto"/>
        <w:bottom w:val="none" w:sz="0" w:space="0" w:color="auto"/>
        <w:right w:val="none" w:sz="0" w:space="0" w:color="auto"/>
      </w:divBdr>
      <w:divsChild>
        <w:div w:id="2104954126">
          <w:marLeft w:val="0"/>
          <w:marRight w:val="0"/>
          <w:marTop w:val="180"/>
          <w:marBottom w:val="180"/>
          <w:divBdr>
            <w:top w:val="none" w:sz="0" w:space="0" w:color="auto"/>
            <w:left w:val="none" w:sz="0" w:space="0" w:color="auto"/>
            <w:bottom w:val="none" w:sz="0" w:space="0" w:color="auto"/>
            <w:right w:val="none" w:sz="0" w:space="0" w:color="auto"/>
          </w:divBdr>
        </w:div>
      </w:divsChild>
    </w:div>
    <w:div w:id="1821578606">
      <w:marLeft w:val="0"/>
      <w:marRight w:val="0"/>
      <w:marTop w:val="180"/>
      <w:marBottom w:val="60"/>
      <w:divBdr>
        <w:top w:val="none" w:sz="0" w:space="0" w:color="auto"/>
        <w:left w:val="none" w:sz="0" w:space="0" w:color="auto"/>
        <w:bottom w:val="none" w:sz="0" w:space="0" w:color="auto"/>
        <w:right w:val="none" w:sz="0" w:space="0" w:color="auto"/>
      </w:divBdr>
    </w:div>
    <w:div w:id="1821996590">
      <w:marLeft w:val="0"/>
      <w:marRight w:val="0"/>
      <w:marTop w:val="180"/>
      <w:marBottom w:val="180"/>
      <w:divBdr>
        <w:top w:val="none" w:sz="0" w:space="0" w:color="auto"/>
        <w:left w:val="none" w:sz="0" w:space="0" w:color="auto"/>
        <w:bottom w:val="none" w:sz="0" w:space="0" w:color="auto"/>
        <w:right w:val="none" w:sz="0" w:space="0" w:color="auto"/>
      </w:divBdr>
    </w:div>
    <w:div w:id="1823278463">
      <w:marLeft w:val="0"/>
      <w:marRight w:val="0"/>
      <w:marTop w:val="60"/>
      <w:marBottom w:val="60"/>
      <w:divBdr>
        <w:top w:val="none" w:sz="0" w:space="0" w:color="auto"/>
        <w:left w:val="none" w:sz="0" w:space="0" w:color="auto"/>
        <w:bottom w:val="none" w:sz="0" w:space="0" w:color="auto"/>
        <w:right w:val="none" w:sz="0" w:space="0" w:color="auto"/>
      </w:divBdr>
    </w:div>
    <w:div w:id="1825118703">
      <w:marLeft w:val="0"/>
      <w:marRight w:val="0"/>
      <w:marTop w:val="0"/>
      <w:marBottom w:val="0"/>
      <w:divBdr>
        <w:top w:val="none" w:sz="0" w:space="0" w:color="auto"/>
        <w:left w:val="none" w:sz="0" w:space="0" w:color="auto"/>
        <w:bottom w:val="none" w:sz="0" w:space="0" w:color="auto"/>
        <w:right w:val="none" w:sz="0" w:space="0" w:color="auto"/>
      </w:divBdr>
      <w:divsChild>
        <w:div w:id="1879581578">
          <w:marLeft w:val="0"/>
          <w:marRight w:val="0"/>
          <w:marTop w:val="0"/>
          <w:marBottom w:val="0"/>
          <w:divBdr>
            <w:top w:val="none" w:sz="0" w:space="0" w:color="auto"/>
            <w:left w:val="none" w:sz="0" w:space="0" w:color="auto"/>
            <w:bottom w:val="none" w:sz="0" w:space="0" w:color="auto"/>
            <w:right w:val="none" w:sz="0" w:space="0" w:color="auto"/>
          </w:divBdr>
          <w:divsChild>
            <w:div w:id="12274924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5126232">
      <w:marLeft w:val="0"/>
      <w:marRight w:val="0"/>
      <w:marTop w:val="180"/>
      <w:marBottom w:val="60"/>
      <w:divBdr>
        <w:top w:val="none" w:sz="0" w:space="0" w:color="auto"/>
        <w:left w:val="none" w:sz="0" w:space="0" w:color="auto"/>
        <w:bottom w:val="none" w:sz="0" w:space="0" w:color="auto"/>
        <w:right w:val="none" w:sz="0" w:space="0" w:color="auto"/>
      </w:divBdr>
    </w:div>
    <w:div w:id="1826624567">
      <w:marLeft w:val="0"/>
      <w:marRight w:val="0"/>
      <w:marTop w:val="60"/>
      <w:marBottom w:val="60"/>
      <w:divBdr>
        <w:top w:val="none" w:sz="0" w:space="0" w:color="auto"/>
        <w:left w:val="none" w:sz="0" w:space="0" w:color="auto"/>
        <w:bottom w:val="none" w:sz="0" w:space="0" w:color="auto"/>
        <w:right w:val="none" w:sz="0" w:space="0" w:color="auto"/>
      </w:divBdr>
    </w:div>
    <w:div w:id="1828745758">
      <w:marLeft w:val="0"/>
      <w:marRight w:val="0"/>
      <w:marTop w:val="180"/>
      <w:marBottom w:val="180"/>
      <w:divBdr>
        <w:top w:val="none" w:sz="0" w:space="0" w:color="auto"/>
        <w:left w:val="none" w:sz="0" w:space="0" w:color="auto"/>
        <w:bottom w:val="none" w:sz="0" w:space="0" w:color="auto"/>
        <w:right w:val="none" w:sz="0" w:space="0" w:color="auto"/>
      </w:divBdr>
    </w:div>
    <w:div w:id="1830947261">
      <w:marLeft w:val="0"/>
      <w:marRight w:val="0"/>
      <w:marTop w:val="100"/>
      <w:marBottom w:val="100"/>
      <w:divBdr>
        <w:top w:val="none" w:sz="0" w:space="0" w:color="auto"/>
        <w:left w:val="none" w:sz="0" w:space="0" w:color="auto"/>
        <w:bottom w:val="none" w:sz="0" w:space="0" w:color="auto"/>
        <w:right w:val="none" w:sz="0" w:space="0" w:color="auto"/>
      </w:divBdr>
      <w:divsChild>
        <w:div w:id="1023870509">
          <w:marLeft w:val="0"/>
          <w:marRight w:val="0"/>
          <w:marTop w:val="0"/>
          <w:marBottom w:val="0"/>
          <w:divBdr>
            <w:top w:val="none" w:sz="0" w:space="0" w:color="auto"/>
            <w:left w:val="none" w:sz="0" w:space="0" w:color="auto"/>
            <w:bottom w:val="none" w:sz="0" w:space="0" w:color="auto"/>
            <w:right w:val="none" w:sz="0" w:space="0" w:color="auto"/>
          </w:divBdr>
        </w:div>
        <w:div w:id="1775634942">
          <w:marLeft w:val="0"/>
          <w:marRight w:val="0"/>
          <w:marTop w:val="0"/>
          <w:marBottom w:val="0"/>
          <w:divBdr>
            <w:top w:val="none" w:sz="0" w:space="0" w:color="auto"/>
            <w:left w:val="none" w:sz="0" w:space="0" w:color="auto"/>
            <w:bottom w:val="none" w:sz="0" w:space="0" w:color="auto"/>
            <w:right w:val="none" w:sz="0" w:space="0" w:color="auto"/>
          </w:divBdr>
        </w:div>
        <w:div w:id="1911425040">
          <w:marLeft w:val="0"/>
          <w:marRight w:val="0"/>
          <w:marTop w:val="0"/>
          <w:marBottom w:val="0"/>
          <w:divBdr>
            <w:top w:val="none" w:sz="0" w:space="0" w:color="auto"/>
            <w:left w:val="none" w:sz="0" w:space="0" w:color="auto"/>
            <w:bottom w:val="none" w:sz="0" w:space="0" w:color="auto"/>
            <w:right w:val="none" w:sz="0" w:space="0" w:color="auto"/>
          </w:divBdr>
        </w:div>
        <w:div w:id="1240941505">
          <w:marLeft w:val="0"/>
          <w:marRight w:val="0"/>
          <w:marTop w:val="0"/>
          <w:marBottom w:val="0"/>
          <w:divBdr>
            <w:top w:val="none" w:sz="0" w:space="0" w:color="auto"/>
            <w:left w:val="none" w:sz="0" w:space="0" w:color="auto"/>
            <w:bottom w:val="none" w:sz="0" w:space="0" w:color="auto"/>
            <w:right w:val="none" w:sz="0" w:space="0" w:color="auto"/>
          </w:divBdr>
        </w:div>
        <w:div w:id="1449353599">
          <w:marLeft w:val="0"/>
          <w:marRight w:val="0"/>
          <w:marTop w:val="0"/>
          <w:marBottom w:val="0"/>
          <w:divBdr>
            <w:top w:val="none" w:sz="0" w:space="0" w:color="auto"/>
            <w:left w:val="none" w:sz="0" w:space="0" w:color="auto"/>
            <w:bottom w:val="none" w:sz="0" w:space="0" w:color="auto"/>
            <w:right w:val="none" w:sz="0" w:space="0" w:color="auto"/>
          </w:divBdr>
        </w:div>
        <w:div w:id="1966614250">
          <w:marLeft w:val="0"/>
          <w:marRight w:val="0"/>
          <w:marTop w:val="0"/>
          <w:marBottom w:val="0"/>
          <w:divBdr>
            <w:top w:val="none" w:sz="0" w:space="0" w:color="auto"/>
            <w:left w:val="none" w:sz="0" w:space="0" w:color="auto"/>
            <w:bottom w:val="none" w:sz="0" w:space="0" w:color="auto"/>
            <w:right w:val="none" w:sz="0" w:space="0" w:color="auto"/>
          </w:divBdr>
        </w:div>
        <w:div w:id="1803885634">
          <w:marLeft w:val="0"/>
          <w:marRight w:val="0"/>
          <w:marTop w:val="0"/>
          <w:marBottom w:val="0"/>
          <w:divBdr>
            <w:top w:val="none" w:sz="0" w:space="0" w:color="auto"/>
            <w:left w:val="none" w:sz="0" w:space="0" w:color="auto"/>
            <w:bottom w:val="none" w:sz="0" w:space="0" w:color="auto"/>
            <w:right w:val="none" w:sz="0" w:space="0" w:color="auto"/>
          </w:divBdr>
        </w:div>
        <w:div w:id="356859172">
          <w:marLeft w:val="0"/>
          <w:marRight w:val="0"/>
          <w:marTop w:val="0"/>
          <w:marBottom w:val="0"/>
          <w:divBdr>
            <w:top w:val="none" w:sz="0" w:space="0" w:color="auto"/>
            <w:left w:val="none" w:sz="0" w:space="0" w:color="auto"/>
            <w:bottom w:val="none" w:sz="0" w:space="0" w:color="auto"/>
            <w:right w:val="none" w:sz="0" w:space="0" w:color="auto"/>
          </w:divBdr>
        </w:div>
        <w:div w:id="700395723">
          <w:marLeft w:val="0"/>
          <w:marRight w:val="0"/>
          <w:marTop w:val="0"/>
          <w:marBottom w:val="0"/>
          <w:divBdr>
            <w:top w:val="none" w:sz="0" w:space="0" w:color="auto"/>
            <w:left w:val="none" w:sz="0" w:space="0" w:color="auto"/>
            <w:bottom w:val="none" w:sz="0" w:space="0" w:color="auto"/>
            <w:right w:val="none" w:sz="0" w:space="0" w:color="auto"/>
          </w:divBdr>
        </w:div>
        <w:div w:id="86773093">
          <w:marLeft w:val="0"/>
          <w:marRight w:val="0"/>
          <w:marTop w:val="0"/>
          <w:marBottom w:val="0"/>
          <w:divBdr>
            <w:top w:val="none" w:sz="0" w:space="0" w:color="auto"/>
            <w:left w:val="none" w:sz="0" w:space="0" w:color="auto"/>
            <w:bottom w:val="none" w:sz="0" w:space="0" w:color="auto"/>
            <w:right w:val="none" w:sz="0" w:space="0" w:color="auto"/>
          </w:divBdr>
        </w:div>
        <w:div w:id="1689022875">
          <w:marLeft w:val="0"/>
          <w:marRight w:val="0"/>
          <w:marTop w:val="0"/>
          <w:marBottom w:val="0"/>
          <w:divBdr>
            <w:top w:val="none" w:sz="0" w:space="0" w:color="auto"/>
            <w:left w:val="none" w:sz="0" w:space="0" w:color="auto"/>
            <w:bottom w:val="none" w:sz="0" w:space="0" w:color="auto"/>
            <w:right w:val="none" w:sz="0" w:space="0" w:color="auto"/>
          </w:divBdr>
        </w:div>
        <w:div w:id="1723868626">
          <w:marLeft w:val="0"/>
          <w:marRight w:val="0"/>
          <w:marTop w:val="0"/>
          <w:marBottom w:val="0"/>
          <w:divBdr>
            <w:top w:val="none" w:sz="0" w:space="0" w:color="auto"/>
            <w:left w:val="none" w:sz="0" w:space="0" w:color="auto"/>
            <w:bottom w:val="none" w:sz="0" w:space="0" w:color="auto"/>
            <w:right w:val="none" w:sz="0" w:space="0" w:color="auto"/>
          </w:divBdr>
        </w:div>
        <w:div w:id="1975063461">
          <w:marLeft w:val="0"/>
          <w:marRight w:val="0"/>
          <w:marTop w:val="0"/>
          <w:marBottom w:val="0"/>
          <w:divBdr>
            <w:top w:val="none" w:sz="0" w:space="0" w:color="auto"/>
            <w:left w:val="none" w:sz="0" w:space="0" w:color="auto"/>
            <w:bottom w:val="none" w:sz="0" w:space="0" w:color="auto"/>
            <w:right w:val="none" w:sz="0" w:space="0" w:color="auto"/>
          </w:divBdr>
        </w:div>
        <w:div w:id="1074357906">
          <w:marLeft w:val="0"/>
          <w:marRight w:val="0"/>
          <w:marTop w:val="0"/>
          <w:marBottom w:val="0"/>
          <w:divBdr>
            <w:top w:val="none" w:sz="0" w:space="0" w:color="auto"/>
            <w:left w:val="none" w:sz="0" w:space="0" w:color="auto"/>
            <w:bottom w:val="none" w:sz="0" w:space="0" w:color="auto"/>
            <w:right w:val="none" w:sz="0" w:space="0" w:color="auto"/>
          </w:divBdr>
        </w:div>
        <w:div w:id="295993306">
          <w:marLeft w:val="0"/>
          <w:marRight w:val="0"/>
          <w:marTop w:val="0"/>
          <w:marBottom w:val="0"/>
          <w:divBdr>
            <w:top w:val="none" w:sz="0" w:space="0" w:color="auto"/>
            <w:left w:val="none" w:sz="0" w:space="0" w:color="auto"/>
            <w:bottom w:val="none" w:sz="0" w:space="0" w:color="auto"/>
            <w:right w:val="none" w:sz="0" w:space="0" w:color="auto"/>
          </w:divBdr>
        </w:div>
        <w:div w:id="26377989">
          <w:marLeft w:val="0"/>
          <w:marRight w:val="0"/>
          <w:marTop w:val="0"/>
          <w:marBottom w:val="0"/>
          <w:divBdr>
            <w:top w:val="none" w:sz="0" w:space="0" w:color="auto"/>
            <w:left w:val="none" w:sz="0" w:space="0" w:color="auto"/>
            <w:bottom w:val="none" w:sz="0" w:space="0" w:color="auto"/>
            <w:right w:val="none" w:sz="0" w:space="0" w:color="auto"/>
          </w:divBdr>
        </w:div>
        <w:div w:id="532963498">
          <w:marLeft w:val="0"/>
          <w:marRight w:val="0"/>
          <w:marTop w:val="0"/>
          <w:marBottom w:val="0"/>
          <w:divBdr>
            <w:top w:val="none" w:sz="0" w:space="0" w:color="auto"/>
            <w:left w:val="none" w:sz="0" w:space="0" w:color="auto"/>
            <w:bottom w:val="none" w:sz="0" w:space="0" w:color="auto"/>
            <w:right w:val="none" w:sz="0" w:space="0" w:color="auto"/>
          </w:divBdr>
        </w:div>
        <w:div w:id="296422232">
          <w:marLeft w:val="0"/>
          <w:marRight w:val="0"/>
          <w:marTop w:val="0"/>
          <w:marBottom w:val="0"/>
          <w:divBdr>
            <w:top w:val="none" w:sz="0" w:space="0" w:color="auto"/>
            <w:left w:val="none" w:sz="0" w:space="0" w:color="auto"/>
            <w:bottom w:val="none" w:sz="0" w:space="0" w:color="auto"/>
            <w:right w:val="none" w:sz="0" w:space="0" w:color="auto"/>
          </w:divBdr>
        </w:div>
        <w:div w:id="1082290258">
          <w:marLeft w:val="0"/>
          <w:marRight w:val="0"/>
          <w:marTop w:val="0"/>
          <w:marBottom w:val="0"/>
          <w:divBdr>
            <w:top w:val="none" w:sz="0" w:space="0" w:color="auto"/>
            <w:left w:val="none" w:sz="0" w:space="0" w:color="auto"/>
            <w:bottom w:val="none" w:sz="0" w:space="0" w:color="auto"/>
            <w:right w:val="none" w:sz="0" w:space="0" w:color="auto"/>
          </w:divBdr>
        </w:div>
        <w:div w:id="584343884">
          <w:marLeft w:val="0"/>
          <w:marRight w:val="0"/>
          <w:marTop w:val="0"/>
          <w:marBottom w:val="0"/>
          <w:divBdr>
            <w:top w:val="none" w:sz="0" w:space="0" w:color="auto"/>
            <w:left w:val="none" w:sz="0" w:space="0" w:color="auto"/>
            <w:bottom w:val="none" w:sz="0" w:space="0" w:color="auto"/>
            <w:right w:val="none" w:sz="0" w:space="0" w:color="auto"/>
          </w:divBdr>
        </w:div>
        <w:div w:id="958217711">
          <w:marLeft w:val="0"/>
          <w:marRight w:val="0"/>
          <w:marTop w:val="0"/>
          <w:marBottom w:val="0"/>
          <w:divBdr>
            <w:top w:val="none" w:sz="0" w:space="0" w:color="auto"/>
            <w:left w:val="none" w:sz="0" w:space="0" w:color="auto"/>
            <w:bottom w:val="none" w:sz="0" w:space="0" w:color="auto"/>
            <w:right w:val="none" w:sz="0" w:space="0" w:color="auto"/>
          </w:divBdr>
        </w:div>
      </w:divsChild>
    </w:div>
    <w:div w:id="1831168712">
      <w:marLeft w:val="0"/>
      <w:marRight w:val="0"/>
      <w:marTop w:val="180"/>
      <w:marBottom w:val="180"/>
      <w:divBdr>
        <w:top w:val="none" w:sz="0" w:space="0" w:color="auto"/>
        <w:left w:val="none" w:sz="0" w:space="0" w:color="auto"/>
        <w:bottom w:val="none" w:sz="0" w:space="0" w:color="auto"/>
        <w:right w:val="none" w:sz="0" w:space="0" w:color="auto"/>
      </w:divBdr>
    </w:div>
    <w:div w:id="1835293392">
      <w:marLeft w:val="0"/>
      <w:marRight w:val="0"/>
      <w:marTop w:val="180"/>
      <w:marBottom w:val="180"/>
      <w:divBdr>
        <w:top w:val="none" w:sz="0" w:space="0" w:color="auto"/>
        <w:left w:val="none" w:sz="0" w:space="0" w:color="auto"/>
        <w:bottom w:val="none" w:sz="0" w:space="0" w:color="auto"/>
        <w:right w:val="none" w:sz="0" w:space="0" w:color="auto"/>
      </w:divBdr>
    </w:div>
    <w:div w:id="1835340090">
      <w:marLeft w:val="0"/>
      <w:marRight w:val="0"/>
      <w:marTop w:val="100"/>
      <w:marBottom w:val="100"/>
      <w:divBdr>
        <w:top w:val="none" w:sz="0" w:space="0" w:color="auto"/>
        <w:left w:val="none" w:sz="0" w:space="0" w:color="auto"/>
        <w:bottom w:val="none" w:sz="0" w:space="0" w:color="auto"/>
        <w:right w:val="none" w:sz="0" w:space="0" w:color="auto"/>
      </w:divBdr>
    </w:div>
    <w:div w:id="1837771069">
      <w:marLeft w:val="0"/>
      <w:marRight w:val="0"/>
      <w:marTop w:val="60"/>
      <w:marBottom w:val="60"/>
      <w:divBdr>
        <w:top w:val="none" w:sz="0" w:space="0" w:color="auto"/>
        <w:left w:val="none" w:sz="0" w:space="0" w:color="auto"/>
        <w:bottom w:val="none" w:sz="0" w:space="0" w:color="auto"/>
        <w:right w:val="none" w:sz="0" w:space="0" w:color="auto"/>
      </w:divBdr>
    </w:div>
    <w:div w:id="1839297931">
      <w:marLeft w:val="0"/>
      <w:marRight w:val="0"/>
      <w:marTop w:val="60"/>
      <w:marBottom w:val="60"/>
      <w:divBdr>
        <w:top w:val="none" w:sz="0" w:space="0" w:color="auto"/>
        <w:left w:val="none" w:sz="0" w:space="0" w:color="auto"/>
        <w:bottom w:val="none" w:sz="0" w:space="0" w:color="auto"/>
        <w:right w:val="none" w:sz="0" w:space="0" w:color="auto"/>
      </w:divBdr>
    </w:div>
    <w:div w:id="1839692309">
      <w:marLeft w:val="0"/>
      <w:marRight w:val="0"/>
      <w:marTop w:val="100"/>
      <w:marBottom w:val="100"/>
      <w:divBdr>
        <w:top w:val="none" w:sz="0" w:space="0" w:color="auto"/>
        <w:left w:val="none" w:sz="0" w:space="0" w:color="auto"/>
        <w:bottom w:val="none" w:sz="0" w:space="0" w:color="auto"/>
        <w:right w:val="none" w:sz="0" w:space="0" w:color="auto"/>
      </w:divBdr>
      <w:divsChild>
        <w:div w:id="147601593">
          <w:marLeft w:val="0"/>
          <w:marRight w:val="0"/>
          <w:marTop w:val="0"/>
          <w:marBottom w:val="0"/>
          <w:divBdr>
            <w:top w:val="none" w:sz="0" w:space="0" w:color="auto"/>
            <w:left w:val="none" w:sz="0" w:space="0" w:color="auto"/>
            <w:bottom w:val="none" w:sz="0" w:space="0" w:color="auto"/>
            <w:right w:val="none" w:sz="0" w:space="0" w:color="auto"/>
          </w:divBdr>
        </w:div>
      </w:divsChild>
    </w:div>
    <w:div w:id="1840387391">
      <w:marLeft w:val="0"/>
      <w:marRight w:val="0"/>
      <w:marTop w:val="180"/>
      <w:marBottom w:val="180"/>
      <w:divBdr>
        <w:top w:val="none" w:sz="0" w:space="0" w:color="auto"/>
        <w:left w:val="none" w:sz="0" w:space="0" w:color="auto"/>
        <w:bottom w:val="none" w:sz="0" w:space="0" w:color="auto"/>
        <w:right w:val="none" w:sz="0" w:space="0" w:color="auto"/>
      </w:divBdr>
    </w:div>
    <w:div w:id="1840656091">
      <w:marLeft w:val="0"/>
      <w:marRight w:val="0"/>
      <w:marTop w:val="60"/>
      <w:marBottom w:val="60"/>
      <w:divBdr>
        <w:top w:val="none" w:sz="0" w:space="0" w:color="auto"/>
        <w:left w:val="none" w:sz="0" w:space="0" w:color="auto"/>
        <w:bottom w:val="none" w:sz="0" w:space="0" w:color="auto"/>
        <w:right w:val="none" w:sz="0" w:space="0" w:color="auto"/>
      </w:divBdr>
    </w:div>
    <w:div w:id="1840921001">
      <w:marLeft w:val="0"/>
      <w:marRight w:val="0"/>
      <w:marTop w:val="180"/>
      <w:marBottom w:val="100"/>
      <w:divBdr>
        <w:top w:val="none" w:sz="0" w:space="0" w:color="auto"/>
        <w:left w:val="none" w:sz="0" w:space="0" w:color="auto"/>
        <w:bottom w:val="none" w:sz="0" w:space="0" w:color="auto"/>
        <w:right w:val="none" w:sz="0" w:space="0" w:color="auto"/>
      </w:divBdr>
      <w:divsChild>
        <w:div w:id="590089101">
          <w:marLeft w:val="0"/>
          <w:marRight w:val="0"/>
          <w:marTop w:val="0"/>
          <w:marBottom w:val="0"/>
          <w:divBdr>
            <w:top w:val="none" w:sz="0" w:space="0" w:color="auto"/>
            <w:left w:val="none" w:sz="0" w:space="0" w:color="auto"/>
            <w:bottom w:val="none" w:sz="0" w:space="0" w:color="auto"/>
            <w:right w:val="none" w:sz="0" w:space="0" w:color="auto"/>
          </w:divBdr>
        </w:div>
      </w:divsChild>
    </w:div>
    <w:div w:id="1842621028">
      <w:marLeft w:val="0"/>
      <w:marRight w:val="0"/>
      <w:marTop w:val="180"/>
      <w:marBottom w:val="180"/>
      <w:divBdr>
        <w:top w:val="none" w:sz="0" w:space="0" w:color="auto"/>
        <w:left w:val="none" w:sz="0" w:space="0" w:color="auto"/>
        <w:bottom w:val="none" w:sz="0" w:space="0" w:color="auto"/>
        <w:right w:val="none" w:sz="0" w:space="0" w:color="auto"/>
      </w:divBdr>
    </w:div>
    <w:div w:id="1845894355">
      <w:marLeft w:val="0"/>
      <w:marRight w:val="0"/>
      <w:marTop w:val="0"/>
      <w:marBottom w:val="0"/>
      <w:divBdr>
        <w:top w:val="none" w:sz="0" w:space="0" w:color="auto"/>
        <w:left w:val="none" w:sz="0" w:space="0" w:color="auto"/>
        <w:bottom w:val="none" w:sz="0" w:space="0" w:color="auto"/>
        <w:right w:val="none" w:sz="0" w:space="0" w:color="auto"/>
      </w:divBdr>
      <w:divsChild>
        <w:div w:id="1621764038">
          <w:marLeft w:val="0"/>
          <w:marRight w:val="0"/>
          <w:marTop w:val="0"/>
          <w:marBottom w:val="0"/>
          <w:divBdr>
            <w:top w:val="none" w:sz="0" w:space="0" w:color="auto"/>
            <w:left w:val="none" w:sz="0" w:space="0" w:color="auto"/>
            <w:bottom w:val="none" w:sz="0" w:space="0" w:color="auto"/>
            <w:right w:val="none" w:sz="0" w:space="0" w:color="auto"/>
          </w:divBdr>
          <w:divsChild>
            <w:div w:id="524248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7742102">
      <w:marLeft w:val="0"/>
      <w:marRight w:val="0"/>
      <w:marTop w:val="0"/>
      <w:marBottom w:val="0"/>
      <w:divBdr>
        <w:top w:val="none" w:sz="0" w:space="0" w:color="auto"/>
        <w:left w:val="none" w:sz="0" w:space="0" w:color="auto"/>
        <w:bottom w:val="none" w:sz="0" w:space="0" w:color="auto"/>
        <w:right w:val="none" w:sz="0" w:space="0" w:color="auto"/>
      </w:divBdr>
      <w:divsChild>
        <w:div w:id="803238432">
          <w:marLeft w:val="0"/>
          <w:marRight w:val="0"/>
          <w:marTop w:val="180"/>
          <w:marBottom w:val="180"/>
          <w:divBdr>
            <w:top w:val="none" w:sz="0" w:space="0" w:color="auto"/>
            <w:left w:val="none" w:sz="0" w:space="0" w:color="auto"/>
            <w:bottom w:val="none" w:sz="0" w:space="0" w:color="auto"/>
            <w:right w:val="none" w:sz="0" w:space="0" w:color="auto"/>
          </w:divBdr>
        </w:div>
      </w:divsChild>
    </w:div>
    <w:div w:id="1848792516">
      <w:marLeft w:val="0"/>
      <w:marRight w:val="0"/>
      <w:marTop w:val="180"/>
      <w:marBottom w:val="180"/>
      <w:divBdr>
        <w:top w:val="none" w:sz="0" w:space="0" w:color="auto"/>
        <w:left w:val="none" w:sz="0" w:space="0" w:color="auto"/>
        <w:bottom w:val="none" w:sz="0" w:space="0" w:color="auto"/>
        <w:right w:val="none" w:sz="0" w:space="0" w:color="auto"/>
      </w:divBdr>
    </w:div>
    <w:div w:id="1850944513">
      <w:marLeft w:val="0"/>
      <w:marRight w:val="0"/>
      <w:marTop w:val="180"/>
      <w:marBottom w:val="180"/>
      <w:divBdr>
        <w:top w:val="none" w:sz="0" w:space="0" w:color="auto"/>
        <w:left w:val="none" w:sz="0" w:space="0" w:color="auto"/>
        <w:bottom w:val="none" w:sz="0" w:space="0" w:color="auto"/>
        <w:right w:val="none" w:sz="0" w:space="0" w:color="auto"/>
      </w:divBdr>
    </w:div>
    <w:div w:id="1851069333">
      <w:marLeft w:val="0"/>
      <w:marRight w:val="0"/>
      <w:marTop w:val="180"/>
      <w:marBottom w:val="60"/>
      <w:divBdr>
        <w:top w:val="none" w:sz="0" w:space="0" w:color="auto"/>
        <w:left w:val="none" w:sz="0" w:space="0" w:color="auto"/>
        <w:bottom w:val="none" w:sz="0" w:space="0" w:color="auto"/>
        <w:right w:val="none" w:sz="0" w:space="0" w:color="auto"/>
      </w:divBdr>
    </w:div>
    <w:div w:id="1851289873">
      <w:marLeft w:val="0"/>
      <w:marRight w:val="0"/>
      <w:marTop w:val="180"/>
      <w:marBottom w:val="180"/>
      <w:divBdr>
        <w:top w:val="none" w:sz="0" w:space="0" w:color="auto"/>
        <w:left w:val="none" w:sz="0" w:space="0" w:color="auto"/>
        <w:bottom w:val="none" w:sz="0" w:space="0" w:color="auto"/>
        <w:right w:val="none" w:sz="0" w:space="0" w:color="auto"/>
      </w:divBdr>
    </w:div>
    <w:div w:id="1851794726">
      <w:marLeft w:val="0"/>
      <w:marRight w:val="0"/>
      <w:marTop w:val="0"/>
      <w:marBottom w:val="0"/>
      <w:divBdr>
        <w:top w:val="none" w:sz="0" w:space="0" w:color="auto"/>
        <w:left w:val="none" w:sz="0" w:space="0" w:color="auto"/>
        <w:bottom w:val="none" w:sz="0" w:space="0" w:color="auto"/>
        <w:right w:val="none" w:sz="0" w:space="0" w:color="auto"/>
      </w:divBdr>
      <w:divsChild>
        <w:div w:id="560601476">
          <w:marLeft w:val="0"/>
          <w:marRight w:val="0"/>
          <w:marTop w:val="0"/>
          <w:marBottom w:val="0"/>
          <w:divBdr>
            <w:top w:val="none" w:sz="0" w:space="0" w:color="auto"/>
            <w:left w:val="none" w:sz="0" w:space="0" w:color="auto"/>
            <w:bottom w:val="none" w:sz="0" w:space="0" w:color="auto"/>
            <w:right w:val="none" w:sz="0" w:space="0" w:color="auto"/>
          </w:divBdr>
          <w:divsChild>
            <w:div w:id="8115576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2059909">
      <w:marLeft w:val="0"/>
      <w:marRight w:val="0"/>
      <w:marTop w:val="180"/>
      <w:marBottom w:val="180"/>
      <w:divBdr>
        <w:top w:val="none" w:sz="0" w:space="0" w:color="auto"/>
        <w:left w:val="none" w:sz="0" w:space="0" w:color="auto"/>
        <w:bottom w:val="none" w:sz="0" w:space="0" w:color="auto"/>
        <w:right w:val="none" w:sz="0" w:space="0" w:color="auto"/>
      </w:divBdr>
    </w:div>
    <w:div w:id="1853181295">
      <w:marLeft w:val="0"/>
      <w:marRight w:val="0"/>
      <w:marTop w:val="180"/>
      <w:marBottom w:val="180"/>
      <w:divBdr>
        <w:top w:val="none" w:sz="0" w:space="0" w:color="auto"/>
        <w:left w:val="none" w:sz="0" w:space="0" w:color="auto"/>
        <w:bottom w:val="none" w:sz="0" w:space="0" w:color="auto"/>
        <w:right w:val="none" w:sz="0" w:space="0" w:color="auto"/>
      </w:divBdr>
    </w:div>
    <w:div w:id="1853911472">
      <w:marLeft w:val="0"/>
      <w:marRight w:val="0"/>
      <w:marTop w:val="180"/>
      <w:marBottom w:val="0"/>
      <w:divBdr>
        <w:top w:val="none" w:sz="0" w:space="0" w:color="auto"/>
        <w:left w:val="none" w:sz="0" w:space="0" w:color="auto"/>
        <w:bottom w:val="none" w:sz="0" w:space="0" w:color="auto"/>
        <w:right w:val="none" w:sz="0" w:space="0" w:color="auto"/>
      </w:divBdr>
    </w:div>
    <w:div w:id="1854341148">
      <w:marLeft w:val="0"/>
      <w:marRight w:val="0"/>
      <w:marTop w:val="0"/>
      <w:marBottom w:val="0"/>
      <w:divBdr>
        <w:top w:val="none" w:sz="0" w:space="0" w:color="auto"/>
        <w:left w:val="none" w:sz="0" w:space="0" w:color="auto"/>
        <w:bottom w:val="none" w:sz="0" w:space="0" w:color="auto"/>
        <w:right w:val="none" w:sz="0" w:space="0" w:color="auto"/>
      </w:divBdr>
      <w:divsChild>
        <w:div w:id="70936266">
          <w:marLeft w:val="0"/>
          <w:marRight w:val="0"/>
          <w:marTop w:val="0"/>
          <w:marBottom w:val="0"/>
          <w:divBdr>
            <w:top w:val="none" w:sz="0" w:space="0" w:color="auto"/>
            <w:left w:val="none" w:sz="0" w:space="0" w:color="auto"/>
            <w:bottom w:val="none" w:sz="0" w:space="0" w:color="auto"/>
            <w:right w:val="none" w:sz="0" w:space="0" w:color="auto"/>
          </w:divBdr>
          <w:divsChild>
            <w:div w:id="12309213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4608763">
      <w:marLeft w:val="0"/>
      <w:marRight w:val="0"/>
      <w:marTop w:val="180"/>
      <w:marBottom w:val="180"/>
      <w:divBdr>
        <w:top w:val="none" w:sz="0" w:space="0" w:color="auto"/>
        <w:left w:val="none" w:sz="0" w:space="0" w:color="auto"/>
        <w:bottom w:val="none" w:sz="0" w:space="0" w:color="auto"/>
        <w:right w:val="none" w:sz="0" w:space="0" w:color="auto"/>
      </w:divBdr>
    </w:div>
    <w:div w:id="1855919729">
      <w:marLeft w:val="0"/>
      <w:marRight w:val="0"/>
      <w:marTop w:val="180"/>
      <w:marBottom w:val="180"/>
      <w:divBdr>
        <w:top w:val="none" w:sz="0" w:space="0" w:color="auto"/>
        <w:left w:val="none" w:sz="0" w:space="0" w:color="auto"/>
        <w:bottom w:val="none" w:sz="0" w:space="0" w:color="auto"/>
        <w:right w:val="none" w:sz="0" w:space="0" w:color="auto"/>
      </w:divBdr>
    </w:div>
    <w:div w:id="1856266855">
      <w:marLeft w:val="0"/>
      <w:marRight w:val="0"/>
      <w:marTop w:val="60"/>
      <w:marBottom w:val="60"/>
      <w:divBdr>
        <w:top w:val="none" w:sz="0" w:space="0" w:color="auto"/>
        <w:left w:val="none" w:sz="0" w:space="0" w:color="auto"/>
        <w:bottom w:val="none" w:sz="0" w:space="0" w:color="auto"/>
        <w:right w:val="none" w:sz="0" w:space="0" w:color="auto"/>
      </w:divBdr>
      <w:divsChild>
        <w:div w:id="229922178">
          <w:marLeft w:val="0"/>
          <w:marRight w:val="0"/>
          <w:marTop w:val="0"/>
          <w:marBottom w:val="0"/>
          <w:divBdr>
            <w:top w:val="none" w:sz="0" w:space="0" w:color="auto"/>
            <w:left w:val="none" w:sz="0" w:space="0" w:color="auto"/>
            <w:bottom w:val="none" w:sz="0" w:space="0" w:color="auto"/>
            <w:right w:val="none" w:sz="0" w:space="0" w:color="auto"/>
          </w:divBdr>
        </w:div>
        <w:div w:id="2050060794">
          <w:marLeft w:val="0"/>
          <w:marRight w:val="0"/>
          <w:marTop w:val="0"/>
          <w:marBottom w:val="0"/>
          <w:divBdr>
            <w:top w:val="none" w:sz="0" w:space="0" w:color="auto"/>
            <w:left w:val="none" w:sz="0" w:space="0" w:color="auto"/>
            <w:bottom w:val="none" w:sz="0" w:space="0" w:color="auto"/>
            <w:right w:val="none" w:sz="0" w:space="0" w:color="auto"/>
          </w:divBdr>
        </w:div>
        <w:div w:id="511604790">
          <w:marLeft w:val="0"/>
          <w:marRight w:val="0"/>
          <w:marTop w:val="0"/>
          <w:marBottom w:val="0"/>
          <w:divBdr>
            <w:top w:val="none" w:sz="0" w:space="0" w:color="auto"/>
            <w:left w:val="none" w:sz="0" w:space="0" w:color="auto"/>
            <w:bottom w:val="none" w:sz="0" w:space="0" w:color="auto"/>
            <w:right w:val="none" w:sz="0" w:space="0" w:color="auto"/>
          </w:divBdr>
        </w:div>
        <w:div w:id="1621103587">
          <w:marLeft w:val="0"/>
          <w:marRight w:val="0"/>
          <w:marTop w:val="0"/>
          <w:marBottom w:val="0"/>
          <w:divBdr>
            <w:top w:val="none" w:sz="0" w:space="0" w:color="auto"/>
            <w:left w:val="none" w:sz="0" w:space="0" w:color="auto"/>
            <w:bottom w:val="none" w:sz="0" w:space="0" w:color="auto"/>
            <w:right w:val="none" w:sz="0" w:space="0" w:color="auto"/>
          </w:divBdr>
        </w:div>
      </w:divsChild>
    </w:div>
    <w:div w:id="1858301498">
      <w:marLeft w:val="0"/>
      <w:marRight w:val="0"/>
      <w:marTop w:val="100"/>
      <w:marBottom w:val="60"/>
      <w:divBdr>
        <w:top w:val="none" w:sz="0" w:space="0" w:color="auto"/>
        <w:left w:val="none" w:sz="0" w:space="0" w:color="auto"/>
        <w:bottom w:val="none" w:sz="0" w:space="0" w:color="auto"/>
        <w:right w:val="none" w:sz="0" w:space="0" w:color="auto"/>
      </w:divBdr>
    </w:div>
    <w:div w:id="1859663344">
      <w:marLeft w:val="0"/>
      <w:marRight w:val="0"/>
      <w:marTop w:val="100"/>
      <w:marBottom w:val="100"/>
      <w:divBdr>
        <w:top w:val="none" w:sz="0" w:space="0" w:color="auto"/>
        <w:left w:val="none" w:sz="0" w:space="0" w:color="auto"/>
        <w:bottom w:val="none" w:sz="0" w:space="0" w:color="auto"/>
        <w:right w:val="none" w:sz="0" w:space="0" w:color="auto"/>
      </w:divBdr>
    </w:div>
    <w:div w:id="1860195403">
      <w:marLeft w:val="0"/>
      <w:marRight w:val="0"/>
      <w:marTop w:val="0"/>
      <w:marBottom w:val="0"/>
      <w:divBdr>
        <w:top w:val="none" w:sz="0" w:space="0" w:color="auto"/>
        <w:left w:val="none" w:sz="0" w:space="0" w:color="auto"/>
        <w:bottom w:val="none" w:sz="0" w:space="0" w:color="auto"/>
        <w:right w:val="none" w:sz="0" w:space="0" w:color="auto"/>
      </w:divBdr>
      <w:divsChild>
        <w:div w:id="991908459">
          <w:marLeft w:val="0"/>
          <w:marRight w:val="0"/>
          <w:marTop w:val="0"/>
          <w:marBottom w:val="0"/>
          <w:divBdr>
            <w:top w:val="none" w:sz="0" w:space="0" w:color="auto"/>
            <w:left w:val="none" w:sz="0" w:space="0" w:color="auto"/>
            <w:bottom w:val="none" w:sz="0" w:space="0" w:color="auto"/>
            <w:right w:val="none" w:sz="0" w:space="0" w:color="auto"/>
          </w:divBdr>
          <w:divsChild>
            <w:div w:id="1217750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3088544">
      <w:marLeft w:val="0"/>
      <w:marRight w:val="0"/>
      <w:marTop w:val="0"/>
      <w:marBottom w:val="0"/>
      <w:divBdr>
        <w:top w:val="none" w:sz="0" w:space="0" w:color="auto"/>
        <w:left w:val="none" w:sz="0" w:space="0" w:color="auto"/>
        <w:bottom w:val="none" w:sz="0" w:space="0" w:color="auto"/>
        <w:right w:val="none" w:sz="0" w:space="0" w:color="auto"/>
      </w:divBdr>
      <w:divsChild>
        <w:div w:id="1957717486">
          <w:marLeft w:val="0"/>
          <w:marRight w:val="0"/>
          <w:marTop w:val="0"/>
          <w:marBottom w:val="0"/>
          <w:divBdr>
            <w:top w:val="none" w:sz="0" w:space="0" w:color="auto"/>
            <w:left w:val="none" w:sz="0" w:space="0" w:color="auto"/>
            <w:bottom w:val="none" w:sz="0" w:space="0" w:color="auto"/>
            <w:right w:val="none" w:sz="0" w:space="0" w:color="auto"/>
          </w:divBdr>
          <w:divsChild>
            <w:div w:id="14228723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3280260">
      <w:marLeft w:val="0"/>
      <w:marRight w:val="0"/>
      <w:marTop w:val="180"/>
      <w:marBottom w:val="180"/>
      <w:divBdr>
        <w:top w:val="none" w:sz="0" w:space="0" w:color="auto"/>
        <w:left w:val="none" w:sz="0" w:space="0" w:color="auto"/>
        <w:bottom w:val="none" w:sz="0" w:space="0" w:color="auto"/>
        <w:right w:val="none" w:sz="0" w:space="0" w:color="auto"/>
      </w:divBdr>
    </w:div>
    <w:div w:id="1864632525">
      <w:marLeft w:val="0"/>
      <w:marRight w:val="0"/>
      <w:marTop w:val="180"/>
      <w:marBottom w:val="180"/>
      <w:divBdr>
        <w:top w:val="none" w:sz="0" w:space="0" w:color="auto"/>
        <w:left w:val="none" w:sz="0" w:space="0" w:color="auto"/>
        <w:bottom w:val="none" w:sz="0" w:space="0" w:color="auto"/>
        <w:right w:val="none" w:sz="0" w:space="0" w:color="auto"/>
      </w:divBdr>
    </w:div>
    <w:div w:id="1866556700">
      <w:marLeft w:val="0"/>
      <w:marRight w:val="0"/>
      <w:marTop w:val="100"/>
      <w:marBottom w:val="100"/>
      <w:divBdr>
        <w:top w:val="none" w:sz="0" w:space="0" w:color="auto"/>
        <w:left w:val="none" w:sz="0" w:space="0" w:color="auto"/>
        <w:bottom w:val="none" w:sz="0" w:space="0" w:color="auto"/>
        <w:right w:val="none" w:sz="0" w:space="0" w:color="auto"/>
      </w:divBdr>
      <w:divsChild>
        <w:div w:id="1495611858">
          <w:marLeft w:val="0"/>
          <w:marRight w:val="0"/>
          <w:marTop w:val="0"/>
          <w:marBottom w:val="0"/>
          <w:divBdr>
            <w:top w:val="none" w:sz="0" w:space="0" w:color="auto"/>
            <w:left w:val="none" w:sz="0" w:space="0" w:color="auto"/>
            <w:bottom w:val="none" w:sz="0" w:space="0" w:color="auto"/>
            <w:right w:val="none" w:sz="0" w:space="0" w:color="auto"/>
          </w:divBdr>
        </w:div>
        <w:div w:id="1234270829">
          <w:marLeft w:val="0"/>
          <w:marRight w:val="0"/>
          <w:marTop w:val="0"/>
          <w:marBottom w:val="0"/>
          <w:divBdr>
            <w:top w:val="none" w:sz="0" w:space="0" w:color="auto"/>
            <w:left w:val="none" w:sz="0" w:space="0" w:color="auto"/>
            <w:bottom w:val="none" w:sz="0" w:space="0" w:color="auto"/>
            <w:right w:val="none" w:sz="0" w:space="0" w:color="auto"/>
          </w:divBdr>
        </w:div>
      </w:divsChild>
    </w:div>
    <w:div w:id="1867283083">
      <w:marLeft w:val="0"/>
      <w:marRight w:val="0"/>
      <w:marTop w:val="100"/>
      <w:marBottom w:val="100"/>
      <w:divBdr>
        <w:top w:val="none" w:sz="0" w:space="0" w:color="auto"/>
        <w:left w:val="none" w:sz="0" w:space="0" w:color="auto"/>
        <w:bottom w:val="none" w:sz="0" w:space="0" w:color="auto"/>
        <w:right w:val="none" w:sz="0" w:space="0" w:color="auto"/>
      </w:divBdr>
    </w:div>
    <w:div w:id="1867938461">
      <w:marLeft w:val="0"/>
      <w:marRight w:val="0"/>
      <w:marTop w:val="0"/>
      <w:marBottom w:val="0"/>
      <w:divBdr>
        <w:top w:val="none" w:sz="0" w:space="0" w:color="auto"/>
        <w:left w:val="none" w:sz="0" w:space="0" w:color="auto"/>
        <w:bottom w:val="none" w:sz="0" w:space="0" w:color="auto"/>
        <w:right w:val="none" w:sz="0" w:space="0" w:color="auto"/>
      </w:divBdr>
    </w:div>
    <w:div w:id="1868906769">
      <w:marLeft w:val="0"/>
      <w:marRight w:val="0"/>
      <w:marTop w:val="180"/>
      <w:marBottom w:val="180"/>
      <w:divBdr>
        <w:top w:val="none" w:sz="0" w:space="0" w:color="auto"/>
        <w:left w:val="none" w:sz="0" w:space="0" w:color="auto"/>
        <w:bottom w:val="none" w:sz="0" w:space="0" w:color="auto"/>
        <w:right w:val="none" w:sz="0" w:space="0" w:color="auto"/>
      </w:divBdr>
    </w:div>
    <w:div w:id="1868982574">
      <w:marLeft w:val="0"/>
      <w:marRight w:val="0"/>
      <w:marTop w:val="100"/>
      <w:marBottom w:val="100"/>
      <w:divBdr>
        <w:top w:val="none" w:sz="0" w:space="0" w:color="auto"/>
        <w:left w:val="none" w:sz="0" w:space="0" w:color="auto"/>
        <w:bottom w:val="none" w:sz="0" w:space="0" w:color="auto"/>
        <w:right w:val="none" w:sz="0" w:space="0" w:color="auto"/>
      </w:divBdr>
      <w:divsChild>
        <w:div w:id="1860655944">
          <w:marLeft w:val="0"/>
          <w:marRight w:val="0"/>
          <w:marTop w:val="180"/>
          <w:marBottom w:val="0"/>
          <w:divBdr>
            <w:top w:val="none" w:sz="0" w:space="0" w:color="auto"/>
            <w:left w:val="none" w:sz="0" w:space="0" w:color="auto"/>
            <w:bottom w:val="none" w:sz="0" w:space="0" w:color="auto"/>
            <w:right w:val="none" w:sz="0" w:space="0" w:color="auto"/>
          </w:divBdr>
        </w:div>
      </w:divsChild>
    </w:div>
    <w:div w:id="1868986828">
      <w:marLeft w:val="0"/>
      <w:marRight w:val="0"/>
      <w:marTop w:val="180"/>
      <w:marBottom w:val="180"/>
      <w:divBdr>
        <w:top w:val="none" w:sz="0" w:space="0" w:color="auto"/>
        <w:left w:val="none" w:sz="0" w:space="0" w:color="auto"/>
        <w:bottom w:val="none" w:sz="0" w:space="0" w:color="auto"/>
        <w:right w:val="none" w:sz="0" w:space="0" w:color="auto"/>
      </w:divBdr>
    </w:div>
    <w:div w:id="1870558314">
      <w:marLeft w:val="0"/>
      <w:marRight w:val="0"/>
      <w:marTop w:val="180"/>
      <w:marBottom w:val="120"/>
      <w:divBdr>
        <w:top w:val="none" w:sz="0" w:space="0" w:color="auto"/>
        <w:left w:val="none" w:sz="0" w:space="0" w:color="auto"/>
        <w:bottom w:val="none" w:sz="0" w:space="0" w:color="auto"/>
        <w:right w:val="none" w:sz="0" w:space="0" w:color="auto"/>
      </w:divBdr>
    </w:div>
    <w:div w:id="1875337842">
      <w:marLeft w:val="0"/>
      <w:marRight w:val="0"/>
      <w:marTop w:val="180"/>
      <w:marBottom w:val="180"/>
      <w:divBdr>
        <w:top w:val="none" w:sz="0" w:space="0" w:color="auto"/>
        <w:left w:val="none" w:sz="0" w:space="0" w:color="auto"/>
        <w:bottom w:val="none" w:sz="0" w:space="0" w:color="auto"/>
        <w:right w:val="none" w:sz="0" w:space="0" w:color="auto"/>
      </w:divBdr>
    </w:div>
    <w:div w:id="1876195048">
      <w:marLeft w:val="0"/>
      <w:marRight w:val="0"/>
      <w:marTop w:val="180"/>
      <w:marBottom w:val="180"/>
      <w:divBdr>
        <w:top w:val="none" w:sz="0" w:space="0" w:color="auto"/>
        <w:left w:val="none" w:sz="0" w:space="0" w:color="auto"/>
        <w:bottom w:val="none" w:sz="0" w:space="0" w:color="auto"/>
        <w:right w:val="none" w:sz="0" w:space="0" w:color="auto"/>
      </w:divBdr>
    </w:div>
    <w:div w:id="1876845041">
      <w:marLeft w:val="0"/>
      <w:marRight w:val="0"/>
      <w:marTop w:val="60"/>
      <w:marBottom w:val="60"/>
      <w:divBdr>
        <w:top w:val="none" w:sz="0" w:space="0" w:color="auto"/>
        <w:left w:val="none" w:sz="0" w:space="0" w:color="auto"/>
        <w:bottom w:val="none" w:sz="0" w:space="0" w:color="auto"/>
        <w:right w:val="none" w:sz="0" w:space="0" w:color="auto"/>
      </w:divBdr>
    </w:div>
    <w:div w:id="1877740261">
      <w:marLeft w:val="0"/>
      <w:marRight w:val="0"/>
      <w:marTop w:val="60"/>
      <w:marBottom w:val="60"/>
      <w:divBdr>
        <w:top w:val="none" w:sz="0" w:space="0" w:color="auto"/>
        <w:left w:val="none" w:sz="0" w:space="0" w:color="auto"/>
        <w:bottom w:val="none" w:sz="0" w:space="0" w:color="auto"/>
        <w:right w:val="none" w:sz="0" w:space="0" w:color="auto"/>
      </w:divBdr>
    </w:div>
    <w:div w:id="1878740679">
      <w:marLeft w:val="0"/>
      <w:marRight w:val="0"/>
      <w:marTop w:val="180"/>
      <w:marBottom w:val="180"/>
      <w:divBdr>
        <w:top w:val="none" w:sz="0" w:space="0" w:color="auto"/>
        <w:left w:val="none" w:sz="0" w:space="0" w:color="auto"/>
        <w:bottom w:val="none" w:sz="0" w:space="0" w:color="auto"/>
        <w:right w:val="none" w:sz="0" w:space="0" w:color="auto"/>
      </w:divBdr>
    </w:div>
    <w:div w:id="1882008533">
      <w:marLeft w:val="0"/>
      <w:marRight w:val="0"/>
      <w:marTop w:val="300"/>
      <w:marBottom w:val="100"/>
      <w:divBdr>
        <w:top w:val="none" w:sz="0" w:space="0" w:color="auto"/>
        <w:left w:val="none" w:sz="0" w:space="0" w:color="auto"/>
        <w:bottom w:val="none" w:sz="0" w:space="0" w:color="auto"/>
        <w:right w:val="none" w:sz="0" w:space="0" w:color="auto"/>
      </w:divBdr>
    </w:div>
    <w:div w:id="1882739182">
      <w:marLeft w:val="0"/>
      <w:marRight w:val="0"/>
      <w:marTop w:val="60"/>
      <w:marBottom w:val="60"/>
      <w:divBdr>
        <w:top w:val="none" w:sz="0" w:space="0" w:color="auto"/>
        <w:left w:val="none" w:sz="0" w:space="0" w:color="auto"/>
        <w:bottom w:val="none" w:sz="0" w:space="0" w:color="auto"/>
        <w:right w:val="none" w:sz="0" w:space="0" w:color="auto"/>
      </w:divBdr>
      <w:divsChild>
        <w:div w:id="1759404436">
          <w:marLeft w:val="0"/>
          <w:marRight w:val="0"/>
          <w:marTop w:val="0"/>
          <w:marBottom w:val="0"/>
          <w:divBdr>
            <w:top w:val="none" w:sz="0" w:space="0" w:color="auto"/>
            <w:left w:val="none" w:sz="0" w:space="0" w:color="auto"/>
            <w:bottom w:val="none" w:sz="0" w:space="0" w:color="auto"/>
            <w:right w:val="none" w:sz="0" w:space="0" w:color="auto"/>
          </w:divBdr>
        </w:div>
        <w:div w:id="537090248">
          <w:marLeft w:val="0"/>
          <w:marRight w:val="0"/>
          <w:marTop w:val="0"/>
          <w:marBottom w:val="0"/>
          <w:divBdr>
            <w:top w:val="none" w:sz="0" w:space="0" w:color="auto"/>
            <w:left w:val="none" w:sz="0" w:space="0" w:color="auto"/>
            <w:bottom w:val="none" w:sz="0" w:space="0" w:color="auto"/>
            <w:right w:val="none" w:sz="0" w:space="0" w:color="auto"/>
          </w:divBdr>
        </w:div>
      </w:divsChild>
    </w:div>
    <w:div w:id="1883126688">
      <w:marLeft w:val="0"/>
      <w:marRight w:val="0"/>
      <w:marTop w:val="180"/>
      <w:marBottom w:val="180"/>
      <w:divBdr>
        <w:top w:val="none" w:sz="0" w:space="0" w:color="auto"/>
        <w:left w:val="none" w:sz="0" w:space="0" w:color="auto"/>
        <w:bottom w:val="none" w:sz="0" w:space="0" w:color="auto"/>
        <w:right w:val="none" w:sz="0" w:space="0" w:color="auto"/>
      </w:divBdr>
    </w:div>
    <w:div w:id="1885751774">
      <w:marLeft w:val="0"/>
      <w:marRight w:val="0"/>
      <w:marTop w:val="0"/>
      <w:marBottom w:val="0"/>
      <w:divBdr>
        <w:top w:val="none" w:sz="0" w:space="0" w:color="auto"/>
        <w:left w:val="none" w:sz="0" w:space="0" w:color="auto"/>
        <w:bottom w:val="none" w:sz="0" w:space="0" w:color="auto"/>
        <w:right w:val="none" w:sz="0" w:space="0" w:color="auto"/>
      </w:divBdr>
    </w:div>
    <w:div w:id="1885822581">
      <w:marLeft w:val="0"/>
      <w:marRight w:val="0"/>
      <w:marTop w:val="0"/>
      <w:marBottom w:val="0"/>
      <w:divBdr>
        <w:top w:val="none" w:sz="0" w:space="0" w:color="auto"/>
        <w:left w:val="none" w:sz="0" w:space="0" w:color="auto"/>
        <w:bottom w:val="none" w:sz="0" w:space="0" w:color="auto"/>
        <w:right w:val="none" w:sz="0" w:space="0" w:color="auto"/>
      </w:divBdr>
      <w:divsChild>
        <w:div w:id="1394310776">
          <w:marLeft w:val="0"/>
          <w:marRight w:val="0"/>
          <w:marTop w:val="180"/>
          <w:marBottom w:val="180"/>
          <w:divBdr>
            <w:top w:val="none" w:sz="0" w:space="0" w:color="auto"/>
            <w:left w:val="none" w:sz="0" w:space="0" w:color="auto"/>
            <w:bottom w:val="none" w:sz="0" w:space="0" w:color="auto"/>
            <w:right w:val="none" w:sz="0" w:space="0" w:color="auto"/>
          </w:divBdr>
        </w:div>
      </w:divsChild>
    </w:div>
    <w:div w:id="1885829094">
      <w:marLeft w:val="0"/>
      <w:marRight w:val="0"/>
      <w:marTop w:val="180"/>
      <w:marBottom w:val="180"/>
      <w:divBdr>
        <w:top w:val="none" w:sz="0" w:space="0" w:color="auto"/>
        <w:left w:val="none" w:sz="0" w:space="0" w:color="auto"/>
        <w:bottom w:val="none" w:sz="0" w:space="0" w:color="auto"/>
        <w:right w:val="none" w:sz="0" w:space="0" w:color="auto"/>
      </w:divBdr>
    </w:div>
    <w:div w:id="1886527257">
      <w:marLeft w:val="0"/>
      <w:marRight w:val="0"/>
      <w:marTop w:val="180"/>
      <w:marBottom w:val="180"/>
      <w:divBdr>
        <w:top w:val="none" w:sz="0" w:space="0" w:color="auto"/>
        <w:left w:val="none" w:sz="0" w:space="0" w:color="auto"/>
        <w:bottom w:val="none" w:sz="0" w:space="0" w:color="auto"/>
        <w:right w:val="none" w:sz="0" w:space="0" w:color="auto"/>
      </w:divBdr>
    </w:div>
    <w:div w:id="1887983218">
      <w:marLeft w:val="0"/>
      <w:marRight w:val="0"/>
      <w:marTop w:val="0"/>
      <w:marBottom w:val="0"/>
      <w:divBdr>
        <w:top w:val="none" w:sz="0" w:space="0" w:color="auto"/>
        <w:left w:val="none" w:sz="0" w:space="0" w:color="auto"/>
        <w:bottom w:val="none" w:sz="0" w:space="0" w:color="auto"/>
        <w:right w:val="none" w:sz="0" w:space="0" w:color="auto"/>
      </w:divBdr>
    </w:div>
    <w:div w:id="1887986291">
      <w:marLeft w:val="0"/>
      <w:marRight w:val="0"/>
      <w:marTop w:val="180"/>
      <w:marBottom w:val="180"/>
      <w:divBdr>
        <w:top w:val="none" w:sz="0" w:space="0" w:color="auto"/>
        <w:left w:val="none" w:sz="0" w:space="0" w:color="auto"/>
        <w:bottom w:val="none" w:sz="0" w:space="0" w:color="auto"/>
        <w:right w:val="none" w:sz="0" w:space="0" w:color="auto"/>
      </w:divBdr>
    </w:div>
    <w:div w:id="1890722468">
      <w:marLeft w:val="0"/>
      <w:marRight w:val="0"/>
      <w:marTop w:val="0"/>
      <w:marBottom w:val="0"/>
      <w:divBdr>
        <w:top w:val="none" w:sz="0" w:space="0" w:color="auto"/>
        <w:left w:val="none" w:sz="0" w:space="0" w:color="auto"/>
        <w:bottom w:val="none" w:sz="0" w:space="0" w:color="auto"/>
        <w:right w:val="none" w:sz="0" w:space="0" w:color="auto"/>
      </w:divBdr>
    </w:div>
    <w:div w:id="1896045250">
      <w:marLeft w:val="0"/>
      <w:marRight w:val="0"/>
      <w:marTop w:val="180"/>
      <w:marBottom w:val="0"/>
      <w:divBdr>
        <w:top w:val="none" w:sz="0" w:space="0" w:color="auto"/>
        <w:left w:val="none" w:sz="0" w:space="0" w:color="auto"/>
        <w:bottom w:val="none" w:sz="0" w:space="0" w:color="auto"/>
        <w:right w:val="none" w:sz="0" w:space="0" w:color="auto"/>
      </w:divBdr>
    </w:div>
    <w:div w:id="1897551277">
      <w:marLeft w:val="0"/>
      <w:marRight w:val="0"/>
      <w:marTop w:val="0"/>
      <w:marBottom w:val="0"/>
      <w:divBdr>
        <w:top w:val="none" w:sz="0" w:space="0" w:color="auto"/>
        <w:left w:val="none" w:sz="0" w:space="0" w:color="auto"/>
        <w:bottom w:val="none" w:sz="0" w:space="0" w:color="auto"/>
        <w:right w:val="none" w:sz="0" w:space="0" w:color="auto"/>
      </w:divBdr>
    </w:div>
    <w:div w:id="1899583674">
      <w:marLeft w:val="0"/>
      <w:marRight w:val="0"/>
      <w:marTop w:val="180"/>
      <w:marBottom w:val="180"/>
      <w:divBdr>
        <w:top w:val="none" w:sz="0" w:space="0" w:color="auto"/>
        <w:left w:val="none" w:sz="0" w:space="0" w:color="auto"/>
        <w:bottom w:val="none" w:sz="0" w:space="0" w:color="auto"/>
        <w:right w:val="none" w:sz="0" w:space="0" w:color="auto"/>
      </w:divBdr>
    </w:div>
    <w:div w:id="1900089613">
      <w:marLeft w:val="0"/>
      <w:marRight w:val="0"/>
      <w:marTop w:val="60"/>
      <w:marBottom w:val="0"/>
      <w:divBdr>
        <w:top w:val="none" w:sz="0" w:space="0" w:color="auto"/>
        <w:left w:val="none" w:sz="0" w:space="0" w:color="auto"/>
        <w:bottom w:val="none" w:sz="0" w:space="0" w:color="auto"/>
        <w:right w:val="none" w:sz="0" w:space="0" w:color="auto"/>
      </w:divBdr>
    </w:div>
    <w:div w:id="1902982224">
      <w:marLeft w:val="0"/>
      <w:marRight w:val="0"/>
      <w:marTop w:val="180"/>
      <w:marBottom w:val="180"/>
      <w:divBdr>
        <w:top w:val="none" w:sz="0" w:space="0" w:color="auto"/>
        <w:left w:val="none" w:sz="0" w:space="0" w:color="auto"/>
        <w:bottom w:val="none" w:sz="0" w:space="0" w:color="auto"/>
        <w:right w:val="none" w:sz="0" w:space="0" w:color="auto"/>
      </w:divBdr>
    </w:div>
    <w:div w:id="1902983635">
      <w:marLeft w:val="0"/>
      <w:marRight w:val="0"/>
      <w:marTop w:val="60"/>
      <w:marBottom w:val="60"/>
      <w:divBdr>
        <w:top w:val="none" w:sz="0" w:space="0" w:color="auto"/>
        <w:left w:val="none" w:sz="0" w:space="0" w:color="auto"/>
        <w:bottom w:val="none" w:sz="0" w:space="0" w:color="auto"/>
        <w:right w:val="none" w:sz="0" w:space="0" w:color="auto"/>
      </w:divBdr>
    </w:div>
    <w:div w:id="1905792036">
      <w:marLeft w:val="0"/>
      <w:marRight w:val="0"/>
      <w:marTop w:val="0"/>
      <w:marBottom w:val="0"/>
      <w:divBdr>
        <w:top w:val="none" w:sz="0" w:space="0" w:color="auto"/>
        <w:left w:val="none" w:sz="0" w:space="0" w:color="auto"/>
        <w:bottom w:val="none" w:sz="0" w:space="0" w:color="auto"/>
        <w:right w:val="none" w:sz="0" w:space="0" w:color="auto"/>
      </w:divBdr>
      <w:divsChild>
        <w:div w:id="84039405">
          <w:marLeft w:val="0"/>
          <w:marRight w:val="0"/>
          <w:marTop w:val="180"/>
          <w:marBottom w:val="180"/>
          <w:divBdr>
            <w:top w:val="none" w:sz="0" w:space="0" w:color="auto"/>
            <w:left w:val="none" w:sz="0" w:space="0" w:color="auto"/>
            <w:bottom w:val="none" w:sz="0" w:space="0" w:color="auto"/>
            <w:right w:val="none" w:sz="0" w:space="0" w:color="auto"/>
          </w:divBdr>
        </w:div>
      </w:divsChild>
    </w:div>
    <w:div w:id="1906573612">
      <w:marLeft w:val="0"/>
      <w:marRight w:val="0"/>
      <w:marTop w:val="60"/>
      <w:marBottom w:val="60"/>
      <w:divBdr>
        <w:top w:val="none" w:sz="0" w:space="0" w:color="auto"/>
        <w:left w:val="none" w:sz="0" w:space="0" w:color="auto"/>
        <w:bottom w:val="none" w:sz="0" w:space="0" w:color="auto"/>
        <w:right w:val="none" w:sz="0" w:space="0" w:color="auto"/>
      </w:divBdr>
    </w:div>
    <w:div w:id="1906641766">
      <w:marLeft w:val="0"/>
      <w:marRight w:val="0"/>
      <w:marTop w:val="60"/>
      <w:marBottom w:val="60"/>
      <w:divBdr>
        <w:top w:val="none" w:sz="0" w:space="0" w:color="auto"/>
        <w:left w:val="none" w:sz="0" w:space="0" w:color="auto"/>
        <w:bottom w:val="none" w:sz="0" w:space="0" w:color="auto"/>
        <w:right w:val="none" w:sz="0" w:space="0" w:color="auto"/>
      </w:divBdr>
    </w:div>
    <w:div w:id="1909067674">
      <w:marLeft w:val="0"/>
      <w:marRight w:val="0"/>
      <w:marTop w:val="180"/>
      <w:marBottom w:val="180"/>
      <w:divBdr>
        <w:top w:val="none" w:sz="0" w:space="0" w:color="auto"/>
        <w:left w:val="none" w:sz="0" w:space="0" w:color="auto"/>
        <w:bottom w:val="none" w:sz="0" w:space="0" w:color="auto"/>
        <w:right w:val="none" w:sz="0" w:space="0" w:color="auto"/>
      </w:divBdr>
    </w:div>
    <w:div w:id="1909996080">
      <w:marLeft w:val="0"/>
      <w:marRight w:val="0"/>
      <w:marTop w:val="60"/>
      <w:marBottom w:val="60"/>
      <w:divBdr>
        <w:top w:val="none" w:sz="0" w:space="0" w:color="auto"/>
        <w:left w:val="none" w:sz="0" w:space="0" w:color="auto"/>
        <w:bottom w:val="none" w:sz="0" w:space="0" w:color="auto"/>
        <w:right w:val="none" w:sz="0" w:space="0" w:color="auto"/>
      </w:divBdr>
    </w:div>
    <w:div w:id="1909998276">
      <w:marLeft w:val="0"/>
      <w:marRight w:val="0"/>
      <w:marTop w:val="180"/>
      <w:marBottom w:val="160"/>
      <w:divBdr>
        <w:top w:val="none" w:sz="0" w:space="0" w:color="auto"/>
        <w:left w:val="none" w:sz="0" w:space="0" w:color="auto"/>
        <w:bottom w:val="none" w:sz="0" w:space="0" w:color="auto"/>
        <w:right w:val="none" w:sz="0" w:space="0" w:color="auto"/>
      </w:divBdr>
    </w:div>
    <w:div w:id="1911454257">
      <w:marLeft w:val="0"/>
      <w:marRight w:val="0"/>
      <w:marTop w:val="180"/>
      <w:marBottom w:val="180"/>
      <w:divBdr>
        <w:top w:val="none" w:sz="0" w:space="0" w:color="auto"/>
        <w:left w:val="none" w:sz="0" w:space="0" w:color="auto"/>
        <w:bottom w:val="none" w:sz="0" w:space="0" w:color="auto"/>
        <w:right w:val="none" w:sz="0" w:space="0" w:color="auto"/>
      </w:divBdr>
    </w:div>
    <w:div w:id="1911573389">
      <w:marLeft w:val="0"/>
      <w:marRight w:val="0"/>
      <w:marTop w:val="180"/>
      <w:marBottom w:val="180"/>
      <w:divBdr>
        <w:top w:val="none" w:sz="0" w:space="0" w:color="auto"/>
        <w:left w:val="none" w:sz="0" w:space="0" w:color="auto"/>
        <w:bottom w:val="none" w:sz="0" w:space="0" w:color="auto"/>
        <w:right w:val="none" w:sz="0" w:space="0" w:color="auto"/>
      </w:divBdr>
    </w:div>
    <w:div w:id="1913462790">
      <w:marLeft w:val="0"/>
      <w:marRight w:val="0"/>
      <w:marTop w:val="100"/>
      <w:marBottom w:val="100"/>
      <w:divBdr>
        <w:top w:val="none" w:sz="0" w:space="0" w:color="auto"/>
        <w:left w:val="none" w:sz="0" w:space="0" w:color="auto"/>
        <w:bottom w:val="none" w:sz="0" w:space="0" w:color="auto"/>
        <w:right w:val="none" w:sz="0" w:space="0" w:color="auto"/>
      </w:divBdr>
      <w:divsChild>
        <w:div w:id="1023554596">
          <w:marLeft w:val="0"/>
          <w:marRight w:val="0"/>
          <w:marTop w:val="0"/>
          <w:marBottom w:val="0"/>
          <w:divBdr>
            <w:top w:val="none" w:sz="0" w:space="0" w:color="auto"/>
            <w:left w:val="none" w:sz="0" w:space="0" w:color="auto"/>
            <w:bottom w:val="none" w:sz="0" w:space="0" w:color="auto"/>
            <w:right w:val="none" w:sz="0" w:space="0" w:color="auto"/>
          </w:divBdr>
        </w:div>
        <w:div w:id="1700471741">
          <w:marLeft w:val="0"/>
          <w:marRight w:val="0"/>
          <w:marTop w:val="0"/>
          <w:marBottom w:val="0"/>
          <w:divBdr>
            <w:top w:val="none" w:sz="0" w:space="0" w:color="auto"/>
            <w:left w:val="none" w:sz="0" w:space="0" w:color="auto"/>
            <w:bottom w:val="none" w:sz="0" w:space="0" w:color="auto"/>
            <w:right w:val="none" w:sz="0" w:space="0" w:color="auto"/>
          </w:divBdr>
        </w:div>
        <w:div w:id="717244774">
          <w:marLeft w:val="0"/>
          <w:marRight w:val="0"/>
          <w:marTop w:val="0"/>
          <w:marBottom w:val="0"/>
          <w:divBdr>
            <w:top w:val="none" w:sz="0" w:space="0" w:color="auto"/>
            <w:left w:val="none" w:sz="0" w:space="0" w:color="auto"/>
            <w:bottom w:val="none" w:sz="0" w:space="0" w:color="auto"/>
            <w:right w:val="none" w:sz="0" w:space="0" w:color="auto"/>
          </w:divBdr>
        </w:div>
        <w:div w:id="1835760292">
          <w:marLeft w:val="0"/>
          <w:marRight w:val="0"/>
          <w:marTop w:val="0"/>
          <w:marBottom w:val="0"/>
          <w:divBdr>
            <w:top w:val="none" w:sz="0" w:space="0" w:color="auto"/>
            <w:left w:val="none" w:sz="0" w:space="0" w:color="auto"/>
            <w:bottom w:val="none" w:sz="0" w:space="0" w:color="auto"/>
            <w:right w:val="none" w:sz="0" w:space="0" w:color="auto"/>
          </w:divBdr>
        </w:div>
        <w:div w:id="468867684">
          <w:marLeft w:val="0"/>
          <w:marRight w:val="0"/>
          <w:marTop w:val="0"/>
          <w:marBottom w:val="0"/>
          <w:divBdr>
            <w:top w:val="none" w:sz="0" w:space="0" w:color="auto"/>
            <w:left w:val="none" w:sz="0" w:space="0" w:color="auto"/>
            <w:bottom w:val="none" w:sz="0" w:space="0" w:color="auto"/>
            <w:right w:val="none" w:sz="0" w:space="0" w:color="auto"/>
          </w:divBdr>
        </w:div>
      </w:divsChild>
    </w:div>
    <w:div w:id="1916282023">
      <w:marLeft w:val="0"/>
      <w:marRight w:val="0"/>
      <w:marTop w:val="100"/>
      <w:marBottom w:val="100"/>
      <w:divBdr>
        <w:top w:val="none" w:sz="0" w:space="0" w:color="auto"/>
        <w:left w:val="none" w:sz="0" w:space="0" w:color="auto"/>
        <w:bottom w:val="none" w:sz="0" w:space="0" w:color="auto"/>
        <w:right w:val="none" w:sz="0" w:space="0" w:color="auto"/>
      </w:divBdr>
      <w:divsChild>
        <w:div w:id="197470038">
          <w:marLeft w:val="0"/>
          <w:marRight w:val="0"/>
          <w:marTop w:val="0"/>
          <w:marBottom w:val="0"/>
          <w:divBdr>
            <w:top w:val="none" w:sz="0" w:space="0" w:color="auto"/>
            <w:left w:val="none" w:sz="0" w:space="0" w:color="auto"/>
            <w:bottom w:val="none" w:sz="0" w:space="0" w:color="auto"/>
            <w:right w:val="none" w:sz="0" w:space="0" w:color="auto"/>
          </w:divBdr>
        </w:div>
      </w:divsChild>
    </w:div>
    <w:div w:id="1917006390">
      <w:marLeft w:val="0"/>
      <w:marRight w:val="0"/>
      <w:marTop w:val="180"/>
      <w:marBottom w:val="180"/>
      <w:divBdr>
        <w:top w:val="none" w:sz="0" w:space="0" w:color="auto"/>
        <w:left w:val="none" w:sz="0" w:space="0" w:color="auto"/>
        <w:bottom w:val="none" w:sz="0" w:space="0" w:color="auto"/>
        <w:right w:val="none" w:sz="0" w:space="0" w:color="auto"/>
      </w:divBdr>
    </w:div>
    <w:div w:id="1919166909">
      <w:marLeft w:val="0"/>
      <w:marRight w:val="0"/>
      <w:marTop w:val="60"/>
      <w:marBottom w:val="60"/>
      <w:divBdr>
        <w:top w:val="none" w:sz="0" w:space="0" w:color="auto"/>
        <w:left w:val="none" w:sz="0" w:space="0" w:color="auto"/>
        <w:bottom w:val="none" w:sz="0" w:space="0" w:color="auto"/>
        <w:right w:val="none" w:sz="0" w:space="0" w:color="auto"/>
      </w:divBdr>
    </w:div>
    <w:div w:id="1919822337">
      <w:marLeft w:val="0"/>
      <w:marRight w:val="0"/>
      <w:marTop w:val="60"/>
      <w:marBottom w:val="60"/>
      <w:divBdr>
        <w:top w:val="none" w:sz="0" w:space="0" w:color="auto"/>
        <w:left w:val="none" w:sz="0" w:space="0" w:color="auto"/>
        <w:bottom w:val="none" w:sz="0" w:space="0" w:color="auto"/>
        <w:right w:val="none" w:sz="0" w:space="0" w:color="auto"/>
      </w:divBdr>
    </w:div>
    <w:div w:id="1921138609">
      <w:marLeft w:val="0"/>
      <w:marRight w:val="0"/>
      <w:marTop w:val="100"/>
      <w:marBottom w:val="100"/>
      <w:divBdr>
        <w:top w:val="none" w:sz="0" w:space="0" w:color="auto"/>
        <w:left w:val="none" w:sz="0" w:space="0" w:color="auto"/>
        <w:bottom w:val="none" w:sz="0" w:space="0" w:color="auto"/>
        <w:right w:val="none" w:sz="0" w:space="0" w:color="auto"/>
      </w:divBdr>
      <w:divsChild>
        <w:div w:id="2142068097">
          <w:marLeft w:val="0"/>
          <w:marRight w:val="0"/>
          <w:marTop w:val="0"/>
          <w:marBottom w:val="0"/>
          <w:divBdr>
            <w:top w:val="none" w:sz="0" w:space="0" w:color="auto"/>
            <w:left w:val="none" w:sz="0" w:space="0" w:color="auto"/>
            <w:bottom w:val="none" w:sz="0" w:space="0" w:color="auto"/>
            <w:right w:val="none" w:sz="0" w:space="0" w:color="auto"/>
          </w:divBdr>
        </w:div>
      </w:divsChild>
    </w:div>
    <w:div w:id="1922443234">
      <w:marLeft w:val="0"/>
      <w:marRight w:val="0"/>
      <w:marTop w:val="180"/>
      <w:marBottom w:val="180"/>
      <w:divBdr>
        <w:top w:val="none" w:sz="0" w:space="0" w:color="auto"/>
        <w:left w:val="none" w:sz="0" w:space="0" w:color="auto"/>
        <w:bottom w:val="none" w:sz="0" w:space="0" w:color="auto"/>
        <w:right w:val="none" w:sz="0" w:space="0" w:color="auto"/>
      </w:divBdr>
    </w:div>
    <w:div w:id="1922641431">
      <w:marLeft w:val="0"/>
      <w:marRight w:val="0"/>
      <w:marTop w:val="180"/>
      <w:marBottom w:val="60"/>
      <w:divBdr>
        <w:top w:val="none" w:sz="0" w:space="0" w:color="auto"/>
        <w:left w:val="none" w:sz="0" w:space="0" w:color="auto"/>
        <w:bottom w:val="none" w:sz="0" w:space="0" w:color="auto"/>
        <w:right w:val="none" w:sz="0" w:space="0" w:color="auto"/>
      </w:divBdr>
    </w:div>
    <w:div w:id="1923682870">
      <w:marLeft w:val="0"/>
      <w:marRight w:val="0"/>
      <w:marTop w:val="60"/>
      <w:marBottom w:val="60"/>
      <w:divBdr>
        <w:top w:val="none" w:sz="0" w:space="0" w:color="auto"/>
        <w:left w:val="none" w:sz="0" w:space="0" w:color="auto"/>
        <w:bottom w:val="none" w:sz="0" w:space="0" w:color="auto"/>
        <w:right w:val="none" w:sz="0" w:space="0" w:color="auto"/>
      </w:divBdr>
    </w:div>
    <w:div w:id="1923906794">
      <w:marLeft w:val="0"/>
      <w:marRight w:val="0"/>
      <w:marTop w:val="60"/>
      <w:marBottom w:val="60"/>
      <w:divBdr>
        <w:top w:val="none" w:sz="0" w:space="0" w:color="auto"/>
        <w:left w:val="none" w:sz="0" w:space="0" w:color="auto"/>
        <w:bottom w:val="none" w:sz="0" w:space="0" w:color="auto"/>
        <w:right w:val="none" w:sz="0" w:space="0" w:color="auto"/>
      </w:divBdr>
    </w:div>
    <w:div w:id="1925996145">
      <w:marLeft w:val="0"/>
      <w:marRight w:val="0"/>
      <w:marTop w:val="60"/>
      <w:marBottom w:val="60"/>
      <w:divBdr>
        <w:top w:val="none" w:sz="0" w:space="0" w:color="auto"/>
        <w:left w:val="none" w:sz="0" w:space="0" w:color="auto"/>
        <w:bottom w:val="none" w:sz="0" w:space="0" w:color="auto"/>
        <w:right w:val="none" w:sz="0" w:space="0" w:color="auto"/>
      </w:divBdr>
    </w:div>
    <w:div w:id="1926568273">
      <w:marLeft w:val="0"/>
      <w:marRight w:val="0"/>
      <w:marTop w:val="0"/>
      <w:marBottom w:val="0"/>
      <w:divBdr>
        <w:top w:val="none" w:sz="0" w:space="0" w:color="auto"/>
        <w:left w:val="none" w:sz="0" w:space="0" w:color="auto"/>
        <w:bottom w:val="none" w:sz="0" w:space="0" w:color="auto"/>
        <w:right w:val="none" w:sz="0" w:space="0" w:color="auto"/>
      </w:divBdr>
      <w:divsChild>
        <w:div w:id="559288631">
          <w:marLeft w:val="0"/>
          <w:marRight w:val="0"/>
          <w:marTop w:val="180"/>
          <w:marBottom w:val="180"/>
          <w:divBdr>
            <w:top w:val="none" w:sz="0" w:space="0" w:color="auto"/>
            <w:left w:val="none" w:sz="0" w:space="0" w:color="auto"/>
            <w:bottom w:val="none" w:sz="0" w:space="0" w:color="auto"/>
            <w:right w:val="none" w:sz="0" w:space="0" w:color="auto"/>
          </w:divBdr>
        </w:div>
      </w:divsChild>
    </w:div>
    <w:div w:id="1926763780">
      <w:marLeft w:val="0"/>
      <w:marRight w:val="0"/>
      <w:marTop w:val="180"/>
      <w:marBottom w:val="60"/>
      <w:divBdr>
        <w:top w:val="none" w:sz="0" w:space="0" w:color="auto"/>
        <w:left w:val="none" w:sz="0" w:space="0" w:color="auto"/>
        <w:bottom w:val="none" w:sz="0" w:space="0" w:color="auto"/>
        <w:right w:val="none" w:sz="0" w:space="0" w:color="auto"/>
      </w:divBdr>
    </w:div>
    <w:div w:id="1927109146">
      <w:marLeft w:val="0"/>
      <w:marRight w:val="0"/>
      <w:marTop w:val="60"/>
      <w:marBottom w:val="100"/>
      <w:divBdr>
        <w:top w:val="none" w:sz="0" w:space="0" w:color="auto"/>
        <w:left w:val="none" w:sz="0" w:space="0" w:color="auto"/>
        <w:bottom w:val="none" w:sz="0" w:space="0" w:color="auto"/>
        <w:right w:val="none" w:sz="0" w:space="0" w:color="auto"/>
      </w:divBdr>
      <w:divsChild>
        <w:div w:id="1026754680">
          <w:marLeft w:val="0"/>
          <w:marRight w:val="0"/>
          <w:marTop w:val="0"/>
          <w:marBottom w:val="0"/>
          <w:divBdr>
            <w:top w:val="none" w:sz="0" w:space="0" w:color="auto"/>
            <w:left w:val="none" w:sz="0" w:space="0" w:color="auto"/>
            <w:bottom w:val="none" w:sz="0" w:space="0" w:color="auto"/>
            <w:right w:val="none" w:sz="0" w:space="0" w:color="auto"/>
          </w:divBdr>
        </w:div>
      </w:divsChild>
    </w:div>
    <w:div w:id="1927113607">
      <w:marLeft w:val="0"/>
      <w:marRight w:val="0"/>
      <w:marTop w:val="180"/>
      <w:marBottom w:val="60"/>
      <w:divBdr>
        <w:top w:val="none" w:sz="0" w:space="0" w:color="auto"/>
        <w:left w:val="none" w:sz="0" w:space="0" w:color="auto"/>
        <w:bottom w:val="none" w:sz="0" w:space="0" w:color="auto"/>
        <w:right w:val="none" w:sz="0" w:space="0" w:color="auto"/>
      </w:divBdr>
    </w:div>
    <w:div w:id="1927691092">
      <w:marLeft w:val="0"/>
      <w:marRight w:val="0"/>
      <w:marTop w:val="180"/>
      <w:marBottom w:val="180"/>
      <w:divBdr>
        <w:top w:val="none" w:sz="0" w:space="0" w:color="auto"/>
        <w:left w:val="none" w:sz="0" w:space="0" w:color="auto"/>
        <w:bottom w:val="none" w:sz="0" w:space="0" w:color="auto"/>
        <w:right w:val="none" w:sz="0" w:space="0" w:color="auto"/>
      </w:divBdr>
    </w:div>
    <w:div w:id="1929805491">
      <w:marLeft w:val="0"/>
      <w:marRight w:val="0"/>
      <w:marTop w:val="100"/>
      <w:marBottom w:val="100"/>
      <w:divBdr>
        <w:top w:val="none" w:sz="0" w:space="0" w:color="auto"/>
        <w:left w:val="none" w:sz="0" w:space="0" w:color="auto"/>
        <w:bottom w:val="none" w:sz="0" w:space="0" w:color="auto"/>
        <w:right w:val="none" w:sz="0" w:space="0" w:color="auto"/>
      </w:divBdr>
      <w:divsChild>
        <w:div w:id="1848712404">
          <w:marLeft w:val="0"/>
          <w:marRight w:val="0"/>
          <w:marTop w:val="0"/>
          <w:marBottom w:val="0"/>
          <w:divBdr>
            <w:top w:val="none" w:sz="0" w:space="0" w:color="auto"/>
            <w:left w:val="none" w:sz="0" w:space="0" w:color="auto"/>
            <w:bottom w:val="none" w:sz="0" w:space="0" w:color="auto"/>
            <w:right w:val="none" w:sz="0" w:space="0" w:color="auto"/>
          </w:divBdr>
        </w:div>
        <w:div w:id="120541768">
          <w:marLeft w:val="0"/>
          <w:marRight w:val="0"/>
          <w:marTop w:val="0"/>
          <w:marBottom w:val="0"/>
          <w:divBdr>
            <w:top w:val="none" w:sz="0" w:space="0" w:color="auto"/>
            <w:left w:val="none" w:sz="0" w:space="0" w:color="auto"/>
            <w:bottom w:val="none" w:sz="0" w:space="0" w:color="auto"/>
            <w:right w:val="none" w:sz="0" w:space="0" w:color="auto"/>
          </w:divBdr>
        </w:div>
      </w:divsChild>
    </w:div>
    <w:div w:id="1931815093">
      <w:marLeft w:val="0"/>
      <w:marRight w:val="0"/>
      <w:marTop w:val="60"/>
      <w:marBottom w:val="60"/>
      <w:divBdr>
        <w:top w:val="none" w:sz="0" w:space="0" w:color="auto"/>
        <w:left w:val="none" w:sz="0" w:space="0" w:color="auto"/>
        <w:bottom w:val="none" w:sz="0" w:space="0" w:color="auto"/>
        <w:right w:val="none" w:sz="0" w:space="0" w:color="auto"/>
      </w:divBdr>
    </w:div>
    <w:div w:id="1933077623">
      <w:marLeft w:val="0"/>
      <w:marRight w:val="0"/>
      <w:marTop w:val="180"/>
      <w:marBottom w:val="180"/>
      <w:divBdr>
        <w:top w:val="none" w:sz="0" w:space="0" w:color="auto"/>
        <w:left w:val="none" w:sz="0" w:space="0" w:color="auto"/>
        <w:bottom w:val="none" w:sz="0" w:space="0" w:color="auto"/>
        <w:right w:val="none" w:sz="0" w:space="0" w:color="auto"/>
      </w:divBdr>
    </w:div>
    <w:div w:id="1933931571">
      <w:marLeft w:val="0"/>
      <w:marRight w:val="0"/>
      <w:marTop w:val="0"/>
      <w:marBottom w:val="0"/>
      <w:divBdr>
        <w:top w:val="none" w:sz="0" w:space="0" w:color="auto"/>
        <w:left w:val="none" w:sz="0" w:space="0" w:color="auto"/>
        <w:bottom w:val="none" w:sz="0" w:space="0" w:color="auto"/>
        <w:right w:val="none" w:sz="0" w:space="0" w:color="auto"/>
      </w:divBdr>
      <w:divsChild>
        <w:div w:id="1035272665">
          <w:marLeft w:val="0"/>
          <w:marRight w:val="0"/>
          <w:marTop w:val="0"/>
          <w:marBottom w:val="0"/>
          <w:divBdr>
            <w:top w:val="none" w:sz="0" w:space="0" w:color="auto"/>
            <w:left w:val="none" w:sz="0" w:space="0" w:color="auto"/>
            <w:bottom w:val="none" w:sz="0" w:space="0" w:color="auto"/>
            <w:right w:val="none" w:sz="0" w:space="0" w:color="auto"/>
          </w:divBdr>
          <w:divsChild>
            <w:div w:id="9234184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4124620">
      <w:marLeft w:val="0"/>
      <w:marRight w:val="0"/>
      <w:marTop w:val="160"/>
      <w:marBottom w:val="160"/>
      <w:divBdr>
        <w:top w:val="none" w:sz="0" w:space="0" w:color="auto"/>
        <w:left w:val="none" w:sz="0" w:space="0" w:color="auto"/>
        <w:bottom w:val="none" w:sz="0" w:space="0" w:color="auto"/>
        <w:right w:val="none" w:sz="0" w:space="0" w:color="auto"/>
      </w:divBdr>
    </w:div>
    <w:div w:id="1934587694">
      <w:marLeft w:val="0"/>
      <w:marRight w:val="0"/>
      <w:marTop w:val="180"/>
      <w:marBottom w:val="180"/>
      <w:divBdr>
        <w:top w:val="none" w:sz="0" w:space="0" w:color="auto"/>
        <w:left w:val="none" w:sz="0" w:space="0" w:color="auto"/>
        <w:bottom w:val="none" w:sz="0" w:space="0" w:color="auto"/>
        <w:right w:val="none" w:sz="0" w:space="0" w:color="auto"/>
      </w:divBdr>
    </w:div>
    <w:div w:id="1935091017">
      <w:marLeft w:val="0"/>
      <w:marRight w:val="0"/>
      <w:marTop w:val="180"/>
      <w:marBottom w:val="180"/>
      <w:divBdr>
        <w:top w:val="none" w:sz="0" w:space="0" w:color="auto"/>
        <w:left w:val="none" w:sz="0" w:space="0" w:color="auto"/>
        <w:bottom w:val="none" w:sz="0" w:space="0" w:color="auto"/>
        <w:right w:val="none" w:sz="0" w:space="0" w:color="auto"/>
      </w:divBdr>
    </w:div>
    <w:div w:id="1935092739">
      <w:marLeft w:val="0"/>
      <w:marRight w:val="0"/>
      <w:marTop w:val="0"/>
      <w:marBottom w:val="0"/>
      <w:divBdr>
        <w:top w:val="none" w:sz="0" w:space="0" w:color="auto"/>
        <w:left w:val="none" w:sz="0" w:space="0" w:color="auto"/>
        <w:bottom w:val="none" w:sz="0" w:space="0" w:color="auto"/>
        <w:right w:val="none" w:sz="0" w:space="0" w:color="auto"/>
      </w:divBdr>
    </w:div>
    <w:div w:id="1935432925">
      <w:marLeft w:val="0"/>
      <w:marRight w:val="0"/>
      <w:marTop w:val="180"/>
      <w:marBottom w:val="180"/>
      <w:divBdr>
        <w:top w:val="none" w:sz="0" w:space="0" w:color="auto"/>
        <w:left w:val="none" w:sz="0" w:space="0" w:color="auto"/>
        <w:bottom w:val="none" w:sz="0" w:space="0" w:color="auto"/>
        <w:right w:val="none" w:sz="0" w:space="0" w:color="auto"/>
      </w:divBdr>
    </w:div>
    <w:div w:id="1936938630">
      <w:marLeft w:val="0"/>
      <w:marRight w:val="0"/>
      <w:marTop w:val="160"/>
      <w:marBottom w:val="100"/>
      <w:divBdr>
        <w:top w:val="none" w:sz="0" w:space="0" w:color="auto"/>
        <w:left w:val="none" w:sz="0" w:space="0" w:color="auto"/>
        <w:bottom w:val="none" w:sz="0" w:space="0" w:color="auto"/>
        <w:right w:val="none" w:sz="0" w:space="0" w:color="auto"/>
      </w:divBdr>
    </w:div>
    <w:div w:id="1941835836">
      <w:marLeft w:val="0"/>
      <w:marRight w:val="0"/>
      <w:marTop w:val="180"/>
      <w:marBottom w:val="180"/>
      <w:divBdr>
        <w:top w:val="none" w:sz="0" w:space="0" w:color="auto"/>
        <w:left w:val="none" w:sz="0" w:space="0" w:color="auto"/>
        <w:bottom w:val="none" w:sz="0" w:space="0" w:color="auto"/>
        <w:right w:val="none" w:sz="0" w:space="0" w:color="auto"/>
      </w:divBdr>
    </w:div>
    <w:div w:id="1942645982">
      <w:marLeft w:val="0"/>
      <w:marRight w:val="0"/>
      <w:marTop w:val="180"/>
      <w:marBottom w:val="180"/>
      <w:divBdr>
        <w:top w:val="none" w:sz="0" w:space="0" w:color="auto"/>
        <w:left w:val="none" w:sz="0" w:space="0" w:color="auto"/>
        <w:bottom w:val="none" w:sz="0" w:space="0" w:color="auto"/>
        <w:right w:val="none" w:sz="0" w:space="0" w:color="auto"/>
      </w:divBdr>
    </w:div>
    <w:div w:id="1943145948">
      <w:marLeft w:val="0"/>
      <w:marRight w:val="0"/>
      <w:marTop w:val="180"/>
      <w:marBottom w:val="180"/>
      <w:divBdr>
        <w:top w:val="none" w:sz="0" w:space="0" w:color="auto"/>
        <w:left w:val="none" w:sz="0" w:space="0" w:color="auto"/>
        <w:bottom w:val="none" w:sz="0" w:space="0" w:color="auto"/>
        <w:right w:val="none" w:sz="0" w:space="0" w:color="auto"/>
      </w:divBdr>
    </w:div>
    <w:div w:id="1943566741">
      <w:marLeft w:val="0"/>
      <w:marRight w:val="0"/>
      <w:marTop w:val="180"/>
      <w:marBottom w:val="180"/>
      <w:divBdr>
        <w:top w:val="none" w:sz="0" w:space="0" w:color="auto"/>
        <w:left w:val="none" w:sz="0" w:space="0" w:color="auto"/>
        <w:bottom w:val="none" w:sz="0" w:space="0" w:color="auto"/>
        <w:right w:val="none" w:sz="0" w:space="0" w:color="auto"/>
      </w:divBdr>
    </w:div>
    <w:div w:id="1943610373">
      <w:marLeft w:val="0"/>
      <w:marRight w:val="0"/>
      <w:marTop w:val="0"/>
      <w:marBottom w:val="0"/>
      <w:divBdr>
        <w:top w:val="none" w:sz="0" w:space="0" w:color="auto"/>
        <w:left w:val="none" w:sz="0" w:space="0" w:color="auto"/>
        <w:bottom w:val="none" w:sz="0" w:space="0" w:color="auto"/>
        <w:right w:val="none" w:sz="0" w:space="0" w:color="auto"/>
      </w:divBdr>
      <w:divsChild>
        <w:div w:id="824054475">
          <w:marLeft w:val="0"/>
          <w:marRight w:val="0"/>
          <w:marTop w:val="180"/>
          <w:marBottom w:val="180"/>
          <w:divBdr>
            <w:top w:val="none" w:sz="0" w:space="0" w:color="auto"/>
            <w:left w:val="none" w:sz="0" w:space="0" w:color="auto"/>
            <w:bottom w:val="none" w:sz="0" w:space="0" w:color="auto"/>
            <w:right w:val="none" w:sz="0" w:space="0" w:color="auto"/>
          </w:divBdr>
        </w:div>
      </w:divsChild>
    </w:div>
    <w:div w:id="1945111534">
      <w:marLeft w:val="0"/>
      <w:marRight w:val="0"/>
      <w:marTop w:val="60"/>
      <w:marBottom w:val="60"/>
      <w:divBdr>
        <w:top w:val="none" w:sz="0" w:space="0" w:color="auto"/>
        <w:left w:val="none" w:sz="0" w:space="0" w:color="auto"/>
        <w:bottom w:val="none" w:sz="0" w:space="0" w:color="auto"/>
        <w:right w:val="none" w:sz="0" w:space="0" w:color="auto"/>
      </w:divBdr>
    </w:div>
    <w:div w:id="1945765051">
      <w:marLeft w:val="0"/>
      <w:marRight w:val="0"/>
      <w:marTop w:val="180"/>
      <w:marBottom w:val="180"/>
      <w:divBdr>
        <w:top w:val="none" w:sz="0" w:space="0" w:color="auto"/>
        <w:left w:val="none" w:sz="0" w:space="0" w:color="auto"/>
        <w:bottom w:val="none" w:sz="0" w:space="0" w:color="auto"/>
        <w:right w:val="none" w:sz="0" w:space="0" w:color="auto"/>
      </w:divBdr>
    </w:div>
    <w:div w:id="1949920667">
      <w:marLeft w:val="0"/>
      <w:marRight w:val="0"/>
      <w:marTop w:val="180"/>
      <w:marBottom w:val="180"/>
      <w:divBdr>
        <w:top w:val="none" w:sz="0" w:space="0" w:color="auto"/>
        <w:left w:val="none" w:sz="0" w:space="0" w:color="auto"/>
        <w:bottom w:val="none" w:sz="0" w:space="0" w:color="auto"/>
        <w:right w:val="none" w:sz="0" w:space="0" w:color="auto"/>
      </w:divBdr>
    </w:div>
    <w:div w:id="1952517358">
      <w:marLeft w:val="0"/>
      <w:marRight w:val="0"/>
      <w:marTop w:val="180"/>
      <w:marBottom w:val="180"/>
      <w:divBdr>
        <w:top w:val="none" w:sz="0" w:space="0" w:color="auto"/>
        <w:left w:val="none" w:sz="0" w:space="0" w:color="auto"/>
        <w:bottom w:val="none" w:sz="0" w:space="0" w:color="auto"/>
        <w:right w:val="none" w:sz="0" w:space="0" w:color="auto"/>
      </w:divBdr>
    </w:div>
    <w:div w:id="1953394622">
      <w:marLeft w:val="0"/>
      <w:marRight w:val="0"/>
      <w:marTop w:val="180"/>
      <w:marBottom w:val="180"/>
      <w:divBdr>
        <w:top w:val="none" w:sz="0" w:space="0" w:color="auto"/>
        <w:left w:val="none" w:sz="0" w:space="0" w:color="auto"/>
        <w:bottom w:val="none" w:sz="0" w:space="0" w:color="auto"/>
        <w:right w:val="none" w:sz="0" w:space="0" w:color="auto"/>
      </w:divBdr>
    </w:div>
    <w:div w:id="1956447195">
      <w:marLeft w:val="0"/>
      <w:marRight w:val="0"/>
      <w:marTop w:val="180"/>
      <w:marBottom w:val="180"/>
      <w:divBdr>
        <w:top w:val="none" w:sz="0" w:space="0" w:color="auto"/>
        <w:left w:val="none" w:sz="0" w:space="0" w:color="auto"/>
        <w:bottom w:val="none" w:sz="0" w:space="0" w:color="auto"/>
        <w:right w:val="none" w:sz="0" w:space="0" w:color="auto"/>
      </w:divBdr>
    </w:div>
    <w:div w:id="1959988136">
      <w:marLeft w:val="0"/>
      <w:marRight w:val="0"/>
      <w:marTop w:val="180"/>
      <w:marBottom w:val="180"/>
      <w:divBdr>
        <w:top w:val="none" w:sz="0" w:space="0" w:color="auto"/>
        <w:left w:val="none" w:sz="0" w:space="0" w:color="auto"/>
        <w:bottom w:val="none" w:sz="0" w:space="0" w:color="auto"/>
        <w:right w:val="none" w:sz="0" w:space="0" w:color="auto"/>
      </w:divBdr>
    </w:div>
    <w:div w:id="1959990919">
      <w:marLeft w:val="0"/>
      <w:marRight w:val="0"/>
      <w:marTop w:val="180"/>
      <w:marBottom w:val="180"/>
      <w:divBdr>
        <w:top w:val="none" w:sz="0" w:space="0" w:color="auto"/>
        <w:left w:val="none" w:sz="0" w:space="0" w:color="auto"/>
        <w:bottom w:val="none" w:sz="0" w:space="0" w:color="auto"/>
        <w:right w:val="none" w:sz="0" w:space="0" w:color="auto"/>
      </w:divBdr>
    </w:div>
    <w:div w:id="1960793404">
      <w:marLeft w:val="0"/>
      <w:marRight w:val="0"/>
      <w:marTop w:val="60"/>
      <w:marBottom w:val="60"/>
      <w:divBdr>
        <w:top w:val="none" w:sz="0" w:space="0" w:color="auto"/>
        <w:left w:val="none" w:sz="0" w:space="0" w:color="auto"/>
        <w:bottom w:val="none" w:sz="0" w:space="0" w:color="auto"/>
        <w:right w:val="none" w:sz="0" w:space="0" w:color="auto"/>
      </w:divBdr>
    </w:div>
    <w:div w:id="1960842192">
      <w:marLeft w:val="0"/>
      <w:marRight w:val="0"/>
      <w:marTop w:val="180"/>
      <w:marBottom w:val="180"/>
      <w:divBdr>
        <w:top w:val="none" w:sz="0" w:space="0" w:color="auto"/>
        <w:left w:val="none" w:sz="0" w:space="0" w:color="auto"/>
        <w:bottom w:val="none" w:sz="0" w:space="0" w:color="auto"/>
        <w:right w:val="none" w:sz="0" w:space="0" w:color="auto"/>
      </w:divBdr>
    </w:div>
    <w:div w:id="1962951329">
      <w:marLeft w:val="0"/>
      <w:marRight w:val="0"/>
      <w:marTop w:val="60"/>
      <w:marBottom w:val="60"/>
      <w:divBdr>
        <w:top w:val="none" w:sz="0" w:space="0" w:color="auto"/>
        <w:left w:val="none" w:sz="0" w:space="0" w:color="auto"/>
        <w:bottom w:val="none" w:sz="0" w:space="0" w:color="auto"/>
        <w:right w:val="none" w:sz="0" w:space="0" w:color="auto"/>
      </w:divBdr>
    </w:div>
    <w:div w:id="1964075171">
      <w:marLeft w:val="0"/>
      <w:marRight w:val="0"/>
      <w:marTop w:val="0"/>
      <w:marBottom w:val="0"/>
      <w:divBdr>
        <w:top w:val="none" w:sz="0" w:space="0" w:color="auto"/>
        <w:left w:val="none" w:sz="0" w:space="0" w:color="auto"/>
        <w:bottom w:val="none" w:sz="0" w:space="0" w:color="auto"/>
        <w:right w:val="none" w:sz="0" w:space="0" w:color="auto"/>
      </w:divBdr>
    </w:div>
    <w:div w:id="1965305902">
      <w:marLeft w:val="0"/>
      <w:marRight w:val="0"/>
      <w:marTop w:val="180"/>
      <w:marBottom w:val="100"/>
      <w:divBdr>
        <w:top w:val="none" w:sz="0" w:space="0" w:color="auto"/>
        <w:left w:val="none" w:sz="0" w:space="0" w:color="auto"/>
        <w:bottom w:val="none" w:sz="0" w:space="0" w:color="auto"/>
        <w:right w:val="none" w:sz="0" w:space="0" w:color="auto"/>
      </w:divBdr>
      <w:divsChild>
        <w:div w:id="1467820754">
          <w:marLeft w:val="0"/>
          <w:marRight w:val="0"/>
          <w:marTop w:val="180"/>
          <w:marBottom w:val="0"/>
          <w:divBdr>
            <w:top w:val="none" w:sz="0" w:space="0" w:color="auto"/>
            <w:left w:val="none" w:sz="0" w:space="0" w:color="auto"/>
            <w:bottom w:val="none" w:sz="0" w:space="0" w:color="auto"/>
            <w:right w:val="none" w:sz="0" w:space="0" w:color="auto"/>
          </w:divBdr>
        </w:div>
      </w:divsChild>
    </w:div>
    <w:div w:id="1966503414">
      <w:marLeft w:val="0"/>
      <w:marRight w:val="0"/>
      <w:marTop w:val="180"/>
      <w:marBottom w:val="180"/>
      <w:divBdr>
        <w:top w:val="none" w:sz="0" w:space="0" w:color="auto"/>
        <w:left w:val="none" w:sz="0" w:space="0" w:color="auto"/>
        <w:bottom w:val="none" w:sz="0" w:space="0" w:color="auto"/>
        <w:right w:val="none" w:sz="0" w:space="0" w:color="auto"/>
      </w:divBdr>
    </w:div>
    <w:div w:id="1967349802">
      <w:marLeft w:val="0"/>
      <w:marRight w:val="0"/>
      <w:marTop w:val="0"/>
      <w:marBottom w:val="0"/>
      <w:divBdr>
        <w:top w:val="none" w:sz="0" w:space="0" w:color="auto"/>
        <w:left w:val="none" w:sz="0" w:space="0" w:color="auto"/>
        <w:bottom w:val="none" w:sz="0" w:space="0" w:color="auto"/>
        <w:right w:val="none" w:sz="0" w:space="0" w:color="auto"/>
      </w:divBdr>
      <w:divsChild>
        <w:div w:id="990135801">
          <w:marLeft w:val="0"/>
          <w:marRight w:val="0"/>
          <w:marTop w:val="0"/>
          <w:marBottom w:val="0"/>
          <w:divBdr>
            <w:top w:val="none" w:sz="0" w:space="0" w:color="auto"/>
            <w:left w:val="none" w:sz="0" w:space="0" w:color="auto"/>
            <w:bottom w:val="none" w:sz="0" w:space="0" w:color="auto"/>
            <w:right w:val="none" w:sz="0" w:space="0" w:color="auto"/>
          </w:divBdr>
          <w:divsChild>
            <w:div w:id="5791456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7656183">
      <w:marLeft w:val="0"/>
      <w:marRight w:val="0"/>
      <w:marTop w:val="180"/>
      <w:marBottom w:val="60"/>
      <w:divBdr>
        <w:top w:val="none" w:sz="0" w:space="0" w:color="auto"/>
        <w:left w:val="none" w:sz="0" w:space="0" w:color="auto"/>
        <w:bottom w:val="none" w:sz="0" w:space="0" w:color="auto"/>
        <w:right w:val="none" w:sz="0" w:space="0" w:color="auto"/>
      </w:divBdr>
    </w:div>
    <w:div w:id="1968117867">
      <w:marLeft w:val="0"/>
      <w:marRight w:val="0"/>
      <w:marTop w:val="60"/>
      <w:marBottom w:val="60"/>
      <w:divBdr>
        <w:top w:val="none" w:sz="0" w:space="0" w:color="auto"/>
        <w:left w:val="none" w:sz="0" w:space="0" w:color="auto"/>
        <w:bottom w:val="none" w:sz="0" w:space="0" w:color="auto"/>
        <w:right w:val="none" w:sz="0" w:space="0" w:color="auto"/>
      </w:divBdr>
    </w:div>
    <w:div w:id="1968268776">
      <w:marLeft w:val="0"/>
      <w:marRight w:val="0"/>
      <w:marTop w:val="180"/>
      <w:marBottom w:val="180"/>
      <w:divBdr>
        <w:top w:val="none" w:sz="0" w:space="0" w:color="auto"/>
        <w:left w:val="none" w:sz="0" w:space="0" w:color="auto"/>
        <w:bottom w:val="none" w:sz="0" w:space="0" w:color="auto"/>
        <w:right w:val="none" w:sz="0" w:space="0" w:color="auto"/>
      </w:divBdr>
    </w:div>
    <w:div w:id="1973050454">
      <w:marLeft w:val="0"/>
      <w:marRight w:val="0"/>
      <w:marTop w:val="180"/>
      <w:marBottom w:val="180"/>
      <w:divBdr>
        <w:top w:val="none" w:sz="0" w:space="0" w:color="auto"/>
        <w:left w:val="none" w:sz="0" w:space="0" w:color="auto"/>
        <w:bottom w:val="none" w:sz="0" w:space="0" w:color="auto"/>
        <w:right w:val="none" w:sz="0" w:space="0" w:color="auto"/>
      </w:divBdr>
    </w:div>
    <w:div w:id="1973362463">
      <w:marLeft w:val="0"/>
      <w:marRight w:val="0"/>
      <w:marTop w:val="0"/>
      <w:marBottom w:val="0"/>
      <w:divBdr>
        <w:top w:val="none" w:sz="0" w:space="0" w:color="auto"/>
        <w:left w:val="none" w:sz="0" w:space="0" w:color="auto"/>
        <w:bottom w:val="none" w:sz="0" w:space="0" w:color="auto"/>
        <w:right w:val="none" w:sz="0" w:space="0" w:color="auto"/>
      </w:divBdr>
      <w:divsChild>
        <w:div w:id="114444112">
          <w:marLeft w:val="0"/>
          <w:marRight w:val="0"/>
          <w:marTop w:val="180"/>
          <w:marBottom w:val="180"/>
          <w:divBdr>
            <w:top w:val="none" w:sz="0" w:space="0" w:color="auto"/>
            <w:left w:val="none" w:sz="0" w:space="0" w:color="auto"/>
            <w:bottom w:val="none" w:sz="0" w:space="0" w:color="auto"/>
            <w:right w:val="none" w:sz="0" w:space="0" w:color="auto"/>
          </w:divBdr>
        </w:div>
      </w:divsChild>
    </w:div>
    <w:div w:id="1975941251">
      <w:marLeft w:val="0"/>
      <w:marRight w:val="0"/>
      <w:marTop w:val="60"/>
      <w:marBottom w:val="60"/>
      <w:divBdr>
        <w:top w:val="none" w:sz="0" w:space="0" w:color="auto"/>
        <w:left w:val="none" w:sz="0" w:space="0" w:color="auto"/>
        <w:bottom w:val="none" w:sz="0" w:space="0" w:color="auto"/>
        <w:right w:val="none" w:sz="0" w:space="0" w:color="auto"/>
      </w:divBdr>
    </w:div>
    <w:div w:id="1975989287">
      <w:marLeft w:val="0"/>
      <w:marRight w:val="0"/>
      <w:marTop w:val="60"/>
      <w:marBottom w:val="60"/>
      <w:divBdr>
        <w:top w:val="none" w:sz="0" w:space="0" w:color="auto"/>
        <w:left w:val="none" w:sz="0" w:space="0" w:color="auto"/>
        <w:bottom w:val="none" w:sz="0" w:space="0" w:color="auto"/>
        <w:right w:val="none" w:sz="0" w:space="0" w:color="auto"/>
      </w:divBdr>
    </w:div>
    <w:div w:id="1977950251">
      <w:marLeft w:val="0"/>
      <w:marRight w:val="0"/>
      <w:marTop w:val="180"/>
      <w:marBottom w:val="180"/>
      <w:divBdr>
        <w:top w:val="none" w:sz="0" w:space="0" w:color="auto"/>
        <w:left w:val="none" w:sz="0" w:space="0" w:color="auto"/>
        <w:bottom w:val="none" w:sz="0" w:space="0" w:color="auto"/>
        <w:right w:val="none" w:sz="0" w:space="0" w:color="auto"/>
      </w:divBdr>
    </w:div>
    <w:div w:id="1978342583">
      <w:marLeft w:val="0"/>
      <w:marRight w:val="0"/>
      <w:marTop w:val="180"/>
      <w:marBottom w:val="60"/>
      <w:divBdr>
        <w:top w:val="none" w:sz="0" w:space="0" w:color="auto"/>
        <w:left w:val="none" w:sz="0" w:space="0" w:color="auto"/>
        <w:bottom w:val="none" w:sz="0" w:space="0" w:color="auto"/>
        <w:right w:val="none" w:sz="0" w:space="0" w:color="auto"/>
      </w:divBdr>
    </w:div>
    <w:div w:id="1979912813">
      <w:marLeft w:val="0"/>
      <w:marRight w:val="0"/>
      <w:marTop w:val="180"/>
      <w:marBottom w:val="180"/>
      <w:divBdr>
        <w:top w:val="none" w:sz="0" w:space="0" w:color="auto"/>
        <w:left w:val="none" w:sz="0" w:space="0" w:color="auto"/>
        <w:bottom w:val="none" w:sz="0" w:space="0" w:color="auto"/>
        <w:right w:val="none" w:sz="0" w:space="0" w:color="auto"/>
      </w:divBdr>
    </w:div>
    <w:div w:id="1980259696">
      <w:marLeft w:val="0"/>
      <w:marRight w:val="0"/>
      <w:marTop w:val="180"/>
      <w:marBottom w:val="180"/>
      <w:divBdr>
        <w:top w:val="none" w:sz="0" w:space="0" w:color="auto"/>
        <w:left w:val="none" w:sz="0" w:space="0" w:color="auto"/>
        <w:bottom w:val="none" w:sz="0" w:space="0" w:color="auto"/>
        <w:right w:val="none" w:sz="0" w:space="0" w:color="auto"/>
      </w:divBdr>
    </w:div>
    <w:div w:id="1981570474">
      <w:marLeft w:val="0"/>
      <w:marRight w:val="0"/>
      <w:marTop w:val="180"/>
      <w:marBottom w:val="180"/>
      <w:divBdr>
        <w:top w:val="none" w:sz="0" w:space="0" w:color="auto"/>
        <w:left w:val="none" w:sz="0" w:space="0" w:color="auto"/>
        <w:bottom w:val="none" w:sz="0" w:space="0" w:color="auto"/>
        <w:right w:val="none" w:sz="0" w:space="0" w:color="auto"/>
      </w:divBdr>
    </w:div>
    <w:div w:id="1982491197">
      <w:marLeft w:val="0"/>
      <w:marRight w:val="0"/>
      <w:marTop w:val="100"/>
      <w:marBottom w:val="100"/>
      <w:divBdr>
        <w:top w:val="none" w:sz="0" w:space="0" w:color="auto"/>
        <w:left w:val="none" w:sz="0" w:space="0" w:color="auto"/>
        <w:bottom w:val="none" w:sz="0" w:space="0" w:color="auto"/>
        <w:right w:val="none" w:sz="0" w:space="0" w:color="auto"/>
      </w:divBdr>
      <w:divsChild>
        <w:div w:id="2129258">
          <w:marLeft w:val="0"/>
          <w:marRight w:val="0"/>
          <w:marTop w:val="0"/>
          <w:marBottom w:val="0"/>
          <w:divBdr>
            <w:top w:val="none" w:sz="0" w:space="0" w:color="auto"/>
            <w:left w:val="none" w:sz="0" w:space="0" w:color="auto"/>
            <w:bottom w:val="none" w:sz="0" w:space="0" w:color="auto"/>
            <w:right w:val="none" w:sz="0" w:space="0" w:color="auto"/>
          </w:divBdr>
        </w:div>
        <w:div w:id="22219351">
          <w:marLeft w:val="0"/>
          <w:marRight w:val="0"/>
          <w:marTop w:val="0"/>
          <w:marBottom w:val="0"/>
          <w:divBdr>
            <w:top w:val="none" w:sz="0" w:space="0" w:color="auto"/>
            <w:left w:val="none" w:sz="0" w:space="0" w:color="auto"/>
            <w:bottom w:val="none" w:sz="0" w:space="0" w:color="auto"/>
            <w:right w:val="none" w:sz="0" w:space="0" w:color="auto"/>
          </w:divBdr>
        </w:div>
        <w:div w:id="1017001146">
          <w:marLeft w:val="0"/>
          <w:marRight w:val="0"/>
          <w:marTop w:val="0"/>
          <w:marBottom w:val="0"/>
          <w:divBdr>
            <w:top w:val="none" w:sz="0" w:space="0" w:color="auto"/>
            <w:left w:val="none" w:sz="0" w:space="0" w:color="auto"/>
            <w:bottom w:val="none" w:sz="0" w:space="0" w:color="auto"/>
            <w:right w:val="none" w:sz="0" w:space="0" w:color="auto"/>
          </w:divBdr>
        </w:div>
      </w:divsChild>
    </w:div>
    <w:div w:id="1982491579">
      <w:marLeft w:val="0"/>
      <w:marRight w:val="0"/>
      <w:marTop w:val="0"/>
      <w:marBottom w:val="0"/>
      <w:divBdr>
        <w:top w:val="none" w:sz="0" w:space="0" w:color="auto"/>
        <w:left w:val="none" w:sz="0" w:space="0" w:color="auto"/>
        <w:bottom w:val="none" w:sz="0" w:space="0" w:color="auto"/>
        <w:right w:val="none" w:sz="0" w:space="0" w:color="auto"/>
      </w:divBdr>
      <w:divsChild>
        <w:div w:id="496306179">
          <w:marLeft w:val="0"/>
          <w:marRight w:val="0"/>
          <w:marTop w:val="0"/>
          <w:marBottom w:val="0"/>
          <w:divBdr>
            <w:top w:val="none" w:sz="0" w:space="0" w:color="auto"/>
            <w:left w:val="none" w:sz="0" w:space="0" w:color="auto"/>
            <w:bottom w:val="none" w:sz="0" w:space="0" w:color="auto"/>
            <w:right w:val="none" w:sz="0" w:space="0" w:color="auto"/>
          </w:divBdr>
          <w:divsChild>
            <w:div w:id="14019048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4967179">
      <w:marLeft w:val="0"/>
      <w:marRight w:val="0"/>
      <w:marTop w:val="0"/>
      <w:marBottom w:val="0"/>
      <w:divBdr>
        <w:top w:val="none" w:sz="0" w:space="0" w:color="auto"/>
        <w:left w:val="none" w:sz="0" w:space="0" w:color="auto"/>
        <w:bottom w:val="none" w:sz="0" w:space="0" w:color="auto"/>
        <w:right w:val="none" w:sz="0" w:space="0" w:color="auto"/>
      </w:divBdr>
    </w:div>
    <w:div w:id="1986471190">
      <w:marLeft w:val="0"/>
      <w:marRight w:val="0"/>
      <w:marTop w:val="100"/>
      <w:marBottom w:val="60"/>
      <w:divBdr>
        <w:top w:val="none" w:sz="0" w:space="0" w:color="auto"/>
        <w:left w:val="none" w:sz="0" w:space="0" w:color="auto"/>
        <w:bottom w:val="none" w:sz="0" w:space="0" w:color="auto"/>
        <w:right w:val="none" w:sz="0" w:space="0" w:color="auto"/>
      </w:divBdr>
    </w:div>
    <w:div w:id="1986932313">
      <w:marLeft w:val="0"/>
      <w:marRight w:val="0"/>
      <w:marTop w:val="0"/>
      <w:marBottom w:val="0"/>
      <w:divBdr>
        <w:top w:val="none" w:sz="0" w:space="0" w:color="auto"/>
        <w:left w:val="none" w:sz="0" w:space="0" w:color="auto"/>
        <w:bottom w:val="none" w:sz="0" w:space="0" w:color="auto"/>
        <w:right w:val="none" w:sz="0" w:space="0" w:color="auto"/>
      </w:divBdr>
      <w:divsChild>
        <w:div w:id="689720198">
          <w:marLeft w:val="0"/>
          <w:marRight w:val="0"/>
          <w:marTop w:val="0"/>
          <w:marBottom w:val="0"/>
          <w:divBdr>
            <w:top w:val="none" w:sz="0" w:space="0" w:color="auto"/>
            <w:left w:val="none" w:sz="0" w:space="0" w:color="auto"/>
            <w:bottom w:val="none" w:sz="0" w:space="0" w:color="auto"/>
            <w:right w:val="none" w:sz="0" w:space="0" w:color="auto"/>
          </w:divBdr>
          <w:divsChild>
            <w:div w:id="14669717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7739276">
      <w:marLeft w:val="0"/>
      <w:marRight w:val="0"/>
      <w:marTop w:val="100"/>
      <w:marBottom w:val="100"/>
      <w:divBdr>
        <w:top w:val="none" w:sz="0" w:space="0" w:color="auto"/>
        <w:left w:val="none" w:sz="0" w:space="0" w:color="auto"/>
        <w:bottom w:val="none" w:sz="0" w:space="0" w:color="auto"/>
        <w:right w:val="none" w:sz="0" w:space="0" w:color="auto"/>
      </w:divBdr>
    </w:div>
    <w:div w:id="1987972314">
      <w:marLeft w:val="0"/>
      <w:marRight w:val="0"/>
      <w:marTop w:val="0"/>
      <w:marBottom w:val="180"/>
      <w:divBdr>
        <w:top w:val="none" w:sz="0" w:space="0" w:color="auto"/>
        <w:left w:val="none" w:sz="0" w:space="0" w:color="auto"/>
        <w:bottom w:val="none" w:sz="0" w:space="0" w:color="auto"/>
        <w:right w:val="none" w:sz="0" w:space="0" w:color="auto"/>
      </w:divBdr>
    </w:div>
    <w:div w:id="1989018177">
      <w:marLeft w:val="0"/>
      <w:marRight w:val="0"/>
      <w:marTop w:val="100"/>
      <w:marBottom w:val="180"/>
      <w:divBdr>
        <w:top w:val="none" w:sz="0" w:space="0" w:color="auto"/>
        <w:left w:val="none" w:sz="0" w:space="0" w:color="auto"/>
        <w:bottom w:val="none" w:sz="0" w:space="0" w:color="auto"/>
        <w:right w:val="none" w:sz="0" w:space="0" w:color="auto"/>
      </w:divBdr>
    </w:div>
    <w:div w:id="1989434573">
      <w:marLeft w:val="0"/>
      <w:marRight w:val="0"/>
      <w:marTop w:val="60"/>
      <w:marBottom w:val="60"/>
      <w:divBdr>
        <w:top w:val="none" w:sz="0" w:space="0" w:color="auto"/>
        <w:left w:val="none" w:sz="0" w:space="0" w:color="auto"/>
        <w:bottom w:val="none" w:sz="0" w:space="0" w:color="auto"/>
        <w:right w:val="none" w:sz="0" w:space="0" w:color="auto"/>
      </w:divBdr>
    </w:div>
    <w:div w:id="1990476191">
      <w:marLeft w:val="0"/>
      <w:marRight w:val="0"/>
      <w:marTop w:val="100"/>
      <w:marBottom w:val="100"/>
      <w:divBdr>
        <w:top w:val="none" w:sz="0" w:space="0" w:color="auto"/>
        <w:left w:val="none" w:sz="0" w:space="0" w:color="auto"/>
        <w:bottom w:val="none" w:sz="0" w:space="0" w:color="auto"/>
        <w:right w:val="none" w:sz="0" w:space="0" w:color="auto"/>
      </w:divBdr>
      <w:divsChild>
        <w:div w:id="634144428">
          <w:marLeft w:val="0"/>
          <w:marRight w:val="0"/>
          <w:marTop w:val="180"/>
          <w:marBottom w:val="180"/>
          <w:divBdr>
            <w:top w:val="none" w:sz="0" w:space="0" w:color="auto"/>
            <w:left w:val="none" w:sz="0" w:space="0" w:color="auto"/>
            <w:bottom w:val="none" w:sz="0" w:space="0" w:color="auto"/>
            <w:right w:val="none" w:sz="0" w:space="0" w:color="auto"/>
          </w:divBdr>
        </w:div>
        <w:div w:id="1395272479">
          <w:marLeft w:val="0"/>
          <w:marRight w:val="0"/>
          <w:marTop w:val="180"/>
          <w:marBottom w:val="180"/>
          <w:divBdr>
            <w:top w:val="none" w:sz="0" w:space="0" w:color="auto"/>
            <w:left w:val="none" w:sz="0" w:space="0" w:color="auto"/>
            <w:bottom w:val="none" w:sz="0" w:space="0" w:color="auto"/>
            <w:right w:val="none" w:sz="0" w:space="0" w:color="auto"/>
          </w:divBdr>
        </w:div>
        <w:div w:id="1323581330">
          <w:marLeft w:val="0"/>
          <w:marRight w:val="0"/>
          <w:marTop w:val="180"/>
          <w:marBottom w:val="180"/>
          <w:divBdr>
            <w:top w:val="none" w:sz="0" w:space="0" w:color="auto"/>
            <w:left w:val="none" w:sz="0" w:space="0" w:color="auto"/>
            <w:bottom w:val="none" w:sz="0" w:space="0" w:color="auto"/>
            <w:right w:val="none" w:sz="0" w:space="0" w:color="auto"/>
          </w:divBdr>
        </w:div>
        <w:div w:id="1332369365">
          <w:marLeft w:val="0"/>
          <w:marRight w:val="0"/>
          <w:marTop w:val="180"/>
          <w:marBottom w:val="180"/>
          <w:divBdr>
            <w:top w:val="none" w:sz="0" w:space="0" w:color="auto"/>
            <w:left w:val="none" w:sz="0" w:space="0" w:color="auto"/>
            <w:bottom w:val="none" w:sz="0" w:space="0" w:color="auto"/>
            <w:right w:val="none" w:sz="0" w:space="0" w:color="auto"/>
          </w:divBdr>
        </w:div>
        <w:div w:id="892345970">
          <w:marLeft w:val="0"/>
          <w:marRight w:val="0"/>
          <w:marTop w:val="180"/>
          <w:marBottom w:val="180"/>
          <w:divBdr>
            <w:top w:val="none" w:sz="0" w:space="0" w:color="auto"/>
            <w:left w:val="none" w:sz="0" w:space="0" w:color="auto"/>
            <w:bottom w:val="none" w:sz="0" w:space="0" w:color="auto"/>
            <w:right w:val="none" w:sz="0" w:space="0" w:color="auto"/>
          </w:divBdr>
        </w:div>
        <w:div w:id="226041876">
          <w:marLeft w:val="0"/>
          <w:marRight w:val="0"/>
          <w:marTop w:val="180"/>
          <w:marBottom w:val="180"/>
          <w:divBdr>
            <w:top w:val="none" w:sz="0" w:space="0" w:color="auto"/>
            <w:left w:val="none" w:sz="0" w:space="0" w:color="auto"/>
            <w:bottom w:val="none" w:sz="0" w:space="0" w:color="auto"/>
            <w:right w:val="none" w:sz="0" w:space="0" w:color="auto"/>
          </w:divBdr>
        </w:div>
        <w:div w:id="792595556">
          <w:marLeft w:val="0"/>
          <w:marRight w:val="0"/>
          <w:marTop w:val="180"/>
          <w:marBottom w:val="180"/>
          <w:divBdr>
            <w:top w:val="none" w:sz="0" w:space="0" w:color="auto"/>
            <w:left w:val="none" w:sz="0" w:space="0" w:color="auto"/>
            <w:bottom w:val="none" w:sz="0" w:space="0" w:color="auto"/>
            <w:right w:val="none" w:sz="0" w:space="0" w:color="auto"/>
          </w:divBdr>
        </w:div>
        <w:div w:id="1561205401">
          <w:marLeft w:val="0"/>
          <w:marRight w:val="0"/>
          <w:marTop w:val="180"/>
          <w:marBottom w:val="180"/>
          <w:divBdr>
            <w:top w:val="none" w:sz="0" w:space="0" w:color="auto"/>
            <w:left w:val="none" w:sz="0" w:space="0" w:color="auto"/>
            <w:bottom w:val="none" w:sz="0" w:space="0" w:color="auto"/>
            <w:right w:val="none" w:sz="0" w:space="0" w:color="auto"/>
          </w:divBdr>
        </w:div>
      </w:divsChild>
    </w:div>
    <w:div w:id="1992558162">
      <w:marLeft w:val="0"/>
      <w:marRight w:val="0"/>
      <w:marTop w:val="100"/>
      <w:marBottom w:val="100"/>
      <w:divBdr>
        <w:top w:val="none" w:sz="0" w:space="0" w:color="auto"/>
        <w:left w:val="none" w:sz="0" w:space="0" w:color="auto"/>
        <w:bottom w:val="none" w:sz="0" w:space="0" w:color="auto"/>
        <w:right w:val="none" w:sz="0" w:space="0" w:color="auto"/>
      </w:divBdr>
      <w:divsChild>
        <w:div w:id="603272016">
          <w:marLeft w:val="0"/>
          <w:marRight w:val="0"/>
          <w:marTop w:val="0"/>
          <w:marBottom w:val="0"/>
          <w:divBdr>
            <w:top w:val="none" w:sz="0" w:space="0" w:color="auto"/>
            <w:left w:val="none" w:sz="0" w:space="0" w:color="auto"/>
            <w:bottom w:val="none" w:sz="0" w:space="0" w:color="auto"/>
            <w:right w:val="none" w:sz="0" w:space="0" w:color="auto"/>
          </w:divBdr>
        </w:div>
        <w:div w:id="779684403">
          <w:marLeft w:val="0"/>
          <w:marRight w:val="0"/>
          <w:marTop w:val="0"/>
          <w:marBottom w:val="0"/>
          <w:divBdr>
            <w:top w:val="none" w:sz="0" w:space="0" w:color="auto"/>
            <w:left w:val="none" w:sz="0" w:space="0" w:color="auto"/>
            <w:bottom w:val="none" w:sz="0" w:space="0" w:color="auto"/>
            <w:right w:val="none" w:sz="0" w:space="0" w:color="auto"/>
          </w:divBdr>
        </w:div>
        <w:div w:id="1045567858">
          <w:marLeft w:val="0"/>
          <w:marRight w:val="0"/>
          <w:marTop w:val="0"/>
          <w:marBottom w:val="0"/>
          <w:divBdr>
            <w:top w:val="none" w:sz="0" w:space="0" w:color="auto"/>
            <w:left w:val="none" w:sz="0" w:space="0" w:color="auto"/>
            <w:bottom w:val="none" w:sz="0" w:space="0" w:color="auto"/>
            <w:right w:val="none" w:sz="0" w:space="0" w:color="auto"/>
          </w:divBdr>
        </w:div>
        <w:div w:id="666521559">
          <w:marLeft w:val="0"/>
          <w:marRight w:val="0"/>
          <w:marTop w:val="0"/>
          <w:marBottom w:val="0"/>
          <w:divBdr>
            <w:top w:val="none" w:sz="0" w:space="0" w:color="auto"/>
            <w:left w:val="none" w:sz="0" w:space="0" w:color="auto"/>
            <w:bottom w:val="none" w:sz="0" w:space="0" w:color="auto"/>
            <w:right w:val="none" w:sz="0" w:space="0" w:color="auto"/>
          </w:divBdr>
        </w:div>
        <w:div w:id="322583414">
          <w:marLeft w:val="0"/>
          <w:marRight w:val="0"/>
          <w:marTop w:val="0"/>
          <w:marBottom w:val="0"/>
          <w:divBdr>
            <w:top w:val="none" w:sz="0" w:space="0" w:color="auto"/>
            <w:left w:val="none" w:sz="0" w:space="0" w:color="auto"/>
            <w:bottom w:val="none" w:sz="0" w:space="0" w:color="auto"/>
            <w:right w:val="none" w:sz="0" w:space="0" w:color="auto"/>
          </w:divBdr>
        </w:div>
        <w:div w:id="1233083551">
          <w:marLeft w:val="0"/>
          <w:marRight w:val="0"/>
          <w:marTop w:val="0"/>
          <w:marBottom w:val="0"/>
          <w:divBdr>
            <w:top w:val="none" w:sz="0" w:space="0" w:color="auto"/>
            <w:left w:val="none" w:sz="0" w:space="0" w:color="auto"/>
            <w:bottom w:val="none" w:sz="0" w:space="0" w:color="auto"/>
            <w:right w:val="none" w:sz="0" w:space="0" w:color="auto"/>
          </w:divBdr>
        </w:div>
      </w:divsChild>
    </w:div>
    <w:div w:id="1993564008">
      <w:marLeft w:val="0"/>
      <w:marRight w:val="0"/>
      <w:marTop w:val="180"/>
      <w:marBottom w:val="180"/>
      <w:divBdr>
        <w:top w:val="none" w:sz="0" w:space="0" w:color="auto"/>
        <w:left w:val="none" w:sz="0" w:space="0" w:color="auto"/>
        <w:bottom w:val="none" w:sz="0" w:space="0" w:color="auto"/>
        <w:right w:val="none" w:sz="0" w:space="0" w:color="auto"/>
      </w:divBdr>
    </w:div>
    <w:div w:id="1994676810">
      <w:marLeft w:val="0"/>
      <w:marRight w:val="0"/>
      <w:marTop w:val="180"/>
      <w:marBottom w:val="180"/>
      <w:divBdr>
        <w:top w:val="none" w:sz="0" w:space="0" w:color="auto"/>
        <w:left w:val="none" w:sz="0" w:space="0" w:color="auto"/>
        <w:bottom w:val="none" w:sz="0" w:space="0" w:color="auto"/>
        <w:right w:val="none" w:sz="0" w:space="0" w:color="auto"/>
      </w:divBdr>
    </w:div>
    <w:div w:id="1995447132">
      <w:marLeft w:val="0"/>
      <w:marRight w:val="0"/>
      <w:marTop w:val="180"/>
      <w:marBottom w:val="180"/>
      <w:divBdr>
        <w:top w:val="none" w:sz="0" w:space="0" w:color="auto"/>
        <w:left w:val="none" w:sz="0" w:space="0" w:color="auto"/>
        <w:bottom w:val="none" w:sz="0" w:space="0" w:color="auto"/>
        <w:right w:val="none" w:sz="0" w:space="0" w:color="auto"/>
      </w:divBdr>
    </w:div>
    <w:div w:id="1996376310">
      <w:marLeft w:val="0"/>
      <w:marRight w:val="0"/>
      <w:marTop w:val="180"/>
      <w:marBottom w:val="180"/>
      <w:divBdr>
        <w:top w:val="none" w:sz="0" w:space="0" w:color="auto"/>
        <w:left w:val="none" w:sz="0" w:space="0" w:color="auto"/>
        <w:bottom w:val="none" w:sz="0" w:space="0" w:color="auto"/>
        <w:right w:val="none" w:sz="0" w:space="0" w:color="auto"/>
      </w:divBdr>
    </w:div>
    <w:div w:id="1998146902">
      <w:marLeft w:val="0"/>
      <w:marRight w:val="0"/>
      <w:marTop w:val="180"/>
      <w:marBottom w:val="180"/>
      <w:divBdr>
        <w:top w:val="none" w:sz="0" w:space="0" w:color="auto"/>
        <w:left w:val="none" w:sz="0" w:space="0" w:color="auto"/>
        <w:bottom w:val="none" w:sz="0" w:space="0" w:color="auto"/>
        <w:right w:val="none" w:sz="0" w:space="0" w:color="auto"/>
      </w:divBdr>
    </w:div>
    <w:div w:id="2001811762">
      <w:marLeft w:val="0"/>
      <w:marRight w:val="0"/>
      <w:marTop w:val="180"/>
      <w:marBottom w:val="180"/>
      <w:divBdr>
        <w:top w:val="none" w:sz="0" w:space="0" w:color="auto"/>
        <w:left w:val="none" w:sz="0" w:space="0" w:color="auto"/>
        <w:bottom w:val="none" w:sz="0" w:space="0" w:color="auto"/>
        <w:right w:val="none" w:sz="0" w:space="0" w:color="auto"/>
      </w:divBdr>
    </w:div>
    <w:div w:id="2002847140">
      <w:marLeft w:val="0"/>
      <w:marRight w:val="0"/>
      <w:marTop w:val="180"/>
      <w:marBottom w:val="180"/>
      <w:divBdr>
        <w:top w:val="none" w:sz="0" w:space="0" w:color="auto"/>
        <w:left w:val="none" w:sz="0" w:space="0" w:color="auto"/>
        <w:bottom w:val="none" w:sz="0" w:space="0" w:color="auto"/>
        <w:right w:val="none" w:sz="0" w:space="0" w:color="auto"/>
      </w:divBdr>
    </w:div>
    <w:div w:id="2007051321">
      <w:marLeft w:val="0"/>
      <w:marRight w:val="0"/>
      <w:marTop w:val="180"/>
      <w:marBottom w:val="180"/>
      <w:divBdr>
        <w:top w:val="none" w:sz="0" w:space="0" w:color="auto"/>
        <w:left w:val="none" w:sz="0" w:space="0" w:color="auto"/>
        <w:bottom w:val="none" w:sz="0" w:space="0" w:color="auto"/>
        <w:right w:val="none" w:sz="0" w:space="0" w:color="auto"/>
      </w:divBdr>
    </w:div>
    <w:div w:id="2010402137">
      <w:marLeft w:val="0"/>
      <w:marRight w:val="0"/>
      <w:marTop w:val="0"/>
      <w:marBottom w:val="0"/>
      <w:divBdr>
        <w:top w:val="none" w:sz="0" w:space="0" w:color="auto"/>
        <w:left w:val="none" w:sz="0" w:space="0" w:color="auto"/>
        <w:bottom w:val="none" w:sz="0" w:space="0" w:color="auto"/>
        <w:right w:val="none" w:sz="0" w:space="0" w:color="auto"/>
      </w:divBdr>
    </w:div>
    <w:div w:id="2010908845">
      <w:marLeft w:val="0"/>
      <w:marRight w:val="0"/>
      <w:marTop w:val="100"/>
      <w:marBottom w:val="100"/>
      <w:divBdr>
        <w:top w:val="none" w:sz="0" w:space="0" w:color="auto"/>
        <w:left w:val="none" w:sz="0" w:space="0" w:color="auto"/>
        <w:bottom w:val="none" w:sz="0" w:space="0" w:color="auto"/>
        <w:right w:val="none" w:sz="0" w:space="0" w:color="auto"/>
      </w:divBdr>
      <w:divsChild>
        <w:div w:id="1655985829">
          <w:marLeft w:val="0"/>
          <w:marRight w:val="0"/>
          <w:marTop w:val="0"/>
          <w:marBottom w:val="0"/>
          <w:divBdr>
            <w:top w:val="none" w:sz="0" w:space="0" w:color="auto"/>
            <w:left w:val="none" w:sz="0" w:space="0" w:color="auto"/>
            <w:bottom w:val="none" w:sz="0" w:space="0" w:color="auto"/>
            <w:right w:val="none" w:sz="0" w:space="0" w:color="auto"/>
          </w:divBdr>
        </w:div>
        <w:div w:id="178592325">
          <w:marLeft w:val="0"/>
          <w:marRight w:val="0"/>
          <w:marTop w:val="0"/>
          <w:marBottom w:val="0"/>
          <w:divBdr>
            <w:top w:val="none" w:sz="0" w:space="0" w:color="auto"/>
            <w:left w:val="none" w:sz="0" w:space="0" w:color="auto"/>
            <w:bottom w:val="none" w:sz="0" w:space="0" w:color="auto"/>
            <w:right w:val="none" w:sz="0" w:space="0" w:color="auto"/>
          </w:divBdr>
        </w:div>
      </w:divsChild>
    </w:div>
    <w:div w:id="2010978476">
      <w:marLeft w:val="0"/>
      <w:marRight w:val="0"/>
      <w:marTop w:val="180"/>
      <w:marBottom w:val="180"/>
      <w:divBdr>
        <w:top w:val="none" w:sz="0" w:space="0" w:color="auto"/>
        <w:left w:val="none" w:sz="0" w:space="0" w:color="auto"/>
        <w:bottom w:val="none" w:sz="0" w:space="0" w:color="auto"/>
        <w:right w:val="none" w:sz="0" w:space="0" w:color="auto"/>
      </w:divBdr>
    </w:div>
    <w:div w:id="2011176442">
      <w:marLeft w:val="0"/>
      <w:marRight w:val="0"/>
      <w:marTop w:val="0"/>
      <w:marBottom w:val="0"/>
      <w:divBdr>
        <w:top w:val="none" w:sz="0" w:space="0" w:color="auto"/>
        <w:left w:val="none" w:sz="0" w:space="0" w:color="auto"/>
        <w:bottom w:val="none" w:sz="0" w:space="0" w:color="auto"/>
        <w:right w:val="none" w:sz="0" w:space="0" w:color="auto"/>
      </w:divBdr>
      <w:divsChild>
        <w:div w:id="1863350807">
          <w:marLeft w:val="0"/>
          <w:marRight w:val="0"/>
          <w:marTop w:val="0"/>
          <w:marBottom w:val="0"/>
          <w:divBdr>
            <w:top w:val="none" w:sz="0" w:space="0" w:color="auto"/>
            <w:left w:val="none" w:sz="0" w:space="0" w:color="auto"/>
            <w:bottom w:val="none" w:sz="0" w:space="0" w:color="auto"/>
            <w:right w:val="none" w:sz="0" w:space="0" w:color="auto"/>
          </w:divBdr>
          <w:divsChild>
            <w:div w:id="12848435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2834227">
      <w:marLeft w:val="0"/>
      <w:marRight w:val="0"/>
      <w:marTop w:val="180"/>
      <w:marBottom w:val="180"/>
      <w:divBdr>
        <w:top w:val="none" w:sz="0" w:space="0" w:color="auto"/>
        <w:left w:val="none" w:sz="0" w:space="0" w:color="auto"/>
        <w:bottom w:val="none" w:sz="0" w:space="0" w:color="auto"/>
        <w:right w:val="none" w:sz="0" w:space="0" w:color="auto"/>
      </w:divBdr>
    </w:div>
    <w:div w:id="2012877966">
      <w:marLeft w:val="0"/>
      <w:marRight w:val="0"/>
      <w:marTop w:val="180"/>
      <w:marBottom w:val="180"/>
      <w:divBdr>
        <w:top w:val="none" w:sz="0" w:space="0" w:color="auto"/>
        <w:left w:val="none" w:sz="0" w:space="0" w:color="auto"/>
        <w:bottom w:val="none" w:sz="0" w:space="0" w:color="auto"/>
        <w:right w:val="none" w:sz="0" w:space="0" w:color="auto"/>
      </w:divBdr>
    </w:div>
    <w:div w:id="2013870479">
      <w:marLeft w:val="0"/>
      <w:marRight w:val="0"/>
      <w:marTop w:val="180"/>
      <w:marBottom w:val="180"/>
      <w:divBdr>
        <w:top w:val="none" w:sz="0" w:space="0" w:color="auto"/>
        <w:left w:val="none" w:sz="0" w:space="0" w:color="auto"/>
        <w:bottom w:val="none" w:sz="0" w:space="0" w:color="auto"/>
        <w:right w:val="none" w:sz="0" w:space="0" w:color="auto"/>
      </w:divBdr>
    </w:div>
    <w:div w:id="2013875707">
      <w:marLeft w:val="0"/>
      <w:marRight w:val="0"/>
      <w:marTop w:val="0"/>
      <w:marBottom w:val="0"/>
      <w:divBdr>
        <w:top w:val="none" w:sz="0" w:space="0" w:color="auto"/>
        <w:left w:val="none" w:sz="0" w:space="0" w:color="auto"/>
        <w:bottom w:val="none" w:sz="0" w:space="0" w:color="auto"/>
        <w:right w:val="none" w:sz="0" w:space="0" w:color="auto"/>
      </w:divBdr>
      <w:divsChild>
        <w:div w:id="313070917">
          <w:marLeft w:val="0"/>
          <w:marRight w:val="0"/>
          <w:marTop w:val="0"/>
          <w:marBottom w:val="0"/>
          <w:divBdr>
            <w:top w:val="none" w:sz="0" w:space="0" w:color="auto"/>
            <w:left w:val="none" w:sz="0" w:space="0" w:color="auto"/>
            <w:bottom w:val="none" w:sz="0" w:space="0" w:color="auto"/>
            <w:right w:val="none" w:sz="0" w:space="0" w:color="auto"/>
          </w:divBdr>
          <w:divsChild>
            <w:div w:id="11115854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5494888">
      <w:marLeft w:val="0"/>
      <w:marRight w:val="0"/>
      <w:marTop w:val="0"/>
      <w:marBottom w:val="0"/>
      <w:divBdr>
        <w:top w:val="none" w:sz="0" w:space="0" w:color="auto"/>
        <w:left w:val="none" w:sz="0" w:space="0" w:color="auto"/>
        <w:bottom w:val="none" w:sz="0" w:space="0" w:color="auto"/>
        <w:right w:val="none" w:sz="0" w:space="0" w:color="auto"/>
      </w:divBdr>
      <w:divsChild>
        <w:div w:id="1173645022">
          <w:marLeft w:val="0"/>
          <w:marRight w:val="0"/>
          <w:marTop w:val="180"/>
          <w:marBottom w:val="180"/>
          <w:divBdr>
            <w:top w:val="none" w:sz="0" w:space="0" w:color="auto"/>
            <w:left w:val="none" w:sz="0" w:space="0" w:color="auto"/>
            <w:bottom w:val="none" w:sz="0" w:space="0" w:color="auto"/>
            <w:right w:val="none" w:sz="0" w:space="0" w:color="auto"/>
          </w:divBdr>
        </w:div>
      </w:divsChild>
    </w:div>
    <w:div w:id="2016106399">
      <w:marLeft w:val="0"/>
      <w:marRight w:val="0"/>
      <w:marTop w:val="180"/>
      <w:marBottom w:val="100"/>
      <w:divBdr>
        <w:top w:val="none" w:sz="0" w:space="0" w:color="auto"/>
        <w:left w:val="none" w:sz="0" w:space="0" w:color="auto"/>
        <w:bottom w:val="none" w:sz="0" w:space="0" w:color="auto"/>
        <w:right w:val="none" w:sz="0" w:space="0" w:color="auto"/>
      </w:divBdr>
    </w:div>
    <w:div w:id="2020423761">
      <w:marLeft w:val="0"/>
      <w:marRight w:val="0"/>
      <w:marTop w:val="0"/>
      <w:marBottom w:val="0"/>
      <w:divBdr>
        <w:top w:val="none" w:sz="0" w:space="0" w:color="auto"/>
        <w:left w:val="none" w:sz="0" w:space="0" w:color="auto"/>
        <w:bottom w:val="none" w:sz="0" w:space="0" w:color="auto"/>
        <w:right w:val="none" w:sz="0" w:space="0" w:color="auto"/>
      </w:divBdr>
      <w:divsChild>
        <w:div w:id="1125276418">
          <w:marLeft w:val="0"/>
          <w:marRight w:val="0"/>
          <w:marTop w:val="0"/>
          <w:marBottom w:val="0"/>
          <w:divBdr>
            <w:top w:val="none" w:sz="0" w:space="0" w:color="auto"/>
            <w:left w:val="none" w:sz="0" w:space="0" w:color="auto"/>
            <w:bottom w:val="none" w:sz="0" w:space="0" w:color="auto"/>
            <w:right w:val="none" w:sz="0" w:space="0" w:color="auto"/>
          </w:divBdr>
          <w:divsChild>
            <w:div w:id="12213291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1544424">
      <w:marLeft w:val="0"/>
      <w:marRight w:val="0"/>
      <w:marTop w:val="0"/>
      <w:marBottom w:val="0"/>
      <w:divBdr>
        <w:top w:val="none" w:sz="0" w:space="0" w:color="auto"/>
        <w:left w:val="none" w:sz="0" w:space="0" w:color="auto"/>
        <w:bottom w:val="none" w:sz="0" w:space="0" w:color="auto"/>
        <w:right w:val="none" w:sz="0" w:space="0" w:color="auto"/>
      </w:divBdr>
      <w:divsChild>
        <w:div w:id="683285649">
          <w:marLeft w:val="0"/>
          <w:marRight w:val="0"/>
          <w:marTop w:val="180"/>
          <w:marBottom w:val="180"/>
          <w:divBdr>
            <w:top w:val="none" w:sz="0" w:space="0" w:color="auto"/>
            <w:left w:val="none" w:sz="0" w:space="0" w:color="auto"/>
            <w:bottom w:val="none" w:sz="0" w:space="0" w:color="auto"/>
            <w:right w:val="none" w:sz="0" w:space="0" w:color="auto"/>
          </w:divBdr>
        </w:div>
      </w:divsChild>
    </w:div>
    <w:div w:id="2023892141">
      <w:marLeft w:val="0"/>
      <w:marRight w:val="0"/>
      <w:marTop w:val="180"/>
      <w:marBottom w:val="180"/>
      <w:divBdr>
        <w:top w:val="none" w:sz="0" w:space="0" w:color="auto"/>
        <w:left w:val="none" w:sz="0" w:space="0" w:color="auto"/>
        <w:bottom w:val="none" w:sz="0" w:space="0" w:color="auto"/>
        <w:right w:val="none" w:sz="0" w:space="0" w:color="auto"/>
      </w:divBdr>
    </w:div>
    <w:div w:id="2025789586">
      <w:marLeft w:val="0"/>
      <w:marRight w:val="0"/>
      <w:marTop w:val="180"/>
      <w:marBottom w:val="180"/>
      <w:divBdr>
        <w:top w:val="none" w:sz="0" w:space="0" w:color="auto"/>
        <w:left w:val="none" w:sz="0" w:space="0" w:color="auto"/>
        <w:bottom w:val="none" w:sz="0" w:space="0" w:color="auto"/>
        <w:right w:val="none" w:sz="0" w:space="0" w:color="auto"/>
      </w:divBdr>
    </w:div>
    <w:div w:id="2025858654">
      <w:marLeft w:val="0"/>
      <w:marRight w:val="0"/>
      <w:marTop w:val="180"/>
      <w:marBottom w:val="180"/>
      <w:divBdr>
        <w:top w:val="none" w:sz="0" w:space="0" w:color="auto"/>
        <w:left w:val="none" w:sz="0" w:space="0" w:color="auto"/>
        <w:bottom w:val="none" w:sz="0" w:space="0" w:color="auto"/>
        <w:right w:val="none" w:sz="0" w:space="0" w:color="auto"/>
      </w:divBdr>
    </w:div>
    <w:div w:id="2028023613">
      <w:marLeft w:val="0"/>
      <w:marRight w:val="0"/>
      <w:marTop w:val="180"/>
      <w:marBottom w:val="180"/>
      <w:divBdr>
        <w:top w:val="none" w:sz="0" w:space="0" w:color="auto"/>
        <w:left w:val="none" w:sz="0" w:space="0" w:color="auto"/>
        <w:bottom w:val="none" w:sz="0" w:space="0" w:color="auto"/>
        <w:right w:val="none" w:sz="0" w:space="0" w:color="auto"/>
      </w:divBdr>
    </w:div>
    <w:div w:id="2028096962">
      <w:marLeft w:val="0"/>
      <w:marRight w:val="0"/>
      <w:marTop w:val="0"/>
      <w:marBottom w:val="0"/>
      <w:divBdr>
        <w:top w:val="none" w:sz="0" w:space="0" w:color="auto"/>
        <w:left w:val="none" w:sz="0" w:space="0" w:color="auto"/>
        <w:bottom w:val="none" w:sz="0" w:space="0" w:color="auto"/>
        <w:right w:val="none" w:sz="0" w:space="0" w:color="auto"/>
      </w:divBdr>
      <w:divsChild>
        <w:div w:id="1210607243">
          <w:marLeft w:val="0"/>
          <w:marRight w:val="0"/>
          <w:marTop w:val="180"/>
          <w:marBottom w:val="180"/>
          <w:divBdr>
            <w:top w:val="none" w:sz="0" w:space="0" w:color="auto"/>
            <w:left w:val="none" w:sz="0" w:space="0" w:color="auto"/>
            <w:bottom w:val="none" w:sz="0" w:space="0" w:color="auto"/>
            <w:right w:val="none" w:sz="0" w:space="0" w:color="auto"/>
          </w:divBdr>
        </w:div>
      </w:divsChild>
    </w:div>
    <w:div w:id="2031837023">
      <w:marLeft w:val="0"/>
      <w:marRight w:val="0"/>
      <w:marTop w:val="60"/>
      <w:marBottom w:val="60"/>
      <w:divBdr>
        <w:top w:val="none" w:sz="0" w:space="0" w:color="auto"/>
        <w:left w:val="none" w:sz="0" w:space="0" w:color="auto"/>
        <w:bottom w:val="none" w:sz="0" w:space="0" w:color="auto"/>
        <w:right w:val="none" w:sz="0" w:space="0" w:color="auto"/>
      </w:divBdr>
    </w:div>
    <w:div w:id="2031907588">
      <w:marLeft w:val="0"/>
      <w:marRight w:val="0"/>
      <w:marTop w:val="180"/>
      <w:marBottom w:val="180"/>
      <w:divBdr>
        <w:top w:val="none" w:sz="0" w:space="0" w:color="auto"/>
        <w:left w:val="none" w:sz="0" w:space="0" w:color="auto"/>
        <w:bottom w:val="none" w:sz="0" w:space="0" w:color="auto"/>
        <w:right w:val="none" w:sz="0" w:space="0" w:color="auto"/>
      </w:divBdr>
    </w:div>
    <w:div w:id="2034190776">
      <w:marLeft w:val="0"/>
      <w:marRight w:val="0"/>
      <w:marTop w:val="180"/>
      <w:marBottom w:val="180"/>
      <w:divBdr>
        <w:top w:val="none" w:sz="0" w:space="0" w:color="auto"/>
        <w:left w:val="none" w:sz="0" w:space="0" w:color="auto"/>
        <w:bottom w:val="none" w:sz="0" w:space="0" w:color="auto"/>
        <w:right w:val="none" w:sz="0" w:space="0" w:color="auto"/>
      </w:divBdr>
    </w:div>
    <w:div w:id="2035229621">
      <w:marLeft w:val="0"/>
      <w:marRight w:val="0"/>
      <w:marTop w:val="180"/>
      <w:marBottom w:val="180"/>
      <w:divBdr>
        <w:top w:val="none" w:sz="0" w:space="0" w:color="auto"/>
        <w:left w:val="none" w:sz="0" w:space="0" w:color="auto"/>
        <w:bottom w:val="none" w:sz="0" w:space="0" w:color="auto"/>
        <w:right w:val="none" w:sz="0" w:space="0" w:color="auto"/>
      </w:divBdr>
    </w:div>
    <w:div w:id="2036467420">
      <w:marLeft w:val="0"/>
      <w:marRight w:val="0"/>
      <w:marTop w:val="180"/>
      <w:marBottom w:val="180"/>
      <w:divBdr>
        <w:top w:val="none" w:sz="0" w:space="0" w:color="auto"/>
        <w:left w:val="none" w:sz="0" w:space="0" w:color="auto"/>
        <w:bottom w:val="none" w:sz="0" w:space="0" w:color="auto"/>
        <w:right w:val="none" w:sz="0" w:space="0" w:color="auto"/>
      </w:divBdr>
    </w:div>
    <w:div w:id="2037729378">
      <w:marLeft w:val="0"/>
      <w:marRight w:val="0"/>
      <w:marTop w:val="0"/>
      <w:marBottom w:val="0"/>
      <w:divBdr>
        <w:top w:val="none" w:sz="0" w:space="0" w:color="auto"/>
        <w:left w:val="none" w:sz="0" w:space="0" w:color="auto"/>
        <w:bottom w:val="none" w:sz="0" w:space="0" w:color="auto"/>
        <w:right w:val="none" w:sz="0" w:space="0" w:color="auto"/>
      </w:divBdr>
      <w:divsChild>
        <w:div w:id="1303656395">
          <w:marLeft w:val="0"/>
          <w:marRight w:val="0"/>
          <w:marTop w:val="180"/>
          <w:marBottom w:val="180"/>
          <w:divBdr>
            <w:top w:val="none" w:sz="0" w:space="0" w:color="auto"/>
            <w:left w:val="none" w:sz="0" w:space="0" w:color="auto"/>
            <w:bottom w:val="none" w:sz="0" w:space="0" w:color="auto"/>
            <w:right w:val="none" w:sz="0" w:space="0" w:color="auto"/>
          </w:divBdr>
        </w:div>
      </w:divsChild>
    </w:div>
    <w:div w:id="2038000765">
      <w:marLeft w:val="0"/>
      <w:marRight w:val="0"/>
      <w:marTop w:val="0"/>
      <w:marBottom w:val="0"/>
      <w:divBdr>
        <w:top w:val="none" w:sz="0" w:space="0" w:color="auto"/>
        <w:left w:val="none" w:sz="0" w:space="0" w:color="auto"/>
        <w:bottom w:val="none" w:sz="0" w:space="0" w:color="auto"/>
        <w:right w:val="none" w:sz="0" w:space="0" w:color="auto"/>
      </w:divBdr>
      <w:divsChild>
        <w:div w:id="1137646180">
          <w:marLeft w:val="0"/>
          <w:marRight w:val="0"/>
          <w:marTop w:val="180"/>
          <w:marBottom w:val="180"/>
          <w:divBdr>
            <w:top w:val="none" w:sz="0" w:space="0" w:color="auto"/>
            <w:left w:val="none" w:sz="0" w:space="0" w:color="auto"/>
            <w:bottom w:val="none" w:sz="0" w:space="0" w:color="auto"/>
            <w:right w:val="none" w:sz="0" w:space="0" w:color="auto"/>
          </w:divBdr>
        </w:div>
      </w:divsChild>
    </w:div>
    <w:div w:id="2038968013">
      <w:marLeft w:val="0"/>
      <w:marRight w:val="0"/>
      <w:marTop w:val="180"/>
      <w:marBottom w:val="180"/>
      <w:divBdr>
        <w:top w:val="none" w:sz="0" w:space="0" w:color="auto"/>
        <w:left w:val="none" w:sz="0" w:space="0" w:color="auto"/>
        <w:bottom w:val="none" w:sz="0" w:space="0" w:color="auto"/>
        <w:right w:val="none" w:sz="0" w:space="0" w:color="auto"/>
      </w:divBdr>
    </w:div>
    <w:div w:id="2039505042">
      <w:marLeft w:val="0"/>
      <w:marRight w:val="0"/>
      <w:marTop w:val="60"/>
      <w:marBottom w:val="60"/>
      <w:divBdr>
        <w:top w:val="none" w:sz="0" w:space="0" w:color="auto"/>
        <w:left w:val="none" w:sz="0" w:space="0" w:color="auto"/>
        <w:bottom w:val="none" w:sz="0" w:space="0" w:color="auto"/>
        <w:right w:val="none" w:sz="0" w:space="0" w:color="auto"/>
      </w:divBdr>
    </w:div>
    <w:div w:id="2041514689">
      <w:marLeft w:val="0"/>
      <w:marRight w:val="0"/>
      <w:marTop w:val="0"/>
      <w:marBottom w:val="0"/>
      <w:divBdr>
        <w:top w:val="none" w:sz="0" w:space="0" w:color="auto"/>
        <w:left w:val="none" w:sz="0" w:space="0" w:color="auto"/>
        <w:bottom w:val="none" w:sz="0" w:space="0" w:color="auto"/>
        <w:right w:val="none" w:sz="0" w:space="0" w:color="auto"/>
      </w:divBdr>
      <w:divsChild>
        <w:div w:id="736323424">
          <w:marLeft w:val="0"/>
          <w:marRight w:val="0"/>
          <w:marTop w:val="0"/>
          <w:marBottom w:val="0"/>
          <w:divBdr>
            <w:top w:val="none" w:sz="0" w:space="0" w:color="auto"/>
            <w:left w:val="none" w:sz="0" w:space="0" w:color="auto"/>
            <w:bottom w:val="none" w:sz="0" w:space="0" w:color="auto"/>
            <w:right w:val="none" w:sz="0" w:space="0" w:color="auto"/>
          </w:divBdr>
          <w:divsChild>
            <w:div w:id="5954801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2432980">
      <w:marLeft w:val="0"/>
      <w:marRight w:val="0"/>
      <w:marTop w:val="0"/>
      <w:marBottom w:val="0"/>
      <w:divBdr>
        <w:top w:val="none" w:sz="0" w:space="0" w:color="auto"/>
        <w:left w:val="none" w:sz="0" w:space="0" w:color="auto"/>
        <w:bottom w:val="none" w:sz="0" w:space="0" w:color="auto"/>
        <w:right w:val="none" w:sz="0" w:space="0" w:color="auto"/>
      </w:divBdr>
      <w:divsChild>
        <w:div w:id="1980576938">
          <w:marLeft w:val="0"/>
          <w:marRight w:val="0"/>
          <w:marTop w:val="0"/>
          <w:marBottom w:val="0"/>
          <w:divBdr>
            <w:top w:val="none" w:sz="0" w:space="0" w:color="auto"/>
            <w:left w:val="none" w:sz="0" w:space="0" w:color="auto"/>
            <w:bottom w:val="none" w:sz="0" w:space="0" w:color="auto"/>
            <w:right w:val="none" w:sz="0" w:space="0" w:color="auto"/>
          </w:divBdr>
          <w:divsChild>
            <w:div w:id="18078886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2582047">
      <w:marLeft w:val="0"/>
      <w:marRight w:val="0"/>
      <w:marTop w:val="0"/>
      <w:marBottom w:val="0"/>
      <w:divBdr>
        <w:top w:val="none" w:sz="0" w:space="0" w:color="auto"/>
        <w:left w:val="none" w:sz="0" w:space="0" w:color="auto"/>
        <w:bottom w:val="none" w:sz="0" w:space="0" w:color="auto"/>
        <w:right w:val="none" w:sz="0" w:space="0" w:color="auto"/>
      </w:divBdr>
      <w:divsChild>
        <w:div w:id="787161507">
          <w:marLeft w:val="0"/>
          <w:marRight w:val="0"/>
          <w:marTop w:val="0"/>
          <w:marBottom w:val="0"/>
          <w:divBdr>
            <w:top w:val="none" w:sz="0" w:space="0" w:color="auto"/>
            <w:left w:val="none" w:sz="0" w:space="0" w:color="auto"/>
            <w:bottom w:val="none" w:sz="0" w:space="0" w:color="auto"/>
            <w:right w:val="none" w:sz="0" w:space="0" w:color="auto"/>
          </w:divBdr>
          <w:divsChild>
            <w:div w:id="17877725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3044438">
      <w:marLeft w:val="0"/>
      <w:marRight w:val="0"/>
      <w:marTop w:val="180"/>
      <w:marBottom w:val="180"/>
      <w:divBdr>
        <w:top w:val="none" w:sz="0" w:space="0" w:color="auto"/>
        <w:left w:val="none" w:sz="0" w:space="0" w:color="auto"/>
        <w:bottom w:val="none" w:sz="0" w:space="0" w:color="auto"/>
        <w:right w:val="none" w:sz="0" w:space="0" w:color="auto"/>
      </w:divBdr>
    </w:div>
    <w:div w:id="2044015340">
      <w:marLeft w:val="0"/>
      <w:marRight w:val="0"/>
      <w:marTop w:val="180"/>
      <w:marBottom w:val="180"/>
      <w:divBdr>
        <w:top w:val="none" w:sz="0" w:space="0" w:color="auto"/>
        <w:left w:val="none" w:sz="0" w:space="0" w:color="auto"/>
        <w:bottom w:val="none" w:sz="0" w:space="0" w:color="auto"/>
        <w:right w:val="none" w:sz="0" w:space="0" w:color="auto"/>
      </w:divBdr>
    </w:div>
    <w:div w:id="2046246773">
      <w:marLeft w:val="0"/>
      <w:marRight w:val="0"/>
      <w:marTop w:val="60"/>
      <w:marBottom w:val="60"/>
      <w:divBdr>
        <w:top w:val="none" w:sz="0" w:space="0" w:color="auto"/>
        <w:left w:val="none" w:sz="0" w:space="0" w:color="auto"/>
        <w:bottom w:val="none" w:sz="0" w:space="0" w:color="auto"/>
        <w:right w:val="none" w:sz="0" w:space="0" w:color="auto"/>
      </w:divBdr>
    </w:div>
    <w:div w:id="2048329492">
      <w:marLeft w:val="0"/>
      <w:marRight w:val="0"/>
      <w:marTop w:val="100"/>
      <w:marBottom w:val="100"/>
      <w:divBdr>
        <w:top w:val="none" w:sz="0" w:space="0" w:color="auto"/>
        <w:left w:val="none" w:sz="0" w:space="0" w:color="auto"/>
        <w:bottom w:val="none" w:sz="0" w:space="0" w:color="auto"/>
        <w:right w:val="none" w:sz="0" w:space="0" w:color="auto"/>
      </w:divBdr>
      <w:divsChild>
        <w:div w:id="2038773303">
          <w:marLeft w:val="0"/>
          <w:marRight w:val="0"/>
          <w:marTop w:val="180"/>
          <w:marBottom w:val="180"/>
          <w:divBdr>
            <w:top w:val="none" w:sz="0" w:space="0" w:color="auto"/>
            <w:left w:val="none" w:sz="0" w:space="0" w:color="auto"/>
            <w:bottom w:val="none" w:sz="0" w:space="0" w:color="auto"/>
            <w:right w:val="none" w:sz="0" w:space="0" w:color="auto"/>
          </w:divBdr>
        </w:div>
        <w:div w:id="1740250888">
          <w:marLeft w:val="0"/>
          <w:marRight w:val="0"/>
          <w:marTop w:val="180"/>
          <w:marBottom w:val="180"/>
          <w:divBdr>
            <w:top w:val="none" w:sz="0" w:space="0" w:color="auto"/>
            <w:left w:val="none" w:sz="0" w:space="0" w:color="auto"/>
            <w:bottom w:val="none" w:sz="0" w:space="0" w:color="auto"/>
            <w:right w:val="none" w:sz="0" w:space="0" w:color="auto"/>
          </w:divBdr>
        </w:div>
        <w:div w:id="110445464">
          <w:marLeft w:val="0"/>
          <w:marRight w:val="0"/>
          <w:marTop w:val="180"/>
          <w:marBottom w:val="180"/>
          <w:divBdr>
            <w:top w:val="none" w:sz="0" w:space="0" w:color="auto"/>
            <w:left w:val="none" w:sz="0" w:space="0" w:color="auto"/>
            <w:bottom w:val="none" w:sz="0" w:space="0" w:color="auto"/>
            <w:right w:val="none" w:sz="0" w:space="0" w:color="auto"/>
          </w:divBdr>
        </w:div>
        <w:div w:id="1043284564">
          <w:marLeft w:val="0"/>
          <w:marRight w:val="0"/>
          <w:marTop w:val="180"/>
          <w:marBottom w:val="180"/>
          <w:divBdr>
            <w:top w:val="none" w:sz="0" w:space="0" w:color="auto"/>
            <w:left w:val="none" w:sz="0" w:space="0" w:color="auto"/>
            <w:bottom w:val="none" w:sz="0" w:space="0" w:color="auto"/>
            <w:right w:val="none" w:sz="0" w:space="0" w:color="auto"/>
          </w:divBdr>
        </w:div>
        <w:div w:id="770668456">
          <w:marLeft w:val="0"/>
          <w:marRight w:val="0"/>
          <w:marTop w:val="180"/>
          <w:marBottom w:val="180"/>
          <w:divBdr>
            <w:top w:val="none" w:sz="0" w:space="0" w:color="auto"/>
            <w:left w:val="none" w:sz="0" w:space="0" w:color="auto"/>
            <w:bottom w:val="none" w:sz="0" w:space="0" w:color="auto"/>
            <w:right w:val="none" w:sz="0" w:space="0" w:color="auto"/>
          </w:divBdr>
        </w:div>
        <w:div w:id="614822929">
          <w:marLeft w:val="0"/>
          <w:marRight w:val="0"/>
          <w:marTop w:val="180"/>
          <w:marBottom w:val="180"/>
          <w:divBdr>
            <w:top w:val="none" w:sz="0" w:space="0" w:color="auto"/>
            <w:left w:val="none" w:sz="0" w:space="0" w:color="auto"/>
            <w:bottom w:val="none" w:sz="0" w:space="0" w:color="auto"/>
            <w:right w:val="none" w:sz="0" w:space="0" w:color="auto"/>
          </w:divBdr>
        </w:div>
        <w:div w:id="1656641684">
          <w:marLeft w:val="0"/>
          <w:marRight w:val="0"/>
          <w:marTop w:val="180"/>
          <w:marBottom w:val="180"/>
          <w:divBdr>
            <w:top w:val="none" w:sz="0" w:space="0" w:color="auto"/>
            <w:left w:val="none" w:sz="0" w:space="0" w:color="auto"/>
            <w:bottom w:val="none" w:sz="0" w:space="0" w:color="auto"/>
            <w:right w:val="none" w:sz="0" w:space="0" w:color="auto"/>
          </w:divBdr>
        </w:div>
        <w:div w:id="1463041131">
          <w:marLeft w:val="0"/>
          <w:marRight w:val="0"/>
          <w:marTop w:val="180"/>
          <w:marBottom w:val="180"/>
          <w:divBdr>
            <w:top w:val="none" w:sz="0" w:space="0" w:color="auto"/>
            <w:left w:val="none" w:sz="0" w:space="0" w:color="auto"/>
            <w:bottom w:val="none" w:sz="0" w:space="0" w:color="auto"/>
            <w:right w:val="none" w:sz="0" w:space="0" w:color="auto"/>
          </w:divBdr>
        </w:div>
        <w:div w:id="2124030704">
          <w:marLeft w:val="0"/>
          <w:marRight w:val="0"/>
          <w:marTop w:val="180"/>
          <w:marBottom w:val="180"/>
          <w:divBdr>
            <w:top w:val="none" w:sz="0" w:space="0" w:color="auto"/>
            <w:left w:val="none" w:sz="0" w:space="0" w:color="auto"/>
            <w:bottom w:val="none" w:sz="0" w:space="0" w:color="auto"/>
            <w:right w:val="none" w:sz="0" w:space="0" w:color="auto"/>
          </w:divBdr>
        </w:div>
        <w:div w:id="1899894602">
          <w:marLeft w:val="0"/>
          <w:marRight w:val="0"/>
          <w:marTop w:val="180"/>
          <w:marBottom w:val="180"/>
          <w:divBdr>
            <w:top w:val="none" w:sz="0" w:space="0" w:color="auto"/>
            <w:left w:val="none" w:sz="0" w:space="0" w:color="auto"/>
            <w:bottom w:val="none" w:sz="0" w:space="0" w:color="auto"/>
            <w:right w:val="none" w:sz="0" w:space="0" w:color="auto"/>
          </w:divBdr>
        </w:div>
        <w:div w:id="2017607391">
          <w:marLeft w:val="0"/>
          <w:marRight w:val="0"/>
          <w:marTop w:val="180"/>
          <w:marBottom w:val="180"/>
          <w:divBdr>
            <w:top w:val="none" w:sz="0" w:space="0" w:color="auto"/>
            <w:left w:val="none" w:sz="0" w:space="0" w:color="auto"/>
            <w:bottom w:val="none" w:sz="0" w:space="0" w:color="auto"/>
            <w:right w:val="none" w:sz="0" w:space="0" w:color="auto"/>
          </w:divBdr>
        </w:div>
        <w:div w:id="2036694175">
          <w:marLeft w:val="0"/>
          <w:marRight w:val="0"/>
          <w:marTop w:val="180"/>
          <w:marBottom w:val="180"/>
          <w:divBdr>
            <w:top w:val="none" w:sz="0" w:space="0" w:color="auto"/>
            <w:left w:val="none" w:sz="0" w:space="0" w:color="auto"/>
            <w:bottom w:val="none" w:sz="0" w:space="0" w:color="auto"/>
            <w:right w:val="none" w:sz="0" w:space="0" w:color="auto"/>
          </w:divBdr>
        </w:div>
        <w:div w:id="119302384">
          <w:marLeft w:val="0"/>
          <w:marRight w:val="0"/>
          <w:marTop w:val="180"/>
          <w:marBottom w:val="180"/>
          <w:divBdr>
            <w:top w:val="none" w:sz="0" w:space="0" w:color="auto"/>
            <w:left w:val="none" w:sz="0" w:space="0" w:color="auto"/>
            <w:bottom w:val="none" w:sz="0" w:space="0" w:color="auto"/>
            <w:right w:val="none" w:sz="0" w:space="0" w:color="auto"/>
          </w:divBdr>
        </w:div>
        <w:div w:id="1789271450">
          <w:marLeft w:val="0"/>
          <w:marRight w:val="0"/>
          <w:marTop w:val="180"/>
          <w:marBottom w:val="180"/>
          <w:divBdr>
            <w:top w:val="none" w:sz="0" w:space="0" w:color="auto"/>
            <w:left w:val="none" w:sz="0" w:space="0" w:color="auto"/>
            <w:bottom w:val="none" w:sz="0" w:space="0" w:color="auto"/>
            <w:right w:val="none" w:sz="0" w:space="0" w:color="auto"/>
          </w:divBdr>
        </w:div>
        <w:div w:id="540943822">
          <w:marLeft w:val="0"/>
          <w:marRight w:val="0"/>
          <w:marTop w:val="180"/>
          <w:marBottom w:val="180"/>
          <w:divBdr>
            <w:top w:val="none" w:sz="0" w:space="0" w:color="auto"/>
            <w:left w:val="none" w:sz="0" w:space="0" w:color="auto"/>
            <w:bottom w:val="none" w:sz="0" w:space="0" w:color="auto"/>
            <w:right w:val="none" w:sz="0" w:space="0" w:color="auto"/>
          </w:divBdr>
        </w:div>
        <w:div w:id="1674340115">
          <w:marLeft w:val="0"/>
          <w:marRight w:val="0"/>
          <w:marTop w:val="180"/>
          <w:marBottom w:val="180"/>
          <w:divBdr>
            <w:top w:val="none" w:sz="0" w:space="0" w:color="auto"/>
            <w:left w:val="none" w:sz="0" w:space="0" w:color="auto"/>
            <w:bottom w:val="none" w:sz="0" w:space="0" w:color="auto"/>
            <w:right w:val="none" w:sz="0" w:space="0" w:color="auto"/>
          </w:divBdr>
        </w:div>
        <w:div w:id="1534343938">
          <w:marLeft w:val="0"/>
          <w:marRight w:val="0"/>
          <w:marTop w:val="0"/>
          <w:marBottom w:val="0"/>
          <w:divBdr>
            <w:top w:val="none" w:sz="0" w:space="0" w:color="auto"/>
            <w:left w:val="none" w:sz="0" w:space="0" w:color="auto"/>
            <w:bottom w:val="none" w:sz="0" w:space="0" w:color="auto"/>
            <w:right w:val="none" w:sz="0" w:space="0" w:color="auto"/>
          </w:divBdr>
        </w:div>
        <w:div w:id="1696078603">
          <w:marLeft w:val="0"/>
          <w:marRight w:val="0"/>
          <w:marTop w:val="0"/>
          <w:marBottom w:val="0"/>
          <w:divBdr>
            <w:top w:val="none" w:sz="0" w:space="0" w:color="auto"/>
            <w:left w:val="none" w:sz="0" w:space="0" w:color="auto"/>
            <w:bottom w:val="none" w:sz="0" w:space="0" w:color="auto"/>
            <w:right w:val="none" w:sz="0" w:space="0" w:color="auto"/>
          </w:divBdr>
        </w:div>
        <w:div w:id="2109813155">
          <w:marLeft w:val="0"/>
          <w:marRight w:val="0"/>
          <w:marTop w:val="0"/>
          <w:marBottom w:val="0"/>
          <w:divBdr>
            <w:top w:val="none" w:sz="0" w:space="0" w:color="auto"/>
            <w:left w:val="none" w:sz="0" w:space="0" w:color="auto"/>
            <w:bottom w:val="none" w:sz="0" w:space="0" w:color="auto"/>
            <w:right w:val="none" w:sz="0" w:space="0" w:color="auto"/>
          </w:divBdr>
        </w:div>
        <w:div w:id="1673876273">
          <w:marLeft w:val="0"/>
          <w:marRight w:val="0"/>
          <w:marTop w:val="0"/>
          <w:marBottom w:val="0"/>
          <w:divBdr>
            <w:top w:val="none" w:sz="0" w:space="0" w:color="auto"/>
            <w:left w:val="none" w:sz="0" w:space="0" w:color="auto"/>
            <w:bottom w:val="none" w:sz="0" w:space="0" w:color="auto"/>
            <w:right w:val="none" w:sz="0" w:space="0" w:color="auto"/>
          </w:divBdr>
        </w:div>
        <w:div w:id="312685847">
          <w:marLeft w:val="0"/>
          <w:marRight w:val="0"/>
          <w:marTop w:val="0"/>
          <w:marBottom w:val="0"/>
          <w:divBdr>
            <w:top w:val="none" w:sz="0" w:space="0" w:color="auto"/>
            <w:left w:val="none" w:sz="0" w:space="0" w:color="auto"/>
            <w:bottom w:val="none" w:sz="0" w:space="0" w:color="auto"/>
            <w:right w:val="none" w:sz="0" w:space="0" w:color="auto"/>
          </w:divBdr>
        </w:div>
        <w:div w:id="1450197869">
          <w:marLeft w:val="0"/>
          <w:marRight w:val="0"/>
          <w:marTop w:val="0"/>
          <w:marBottom w:val="0"/>
          <w:divBdr>
            <w:top w:val="none" w:sz="0" w:space="0" w:color="auto"/>
            <w:left w:val="none" w:sz="0" w:space="0" w:color="auto"/>
            <w:bottom w:val="none" w:sz="0" w:space="0" w:color="auto"/>
            <w:right w:val="none" w:sz="0" w:space="0" w:color="auto"/>
          </w:divBdr>
        </w:div>
        <w:div w:id="1492140767">
          <w:marLeft w:val="0"/>
          <w:marRight w:val="0"/>
          <w:marTop w:val="0"/>
          <w:marBottom w:val="0"/>
          <w:divBdr>
            <w:top w:val="none" w:sz="0" w:space="0" w:color="auto"/>
            <w:left w:val="none" w:sz="0" w:space="0" w:color="auto"/>
            <w:bottom w:val="none" w:sz="0" w:space="0" w:color="auto"/>
            <w:right w:val="none" w:sz="0" w:space="0" w:color="auto"/>
          </w:divBdr>
        </w:div>
        <w:div w:id="1865093198">
          <w:marLeft w:val="0"/>
          <w:marRight w:val="0"/>
          <w:marTop w:val="0"/>
          <w:marBottom w:val="0"/>
          <w:divBdr>
            <w:top w:val="none" w:sz="0" w:space="0" w:color="auto"/>
            <w:left w:val="none" w:sz="0" w:space="0" w:color="auto"/>
            <w:bottom w:val="none" w:sz="0" w:space="0" w:color="auto"/>
            <w:right w:val="none" w:sz="0" w:space="0" w:color="auto"/>
          </w:divBdr>
        </w:div>
        <w:div w:id="365907607">
          <w:marLeft w:val="0"/>
          <w:marRight w:val="0"/>
          <w:marTop w:val="0"/>
          <w:marBottom w:val="0"/>
          <w:divBdr>
            <w:top w:val="none" w:sz="0" w:space="0" w:color="auto"/>
            <w:left w:val="none" w:sz="0" w:space="0" w:color="auto"/>
            <w:bottom w:val="none" w:sz="0" w:space="0" w:color="auto"/>
            <w:right w:val="none" w:sz="0" w:space="0" w:color="auto"/>
          </w:divBdr>
        </w:div>
        <w:div w:id="129249194">
          <w:marLeft w:val="0"/>
          <w:marRight w:val="0"/>
          <w:marTop w:val="0"/>
          <w:marBottom w:val="0"/>
          <w:divBdr>
            <w:top w:val="none" w:sz="0" w:space="0" w:color="auto"/>
            <w:left w:val="none" w:sz="0" w:space="0" w:color="auto"/>
            <w:bottom w:val="none" w:sz="0" w:space="0" w:color="auto"/>
            <w:right w:val="none" w:sz="0" w:space="0" w:color="auto"/>
          </w:divBdr>
        </w:div>
      </w:divsChild>
    </w:div>
    <w:div w:id="2049142367">
      <w:marLeft w:val="0"/>
      <w:marRight w:val="0"/>
      <w:marTop w:val="180"/>
      <w:marBottom w:val="180"/>
      <w:divBdr>
        <w:top w:val="none" w:sz="0" w:space="0" w:color="auto"/>
        <w:left w:val="none" w:sz="0" w:space="0" w:color="auto"/>
        <w:bottom w:val="none" w:sz="0" w:space="0" w:color="auto"/>
        <w:right w:val="none" w:sz="0" w:space="0" w:color="auto"/>
      </w:divBdr>
    </w:div>
    <w:div w:id="2051875563">
      <w:marLeft w:val="0"/>
      <w:marRight w:val="0"/>
      <w:marTop w:val="0"/>
      <w:marBottom w:val="0"/>
      <w:divBdr>
        <w:top w:val="none" w:sz="0" w:space="0" w:color="auto"/>
        <w:left w:val="none" w:sz="0" w:space="0" w:color="auto"/>
        <w:bottom w:val="none" w:sz="0" w:space="0" w:color="auto"/>
        <w:right w:val="none" w:sz="0" w:space="0" w:color="auto"/>
      </w:divBdr>
      <w:divsChild>
        <w:div w:id="977490539">
          <w:marLeft w:val="0"/>
          <w:marRight w:val="0"/>
          <w:marTop w:val="180"/>
          <w:marBottom w:val="180"/>
          <w:divBdr>
            <w:top w:val="none" w:sz="0" w:space="0" w:color="auto"/>
            <w:left w:val="none" w:sz="0" w:space="0" w:color="auto"/>
            <w:bottom w:val="none" w:sz="0" w:space="0" w:color="auto"/>
            <w:right w:val="none" w:sz="0" w:space="0" w:color="auto"/>
          </w:divBdr>
        </w:div>
      </w:divsChild>
    </w:div>
    <w:div w:id="2051882236">
      <w:marLeft w:val="0"/>
      <w:marRight w:val="0"/>
      <w:marTop w:val="180"/>
      <w:marBottom w:val="180"/>
      <w:divBdr>
        <w:top w:val="none" w:sz="0" w:space="0" w:color="auto"/>
        <w:left w:val="none" w:sz="0" w:space="0" w:color="auto"/>
        <w:bottom w:val="none" w:sz="0" w:space="0" w:color="auto"/>
        <w:right w:val="none" w:sz="0" w:space="0" w:color="auto"/>
      </w:divBdr>
    </w:div>
    <w:div w:id="2052456685">
      <w:marLeft w:val="0"/>
      <w:marRight w:val="0"/>
      <w:marTop w:val="60"/>
      <w:marBottom w:val="60"/>
      <w:divBdr>
        <w:top w:val="none" w:sz="0" w:space="0" w:color="auto"/>
        <w:left w:val="none" w:sz="0" w:space="0" w:color="auto"/>
        <w:bottom w:val="none" w:sz="0" w:space="0" w:color="auto"/>
        <w:right w:val="none" w:sz="0" w:space="0" w:color="auto"/>
      </w:divBdr>
    </w:div>
    <w:div w:id="2056806688">
      <w:marLeft w:val="0"/>
      <w:marRight w:val="0"/>
      <w:marTop w:val="100"/>
      <w:marBottom w:val="100"/>
      <w:divBdr>
        <w:top w:val="none" w:sz="0" w:space="0" w:color="auto"/>
        <w:left w:val="none" w:sz="0" w:space="0" w:color="auto"/>
        <w:bottom w:val="none" w:sz="0" w:space="0" w:color="auto"/>
        <w:right w:val="none" w:sz="0" w:space="0" w:color="auto"/>
      </w:divBdr>
    </w:div>
    <w:div w:id="2057390428">
      <w:marLeft w:val="0"/>
      <w:marRight w:val="0"/>
      <w:marTop w:val="180"/>
      <w:marBottom w:val="180"/>
      <w:divBdr>
        <w:top w:val="none" w:sz="0" w:space="0" w:color="auto"/>
        <w:left w:val="none" w:sz="0" w:space="0" w:color="auto"/>
        <w:bottom w:val="none" w:sz="0" w:space="0" w:color="auto"/>
        <w:right w:val="none" w:sz="0" w:space="0" w:color="auto"/>
      </w:divBdr>
    </w:div>
    <w:div w:id="2058115605">
      <w:marLeft w:val="0"/>
      <w:marRight w:val="0"/>
      <w:marTop w:val="60"/>
      <w:marBottom w:val="60"/>
      <w:divBdr>
        <w:top w:val="none" w:sz="0" w:space="0" w:color="auto"/>
        <w:left w:val="none" w:sz="0" w:space="0" w:color="auto"/>
        <w:bottom w:val="none" w:sz="0" w:space="0" w:color="auto"/>
        <w:right w:val="none" w:sz="0" w:space="0" w:color="auto"/>
      </w:divBdr>
      <w:divsChild>
        <w:div w:id="636493757">
          <w:marLeft w:val="0"/>
          <w:marRight w:val="0"/>
          <w:marTop w:val="0"/>
          <w:marBottom w:val="0"/>
          <w:divBdr>
            <w:top w:val="none" w:sz="0" w:space="0" w:color="auto"/>
            <w:left w:val="none" w:sz="0" w:space="0" w:color="auto"/>
            <w:bottom w:val="none" w:sz="0" w:space="0" w:color="auto"/>
            <w:right w:val="none" w:sz="0" w:space="0" w:color="auto"/>
          </w:divBdr>
        </w:div>
      </w:divsChild>
    </w:div>
    <w:div w:id="2059083721">
      <w:marLeft w:val="0"/>
      <w:marRight w:val="0"/>
      <w:marTop w:val="180"/>
      <w:marBottom w:val="180"/>
      <w:divBdr>
        <w:top w:val="none" w:sz="0" w:space="0" w:color="auto"/>
        <w:left w:val="none" w:sz="0" w:space="0" w:color="auto"/>
        <w:bottom w:val="none" w:sz="0" w:space="0" w:color="auto"/>
        <w:right w:val="none" w:sz="0" w:space="0" w:color="auto"/>
      </w:divBdr>
    </w:div>
    <w:div w:id="2059357955">
      <w:marLeft w:val="0"/>
      <w:marRight w:val="0"/>
      <w:marTop w:val="180"/>
      <w:marBottom w:val="180"/>
      <w:divBdr>
        <w:top w:val="none" w:sz="0" w:space="0" w:color="auto"/>
        <w:left w:val="none" w:sz="0" w:space="0" w:color="auto"/>
        <w:bottom w:val="none" w:sz="0" w:space="0" w:color="auto"/>
        <w:right w:val="none" w:sz="0" w:space="0" w:color="auto"/>
      </w:divBdr>
    </w:div>
    <w:div w:id="2063140212">
      <w:marLeft w:val="0"/>
      <w:marRight w:val="0"/>
      <w:marTop w:val="180"/>
      <w:marBottom w:val="180"/>
      <w:divBdr>
        <w:top w:val="none" w:sz="0" w:space="0" w:color="auto"/>
        <w:left w:val="none" w:sz="0" w:space="0" w:color="auto"/>
        <w:bottom w:val="none" w:sz="0" w:space="0" w:color="auto"/>
        <w:right w:val="none" w:sz="0" w:space="0" w:color="auto"/>
      </w:divBdr>
    </w:div>
    <w:div w:id="2063870252">
      <w:marLeft w:val="0"/>
      <w:marRight w:val="0"/>
      <w:marTop w:val="180"/>
      <w:marBottom w:val="180"/>
      <w:divBdr>
        <w:top w:val="none" w:sz="0" w:space="0" w:color="auto"/>
        <w:left w:val="none" w:sz="0" w:space="0" w:color="auto"/>
        <w:bottom w:val="none" w:sz="0" w:space="0" w:color="auto"/>
        <w:right w:val="none" w:sz="0" w:space="0" w:color="auto"/>
      </w:divBdr>
    </w:div>
    <w:div w:id="2065441251">
      <w:marLeft w:val="0"/>
      <w:marRight w:val="0"/>
      <w:marTop w:val="60"/>
      <w:marBottom w:val="60"/>
      <w:divBdr>
        <w:top w:val="none" w:sz="0" w:space="0" w:color="auto"/>
        <w:left w:val="none" w:sz="0" w:space="0" w:color="auto"/>
        <w:bottom w:val="none" w:sz="0" w:space="0" w:color="auto"/>
        <w:right w:val="none" w:sz="0" w:space="0" w:color="auto"/>
      </w:divBdr>
    </w:div>
    <w:div w:id="2065835310">
      <w:marLeft w:val="0"/>
      <w:marRight w:val="0"/>
      <w:marTop w:val="180"/>
      <w:marBottom w:val="180"/>
      <w:divBdr>
        <w:top w:val="none" w:sz="0" w:space="0" w:color="auto"/>
        <w:left w:val="none" w:sz="0" w:space="0" w:color="auto"/>
        <w:bottom w:val="none" w:sz="0" w:space="0" w:color="auto"/>
        <w:right w:val="none" w:sz="0" w:space="0" w:color="auto"/>
      </w:divBdr>
    </w:div>
    <w:div w:id="2067680484">
      <w:marLeft w:val="0"/>
      <w:marRight w:val="0"/>
      <w:marTop w:val="180"/>
      <w:marBottom w:val="180"/>
      <w:divBdr>
        <w:top w:val="none" w:sz="0" w:space="0" w:color="auto"/>
        <w:left w:val="none" w:sz="0" w:space="0" w:color="auto"/>
        <w:bottom w:val="none" w:sz="0" w:space="0" w:color="auto"/>
        <w:right w:val="none" w:sz="0" w:space="0" w:color="auto"/>
      </w:divBdr>
    </w:div>
    <w:div w:id="2069180039">
      <w:marLeft w:val="0"/>
      <w:marRight w:val="0"/>
      <w:marTop w:val="0"/>
      <w:marBottom w:val="0"/>
      <w:divBdr>
        <w:top w:val="none" w:sz="0" w:space="0" w:color="auto"/>
        <w:left w:val="none" w:sz="0" w:space="0" w:color="auto"/>
        <w:bottom w:val="none" w:sz="0" w:space="0" w:color="auto"/>
        <w:right w:val="none" w:sz="0" w:space="0" w:color="auto"/>
      </w:divBdr>
      <w:divsChild>
        <w:div w:id="1302804630">
          <w:marLeft w:val="0"/>
          <w:marRight w:val="0"/>
          <w:marTop w:val="180"/>
          <w:marBottom w:val="180"/>
          <w:divBdr>
            <w:top w:val="none" w:sz="0" w:space="0" w:color="auto"/>
            <w:left w:val="none" w:sz="0" w:space="0" w:color="auto"/>
            <w:bottom w:val="none" w:sz="0" w:space="0" w:color="auto"/>
            <w:right w:val="none" w:sz="0" w:space="0" w:color="auto"/>
          </w:divBdr>
        </w:div>
      </w:divsChild>
    </w:div>
    <w:div w:id="2069834785">
      <w:marLeft w:val="0"/>
      <w:marRight w:val="0"/>
      <w:marTop w:val="60"/>
      <w:marBottom w:val="60"/>
      <w:divBdr>
        <w:top w:val="none" w:sz="0" w:space="0" w:color="auto"/>
        <w:left w:val="none" w:sz="0" w:space="0" w:color="auto"/>
        <w:bottom w:val="none" w:sz="0" w:space="0" w:color="auto"/>
        <w:right w:val="none" w:sz="0" w:space="0" w:color="auto"/>
      </w:divBdr>
    </w:div>
    <w:div w:id="2071462580">
      <w:marLeft w:val="0"/>
      <w:marRight w:val="0"/>
      <w:marTop w:val="60"/>
      <w:marBottom w:val="60"/>
      <w:divBdr>
        <w:top w:val="none" w:sz="0" w:space="0" w:color="auto"/>
        <w:left w:val="none" w:sz="0" w:space="0" w:color="auto"/>
        <w:bottom w:val="none" w:sz="0" w:space="0" w:color="auto"/>
        <w:right w:val="none" w:sz="0" w:space="0" w:color="auto"/>
      </w:divBdr>
    </w:div>
    <w:div w:id="2072650069">
      <w:marLeft w:val="0"/>
      <w:marRight w:val="0"/>
      <w:marTop w:val="0"/>
      <w:marBottom w:val="0"/>
      <w:divBdr>
        <w:top w:val="none" w:sz="0" w:space="0" w:color="auto"/>
        <w:left w:val="none" w:sz="0" w:space="0" w:color="auto"/>
        <w:bottom w:val="none" w:sz="0" w:space="0" w:color="auto"/>
        <w:right w:val="none" w:sz="0" w:space="0" w:color="auto"/>
      </w:divBdr>
      <w:divsChild>
        <w:div w:id="1192180693">
          <w:marLeft w:val="0"/>
          <w:marRight w:val="0"/>
          <w:marTop w:val="0"/>
          <w:marBottom w:val="0"/>
          <w:divBdr>
            <w:top w:val="none" w:sz="0" w:space="0" w:color="auto"/>
            <w:left w:val="none" w:sz="0" w:space="0" w:color="auto"/>
            <w:bottom w:val="none" w:sz="0" w:space="0" w:color="auto"/>
            <w:right w:val="none" w:sz="0" w:space="0" w:color="auto"/>
          </w:divBdr>
          <w:divsChild>
            <w:div w:id="14611444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3309831">
      <w:marLeft w:val="0"/>
      <w:marRight w:val="0"/>
      <w:marTop w:val="180"/>
      <w:marBottom w:val="180"/>
      <w:divBdr>
        <w:top w:val="none" w:sz="0" w:space="0" w:color="auto"/>
        <w:left w:val="none" w:sz="0" w:space="0" w:color="auto"/>
        <w:bottom w:val="none" w:sz="0" w:space="0" w:color="auto"/>
        <w:right w:val="none" w:sz="0" w:space="0" w:color="auto"/>
      </w:divBdr>
    </w:div>
    <w:div w:id="2075732756">
      <w:marLeft w:val="0"/>
      <w:marRight w:val="0"/>
      <w:marTop w:val="60"/>
      <w:marBottom w:val="60"/>
      <w:divBdr>
        <w:top w:val="none" w:sz="0" w:space="0" w:color="auto"/>
        <w:left w:val="none" w:sz="0" w:space="0" w:color="auto"/>
        <w:bottom w:val="none" w:sz="0" w:space="0" w:color="auto"/>
        <w:right w:val="none" w:sz="0" w:space="0" w:color="auto"/>
      </w:divBdr>
    </w:div>
    <w:div w:id="2077127683">
      <w:marLeft w:val="0"/>
      <w:marRight w:val="0"/>
      <w:marTop w:val="180"/>
      <w:marBottom w:val="180"/>
      <w:divBdr>
        <w:top w:val="none" w:sz="0" w:space="0" w:color="auto"/>
        <w:left w:val="none" w:sz="0" w:space="0" w:color="auto"/>
        <w:bottom w:val="none" w:sz="0" w:space="0" w:color="auto"/>
        <w:right w:val="none" w:sz="0" w:space="0" w:color="auto"/>
      </w:divBdr>
    </w:div>
    <w:div w:id="2079401043">
      <w:marLeft w:val="0"/>
      <w:marRight w:val="0"/>
      <w:marTop w:val="0"/>
      <w:marBottom w:val="0"/>
      <w:divBdr>
        <w:top w:val="none" w:sz="0" w:space="0" w:color="auto"/>
        <w:left w:val="none" w:sz="0" w:space="0" w:color="auto"/>
        <w:bottom w:val="none" w:sz="0" w:space="0" w:color="auto"/>
        <w:right w:val="none" w:sz="0" w:space="0" w:color="auto"/>
      </w:divBdr>
      <w:divsChild>
        <w:div w:id="1472868932">
          <w:marLeft w:val="0"/>
          <w:marRight w:val="0"/>
          <w:marTop w:val="180"/>
          <w:marBottom w:val="180"/>
          <w:divBdr>
            <w:top w:val="none" w:sz="0" w:space="0" w:color="auto"/>
            <w:left w:val="none" w:sz="0" w:space="0" w:color="auto"/>
            <w:bottom w:val="none" w:sz="0" w:space="0" w:color="auto"/>
            <w:right w:val="none" w:sz="0" w:space="0" w:color="auto"/>
          </w:divBdr>
        </w:div>
      </w:divsChild>
    </w:div>
    <w:div w:id="2081126273">
      <w:marLeft w:val="0"/>
      <w:marRight w:val="0"/>
      <w:marTop w:val="180"/>
      <w:marBottom w:val="180"/>
      <w:divBdr>
        <w:top w:val="none" w:sz="0" w:space="0" w:color="auto"/>
        <w:left w:val="none" w:sz="0" w:space="0" w:color="auto"/>
        <w:bottom w:val="none" w:sz="0" w:space="0" w:color="auto"/>
        <w:right w:val="none" w:sz="0" w:space="0" w:color="auto"/>
      </w:divBdr>
    </w:div>
    <w:div w:id="2081633947">
      <w:marLeft w:val="0"/>
      <w:marRight w:val="0"/>
      <w:marTop w:val="60"/>
      <w:marBottom w:val="60"/>
      <w:divBdr>
        <w:top w:val="none" w:sz="0" w:space="0" w:color="auto"/>
        <w:left w:val="none" w:sz="0" w:space="0" w:color="auto"/>
        <w:bottom w:val="none" w:sz="0" w:space="0" w:color="auto"/>
        <w:right w:val="none" w:sz="0" w:space="0" w:color="auto"/>
      </w:divBdr>
    </w:div>
    <w:div w:id="2082091765">
      <w:marLeft w:val="0"/>
      <w:marRight w:val="0"/>
      <w:marTop w:val="180"/>
      <w:marBottom w:val="180"/>
      <w:divBdr>
        <w:top w:val="none" w:sz="0" w:space="0" w:color="auto"/>
        <w:left w:val="none" w:sz="0" w:space="0" w:color="auto"/>
        <w:bottom w:val="none" w:sz="0" w:space="0" w:color="auto"/>
        <w:right w:val="none" w:sz="0" w:space="0" w:color="auto"/>
      </w:divBdr>
    </w:div>
    <w:div w:id="2083018758">
      <w:marLeft w:val="0"/>
      <w:marRight w:val="0"/>
      <w:marTop w:val="60"/>
      <w:marBottom w:val="60"/>
      <w:divBdr>
        <w:top w:val="none" w:sz="0" w:space="0" w:color="auto"/>
        <w:left w:val="none" w:sz="0" w:space="0" w:color="auto"/>
        <w:bottom w:val="none" w:sz="0" w:space="0" w:color="auto"/>
        <w:right w:val="none" w:sz="0" w:space="0" w:color="auto"/>
      </w:divBdr>
    </w:div>
    <w:div w:id="2083720408">
      <w:marLeft w:val="0"/>
      <w:marRight w:val="0"/>
      <w:marTop w:val="180"/>
      <w:marBottom w:val="0"/>
      <w:divBdr>
        <w:top w:val="none" w:sz="0" w:space="0" w:color="auto"/>
        <w:left w:val="none" w:sz="0" w:space="0" w:color="auto"/>
        <w:bottom w:val="none" w:sz="0" w:space="0" w:color="auto"/>
        <w:right w:val="none" w:sz="0" w:space="0" w:color="auto"/>
      </w:divBdr>
    </w:div>
    <w:div w:id="2084721203">
      <w:marLeft w:val="0"/>
      <w:marRight w:val="0"/>
      <w:marTop w:val="0"/>
      <w:marBottom w:val="0"/>
      <w:divBdr>
        <w:top w:val="none" w:sz="0" w:space="0" w:color="auto"/>
        <w:left w:val="none" w:sz="0" w:space="0" w:color="auto"/>
        <w:bottom w:val="none" w:sz="0" w:space="0" w:color="auto"/>
        <w:right w:val="none" w:sz="0" w:space="0" w:color="auto"/>
      </w:divBdr>
      <w:divsChild>
        <w:div w:id="116065220">
          <w:marLeft w:val="0"/>
          <w:marRight w:val="0"/>
          <w:marTop w:val="0"/>
          <w:marBottom w:val="0"/>
          <w:divBdr>
            <w:top w:val="none" w:sz="0" w:space="0" w:color="auto"/>
            <w:left w:val="none" w:sz="0" w:space="0" w:color="auto"/>
            <w:bottom w:val="none" w:sz="0" w:space="0" w:color="auto"/>
            <w:right w:val="none" w:sz="0" w:space="0" w:color="auto"/>
          </w:divBdr>
          <w:divsChild>
            <w:div w:id="4062242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86295493">
      <w:marLeft w:val="0"/>
      <w:marRight w:val="0"/>
      <w:marTop w:val="60"/>
      <w:marBottom w:val="60"/>
      <w:divBdr>
        <w:top w:val="none" w:sz="0" w:space="0" w:color="auto"/>
        <w:left w:val="none" w:sz="0" w:space="0" w:color="auto"/>
        <w:bottom w:val="none" w:sz="0" w:space="0" w:color="auto"/>
        <w:right w:val="none" w:sz="0" w:space="0" w:color="auto"/>
      </w:divBdr>
    </w:div>
    <w:div w:id="2086413298">
      <w:marLeft w:val="0"/>
      <w:marRight w:val="0"/>
      <w:marTop w:val="180"/>
      <w:marBottom w:val="180"/>
      <w:divBdr>
        <w:top w:val="none" w:sz="0" w:space="0" w:color="auto"/>
        <w:left w:val="none" w:sz="0" w:space="0" w:color="auto"/>
        <w:bottom w:val="none" w:sz="0" w:space="0" w:color="auto"/>
        <w:right w:val="none" w:sz="0" w:space="0" w:color="auto"/>
      </w:divBdr>
    </w:div>
    <w:div w:id="2087342517">
      <w:marLeft w:val="0"/>
      <w:marRight w:val="0"/>
      <w:marTop w:val="60"/>
      <w:marBottom w:val="60"/>
      <w:divBdr>
        <w:top w:val="none" w:sz="0" w:space="0" w:color="auto"/>
        <w:left w:val="none" w:sz="0" w:space="0" w:color="auto"/>
        <w:bottom w:val="none" w:sz="0" w:space="0" w:color="auto"/>
        <w:right w:val="none" w:sz="0" w:space="0" w:color="auto"/>
      </w:divBdr>
    </w:div>
    <w:div w:id="2087725346">
      <w:marLeft w:val="0"/>
      <w:marRight w:val="0"/>
      <w:marTop w:val="180"/>
      <w:marBottom w:val="180"/>
      <w:divBdr>
        <w:top w:val="none" w:sz="0" w:space="0" w:color="auto"/>
        <w:left w:val="none" w:sz="0" w:space="0" w:color="auto"/>
        <w:bottom w:val="none" w:sz="0" w:space="0" w:color="auto"/>
        <w:right w:val="none" w:sz="0" w:space="0" w:color="auto"/>
      </w:divBdr>
    </w:div>
    <w:div w:id="2088116383">
      <w:marLeft w:val="0"/>
      <w:marRight w:val="0"/>
      <w:marTop w:val="180"/>
      <w:marBottom w:val="180"/>
      <w:divBdr>
        <w:top w:val="none" w:sz="0" w:space="0" w:color="auto"/>
        <w:left w:val="none" w:sz="0" w:space="0" w:color="auto"/>
        <w:bottom w:val="none" w:sz="0" w:space="0" w:color="auto"/>
        <w:right w:val="none" w:sz="0" w:space="0" w:color="auto"/>
      </w:divBdr>
    </w:div>
    <w:div w:id="2088376760">
      <w:marLeft w:val="0"/>
      <w:marRight w:val="0"/>
      <w:marTop w:val="180"/>
      <w:marBottom w:val="180"/>
      <w:divBdr>
        <w:top w:val="none" w:sz="0" w:space="0" w:color="auto"/>
        <w:left w:val="none" w:sz="0" w:space="0" w:color="auto"/>
        <w:bottom w:val="none" w:sz="0" w:space="0" w:color="auto"/>
        <w:right w:val="none" w:sz="0" w:space="0" w:color="auto"/>
      </w:divBdr>
    </w:div>
    <w:div w:id="2088723675">
      <w:marLeft w:val="0"/>
      <w:marRight w:val="0"/>
      <w:marTop w:val="60"/>
      <w:marBottom w:val="60"/>
      <w:divBdr>
        <w:top w:val="none" w:sz="0" w:space="0" w:color="auto"/>
        <w:left w:val="none" w:sz="0" w:space="0" w:color="auto"/>
        <w:bottom w:val="none" w:sz="0" w:space="0" w:color="auto"/>
        <w:right w:val="none" w:sz="0" w:space="0" w:color="auto"/>
      </w:divBdr>
    </w:div>
    <w:div w:id="2091193422">
      <w:marLeft w:val="0"/>
      <w:marRight w:val="0"/>
      <w:marTop w:val="180"/>
      <w:marBottom w:val="180"/>
      <w:divBdr>
        <w:top w:val="none" w:sz="0" w:space="0" w:color="auto"/>
        <w:left w:val="none" w:sz="0" w:space="0" w:color="auto"/>
        <w:bottom w:val="none" w:sz="0" w:space="0" w:color="auto"/>
        <w:right w:val="none" w:sz="0" w:space="0" w:color="auto"/>
      </w:divBdr>
    </w:div>
    <w:div w:id="2092658117">
      <w:marLeft w:val="0"/>
      <w:marRight w:val="0"/>
      <w:marTop w:val="60"/>
      <w:marBottom w:val="60"/>
      <w:divBdr>
        <w:top w:val="none" w:sz="0" w:space="0" w:color="auto"/>
        <w:left w:val="none" w:sz="0" w:space="0" w:color="auto"/>
        <w:bottom w:val="none" w:sz="0" w:space="0" w:color="auto"/>
        <w:right w:val="none" w:sz="0" w:space="0" w:color="auto"/>
      </w:divBdr>
    </w:div>
    <w:div w:id="2092660197">
      <w:marLeft w:val="0"/>
      <w:marRight w:val="0"/>
      <w:marTop w:val="180"/>
      <w:marBottom w:val="180"/>
      <w:divBdr>
        <w:top w:val="none" w:sz="0" w:space="0" w:color="auto"/>
        <w:left w:val="none" w:sz="0" w:space="0" w:color="auto"/>
        <w:bottom w:val="none" w:sz="0" w:space="0" w:color="auto"/>
        <w:right w:val="none" w:sz="0" w:space="0" w:color="auto"/>
      </w:divBdr>
    </w:div>
    <w:div w:id="2094625776">
      <w:marLeft w:val="0"/>
      <w:marRight w:val="0"/>
      <w:marTop w:val="60"/>
      <w:marBottom w:val="60"/>
      <w:divBdr>
        <w:top w:val="none" w:sz="0" w:space="0" w:color="auto"/>
        <w:left w:val="none" w:sz="0" w:space="0" w:color="auto"/>
        <w:bottom w:val="none" w:sz="0" w:space="0" w:color="auto"/>
        <w:right w:val="none" w:sz="0" w:space="0" w:color="auto"/>
      </w:divBdr>
    </w:div>
    <w:div w:id="2095735357">
      <w:marLeft w:val="0"/>
      <w:marRight w:val="0"/>
      <w:marTop w:val="180"/>
      <w:marBottom w:val="180"/>
      <w:divBdr>
        <w:top w:val="none" w:sz="0" w:space="0" w:color="auto"/>
        <w:left w:val="none" w:sz="0" w:space="0" w:color="auto"/>
        <w:bottom w:val="none" w:sz="0" w:space="0" w:color="auto"/>
        <w:right w:val="none" w:sz="0" w:space="0" w:color="auto"/>
      </w:divBdr>
    </w:div>
    <w:div w:id="2095931840">
      <w:marLeft w:val="0"/>
      <w:marRight w:val="0"/>
      <w:marTop w:val="180"/>
      <w:marBottom w:val="180"/>
      <w:divBdr>
        <w:top w:val="none" w:sz="0" w:space="0" w:color="auto"/>
        <w:left w:val="none" w:sz="0" w:space="0" w:color="auto"/>
        <w:bottom w:val="none" w:sz="0" w:space="0" w:color="auto"/>
        <w:right w:val="none" w:sz="0" w:space="0" w:color="auto"/>
      </w:divBdr>
    </w:div>
    <w:div w:id="2096124251">
      <w:marLeft w:val="0"/>
      <w:marRight w:val="0"/>
      <w:marTop w:val="180"/>
      <w:marBottom w:val="60"/>
      <w:divBdr>
        <w:top w:val="none" w:sz="0" w:space="0" w:color="auto"/>
        <w:left w:val="none" w:sz="0" w:space="0" w:color="auto"/>
        <w:bottom w:val="none" w:sz="0" w:space="0" w:color="auto"/>
        <w:right w:val="none" w:sz="0" w:space="0" w:color="auto"/>
      </w:divBdr>
    </w:div>
    <w:div w:id="2096659992">
      <w:marLeft w:val="0"/>
      <w:marRight w:val="0"/>
      <w:marTop w:val="180"/>
      <w:marBottom w:val="60"/>
      <w:divBdr>
        <w:top w:val="none" w:sz="0" w:space="0" w:color="auto"/>
        <w:left w:val="none" w:sz="0" w:space="0" w:color="auto"/>
        <w:bottom w:val="none" w:sz="0" w:space="0" w:color="auto"/>
        <w:right w:val="none" w:sz="0" w:space="0" w:color="auto"/>
      </w:divBdr>
    </w:div>
    <w:div w:id="2097053407">
      <w:marLeft w:val="0"/>
      <w:marRight w:val="0"/>
      <w:marTop w:val="180"/>
      <w:marBottom w:val="180"/>
      <w:divBdr>
        <w:top w:val="none" w:sz="0" w:space="0" w:color="auto"/>
        <w:left w:val="none" w:sz="0" w:space="0" w:color="auto"/>
        <w:bottom w:val="none" w:sz="0" w:space="0" w:color="auto"/>
        <w:right w:val="none" w:sz="0" w:space="0" w:color="auto"/>
      </w:divBdr>
    </w:div>
    <w:div w:id="2097358743">
      <w:marLeft w:val="0"/>
      <w:marRight w:val="0"/>
      <w:marTop w:val="180"/>
      <w:marBottom w:val="180"/>
      <w:divBdr>
        <w:top w:val="none" w:sz="0" w:space="0" w:color="auto"/>
        <w:left w:val="none" w:sz="0" w:space="0" w:color="auto"/>
        <w:bottom w:val="none" w:sz="0" w:space="0" w:color="auto"/>
        <w:right w:val="none" w:sz="0" w:space="0" w:color="auto"/>
      </w:divBdr>
    </w:div>
    <w:div w:id="2097435407">
      <w:marLeft w:val="0"/>
      <w:marRight w:val="0"/>
      <w:marTop w:val="100"/>
      <w:marBottom w:val="100"/>
      <w:divBdr>
        <w:top w:val="none" w:sz="0" w:space="0" w:color="auto"/>
        <w:left w:val="none" w:sz="0" w:space="0" w:color="auto"/>
        <w:bottom w:val="none" w:sz="0" w:space="0" w:color="auto"/>
        <w:right w:val="none" w:sz="0" w:space="0" w:color="auto"/>
      </w:divBdr>
    </w:div>
    <w:div w:id="2098164584">
      <w:marLeft w:val="0"/>
      <w:marRight w:val="0"/>
      <w:marTop w:val="180"/>
      <w:marBottom w:val="180"/>
      <w:divBdr>
        <w:top w:val="none" w:sz="0" w:space="0" w:color="auto"/>
        <w:left w:val="none" w:sz="0" w:space="0" w:color="auto"/>
        <w:bottom w:val="none" w:sz="0" w:space="0" w:color="auto"/>
        <w:right w:val="none" w:sz="0" w:space="0" w:color="auto"/>
      </w:divBdr>
    </w:div>
    <w:div w:id="2098744804">
      <w:marLeft w:val="0"/>
      <w:marRight w:val="0"/>
      <w:marTop w:val="180"/>
      <w:marBottom w:val="180"/>
      <w:divBdr>
        <w:top w:val="none" w:sz="0" w:space="0" w:color="auto"/>
        <w:left w:val="none" w:sz="0" w:space="0" w:color="auto"/>
        <w:bottom w:val="none" w:sz="0" w:space="0" w:color="auto"/>
        <w:right w:val="none" w:sz="0" w:space="0" w:color="auto"/>
      </w:divBdr>
    </w:div>
    <w:div w:id="2099448060">
      <w:marLeft w:val="0"/>
      <w:marRight w:val="0"/>
      <w:marTop w:val="60"/>
      <w:marBottom w:val="0"/>
      <w:divBdr>
        <w:top w:val="none" w:sz="0" w:space="0" w:color="auto"/>
        <w:left w:val="none" w:sz="0" w:space="0" w:color="auto"/>
        <w:bottom w:val="none" w:sz="0" w:space="0" w:color="auto"/>
        <w:right w:val="none" w:sz="0" w:space="0" w:color="auto"/>
      </w:divBdr>
    </w:div>
    <w:div w:id="2099596406">
      <w:marLeft w:val="0"/>
      <w:marRight w:val="0"/>
      <w:marTop w:val="60"/>
      <w:marBottom w:val="60"/>
      <w:divBdr>
        <w:top w:val="none" w:sz="0" w:space="0" w:color="auto"/>
        <w:left w:val="none" w:sz="0" w:space="0" w:color="auto"/>
        <w:bottom w:val="none" w:sz="0" w:space="0" w:color="auto"/>
        <w:right w:val="none" w:sz="0" w:space="0" w:color="auto"/>
      </w:divBdr>
    </w:div>
    <w:div w:id="2099859834">
      <w:marLeft w:val="0"/>
      <w:marRight w:val="0"/>
      <w:marTop w:val="0"/>
      <w:marBottom w:val="0"/>
      <w:divBdr>
        <w:top w:val="none" w:sz="0" w:space="0" w:color="auto"/>
        <w:left w:val="none" w:sz="0" w:space="0" w:color="auto"/>
        <w:bottom w:val="none" w:sz="0" w:space="0" w:color="auto"/>
        <w:right w:val="none" w:sz="0" w:space="0" w:color="auto"/>
      </w:divBdr>
      <w:divsChild>
        <w:div w:id="304703705">
          <w:marLeft w:val="0"/>
          <w:marRight w:val="0"/>
          <w:marTop w:val="0"/>
          <w:marBottom w:val="0"/>
          <w:divBdr>
            <w:top w:val="none" w:sz="0" w:space="0" w:color="auto"/>
            <w:left w:val="none" w:sz="0" w:space="0" w:color="auto"/>
            <w:bottom w:val="none" w:sz="0" w:space="0" w:color="auto"/>
            <w:right w:val="none" w:sz="0" w:space="0" w:color="auto"/>
          </w:divBdr>
          <w:divsChild>
            <w:div w:id="14102720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0175341">
      <w:marLeft w:val="0"/>
      <w:marRight w:val="0"/>
      <w:marTop w:val="180"/>
      <w:marBottom w:val="60"/>
      <w:divBdr>
        <w:top w:val="none" w:sz="0" w:space="0" w:color="auto"/>
        <w:left w:val="none" w:sz="0" w:space="0" w:color="auto"/>
        <w:bottom w:val="none" w:sz="0" w:space="0" w:color="auto"/>
        <w:right w:val="none" w:sz="0" w:space="0" w:color="auto"/>
      </w:divBdr>
    </w:div>
    <w:div w:id="2100710378">
      <w:marLeft w:val="0"/>
      <w:marRight w:val="0"/>
      <w:marTop w:val="180"/>
      <w:marBottom w:val="180"/>
      <w:divBdr>
        <w:top w:val="none" w:sz="0" w:space="0" w:color="auto"/>
        <w:left w:val="none" w:sz="0" w:space="0" w:color="auto"/>
        <w:bottom w:val="none" w:sz="0" w:space="0" w:color="auto"/>
        <w:right w:val="none" w:sz="0" w:space="0" w:color="auto"/>
      </w:divBdr>
    </w:div>
    <w:div w:id="2102335559">
      <w:marLeft w:val="0"/>
      <w:marRight w:val="0"/>
      <w:marTop w:val="180"/>
      <w:marBottom w:val="180"/>
      <w:divBdr>
        <w:top w:val="none" w:sz="0" w:space="0" w:color="auto"/>
        <w:left w:val="none" w:sz="0" w:space="0" w:color="auto"/>
        <w:bottom w:val="none" w:sz="0" w:space="0" w:color="auto"/>
        <w:right w:val="none" w:sz="0" w:space="0" w:color="auto"/>
      </w:divBdr>
    </w:div>
    <w:div w:id="2102950680">
      <w:marLeft w:val="0"/>
      <w:marRight w:val="0"/>
      <w:marTop w:val="60"/>
      <w:marBottom w:val="60"/>
      <w:divBdr>
        <w:top w:val="none" w:sz="0" w:space="0" w:color="auto"/>
        <w:left w:val="none" w:sz="0" w:space="0" w:color="auto"/>
        <w:bottom w:val="none" w:sz="0" w:space="0" w:color="auto"/>
        <w:right w:val="none" w:sz="0" w:space="0" w:color="auto"/>
      </w:divBdr>
    </w:div>
    <w:div w:id="2108427987">
      <w:marLeft w:val="0"/>
      <w:marRight w:val="0"/>
      <w:marTop w:val="60"/>
      <w:marBottom w:val="60"/>
      <w:divBdr>
        <w:top w:val="none" w:sz="0" w:space="0" w:color="auto"/>
        <w:left w:val="none" w:sz="0" w:space="0" w:color="auto"/>
        <w:bottom w:val="none" w:sz="0" w:space="0" w:color="auto"/>
        <w:right w:val="none" w:sz="0" w:space="0" w:color="auto"/>
      </w:divBdr>
    </w:div>
    <w:div w:id="2108766921">
      <w:marLeft w:val="0"/>
      <w:marRight w:val="0"/>
      <w:marTop w:val="180"/>
      <w:marBottom w:val="180"/>
      <w:divBdr>
        <w:top w:val="none" w:sz="0" w:space="0" w:color="auto"/>
        <w:left w:val="none" w:sz="0" w:space="0" w:color="auto"/>
        <w:bottom w:val="none" w:sz="0" w:space="0" w:color="auto"/>
        <w:right w:val="none" w:sz="0" w:space="0" w:color="auto"/>
      </w:divBdr>
    </w:div>
    <w:div w:id="2109108251">
      <w:marLeft w:val="0"/>
      <w:marRight w:val="0"/>
      <w:marTop w:val="180"/>
      <w:marBottom w:val="180"/>
      <w:divBdr>
        <w:top w:val="none" w:sz="0" w:space="0" w:color="auto"/>
        <w:left w:val="none" w:sz="0" w:space="0" w:color="auto"/>
        <w:bottom w:val="none" w:sz="0" w:space="0" w:color="auto"/>
        <w:right w:val="none" w:sz="0" w:space="0" w:color="auto"/>
      </w:divBdr>
    </w:div>
    <w:div w:id="2109424868">
      <w:marLeft w:val="0"/>
      <w:marRight w:val="0"/>
      <w:marTop w:val="180"/>
      <w:marBottom w:val="180"/>
      <w:divBdr>
        <w:top w:val="none" w:sz="0" w:space="0" w:color="auto"/>
        <w:left w:val="none" w:sz="0" w:space="0" w:color="auto"/>
        <w:bottom w:val="none" w:sz="0" w:space="0" w:color="auto"/>
        <w:right w:val="none" w:sz="0" w:space="0" w:color="auto"/>
      </w:divBdr>
    </w:div>
    <w:div w:id="2110930297">
      <w:marLeft w:val="0"/>
      <w:marRight w:val="0"/>
      <w:marTop w:val="60"/>
      <w:marBottom w:val="60"/>
      <w:divBdr>
        <w:top w:val="none" w:sz="0" w:space="0" w:color="auto"/>
        <w:left w:val="none" w:sz="0" w:space="0" w:color="auto"/>
        <w:bottom w:val="none" w:sz="0" w:space="0" w:color="auto"/>
        <w:right w:val="none" w:sz="0" w:space="0" w:color="auto"/>
      </w:divBdr>
    </w:div>
    <w:div w:id="2111656827">
      <w:marLeft w:val="0"/>
      <w:marRight w:val="0"/>
      <w:marTop w:val="180"/>
      <w:marBottom w:val="180"/>
      <w:divBdr>
        <w:top w:val="none" w:sz="0" w:space="0" w:color="auto"/>
        <w:left w:val="none" w:sz="0" w:space="0" w:color="auto"/>
        <w:bottom w:val="none" w:sz="0" w:space="0" w:color="auto"/>
        <w:right w:val="none" w:sz="0" w:space="0" w:color="auto"/>
      </w:divBdr>
    </w:div>
    <w:div w:id="2112817888">
      <w:marLeft w:val="0"/>
      <w:marRight w:val="0"/>
      <w:marTop w:val="60"/>
      <w:marBottom w:val="60"/>
      <w:divBdr>
        <w:top w:val="none" w:sz="0" w:space="0" w:color="auto"/>
        <w:left w:val="none" w:sz="0" w:space="0" w:color="auto"/>
        <w:bottom w:val="none" w:sz="0" w:space="0" w:color="auto"/>
        <w:right w:val="none" w:sz="0" w:space="0" w:color="auto"/>
      </w:divBdr>
    </w:div>
    <w:div w:id="2113622345">
      <w:marLeft w:val="0"/>
      <w:marRight w:val="0"/>
      <w:marTop w:val="60"/>
      <w:marBottom w:val="60"/>
      <w:divBdr>
        <w:top w:val="none" w:sz="0" w:space="0" w:color="auto"/>
        <w:left w:val="none" w:sz="0" w:space="0" w:color="auto"/>
        <w:bottom w:val="none" w:sz="0" w:space="0" w:color="auto"/>
        <w:right w:val="none" w:sz="0" w:space="0" w:color="auto"/>
      </w:divBdr>
      <w:divsChild>
        <w:div w:id="1407723766">
          <w:marLeft w:val="0"/>
          <w:marRight w:val="0"/>
          <w:marTop w:val="0"/>
          <w:marBottom w:val="0"/>
          <w:divBdr>
            <w:top w:val="none" w:sz="0" w:space="0" w:color="auto"/>
            <w:left w:val="none" w:sz="0" w:space="0" w:color="auto"/>
            <w:bottom w:val="none" w:sz="0" w:space="0" w:color="auto"/>
            <w:right w:val="none" w:sz="0" w:space="0" w:color="auto"/>
          </w:divBdr>
        </w:div>
        <w:div w:id="1956330088">
          <w:marLeft w:val="0"/>
          <w:marRight w:val="0"/>
          <w:marTop w:val="0"/>
          <w:marBottom w:val="0"/>
          <w:divBdr>
            <w:top w:val="none" w:sz="0" w:space="0" w:color="auto"/>
            <w:left w:val="none" w:sz="0" w:space="0" w:color="auto"/>
            <w:bottom w:val="none" w:sz="0" w:space="0" w:color="auto"/>
            <w:right w:val="none" w:sz="0" w:space="0" w:color="auto"/>
          </w:divBdr>
        </w:div>
        <w:div w:id="1263535472">
          <w:marLeft w:val="0"/>
          <w:marRight w:val="0"/>
          <w:marTop w:val="0"/>
          <w:marBottom w:val="0"/>
          <w:divBdr>
            <w:top w:val="none" w:sz="0" w:space="0" w:color="auto"/>
            <w:left w:val="none" w:sz="0" w:space="0" w:color="auto"/>
            <w:bottom w:val="none" w:sz="0" w:space="0" w:color="auto"/>
            <w:right w:val="none" w:sz="0" w:space="0" w:color="auto"/>
          </w:divBdr>
        </w:div>
      </w:divsChild>
    </w:div>
    <w:div w:id="2114398029">
      <w:marLeft w:val="0"/>
      <w:marRight w:val="0"/>
      <w:marTop w:val="0"/>
      <w:marBottom w:val="0"/>
      <w:divBdr>
        <w:top w:val="none" w:sz="0" w:space="0" w:color="auto"/>
        <w:left w:val="none" w:sz="0" w:space="0" w:color="auto"/>
        <w:bottom w:val="none" w:sz="0" w:space="0" w:color="auto"/>
        <w:right w:val="none" w:sz="0" w:space="0" w:color="auto"/>
      </w:divBdr>
      <w:divsChild>
        <w:div w:id="1061489735">
          <w:marLeft w:val="0"/>
          <w:marRight w:val="0"/>
          <w:marTop w:val="180"/>
          <w:marBottom w:val="180"/>
          <w:divBdr>
            <w:top w:val="none" w:sz="0" w:space="0" w:color="auto"/>
            <w:left w:val="none" w:sz="0" w:space="0" w:color="auto"/>
            <w:bottom w:val="none" w:sz="0" w:space="0" w:color="auto"/>
            <w:right w:val="none" w:sz="0" w:space="0" w:color="auto"/>
          </w:divBdr>
        </w:div>
      </w:divsChild>
    </w:div>
    <w:div w:id="2115395243">
      <w:marLeft w:val="0"/>
      <w:marRight w:val="0"/>
      <w:marTop w:val="60"/>
      <w:marBottom w:val="60"/>
      <w:divBdr>
        <w:top w:val="none" w:sz="0" w:space="0" w:color="auto"/>
        <w:left w:val="none" w:sz="0" w:space="0" w:color="auto"/>
        <w:bottom w:val="none" w:sz="0" w:space="0" w:color="auto"/>
        <w:right w:val="none" w:sz="0" w:space="0" w:color="auto"/>
      </w:divBdr>
    </w:div>
    <w:div w:id="2115708404">
      <w:marLeft w:val="0"/>
      <w:marRight w:val="0"/>
      <w:marTop w:val="0"/>
      <w:marBottom w:val="0"/>
      <w:divBdr>
        <w:top w:val="none" w:sz="0" w:space="0" w:color="auto"/>
        <w:left w:val="none" w:sz="0" w:space="0" w:color="auto"/>
        <w:bottom w:val="none" w:sz="0" w:space="0" w:color="auto"/>
        <w:right w:val="none" w:sz="0" w:space="0" w:color="auto"/>
      </w:divBdr>
      <w:divsChild>
        <w:div w:id="831723845">
          <w:marLeft w:val="0"/>
          <w:marRight w:val="0"/>
          <w:marTop w:val="0"/>
          <w:marBottom w:val="0"/>
          <w:divBdr>
            <w:top w:val="none" w:sz="0" w:space="0" w:color="auto"/>
            <w:left w:val="none" w:sz="0" w:space="0" w:color="auto"/>
            <w:bottom w:val="none" w:sz="0" w:space="0" w:color="auto"/>
            <w:right w:val="none" w:sz="0" w:space="0" w:color="auto"/>
          </w:divBdr>
          <w:divsChild>
            <w:div w:id="595985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6902503">
      <w:marLeft w:val="0"/>
      <w:marRight w:val="0"/>
      <w:marTop w:val="60"/>
      <w:marBottom w:val="60"/>
      <w:divBdr>
        <w:top w:val="none" w:sz="0" w:space="0" w:color="auto"/>
        <w:left w:val="none" w:sz="0" w:space="0" w:color="auto"/>
        <w:bottom w:val="none" w:sz="0" w:space="0" w:color="auto"/>
        <w:right w:val="none" w:sz="0" w:space="0" w:color="auto"/>
      </w:divBdr>
    </w:div>
    <w:div w:id="2117433539">
      <w:marLeft w:val="0"/>
      <w:marRight w:val="0"/>
      <w:marTop w:val="60"/>
      <w:marBottom w:val="60"/>
      <w:divBdr>
        <w:top w:val="none" w:sz="0" w:space="0" w:color="auto"/>
        <w:left w:val="none" w:sz="0" w:space="0" w:color="auto"/>
        <w:bottom w:val="none" w:sz="0" w:space="0" w:color="auto"/>
        <w:right w:val="none" w:sz="0" w:space="0" w:color="auto"/>
      </w:divBdr>
      <w:divsChild>
        <w:div w:id="1673026111">
          <w:marLeft w:val="0"/>
          <w:marRight w:val="0"/>
          <w:marTop w:val="0"/>
          <w:marBottom w:val="0"/>
          <w:divBdr>
            <w:top w:val="none" w:sz="0" w:space="0" w:color="auto"/>
            <w:left w:val="none" w:sz="0" w:space="0" w:color="auto"/>
            <w:bottom w:val="none" w:sz="0" w:space="0" w:color="auto"/>
            <w:right w:val="none" w:sz="0" w:space="0" w:color="auto"/>
          </w:divBdr>
        </w:div>
      </w:divsChild>
    </w:div>
    <w:div w:id="2118207254">
      <w:marLeft w:val="0"/>
      <w:marRight w:val="0"/>
      <w:marTop w:val="0"/>
      <w:marBottom w:val="0"/>
      <w:divBdr>
        <w:top w:val="none" w:sz="0" w:space="0" w:color="auto"/>
        <w:left w:val="none" w:sz="0" w:space="0" w:color="auto"/>
        <w:bottom w:val="none" w:sz="0" w:space="0" w:color="auto"/>
        <w:right w:val="none" w:sz="0" w:space="0" w:color="auto"/>
      </w:divBdr>
    </w:div>
    <w:div w:id="2118215343">
      <w:marLeft w:val="0"/>
      <w:marRight w:val="0"/>
      <w:marTop w:val="180"/>
      <w:marBottom w:val="180"/>
      <w:divBdr>
        <w:top w:val="none" w:sz="0" w:space="0" w:color="auto"/>
        <w:left w:val="none" w:sz="0" w:space="0" w:color="auto"/>
        <w:bottom w:val="none" w:sz="0" w:space="0" w:color="auto"/>
        <w:right w:val="none" w:sz="0" w:space="0" w:color="auto"/>
      </w:divBdr>
    </w:div>
    <w:div w:id="2119638126">
      <w:marLeft w:val="0"/>
      <w:marRight w:val="0"/>
      <w:marTop w:val="180"/>
      <w:marBottom w:val="180"/>
      <w:divBdr>
        <w:top w:val="none" w:sz="0" w:space="0" w:color="auto"/>
        <w:left w:val="none" w:sz="0" w:space="0" w:color="auto"/>
        <w:bottom w:val="none" w:sz="0" w:space="0" w:color="auto"/>
        <w:right w:val="none" w:sz="0" w:space="0" w:color="auto"/>
      </w:divBdr>
    </w:div>
    <w:div w:id="2121870811">
      <w:marLeft w:val="0"/>
      <w:marRight w:val="0"/>
      <w:marTop w:val="0"/>
      <w:marBottom w:val="0"/>
      <w:divBdr>
        <w:top w:val="none" w:sz="0" w:space="0" w:color="auto"/>
        <w:left w:val="none" w:sz="0" w:space="0" w:color="auto"/>
        <w:bottom w:val="none" w:sz="0" w:space="0" w:color="auto"/>
        <w:right w:val="none" w:sz="0" w:space="0" w:color="auto"/>
      </w:divBdr>
      <w:divsChild>
        <w:div w:id="1918781775">
          <w:marLeft w:val="0"/>
          <w:marRight w:val="0"/>
          <w:marTop w:val="0"/>
          <w:marBottom w:val="0"/>
          <w:divBdr>
            <w:top w:val="none" w:sz="0" w:space="0" w:color="auto"/>
            <w:left w:val="none" w:sz="0" w:space="0" w:color="auto"/>
            <w:bottom w:val="none" w:sz="0" w:space="0" w:color="auto"/>
            <w:right w:val="none" w:sz="0" w:space="0" w:color="auto"/>
          </w:divBdr>
          <w:divsChild>
            <w:div w:id="6790440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2845693">
      <w:marLeft w:val="0"/>
      <w:marRight w:val="0"/>
      <w:marTop w:val="60"/>
      <w:marBottom w:val="100"/>
      <w:divBdr>
        <w:top w:val="none" w:sz="0" w:space="0" w:color="auto"/>
        <w:left w:val="none" w:sz="0" w:space="0" w:color="auto"/>
        <w:bottom w:val="none" w:sz="0" w:space="0" w:color="auto"/>
        <w:right w:val="none" w:sz="0" w:space="0" w:color="auto"/>
      </w:divBdr>
      <w:divsChild>
        <w:div w:id="1724451455">
          <w:marLeft w:val="0"/>
          <w:marRight w:val="0"/>
          <w:marTop w:val="0"/>
          <w:marBottom w:val="0"/>
          <w:divBdr>
            <w:top w:val="none" w:sz="0" w:space="0" w:color="auto"/>
            <w:left w:val="none" w:sz="0" w:space="0" w:color="auto"/>
            <w:bottom w:val="none" w:sz="0" w:space="0" w:color="auto"/>
            <w:right w:val="none" w:sz="0" w:space="0" w:color="auto"/>
          </w:divBdr>
        </w:div>
      </w:divsChild>
    </w:div>
    <w:div w:id="2122914647">
      <w:marLeft w:val="0"/>
      <w:marRight w:val="0"/>
      <w:marTop w:val="180"/>
      <w:marBottom w:val="180"/>
      <w:divBdr>
        <w:top w:val="none" w:sz="0" w:space="0" w:color="auto"/>
        <w:left w:val="none" w:sz="0" w:space="0" w:color="auto"/>
        <w:bottom w:val="none" w:sz="0" w:space="0" w:color="auto"/>
        <w:right w:val="none" w:sz="0" w:space="0" w:color="auto"/>
      </w:divBdr>
    </w:div>
    <w:div w:id="2124227910">
      <w:marLeft w:val="0"/>
      <w:marRight w:val="0"/>
      <w:marTop w:val="180"/>
      <w:marBottom w:val="180"/>
      <w:divBdr>
        <w:top w:val="none" w:sz="0" w:space="0" w:color="auto"/>
        <w:left w:val="none" w:sz="0" w:space="0" w:color="auto"/>
        <w:bottom w:val="none" w:sz="0" w:space="0" w:color="auto"/>
        <w:right w:val="none" w:sz="0" w:space="0" w:color="auto"/>
      </w:divBdr>
    </w:div>
    <w:div w:id="2127044283">
      <w:marLeft w:val="0"/>
      <w:marRight w:val="0"/>
      <w:marTop w:val="0"/>
      <w:marBottom w:val="0"/>
      <w:divBdr>
        <w:top w:val="none" w:sz="0" w:space="0" w:color="auto"/>
        <w:left w:val="none" w:sz="0" w:space="0" w:color="auto"/>
        <w:bottom w:val="none" w:sz="0" w:space="0" w:color="auto"/>
        <w:right w:val="none" w:sz="0" w:space="0" w:color="auto"/>
      </w:divBdr>
    </w:div>
    <w:div w:id="2127389592">
      <w:marLeft w:val="0"/>
      <w:marRight w:val="0"/>
      <w:marTop w:val="180"/>
      <w:marBottom w:val="180"/>
      <w:divBdr>
        <w:top w:val="none" w:sz="0" w:space="0" w:color="auto"/>
        <w:left w:val="none" w:sz="0" w:space="0" w:color="auto"/>
        <w:bottom w:val="none" w:sz="0" w:space="0" w:color="auto"/>
        <w:right w:val="none" w:sz="0" w:space="0" w:color="auto"/>
      </w:divBdr>
    </w:div>
    <w:div w:id="2127501768">
      <w:marLeft w:val="0"/>
      <w:marRight w:val="0"/>
      <w:marTop w:val="180"/>
      <w:marBottom w:val="180"/>
      <w:divBdr>
        <w:top w:val="none" w:sz="0" w:space="0" w:color="auto"/>
        <w:left w:val="none" w:sz="0" w:space="0" w:color="auto"/>
        <w:bottom w:val="none" w:sz="0" w:space="0" w:color="auto"/>
        <w:right w:val="none" w:sz="0" w:space="0" w:color="auto"/>
      </w:divBdr>
    </w:div>
    <w:div w:id="2127848563">
      <w:marLeft w:val="0"/>
      <w:marRight w:val="0"/>
      <w:marTop w:val="60"/>
      <w:marBottom w:val="60"/>
      <w:divBdr>
        <w:top w:val="none" w:sz="0" w:space="0" w:color="auto"/>
        <w:left w:val="none" w:sz="0" w:space="0" w:color="auto"/>
        <w:bottom w:val="none" w:sz="0" w:space="0" w:color="auto"/>
        <w:right w:val="none" w:sz="0" w:space="0" w:color="auto"/>
      </w:divBdr>
    </w:div>
    <w:div w:id="2127889419">
      <w:marLeft w:val="0"/>
      <w:marRight w:val="0"/>
      <w:marTop w:val="180"/>
      <w:marBottom w:val="180"/>
      <w:divBdr>
        <w:top w:val="none" w:sz="0" w:space="0" w:color="auto"/>
        <w:left w:val="none" w:sz="0" w:space="0" w:color="auto"/>
        <w:bottom w:val="none" w:sz="0" w:space="0" w:color="auto"/>
        <w:right w:val="none" w:sz="0" w:space="0" w:color="auto"/>
      </w:divBdr>
    </w:div>
    <w:div w:id="2128885305">
      <w:marLeft w:val="0"/>
      <w:marRight w:val="0"/>
      <w:marTop w:val="240"/>
      <w:marBottom w:val="180"/>
      <w:divBdr>
        <w:top w:val="none" w:sz="0" w:space="0" w:color="auto"/>
        <w:left w:val="none" w:sz="0" w:space="0" w:color="auto"/>
        <w:bottom w:val="none" w:sz="0" w:space="0" w:color="auto"/>
        <w:right w:val="none" w:sz="0" w:space="0" w:color="auto"/>
      </w:divBdr>
    </w:div>
    <w:div w:id="2129544973">
      <w:marLeft w:val="0"/>
      <w:marRight w:val="0"/>
      <w:marTop w:val="60"/>
      <w:marBottom w:val="60"/>
      <w:divBdr>
        <w:top w:val="none" w:sz="0" w:space="0" w:color="auto"/>
        <w:left w:val="none" w:sz="0" w:space="0" w:color="auto"/>
        <w:bottom w:val="none" w:sz="0" w:space="0" w:color="auto"/>
        <w:right w:val="none" w:sz="0" w:space="0" w:color="auto"/>
      </w:divBdr>
    </w:div>
    <w:div w:id="2129737875">
      <w:marLeft w:val="0"/>
      <w:marRight w:val="0"/>
      <w:marTop w:val="60"/>
      <w:marBottom w:val="60"/>
      <w:divBdr>
        <w:top w:val="none" w:sz="0" w:space="0" w:color="auto"/>
        <w:left w:val="none" w:sz="0" w:space="0" w:color="auto"/>
        <w:bottom w:val="none" w:sz="0" w:space="0" w:color="auto"/>
        <w:right w:val="none" w:sz="0" w:space="0" w:color="auto"/>
      </w:divBdr>
    </w:div>
    <w:div w:id="2131896866">
      <w:marLeft w:val="0"/>
      <w:marRight w:val="0"/>
      <w:marTop w:val="180"/>
      <w:marBottom w:val="180"/>
      <w:divBdr>
        <w:top w:val="none" w:sz="0" w:space="0" w:color="auto"/>
        <w:left w:val="none" w:sz="0" w:space="0" w:color="auto"/>
        <w:bottom w:val="none" w:sz="0" w:space="0" w:color="auto"/>
        <w:right w:val="none" w:sz="0" w:space="0" w:color="auto"/>
      </w:divBdr>
    </w:div>
    <w:div w:id="2132238687">
      <w:marLeft w:val="0"/>
      <w:marRight w:val="0"/>
      <w:marTop w:val="100"/>
      <w:marBottom w:val="100"/>
      <w:divBdr>
        <w:top w:val="none" w:sz="0" w:space="0" w:color="auto"/>
        <w:left w:val="none" w:sz="0" w:space="0" w:color="auto"/>
        <w:bottom w:val="none" w:sz="0" w:space="0" w:color="auto"/>
        <w:right w:val="none" w:sz="0" w:space="0" w:color="auto"/>
      </w:divBdr>
    </w:div>
    <w:div w:id="2133866598">
      <w:marLeft w:val="0"/>
      <w:marRight w:val="0"/>
      <w:marTop w:val="0"/>
      <w:marBottom w:val="0"/>
      <w:divBdr>
        <w:top w:val="none" w:sz="0" w:space="0" w:color="auto"/>
        <w:left w:val="none" w:sz="0" w:space="0" w:color="auto"/>
        <w:bottom w:val="none" w:sz="0" w:space="0" w:color="auto"/>
        <w:right w:val="none" w:sz="0" w:space="0" w:color="auto"/>
      </w:divBdr>
    </w:div>
    <w:div w:id="2137143131">
      <w:marLeft w:val="0"/>
      <w:marRight w:val="0"/>
      <w:marTop w:val="0"/>
      <w:marBottom w:val="0"/>
      <w:divBdr>
        <w:top w:val="none" w:sz="0" w:space="0" w:color="auto"/>
        <w:left w:val="none" w:sz="0" w:space="0" w:color="auto"/>
        <w:bottom w:val="none" w:sz="0" w:space="0" w:color="auto"/>
        <w:right w:val="none" w:sz="0" w:space="0" w:color="auto"/>
      </w:divBdr>
      <w:divsChild>
        <w:div w:id="167523648">
          <w:marLeft w:val="0"/>
          <w:marRight w:val="0"/>
          <w:marTop w:val="180"/>
          <w:marBottom w:val="180"/>
          <w:divBdr>
            <w:top w:val="none" w:sz="0" w:space="0" w:color="auto"/>
            <w:left w:val="none" w:sz="0" w:space="0" w:color="auto"/>
            <w:bottom w:val="none" w:sz="0" w:space="0" w:color="auto"/>
            <w:right w:val="none" w:sz="0" w:space="0" w:color="auto"/>
          </w:divBdr>
        </w:div>
      </w:divsChild>
    </w:div>
    <w:div w:id="2138529079">
      <w:marLeft w:val="0"/>
      <w:marRight w:val="0"/>
      <w:marTop w:val="0"/>
      <w:marBottom w:val="0"/>
      <w:divBdr>
        <w:top w:val="none" w:sz="0" w:space="0" w:color="auto"/>
        <w:left w:val="none" w:sz="0" w:space="0" w:color="auto"/>
        <w:bottom w:val="none" w:sz="0" w:space="0" w:color="auto"/>
        <w:right w:val="none" w:sz="0" w:space="0" w:color="auto"/>
      </w:divBdr>
      <w:divsChild>
        <w:div w:id="1269893307">
          <w:marLeft w:val="0"/>
          <w:marRight w:val="0"/>
          <w:marTop w:val="0"/>
          <w:marBottom w:val="0"/>
          <w:divBdr>
            <w:top w:val="none" w:sz="0" w:space="0" w:color="auto"/>
            <w:left w:val="none" w:sz="0" w:space="0" w:color="auto"/>
            <w:bottom w:val="none" w:sz="0" w:space="0" w:color="auto"/>
            <w:right w:val="none" w:sz="0" w:space="0" w:color="auto"/>
          </w:divBdr>
          <w:divsChild>
            <w:div w:id="3912012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9295152">
      <w:marLeft w:val="0"/>
      <w:marRight w:val="0"/>
      <w:marTop w:val="180"/>
      <w:marBottom w:val="180"/>
      <w:divBdr>
        <w:top w:val="none" w:sz="0" w:space="0" w:color="auto"/>
        <w:left w:val="none" w:sz="0" w:space="0" w:color="auto"/>
        <w:bottom w:val="none" w:sz="0" w:space="0" w:color="auto"/>
        <w:right w:val="none" w:sz="0" w:space="0" w:color="auto"/>
      </w:divBdr>
    </w:div>
    <w:div w:id="2139908417">
      <w:marLeft w:val="0"/>
      <w:marRight w:val="0"/>
      <w:marTop w:val="180"/>
      <w:marBottom w:val="180"/>
      <w:divBdr>
        <w:top w:val="none" w:sz="0" w:space="0" w:color="auto"/>
        <w:left w:val="none" w:sz="0" w:space="0" w:color="auto"/>
        <w:bottom w:val="none" w:sz="0" w:space="0" w:color="auto"/>
        <w:right w:val="none" w:sz="0" w:space="0" w:color="auto"/>
      </w:divBdr>
    </w:div>
    <w:div w:id="2141797669">
      <w:marLeft w:val="0"/>
      <w:marRight w:val="0"/>
      <w:marTop w:val="0"/>
      <w:marBottom w:val="0"/>
      <w:divBdr>
        <w:top w:val="none" w:sz="0" w:space="0" w:color="auto"/>
        <w:left w:val="none" w:sz="0" w:space="0" w:color="auto"/>
        <w:bottom w:val="none" w:sz="0" w:space="0" w:color="auto"/>
        <w:right w:val="none" w:sz="0" w:space="0" w:color="auto"/>
      </w:divBdr>
    </w:div>
    <w:div w:id="2142110945">
      <w:marLeft w:val="0"/>
      <w:marRight w:val="0"/>
      <w:marTop w:val="180"/>
      <w:marBottom w:val="180"/>
      <w:divBdr>
        <w:top w:val="none" w:sz="0" w:space="0" w:color="auto"/>
        <w:left w:val="none" w:sz="0" w:space="0" w:color="auto"/>
        <w:bottom w:val="none" w:sz="0" w:space="0" w:color="auto"/>
        <w:right w:val="none" w:sz="0" w:space="0" w:color="auto"/>
      </w:divBdr>
    </w:div>
    <w:div w:id="2142260476">
      <w:marLeft w:val="0"/>
      <w:marRight w:val="0"/>
      <w:marTop w:val="180"/>
      <w:marBottom w:val="180"/>
      <w:divBdr>
        <w:top w:val="none" w:sz="0" w:space="0" w:color="auto"/>
        <w:left w:val="none" w:sz="0" w:space="0" w:color="auto"/>
        <w:bottom w:val="none" w:sz="0" w:space="0" w:color="auto"/>
        <w:right w:val="none" w:sz="0" w:space="0" w:color="auto"/>
      </w:divBdr>
    </w:div>
    <w:div w:id="2142647050">
      <w:marLeft w:val="0"/>
      <w:marRight w:val="0"/>
      <w:marTop w:val="180"/>
      <w:marBottom w:val="180"/>
      <w:divBdr>
        <w:top w:val="none" w:sz="0" w:space="0" w:color="auto"/>
        <w:left w:val="none" w:sz="0" w:space="0" w:color="auto"/>
        <w:bottom w:val="none" w:sz="0" w:space="0" w:color="auto"/>
        <w:right w:val="none" w:sz="0" w:space="0" w:color="auto"/>
      </w:divBdr>
    </w:div>
    <w:div w:id="2145149867">
      <w:marLeft w:val="0"/>
      <w:marRight w:val="0"/>
      <w:marTop w:val="180"/>
      <w:marBottom w:val="180"/>
      <w:divBdr>
        <w:top w:val="none" w:sz="0" w:space="0" w:color="auto"/>
        <w:left w:val="none" w:sz="0" w:space="0" w:color="auto"/>
        <w:bottom w:val="none" w:sz="0" w:space="0" w:color="auto"/>
        <w:right w:val="none" w:sz="0" w:space="0" w:color="auto"/>
      </w:divBdr>
    </w:div>
    <w:div w:id="2146775026">
      <w:marLeft w:val="0"/>
      <w:marRight w:val="0"/>
      <w:marTop w:val="0"/>
      <w:marBottom w:val="180"/>
      <w:divBdr>
        <w:top w:val="none" w:sz="0" w:space="0" w:color="auto"/>
        <w:left w:val="none" w:sz="0" w:space="0" w:color="auto"/>
        <w:bottom w:val="none" w:sz="0" w:space="0" w:color="auto"/>
        <w:right w:val="none" w:sz="0" w:space="0" w:color="auto"/>
      </w:divBdr>
    </w:div>
    <w:div w:id="2147118258">
      <w:marLeft w:val="0"/>
      <w:marRight w:val="0"/>
      <w:marTop w:val="18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27628/000119312509247098/dex41.htm" TargetMode="External"/><Relationship Id="rId13" Type="http://schemas.openxmlformats.org/officeDocument/2006/relationships/hyperlink" Target="http://www.sec.gov/Archives/edgar/data/927628/000119312520248074/d72664dex41.htm" TargetMode="External"/><Relationship Id="rId18" Type="http://schemas.openxmlformats.org/officeDocument/2006/relationships/hyperlink" Target="cof-09302020x10qxex312.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c.gov/Archives/edgar/data/927628/000119312504035097/dex41.htm" TargetMode="External"/><Relationship Id="rId12" Type="http://schemas.openxmlformats.org/officeDocument/2006/relationships/hyperlink" Target="http://www.sec.gov/Archives/edgar/data/927628/000119312520248074/d72664dex41.htm" TargetMode="External"/><Relationship Id="rId17" Type="http://schemas.openxmlformats.org/officeDocument/2006/relationships/hyperlink" Target="cof-09302020x10qxex311.htm" TargetMode="External"/><Relationship Id="rId2" Type="http://schemas.openxmlformats.org/officeDocument/2006/relationships/settings" Target="settings.xml"/><Relationship Id="rId16" Type="http://schemas.openxmlformats.org/officeDocument/2006/relationships/hyperlink" Target="http://www.sec.gov/Archives/edgar/data/927628/000119312520248074/d72664dex41.htm" TargetMode="External"/><Relationship Id="rId20" Type="http://schemas.openxmlformats.org/officeDocument/2006/relationships/hyperlink" Target="cof-09302020x10qxex322.htm" TargetMode="External"/><Relationship Id="rId1" Type="http://schemas.openxmlformats.org/officeDocument/2006/relationships/styles" Target="styles.xml"/><Relationship Id="rId6" Type="http://schemas.openxmlformats.org/officeDocument/2006/relationships/hyperlink" Target="http://www.sec.gov/Archives/edgar/data/927628/000119312520248074/d72664dex31.htm" TargetMode="External"/><Relationship Id="rId11" Type="http://schemas.openxmlformats.org/officeDocument/2006/relationships/hyperlink" Target="http://www.sec.gov/Archives/edgar/data/927628/000119312520248074/d72664dex41.htm" TargetMode="External"/><Relationship Id="rId5" Type="http://schemas.openxmlformats.org/officeDocument/2006/relationships/hyperlink" Target="http://www.sec.gov/Archives/edgar/data/927628/000092762820000189/exhibit33amendedandres.htm" TargetMode="External"/><Relationship Id="rId15" Type="http://schemas.openxmlformats.org/officeDocument/2006/relationships/hyperlink" Target="http://www.sec.gov/Archives/edgar/data/927628/000119312520248074/d72664dex41.htm" TargetMode="External"/><Relationship Id="rId10" Type="http://schemas.openxmlformats.org/officeDocument/2006/relationships/hyperlink" Target="http://www.sec.gov/Archives/edgar/data/927628/000119312520248074/d72664dex41.htm" TargetMode="External"/><Relationship Id="rId19" Type="http://schemas.openxmlformats.org/officeDocument/2006/relationships/hyperlink" Target="cof-09302020x10qxex321.htm" TargetMode="External"/><Relationship Id="rId4" Type="http://schemas.openxmlformats.org/officeDocument/2006/relationships/hyperlink" Target="http://www.sec.gov/Archives/edgar/data/927628/000092762820000189/exhibit32restatedcerti.htm" TargetMode="External"/><Relationship Id="rId9" Type="http://schemas.openxmlformats.org/officeDocument/2006/relationships/hyperlink" Target="http://www.sec.gov/Archives/edgar/data/927628/000119312520248074/d72664dex41.htm" TargetMode="External"/><Relationship Id="rId14" Type="http://schemas.openxmlformats.org/officeDocument/2006/relationships/hyperlink" Target="http://www.sec.gov/Archives/edgar/data/927628/000119312520248074/d72664dex41.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93981</Words>
  <Characters>535696</Characters>
  <Application>Microsoft Office Word</Application>
  <DocSecurity>0</DocSecurity>
  <Lines>4464</Lines>
  <Paragraphs>1256</Paragraphs>
  <ScaleCrop>false</ScaleCrop>
  <Company/>
  <LinksUpToDate>false</LinksUpToDate>
  <CharactersWithSpaces>628421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cof-20200930</dc:title>
  <dc:subject/>
  <dc:creator>Chongjian.Yue</dc:creator>
  <cp:keywords/>
  <dc:description/>
  <cp:lastModifiedBy>Yue Chongjian</cp:lastModifiedBy>
  <cp:revision>1</cp:revision>
  <dcterms:created xsi:type="dcterms:W3CDTF">2024-01-04T15:34:00Z</dcterms:created>
  <dcterms:modified xsi:type="dcterms:W3CDTF">2024-01-04T15:34:00Z</dcterms:modified>
</cp:coreProperties>
</file>